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300"/>
        <w:spacing w:after="0"/>
        <w:rPr>
          <w:sz w:val="20"/>
          <w:szCs w:val="20"/>
          <w:color w:val="auto"/>
        </w:rPr>
      </w:pPr>
      <w:r>
        <w:rPr>
          <w:rFonts w:ascii="Arial" w:cs="Arial" w:eastAsia="Arial" w:hAnsi="Arial"/>
          <w:sz w:val="18"/>
          <w:szCs w:val="18"/>
          <w:color w:val="auto"/>
        </w:rPr>
        <w:t>UNITED STATES</w:t>
      </w:r>
    </w:p>
    <w:p>
      <w:pPr>
        <w:spacing w:after="0" w:line="167" w:lineRule="exact"/>
        <w:rPr>
          <w:sz w:val="24"/>
          <w:szCs w:val="24"/>
          <w:color w:val="auto"/>
        </w:rPr>
      </w:pPr>
    </w:p>
    <w:p>
      <w:pPr>
        <w:ind w:left="3100"/>
        <w:spacing w:after="0"/>
        <w:rPr>
          <w:sz w:val="20"/>
          <w:szCs w:val="20"/>
          <w:color w:val="auto"/>
        </w:rPr>
      </w:pPr>
      <w:r>
        <w:rPr>
          <w:rFonts w:ascii="Arial" w:cs="Arial" w:eastAsia="Arial" w:hAnsi="Arial"/>
          <w:sz w:val="18"/>
          <w:szCs w:val="18"/>
          <w:color w:val="auto"/>
        </w:rPr>
        <w:t>SECURITIES AND EXCHANGE COMMISSION</w:t>
      </w:r>
    </w:p>
    <w:p>
      <w:pPr>
        <w:jc w:val="center"/>
        <w:ind w:right="380"/>
        <w:spacing w:after="0"/>
        <w:rPr>
          <w:sz w:val="20"/>
          <w:szCs w:val="20"/>
          <w:color w:val="auto"/>
        </w:rPr>
      </w:pPr>
      <w:r>
        <w:rPr>
          <w:rFonts w:ascii="Arial" w:cs="Arial" w:eastAsia="Arial" w:hAnsi="Arial"/>
          <w:sz w:val="18"/>
          <w:szCs w:val="18"/>
          <w:color w:val="auto"/>
        </w:rPr>
        <w:t>Washington, D.C. 20549</w:t>
      </w:r>
    </w:p>
    <w:p>
      <w:pPr>
        <w:spacing w:after="0" w:line="203" w:lineRule="exact"/>
        <w:rPr>
          <w:sz w:val="24"/>
          <w:szCs w:val="24"/>
          <w:color w:val="auto"/>
        </w:rPr>
      </w:pPr>
    </w:p>
    <w:p>
      <w:pPr>
        <w:jc w:val="center"/>
        <w:ind w:right="380"/>
        <w:spacing w:after="0"/>
        <w:rPr>
          <w:sz w:val="20"/>
          <w:szCs w:val="20"/>
          <w:color w:val="auto"/>
        </w:rPr>
      </w:pPr>
      <w:r>
        <w:rPr>
          <w:rFonts w:ascii="Arial" w:cs="Arial" w:eastAsia="Arial" w:hAnsi="Arial"/>
          <w:sz w:val="32"/>
          <w:szCs w:val="32"/>
          <w:color w:val="auto"/>
        </w:rPr>
        <w:t>FORM 10-K</w:t>
      </w:r>
    </w:p>
    <w:p>
      <w:pPr>
        <w:spacing w:after="0" w:line="195" w:lineRule="exact"/>
        <w:rPr>
          <w:sz w:val="24"/>
          <w:szCs w:val="24"/>
          <w:color w:val="auto"/>
        </w:rPr>
      </w:pPr>
    </w:p>
    <w:p>
      <w:pPr>
        <w:ind w:left="460"/>
        <w:spacing w:after="0"/>
        <w:rPr>
          <w:sz w:val="20"/>
          <w:szCs w:val="20"/>
          <w:color w:val="auto"/>
        </w:rPr>
      </w:pPr>
      <w:r>
        <w:rPr>
          <w:rFonts w:ascii="Arial" w:cs="Arial" w:eastAsia="Arial" w:hAnsi="Arial"/>
          <w:sz w:val="18"/>
          <w:szCs w:val="18"/>
          <w:color w:val="auto"/>
        </w:rPr>
        <w:t>(x) ANNUAL REPORT PURSUANT TO SECTION 13 OR 15(d) OF THE SECURITIES EXCHANGE ACT OF 1934</w:t>
      </w:r>
    </w:p>
    <w:p>
      <w:pPr>
        <w:spacing w:after="0" w:line="194" w:lineRule="exact"/>
        <w:rPr>
          <w:sz w:val="24"/>
          <w:szCs w:val="24"/>
          <w:color w:val="auto"/>
        </w:rPr>
      </w:pPr>
    </w:p>
    <w:p>
      <w:pPr>
        <w:ind w:left="3140"/>
        <w:spacing w:after="0"/>
        <w:rPr>
          <w:sz w:val="20"/>
          <w:szCs w:val="20"/>
          <w:color w:val="auto"/>
        </w:rPr>
      </w:pPr>
      <w:r>
        <w:rPr>
          <w:rFonts w:ascii="Arial" w:cs="Arial" w:eastAsia="Arial" w:hAnsi="Arial"/>
          <w:sz w:val="18"/>
          <w:szCs w:val="18"/>
          <w:color w:val="auto"/>
        </w:rPr>
        <w:t xml:space="preserve">For the fiscal year ended: </w:t>
      </w:r>
      <w:r>
        <w:rPr>
          <w:rFonts w:ascii="Arial" w:cs="Arial" w:eastAsia="Arial" w:hAnsi="Arial"/>
          <w:sz w:val="18"/>
          <w:szCs w:val="18"/>
          <w:u w:val="single" w:color="auto"/>
          <w:color w:val="auto"/>
        </w:rPr>
        <w:t>December 31, 2013</w:t>
      </w:r>
    </w:p>
    <w:p>
      <w:pPr>
        <w:jc w:val="center"/>
        <w:ind w:right="380"/>
        <w:spacing w:after="0"/>
        <w:rPr>
          <w:sz w:val="20"/>
          <w:szCs w:val="20"/>
          <w:color w:val="auto"/>
        </w:rPr>
      </w:pPr>
      <w:r>
        <w:rPr>
          <w:rFonts w:ascii="Arial" w:cs="Arial" w:eastAsia="Arial" w:hAnsi="Arial"/>
          <w:sz w:val="18"/>
          <w:szCs w:val="18"/>
          <w:color w:val="auto"/>
        </w:rPr>
        <w:t>OR</w:t>
      </w:r>
    </w:p>
    <w:p>
      <w:pPr>
        <w:spacing w:after="0" w:line="171" w:lineRule="exact"/>
        <w:rPr>
          <w:sz w:val="24"/>
          <w:szCs w:val="24"/>
          <w:color w:val="auto"/>
        </w:rPr>
      </w:pPr>
    </w:p>
    <w:p>
      <w:pPr>
        <w:jc w:val="center"/>
        <w:ind w:left="2400" w:right="720" w:hanging="2069"/>
        <w:spacing w:after="0" w:line="454" w:lineRule="auto"/>
        <w:tabs>
          <w:tab w:leader="none" w:pos="499" w:val="left"/>
        </w:tabs>
        <w:numPr>
          <w:ilvl w:val="0"/>
          <w:numId w:val="1"/>
        </w:numPr>
        <w:rPr>
          <w:rFonts w:ascii="Arial" w:cs="Arial" w:eastAsia="Arial" w:hAnsi="Arial"/>
          <w:sz w:val="18"/>
          <w:szCs w:val="18"/>
          <w:color w:val="auto"/>
        </w:rPr>
      </w:pPr>
      <w:r>
        <w:rPr>
          <w:rFonts w:ascii="Arial" w:cs="Arial" w:eastAsia="Arial" w:hAnsi="Arial"/>
          <w:sz w:val="18"/>
          <w:szCs w:val="18"/>
          <w:color w:val="auto"/>
        </w:rPr>
        <w:t>) TRANSITION REPORT PURSUANT TO SECTION 13 or 15(d) OF THE SECURITIES EXCHANGE ACT OF 1934 For the transition period from _____________ to _____________</w:t>
      </w:r>
    </w:p>
    <w:p>
      <w:pPr>
        <w:ind w:left="3660"/>
        <w:spacing w:after="0"/>
        <w:rPr>
          <w:rFonts w:ascii="Arial" w:cs="Arial" w:eastAsia="Arial" w:hAnsi="Arial"/>
          <w:sz w:val="18"/>
          <w:szCs w:val="18"/>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1-10026</w:t>
      </w:r>
    </w:p>
    <w:p>
      <w:pPr>
        <w:spacing w:after="0" w:line="203" w:lineRule="exact"/>
        <w:rPr>
          <w:sz w:val="24"/>
          <w:szCs w:val="24"/>
          <w:color w:val="auto"/>
        </w:rPr>
      </w:pPr>
    </w:p>
    <w:p>
      <w:pPr>
        <w:jc w:val="center"/>
        <w:ind w:right="380"/>
        <w:spacing w:after="0"/>
        <w:rPr>
          <w:sz w:val="20"/>
          <w:szCs w:val="20"/>
          <w:color w:val="auto"/>
        </w:rPr>
      </w:pPr>
      <w:r>
        <w:rPr>
          <w:rFonts w:ascii="Arial" w:cs="Arial" w:eastAsia="Arial" w:hAnsi="Arial"/>
          <w:sz w:val="32"/>
          <w:szCs w:val="32"/>
          <w:u w:val="single" w:color="auto"/>
          <w:color w:val="auto"/>
        </w:rPr>
        <w:t>ALBANY INTERNATIONAL CORP.</w:t>
      </w:r>
    </w:p>
    <w:p>
      <w:pPr>
        <w:spacing w:after="0" w:line="6" w:lineRule="exact"/>
        <w:rPr>
          <w:sz w:val="24"/>
          <w:szCs w:val="24"/>
          <w:color w:val="auto"/>
        </w:rPr>
      </w:pPr>
    </w:p>
    <w:p>
      <w:pPr>
        <w:ind w:left="294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359"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440" w:type="dxa"/>
            <w:vAlign w:val="bottom"/>
          </w:tcPr>
          <w:p>
            <w:pPr>
              <w:spacing w:after="0"/>
              <w:rPr>
                <w:sz w:val="17"/>
                <w:szCs w:val="17"/>
                <w:color w:val="auto"/>
              </w:rPr>
            </w:pPr>
          </w:p>
        </w:tc>
        <w:tc>
          <w:tcPr>
            <w:tcW w:w="2200" w:type="dxa"/>
            <w:vAlign w:val="bottom"/>
            <w:gridSpan w:val="2"/>
          </w:tcPr>
          <w:p>
            <w:pPr>
              <w:jc w:val="center"/>
              <w:ind w:right="1440"/>
              <w:spacing w:after="0"/>
              <w:rPr>
                <w:sz w:val="20"/>
                <w:szCs w:val="20"/>
                <w:color w:val="auto"/>
              </w:rPr>
            </w:pPr>
            <w:r>
              <w:rPr>
                <w:rFonts w:ascii="Arial" w:cs="Arial" w:eastAsia="Arial" w:hAnsi="Arial"/>
                <w:sz w:val="18"/>
                <w:szCs w:val="18"/>
                <w:color w:val="auto"/>
                <w:w w:val="99"/>
              </w:rPr>
              <w:t>Delaware</w:t>
            </w:r>
          </w:p>
        </w:tc>
        <w:tc>
          <w:tcPr>
            <w:tcW w:w="4600" w:type="dxa"/>
            <w:vAlign w:val="bottom"/>
            <w:gridSpan w:val="5"/>
          </w:tcPr>
          <w:p>
            <w:pPr>
              <w:jc w:val="right"/>
              <w:ind w:right="220"/>
              <w:spacing w:after="0"/>
              <w:rPr>
                <w:sz w:val="20"/>
                <w:szCs w:val="20"/>
                <w:color w:val="auto"/>
              </w:rPr>
            </w:pPr>
            <w:r>
              <w:rPr>
                <w:rFonts w:ascii="Arial" w:cs="Arial" w:eastAsia="Arial" w:hAnsi="Arial"/>
                <w:sz w:val="18"/>
                <w:szCs w:val="18"/>
                <w:color w:val="auto"/>
              </w:rPr>
              <w:t>14-0462060</w:t>
            </w:r>
          </w:p>
        </w:tc>
      </w:tr>
      <w:tr>
        <w:trPr>
          <w:trHeight w:val="20"/>
        </w:trPr>
        <w:tc>
          <w:tcPr>
            <w:tcW w:w="14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3640" w:type="dxa"/>
            <w:vAlign w:val="bottom"/>
            <w:gridSpan w:val="3"/>
          </w:tcPr>
          <w:p>
            <w:pPr>
              <w:jc w:val="center"/>
              <w:spacing w:after="0"/>
              <w:rPr>
                <w:sz w:val="20"/>
                <w:szCs w:val="20"/>
                <w:color w:val="auto"/>
              </w:rPr>
            </w:pPr>
            <w:r>
              <w:rPr>
                <w:rFonts w:ascii="Arial" w:cs="Arial" w:eastAsia="Arial" w:hAnsi="Arial"/>
                <w:sz w:val="18"/>
                <w:szCs w:val="18"/>
                <w:color w:val="auto"/>
              </w:rPr>
              <w:t>(State or other jurisdiction of</w:t>
            </w:r>
          </w:p>
        </w:tc>
        <w:tc>
          <w:tcPr>
            <w:tcW w:w="4600" w:type="dxa"/>
            <w:vAlign w:val="bottom"/>
            <w:gridSpan w:val="5"/>
          </w:tcPr>
          <w:p>
            <w:pPr>
              <w:jc w:val="center"/>
              <w:ind w:left="3090"/>
              <w:spacing w:after="0"/>
              <w:rPr>
                <w:sz w:val="20"/>
                <w:szCs w:val="20"/>
                <w:color w:val="auto"/>
              </w:rPr>
            </w:pPr>
            <w:r>
              <w:rPr>
                <w:rFonts w:ascii="Arial" w:cs="Arial" w:eastAsia="Arial" w:hAnsi="Arial"/>
                <w:sz w:val="18"/>
                <w:szCs w:val="18"/>
                <w:color w:val="auto"/>
              </w:rPr>
              <w:t>(IRS Employer</w:t>
            </w:r>
          </w:p>
        </w:tc>
      </w:tr>
      <w:tr>
        <w:trPr>
          <w:trHeight w:val="217"/>
        </w:trPr>
        <w:tc>
          <w:tcPr>
            <w:tcW w:w="3640" w:type="dxa"/>
            <w:vAlign w:val="bottom"/>
            <w:gridSpan w:val="3"/>
          </w:tcPr>
          <w:p>
            <w:pPr>
              <w:jc w:val="center"/>
              <w:spacing w:after="0"/>
              <w:rPr>
                <w:sz w:val="20"/>
                <w:szCs w:val="20"/>
                <w:color w:val="auto"/>
              </w:rPr>
            </w:pPr>
            <w:r>
              <w:rPr>
                <w:rFonts w:ascii="Arial" w:cs="Arial" w:eastAsia="Arial" w:hAnsi="Arial"/>
                <w:sz w:val="18"/>
                <w:szCs w:val="18"/>
                <w:color w:val="auto"/>
                <w:w w:val="99"/>
              </w:rPr>
              <w:t>incorporation or organization)</w:t>
            </w:r>
          </w:p>
        </w:tc>
        <w:tc>
          <w:tcPr>
            <w:tcW w:w="4600" w:type="dxa"/>
            <w:vAlign w:val="bottom"/>
            <w:gridSpan w:val="5"/>
          </w:tcPr>
          <w:p>
            <w:pPr>
              <w:jc w:val="center"/>
              <w:ind w:left="3110"/>
              <w:spacing w:after="0"/>
              <w:rPr>
                <w:sz w:val="20"/>
                <w:szCs w:val="20"/>
                <w:color w:val="auto"/>
              </w:rPr>
            </w:pPr>
            <w:r>
              <w:rPr>
                <w:rFonts w:ascii="Arial" w:cs="Arial" w:eastAsia="Arial" w:hAnsi="Arial"/>
                <w:sz w:val="18"/>
                <w:szCs w:val="18"/>
                <w:color w:val="auto"/>
                <w:w w:val="99"/>
              </w:rPr>
              <w:t>Identification No.)</w:t>
            </w:r>
          </w:p>
        </w:tc>
      </w:tr>
      <w:tr>
        <w:trPr>
          <w:trHeight w:val="338"/>
        </w:trPr>
        <w:tc>
          <w:tcPr>
            <w:tcW w:w="3640" w:type="dxa"/>
            <w:vAlign w:val="bottom"/>
            <w:gridSpan w:val="3"/>
          </w:tcPr>
          <w:p>
            <w:pPr>
              <w:jc w:val="center"/>
              <w:spacing w:after="0"/>
              <w:rPr>
                <w:sz w:val="20"/>
                <w:szCs w:val="20"/>
                <w:color w:val="auto"/>
              </w:rPr>
            </w:pPr>
            <w:r>
              <w:rPr>
                <w:rFonts w:ascii="Arial" w:cs="Arial" w:eastAsia="Arial" w:hAnsi="Arial"/>
                <w:sz w:val="18"/>
                <w:szCs w:val="18"/>
                <w:color w:val="auto"/>
                <w:w w:val="99"/>
              </w:rPr>
              <w:t>216 Airport Drive, Rochester, New Hampshire</w:t>
            </w:r>
          </w:p>
        </w:tc>
        <w:tc>
          <w:tcPr>
            <w:tcW w:w="3640" w:type="dxa"/>
            <w:vAlign w:val="bottom"/>
            <w:gridSpan w:val="2"/>
          </w:tcPr>
          <w:p>
            <w:pPr>
              <w:spacing w:after="0"/>
              <w:rPr>
                <w:sz w:val="24"/>
                <w:szCs w:val="2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03867</w:t>
            </w:r>
          </w:p>
        </w:tc>
        <w:tc>
          <w:tcPr>
            <w:tcW w:w="220" w:type="dxa"/>
            <w:vAlign w:val="bottom"/>
          </w:tcPr>
          <w:p>
            <w:pPr>
              <w:spacing w:after="0"/>
              <w:rPr>
                <w:sz w:val="24"/>
                <w:szCs w:val="24"/>
                <w:color w:val="auto"/>
              </w:rPr>
            </w:pPr>
          </w:p>
        </w:tc>
      </w:tr>
      <w:tr>
        <w:trPr>
          <w:trHeight w:val="20"/>
        </w:trPr>
        <w:tc>
          <w:tcPr>
            <w:tcW w:w="3640" w:type="dxa"/>
            <w:vAlign w:val="bottom"/>
            <w:gridSpan w:val="3"/>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r>
      <w:tr>
        <w:trPr>
          <w:trHeight w:val="223"/>
        </w:trPr>
        <w:tc>
          <w:tcPr>
            <w:tcW w:w="3640" w:type="dxa"/>
            <w:vAlign w:val="bottom"/>
            <w:gridSpan w:val="3"/>
          </w:tcPr>
          <w:p>
            <w:pPr>
              <w:jc w:val="center"/>
              <w:spacing w:after="0"/>
              <w:rPr>
                <w:sz w:val="20"/>
                <w:szCs w:val="20"/>
                <w:color w:val="auto"/>
              </w:rPr>
            </w:pPr>
            <w:r>
              <w:rPr>
                <w:rFonts w:ascii="Arial" w:cs="Arial" w:eastAsia="Arial" w:hAnsi="Arial"/>
                <w:sz w:val="18"/>
                <w:szCs w:val="18"/>
                <w:color w:val="auto"/>
                <w:w w:val="99"/>
              </w:rPr>
              <w:t>(Address of principal executive offices)</w:t>
            </w:r>
          </w:p>
        </w:tc>
        <w:tc>
          <w:tcPr>
            <w:tcW w:w="3400" w:type="dxa"/>
            <w:vAlign w:val="bottom"/>
          </w:tcPr>
          <w:p>
            <w:pPr>
              <w:spacing w:after="0"/>
              <w:rPr>
                <w:sz w:val="19"/>
                <w:szCs w:val="19"/>
                <w:color w:val="auto"/>
              </w:rPr>
            </w:pPr>
          </w:p>
        </w:tc>
        <w:tc>
          <w:tcPr>
            <w:tcW w:w="1200" w:type="dxa"/>
            <w:vAlign w:val="bottom"/>
            <w:gridSpan w:val="4"/>
          </w:tcPr>
          <w:p>
            <w:pPr>
              <w:jc w:val="center"/>
              <w:ind w:right="220"/>
              <w:spacing w:after="0"/>
              <w:rPr>
                <w:sz w:val="20"/>
                <w:szCs w:val="20"/>
                <w:color w:val="auto"/>
              </w:rPr>
            </w:pPr>
            <w:r>
              <w:rPr>
                <w:rFonts w:ascii="Arial" w:cs="Arial" w:eastAsia="Arial" w:hAnsi="Arial"/>
                <w:sz w:val="18"/>
                <w:szCs w:val="18"/>
                <w:color w:val="auto"/>
              </w:rPr>
              <w:t>(Zip Code)</w:t>
            </w:r>
          </w:p>
        </w:tc>
      </w:tr>
    </w:tbl>
    <w:p>
      <w:pPr>
        <w:spacing w:after="0" w:line="161"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603-330-5850</w:t>
      </w:r>
    </w:p>
    <w:p>
      <w:pPr>
        <w:spacing w:after="0" w:line="171"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41" w:lineRule="exact"/>
        <w:rPr>
          <w:sz w:val="24"/>
          <w:szCs w:val="24"/>
          <w:color w:val="auto"/>
        </w:rPr>
      </w:pPr>
    </w:p>
    <w:tbl>
      <w:tblPr>
        <w:tblLayout w:type="fixed"/>
        <w:tblInd w:w="120" w:type="dxa"/>
        <w:tblCellMar>
          <w:top w:w="0" w:type="dxa"/>
          <w:left w:w="0" w:type="dxa"/>
          <w:bottom w:w="0" w:type="dxa"/>
          <w:right w:w="0" w:type="dxa"/>
        </w:tblCellMar>
      </w:tblPr>
      <w:tr>
        <w:trPr>
          <w:trHeight w:val="207"/>
        </w:trPr>
        <w:tc>
          <w:tcPr>
            <w:tcW w:w="980" w:type="dxa"/>
            <w:vAlign w:val="bottom"/>
          </w:tcPr>
          <w:p>
            <w:pPr>
              <w:spacing w:after="0"/>
              <w:rPr>
                <w:sz w:val="18"/>
                <w:szCs w:val="18"/>
                <w:color w:val="auto"/>
              </w:rPr>
            </w:pPr>
          </w:p>
        </w:tc>
        <w:tc>
          <w:tcPr>
            <w:tcW w:w="4640" w:type="dxa"/>
            <w:vAlign w:val="bottom"/>
            <w:gridSpan w:val="2"/>
          </w:tcPr>
          <w:p>
            <w:pPr>
              <w:jc w:val="center"/>
              <w:ind w:right="3200"/>
              <w:spacing w:after="0"/>
              <w:rPr>
                <w:sz w:val="20"/>
                <w:szCs w:val="20"/>
                <w:color w:val="auto"/>
              </w:rPr>
            </w:pPr>
            <w:r>
              <w:rPr>
                <w:rFonts w:ascii="Arial" w:cs="Arial" w:eastAsia="Arial" w:hAnsi="Arial"/>
                <w:sz w:val="18"/>
                <w:szCs w:val="18"/>
                <w:color w:val="auto"/>
                <w:w w:val="99"/>
              </w:rPr>
              <w:t>Title of each class</w:t>
            </w:r>
          </w:p>
        </w:tc>
        <w:tc>
          <w:tcPr>
            <w:tcW w:w="3580" w:type="dxa"/>
            <w:vAlign w:val="bottom"/>
            <w:gridSpan w:val="4"/>
          </w:tcPr>
          <w:p>
            <w:pPr>
              <w:jc w:val="center"/>
              <w:spacing w:after="0"/>
              <w:rPr>
                <w:sz w:val="20"/>
                <w:szCs w:val="20"/>
                <w:color w:val="auto"/>
              </w:rPr>
            </w:pPr>
            <w:r>
              <w:rPr>
                <w:rFonts w:ascii="Arial" w:cs="Arial" w:eastAsia="Arial" w:hAnsi="Arial"/>
                <w:sz w:val="18"/>
                <w:szCs w:val="18"/>
                <w:color w:val="auto"/>
              </w:rPr>
              <w:t>Name of each exchange on which registered</w:t>
            </w:r>
          </w:p>
        </w:tc>
      </w:tr>
      <w:tr>
        <w:trPr>
          <w:trHeight w:val="20"/>
        </w:trPr>
        <w:tc>
          <w:tcPr>
            <w:tcW w:w="9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r>
        <w:trPr>
          <w:trHeight w:val="399"/>
        </w:trPr>
        <w:tc>
          <w:tcPr>
            <w:tcW w:w="5620" w:type="dxa"/>
            <w:vAlign w:val="bottom"/>
            <w:gridSpan w:val="3"/>
          </w:tcPr>
          <w:p>
            <w:pPr>
              <w:jc w:val="center"/>
              <w:ind w:right="2200"/>
              <w:spacing w:after="0"/>
              <w:rPr>
                <w:sz w:val="20"/>
                <w:szCs w:val="20"/>
                <w:color w:val="auto"/>
              </w:rPr>
            </w:pPr>
            <w:r>
              <w:rPr>
                <w:rFonts w:ascii="Arial" w:cs="Arial" w:eastAsia="Arial" w:hAnsi="Arial"/>
                <w:sz w:val="18"/>
                <w:szCs w:val="18"/>
                <w:color w:val="auto"/>
              </w:rPr>
              <w:t>Class A Common Stock ($0.001 par value)</w:t>
            </w:r>
          </w:p>
        </w:tc>
        <w:tc>
          <w:tcPr>
            <w:tcW w:w="380" w:type="dxa"/>
            <w:vAlign w:val="bottom"/>
          </w:tcPr>
          <w:p>
            <w:pPr>
              <w:spacing w:after="0"/>
              <w:rPr>
                <w:sz w:val="24"/>
                <w:szCs w:val="24"/>
                <w:color w:val="auto"/>
              </w:rPr>
            </w:pPr>
          </w:p>
        </w:tc>
        <w:tc>
          <w:tcPr>
            <w:tcW w:w="3200" w:type="dxa"/>
            <w:vAlign w:val="bottom"/>
            <w:gridSpan w:val="3"/>
          </w:tcPr>
          <w:p>
            <w:pPr>
              <w:jc w:val="center"/>
              <w:ind w:right="380"/>
              <w:spacing w:after="0"/>
              <w:rPr>
                <w:sz w:val="20"/>
                <w:szCs w:val="20"/>
                <w:color w:val="auto"/>
              </w:rPr>
            </w:pPr>
            <w:r>
              <w:rPr>
                <w:rFonts w:ascii="Arial" w:cs="Arial" w:eastAsia="Arial" w:hAnsi="Arial"/>
                <w:sz w:val="18"/>
                <w:szCs w:val="18"/>
                <w:color w:val="auto"/>
                <w:w w:val="98"/>
              </w:rPr>
              <w:t>New York Stock Exchange</w:t>
            </w:r>
          </w:p>
        </w:tc>
      </w:tr>
      <w:tr>
        <w:trPr>
          <w:trHeight w:val="554"/>
        </w:trPr>
        <w:tc>
          <w:tcPr>
            <w:tcW w:w="980" w:type="dxa"/>
            <w:vAlign w:val="bottom"/>
          </w:tcPr>
          <w:p>
            <w:pPr>
              <w:spacing w:after="0"/>
              <w:rPr>
                <w:sz w:val="24"/>
                <w:szCs w:val="24"/>
                <w:color w:val="auto"/>
              </w:rPr>
            </w:pPr>
          </w:p>
        </w:tc>
        <w:tc>
          <w:tcPr>
            <w:tcW w:w="5020" w:type="dxa"/>
            <w:vAlign w:val="bottom"/>
            <w:gridSpan w:val="3"/>
          </w:tcPr>
          <w:p>
            <w:pPr>
              <w:ind w:left="100"/>
              <w:spacing w:after="0"/>
              <w:rPr>
                <w:sz w:val="20"/>
                <w:szCs w:val="20"/>
                <w:color w:val="auto"/>
              </w:rPr>
            </w:pPr>
            <w:r>
              <w:rPr>
                <w:rFonts w:ascii="Arial" w:cs="Arial" w:eastAsia="Arial" w:hAnsi="Arial"/>
                <w:sz w:val="18"/>
                <w:szCs w:val="18"/>
                <w:color w:val="auto"/>
              </w:rPr>
              <w:t>Securities registered pursuant to Section 12(g) of the Act:</w:t>
            </w:r>
          </w:p>
        </w:tc>
        <w:tc>
          <w:tcPr>
            <w:tcW w:w="1860" w:type="dxa"/>
            <w:vAlign w:val="bottom"/>
          </w:tcPr>
          <w:p>
            <w:pPr>
              <w:spacing w:after="0"/>
              <w:rPr>
                <w:sz w:val="24"/>
                <w:szCs w:val="24"/>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None</w:t>
            </w:r>
          </w:p>
        </w:tc>
        <w:tc>
          <w:tcPr>
            <w:tcW w:w="900" w:type="dxa"/>
            <w:vAlign w:val="bottom"/>
          </w:tcPr>
          <w:p>
            <w:pPr>
              <w:spacing w:after="0"/>
              <w:rPr>
                <w:sz w:val="24"/>
                <w:szCs w:val="24"/>
                <w:color w:val="auto"/>
              </w:rPr>
            </w:pPr>
          </w:p>
        </w:tc>
      </w:tr>
      <w:tr>
        <w:trPr>
          <w:trHeight w:val="223"/>
        </w:trPr>
        <w:tc>
          <w:tcPr>
            <w:tcW w:w="9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(Title of Class)</w:t>
            </w:r>
          </w:p>
        </w:tc>
      </w:tr>
    </w:tbl>
    <w:p>
      <w:pPr>
        <w:spacing w:after="0" w:line="377" w:lineRule="exact"/>
        <w:rPr>
          <w:sz w:val="24"/>
          <w:szCs w:val="24"/>
          <w:color w:val="auto"/>
        </w:rPr>
      </w:pPr>
    </w:p>
    <w:p>
      <w:pPr>
        <w:jc w:val="right"/>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-654685</wp:posOffset>
            </wp:positionH>
            <wp:positionV relativeFrom="paragraph">
              <wp:posOffset>-1905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380"/>
          </w:cols>
          <w:pgMar w:left="1280" w:top="247" w:right="239" w:bottom="1440" w:gutter="0" w:footer="0" w:header="0"/>
        </w:sectPr>
      </w:pPr>
    </w:p>
    <w:bookmarkStart w:id="1" w:name="page2"/>
    <w:bookmarkEnd w:id="1"/>
    <w:p>
      <w:pPr>
        <w:ind w:left="660" w:right="420"/>
        <w:spacing w:after="0" w:line="472" w:lineRule="auto"/>
        <w:rPr>
          <w:sz w:val="20"/>
          <w:szCs w:val="20"/>
          <w:color w:val="auto"/>
        </w:rPr>
      </w:pPr>
      <w:r>
        <w:rPr>
          <w:rFonts w:ascii="Arial" w:cs="Arial" w:eastAsia="Arial" w:hAnsi="Arial"/>
          <w:sz w:val="17"/>
          <w:szCs w:val="17"/>
          <w:color w:val="auto"/>
        </w:rPr>
        <w:t xml:space="preserve">Indicate by check mark if the registrant is a well-known seasoned issuer, as defined in Rule 405 of the Securities Act. Yes </w:t>
      </w:r>
      <w:r>
        <w:rPr>
          <w:rFonts w:ascii="Arial" w:cs="Arial" w:eastAsia="Arial" w:hAnsi="Arial"/>
          <w:sz w:val="17"/>
          <w:szCs w:val="17"/>
          <w:u w:val="single" w:color="auto"/>
          <w:color w:val="auto"/>
        </w:rPr>
        <w:t>X</w:t>
      </w:r>
      <w:r>
        <w:rPr>
          <w:rFonts w:ascii="Arial" w:cs="Arial" w:eastAsia="Arial" w:hAnsi="Arial"/>
          <w:sz w:val="17"/>
          <w:szCs w:val="17"/>
          <w:color w:val="auto"/>
        </w:rPr>
        <w:t xml:space="preserve"> No _ Indicate by check mark if the registrant is not required to file reports pursuant to Section 13 or Section 15(d) of the Act. Yes _ No </w:t>
      </w:r>
      <w:r>
        <w:rPr>
          <w:rFonts w:ascii="Arial" w:cs="Arial" w:eastAsia="Arial" w:hAnsi="Arial"/>
          <w:sz w:val="17"/>
          <w:szCs w:val="17"/>
          <w:u w:val="single" w:color="auto"/>
          <w:color w:val="auto"/>
        </w:rPr>
        <w:t>X</w:t>
      </w:r>
    </w:p>
    <w:p>
      <w:pPr>
        <w:spacing w:after="0" w:line="1" w:lineRule="exact"/>
        <w:rPr>
          <w:sz w:val="20"/>
          <w:szCs w:val="20"/>
          <w:color w:val="auto"/>
        </w:rPr>
      </w:pPr>
    </w:p>
    <w:p>
      <w:pPr>
        <w:ind w:right="160" w:firstLine="648"/>
        <w:spacing w:after="0"/>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8"/>
          <w:szCs w:val="18"/>
          <w:u w:val="single" w:color="auto"/>
          <w:color w:val="auto"/>
        </w:rPr>
        <w:t>X</w:t>
      </w:r>
      <w:r>
        <w:rPr>
          <w:rFonts w:ascii="Arial" w:cs="Arial" w:eastAsia="Arial" w:hAnsi="Arial"/>
          <w:sz w:val="18"/>
          <w:szCs w:val="18"/>
          <w:color w:val="auto"/>
        </w:rPr>
        <w:t xml:space="preserve"> No _</w:t>
      </w:r>
    </w:p>
    <w:p>
      <w:pPr>
        <w:spacing w:after="0" w:line="162" w:lineRule="exact"/>
        <w:rPr>
          <w:sz w:val="20"/>
          <w:szCs w:val="20"/>
          <w:color w:val="auto"/>
        </w:rPr>
      </w:pPr>
    </w:p>
    <w:p>
      <w:pPr>
        <w:ind w:right="700" w:firstLine="648"/>
        <w:spacing w:after="0"/>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Arial" w:cs="Arial" w:eastAsia="Arial" w:hAnsi="Arial"/>
          <w:sz w:val="18"/>
          <w:szCs w:val="18"/>
          <w:u w:val="single" w:color="auto"/>
          <w:color w:val="auto"/>
        </w:rPr>
        <w:t>X</w:t>
      </w:r>
      <w:r>
        <w:rPr>
          <w:rFonts w:ascii="Arial" w:cs="Arial" w:eastAsia="Arial" w:hAnsi="Arial"/>
          <w:sz w:val="18"/>
          <w:szCs w:val="18"/>
          <w:color w:val="auto"/>
        </w:rPr>
        <w:t xml:space="preserve"> No _</w:t>
      </w:r>
    </w:p>
    <w:p>
      <w:pPr>
        <w:spacing w:after="0" w:line="162" w:lineRule="exact"/>
        <w:rPr>
          <w:sz w:val="20"/>
          <w:szCs w:val="20"/>
          <w:color w:val="auto"/>
        </w:rPr>
      </w:pPr>
    </w:p>
    <w:p>
      <w:pPr>
        <w:jc w:val="both"/>
        <w:ind w:right="140" w:firstLine="648"/>
        <w:spacing w:after="0"/>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p>
    <w:p>
      <w:pPr>
        <w:spacing w:after="0" w:line="176" w:lineRule="exact"/>
        <w:rPr>
          <w:sz w:val="20"/>
          <w:szCs w:val="20"/>
          <w:color w:val="auto"/>
        </w:rPr>
      </w:pPr>
    </w:p>
    <w:p>
      <w:pPr>
        <w:ind w:right="600" w:firstLine="648"/>
        <w:spacing w:after="0" w:line="24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 reporting company.</w:t>
      </w:r>
    </w:p>
    <w:p>
      <w:pPr>
        <w:spacing w:after="0" w:line="126"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3260" w:type="dxa"/>
            <w:vAlign w:val="bottom"/>
            <w:gridSpan w:val="3"/>
          </w:tcPr>
          <w:p>
            <w:pPr>
              <w:spacing w:after="0"/>
              <w:rPr>
                <w:sz w:val="20"/>
                <w:szCs w:val="20"/>
                <w:color w:val="auto"/>
              </w:rPr>
            </w:pPr>
            <w:r>
              <w:rPr>
                <w:rFonts w:ascii="Arial" w:cs="Arial" w:eastAsia="Arial" w:hAnsi="Arial"/>
                <w:sz w:val="18"/>
                <w:szCs w:val="18"/>
                <w:color w:val="auto"/>
              </w:rPr>
              <w:t>Large accelerated filer X</w:t>
            </w:r>
          </w:p>
        </w:tc>
        <w:tc>
          <w:tcPr>
            <w:tcW w:w="3620" w:type="dxa"/>
            <w:vAlign w:val="bottom"/>
          </w:tcPr>
          <w:p>
            <w:pPr>
              <w:ind w:left="1320"/>
              <w:spacing w:after="0"/>
              <w:rPr>
                <w:sz w:val="20"/>
                <w:szCs w:val="20"/>
                <w:color w:val="auto"/>
              </w:rPr>
            </w:pPr>
            <w:r>
              <w:rPr>
                <w:rFonts w:ascii="Arial" w:cs="Arial" w:eastAsia="Arial" w:hAnsi="Arial"/>
                <w:sz w:val="18"/>
                <w:szCs w:val="18"/>
                <w:color w:val="auto"/>
              </w:rPr>
              <w:t>Accelerated filer _</w:t>
            </w:r>
          </w:p>
        </w:tc>
      </w:tr>
      <w:tr>
        <w:trPr>
          <w:trHeight w:val="223"/>
        </w:trPr>
        <w:tc>
          <w:tcPr>
            <w:tcW w:w="1840" w:type="dxa"/>
            <w:vAlign w:val="bottom"/>
          </w:tcPr>
          <w:p>
            <w:pPr>
              <w:spacing w:after="0"/>
              <w:rPr>
                <w:sz w:val="20"/>
                <w:szCs w:val="20"/>
                <w:color w:val="auto"/>
              </w:rPr>
            </w:pPr>
            <w:r>
              <w:rPr>
                <w:rFonts w:ascii="Arial" w:cs="Arial" w:eastAsia="Arial" w:hAnsi="Arial"/>
                <w:sz w:val="18"/>
                <w:szCs w:val="18"/>
                <w:color w:val="auto"/>
              </w:rPr>
              <w:t>Non-accelerated filer_</w:t>
            </w:r>
          </w:p>
        </w:tc>
        <w:tc>
          <w:tcPr>
            <w:tcW w:w="120" w:type="dxa"/>
            <w:vAlign w:val="bottom"/>
            <w:tcBorders>
              <w:top w:val="single" w:sz="8" w:color="auto"/>
            </w:tcBorders>
          </w:tcPr>
          <w:p>
            <w:pPr>
              <w:spacing w:after="0"/>
              <w:rPr>
                <w:sz w:val="19"/>
                <w:szCs w:val="19"/>
                <w:color w:val="auto"/>
              </w:rPr>
            </w:pPr>
          </w:p>
        </w:tc>
        <w:tc>
          <w:tcPr>
            <w:tcW w:w="1300" w:type="dxa"/>
            <w:vAlign w:val="bottom"/>
          </w:tcPr>
          <w:p>
            <w:pPr>
              <w:spacing w:after="0"/>
              <w:rPr>
                <w:sz w:val="19"/>
                <w:szCs w:val="19"/>
                <w:color w:val="auto"/>
              </w:rPr>
            </w:pPr>
          </w:p>
        </w:tc>
        <w:tc>
          <w:tcPr>
            <w:tcW w:w="3620" w:type="dxa"/>
            <w:vAlign w:val="bottom"/>
          </w:tcPr>
          <w:p>
            <w:pPr>
              <w:ind w:left="1320"/>
              <w:spacing w:after="0"/>
              <w:rPr>
                <w:sz w:val="20"/>
                <w:szCs w:val="20"/>
                <w:color w:val="auto"/>
              </w:rPr>
            </w:pPr>
            <w:r>
              <w:rPr>
                <w:rFonts w:ascii="Arial" w:cs="Arial" w:eastAsia="Arial" w:hAnsi="Arial"/>
                <w:sz w:val="18"/>
                <w:szCs w:val="18"/>
                <w:color w:val="auto"/>
                <w:w w:val="99"/>
              </w:rPr>
              <w:t>Smaller reporting company _</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_ No </w:t>
      </w:r>
      <w:r>
        <w:rPr>
          <w:rFonts w:ascii="Arial" w:cs="Arial" w:eastAsia="Arial" w:hAnsi="Arial"/>
          <w:sz w:val="18"/>
          <w:szCs w:val="18"/>
          <w:u w:val="single" w:color="auto"/>
          <w:color w:val="auto"/>
        </w:rPr>
        <w:t>X</w:t>
      </w:r>
    </w:p>
    <w:p>
      <w:pPr>
        <w:spacing w:after="0" w:line="171" w:lineRule="exact"/>
        <w:rPr>
          <w:sz w:val="20"/>
          <w:szCs w:val="20"/>
          <w:color w:val="auto"/>
        </w:rPr>
      </w:pPr>
    </w:p>
    <w:p>
      <w:pPr>
        <w:jc w:val="both"/>
        <w:ind w:right="20" w:firstLine="648"/>
        <w:spacing w:after="0"/>
        <w:rPr>
          <w:sz w:val="20"/>
          <w:szCs w:val="20"/>
          <w:color w:val="auto"/>
        </w:rPr>
      </w:pPr>
      <w:r>
        <w:rPr>
          <w:rFonts w:ascii="Arial" w:cs="Arial" w:eastAsia="Arial" w:hAnsi="Arial"/>
          <w:sz w:val="18"/>
          <w:szCs w:val="18"/>
          <w:color w:val="auto"/>
        </w:rPr>
        <w:t>The aggregate market value of the Common Stock held by non-affiliates of the registrant on June 28, 2013, the last business day of the registrant’s most recently completed second quarter, computed by reference to the price at which Common Stock was last sold on such a date, was $926.3 million.</w:t>
      </w:r>
    </w:p>
    <w:p>
      <w:pPr>
        <w:spacing w:after="0" w:line="176" w:lineRule="exact"/>
        <w:rPr>
          <w:sz w:val="20"/>
          <w:szCs w:val="20"/>
          <w:color w:val="auto"/>
        </w:rPr>
      </w:pPr>
    </w:p>
    <w:p>
      <w:pPr>
        <w:ind w:right="220" w:firstLine="648"/>
        <w:spacing w:after="0" w:line="246" w:lineRule="auto"/>
        <w:rPr>
          <w:sz w:val="20"/>
          <w:szCs w:val="20"/>
          <w:color w:val="auto"/>
        </w:rPr>
      </w:pPr>
      <w:r>
        <w:rPr>
          <w:rFonts w:ascii="Arial" w:cs="Arial" w:eastAsia="Arial" w:hAnsi="Arial"/>
          <w:sz w:val="18"/>
          <w:szCs w:val="18"/>
          <w:color w:val="auto"/>
        </w:rPr>
        <w:t>The registrant had 28.5 million shares of Class A Common Stock and 3.2 million shares of Class B Common Stock outstanding as of January 31, 2014.</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80" w:type="dxa"/>
            <w:vAlign w:val="bottom"/>
            <w:gridSpan w:val="2"/>
          </w:tcPr>
          <w:p>
            <w:pPr>
              <w:spacing w:after="0"/>
              <w:rPr>
                <w:sz w:val="20"/>
                <w:szCs w:val="20"/>
                <w:color w:val="auto"/>
              </w:rPr>
            </w:pPr>
            <w:r>
              <w:rPr>
                <w:rFonts w:ascii="Arial" w:cs="Arial" w:eastAsia="Arial" w:hAnsi="Arial"/>
                <w:sz w:val="18"/>
                <w:szCs w:val="18"/>
                <w:color w:val="auto"/>
              </w:rPr>
              <w:t>DOCUMENTS INCORPORATED BY REFERENCE</w:t>
            </w:r>
          </w:p>
        </w:tc>
        <w:tc>
          <w:tcPr>
            <w:tcW w:w="2540" w:type="dxa"/>
            <w:vAlign w:val="bottom"/>
            <w:gridSpan w:val="2"/>
          </w:tcPr>
          <w:p>
            <w:pPr>
              <w:jc w:val="center"/>
              <w:ind w:left="1990"/>
              <w:spacing w:after="0"/>
              <w:rPr>
                <w:sz w:val="20"/>
                <w:szCs w:val="20"/>
                <w:color w:val="auto"/>
              </w:rPr>
            </w:pPr>
            <w:r>
              <w:rPr>
                <w:rFonts w:ascii="Arial" w:cs="Arial" w:eastAsia="Arial" w:hAnsi="Arial"/>
                <w:sz w:val="18"/>
                <w:szCs w:val="18"/>
                <w:color w:val="auto"/>
                <w:w w:val="95"/>
              </w:rPr>
              <w:t>PART</w:t>
            </w:r>
          </w:p>
        </w:tc>
      </w:tr>
      <w:tr>
        <w:trPr>
          <w:trHeight w:val="20"/>
        </w:trPr>
        <w:tc>
          <w:tcPr>
            <w:tcW w:w="4100" w:type="dxa"/>
            <w:vAlign w:val="bottom"/>
            <w:shd w:val="clear" w:color="auto" w:fill="000000"/>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r>
      <w:tr>
        <w:trPr>
          <w:trHeight w:val="384"/>
        </w:trPr>
        <w:tc>
          <w:tcPr>
            <w:tcW w:w="8780" w:type="dxa"/>
            <w:vAlign w:val="bottom"/>
            <w:gridSpan w:val="2"/>
          </w:tcPr>
          <w:p>
            <w:pPr>
              <w:spacing w:after="0"/>
              <w:rPr>
                <w:sz w:val="20"/>
                <w:szCs w:val="20"/>
                <w:color w:val="auto"/>
              </w:rPr>
            </w:pPr>
            <w:r>
              <w:rPr>
                <w:rFonts w:ascii="Arial" w:cs="Arial" w:eastAsia="Arial" w:hAnsi="Arial"/>
                <w:sz w:val="18"/>
                <w:szCs w:val="18"/>
                <w:color w:val="auto"/>
              </w:rPr>
              <w:t>Portions of the Registrant’s Proxy Statement for the Annual Meeting of Shareholders</w:t>
            </w:r>
          </w:p>
        </w:tc>
        <w:tc>
          <w:tcPr>
            <w:tcW w:w="20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17"/>
        </w:trPr>
        <w:tc>
          <w:tcPr>
            <w:tcW w:w="8780" w:type="dxa"/>
            <w:vAlign w:val="bottom"/>
            <w:gridSpan w:val="2"/>
          </w:tcPr>
          <w:p>
            <w:pPr>
              <w:spacing w:after="0"/>
              <w:rPr>
                <w:sz w:val="20"/>
                <w:szCs w:val="20"/>
                <w:color w:val="auto"/>
              </w:rPr>
            </w:pPr>
            <w:r>
              <w:rPr>
                <w:rFonts w:ascii="Arial" w:cs="Arial" w:eastAsia="Arial" w:hAnsi="Arial"/>
                <w:sz w:val="18"/>
                <w:szCs w:val="18"/>
                <w:color w:val="auto"/>
              </w:rPr>
              <w:t>to be held on May 16, 2014</w:t>
            </w:r>
          </w:p>
        </w:tc>
        <w:tc>
          <w:tcPr>
            <w:tcW w:w="208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rPr>
              <w:t>III</w:t>
            </w:r>
          </w:p>
        </w:tc>
      </w:tr>
    </w:tbl>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9"/>
        </w:trPr>
        <w:tc>
          <w:tcPr>
            <w:tcW w:w="1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180" w:type="dxa"/>
            <w:vAlign w:val="bottom"/>
          </w:tcPr>
          <w:p>
            <w:pPr>
              <w:jc w:val="right"/>
              <w:ind w:right="4650"/>
              <w:spacing w:after="0"/>
              <w:rPr>
                <w:sz w:val="20"/>
                <w:szCs w:val="20"/>
                <w:color w:val="auto"/>
              </w:rPr>
            </w:pPr>
            <w:r>
              <w:rPr>
                <w:rFonts w:ascii="Arial" w:cs="Arial" w:eastAsia="Arial" w:hAnsi="Arial"/>
                <w:sz w:val="18"/>
                <w:szCs w:val="18"/>
                <w:b w:val="1"/>
                <w:bCs w:val="1"/>
                <w:color w:val="auto"/>
              </w:rPr>
              <w:t>TABLE OF CONTENTS</w:t>
            </w:r>
          </w:p>
        </w:tc>
      </w:tr>
      <w:tr>
        <w:trPr>
          <w:trHeight w:val="419"/>
        </w:trPr>
        <w:tc>
          <w:tcPr>
            <w:tcW w:w="1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180" w:type="dxa"/>
            <w:vAlign w:val="bottom"/>
          </w:tcPr>
          <w:p>
            <w:pPr>
              <w:jc w:val="right"/>
              <w:ind w:right="5330"/>
              <w:spacing w:after="0"/>
              <w:rPr>
                <w:sz w:val="20"/>
                <w:szCs w:val="20"/>
                <w:color w:val="auto"/>
              </w:rPr>
            </w:pPr>
            <w:r>
              <w:rPr>
                <w:rFonts w:ascii="Arial" w:cs="Arial" w:eastAsia="Arial" w:hAnsi="Arial"/>
                <w:sz w:val="18"/>
                <w:szCs w:val="18"/>
                <w:b w:val="1"/>
                <w:bCs w:val="1"/>
                <w:color w:val="auto"/>
              </w:rPr>
              <w:t>PART I</w:t>
            </w:r>
          </w:p>
        </w:tc>
      </w:tr>
      <w:tr>
        <w:trPr>
          <w:trHeight w:val="405"/>
        </w:trPr>
        <w:tc>
          <w:tcPr>
            <w:tcW w:w="1500" w:type="dxa"/>
            <w:vAlign w:val="bottom"/>
          </w:tcPr>
          <w:p>
            <w:pPr>
              <w:spacing w:after="0"/>
              <w:rPr>
                <w:sz w:val="20"/>
                <w:szCs w:val="20"/>
                <w:color w:val="auto"/>
              </w:rPr>
            </w:pPr>
            <w:r>
              <w:rPr>
                <w:rFonts w:ascii="Arial" w:cs="Arial" w:eastAsia="Arial" w:hAnsi="Arial"/>
                <w:sz w:val="18"/>
                <w:szCs w:val="18"/>
                <w:color w:val="auto"/>
              </w:rPr>
              <w:t>Item 1.</w:t>
            </w:r>
          </w:p>
        </w:tc>
        <w:tc>
          <w:tcPr>
            <w:tcW w:w="2740" w:type="dxa"/>
            <w:vAlign w:val="bottom"/>
            <w:gridSpan w:val="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71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150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r>
      <w:tr>
        <w:trPr>
          <w:trHeight w:val="399"/>
        </w:trPr>
        <w:tc>
          <w:tcPr>
            <w:tcW w:w="1500" w:type="dxa"/>
            <w:vAlign w:val="bottom"/>
          </w:tcPr>
          <w:p>
            <w:pPr>
              <w:spacing w:after="0"/>
              <w:rPr>
                <w:sz w:val="20"/>
                <w:szCs w:val="20"/>
                <w:color w:val="auto"/>
              </w:rPr>
            </w:pPr>
            <w:r>
              <w:rPr>
                <w:rFonts w:ascii="Arial" w:cs="Arial" w:eastAsia="Arial" w:hAnsi="Arial"/>
                <w:sz w:val="18"/>
                <w:szCs w:val="18"/>
                <w:color w:val="auto"/>
              </w:rPr>
              <w:t>Item 1A.</w:t>
            </w:r>
          </w:p>
        </w:tc>
        <w:tc>
          <w:tcPr>
            <w:tcW w:w="1000" w:type="dxa"/>
            <w:vAlign w:val="bottom"/>
            <w:tcBorders>
              <w:bottom w:val="single" w:sz="8" w:color="0000EE"/>
            </w:tcBorders>
            <w:gridSpan w:val="3"/>
          </w:tcPr>
          <w:p>
            <w:pPr>
              <w:spacing w:after="0"/>
              <w:rPr>
                <w:rFonts w:ascii="Arial" w:cs="Arial" w:eastAsia="Arial" w:hAnsi="Arial"/>
                <w:sz w:val="18"/>
                <w:szCs w:val="18"/>
                <w:color w:val="0000EE"/>
                <w:w w:val="97"/>
              </w:rPr>
            </w:pPr>
            <w:hyperlink w:anchor="page10">
              <w:r>
                <w:rPr>
                  <w:rFonts w:ascii="Arial" w:cs="Arial" w:eastAsia="Arial" w:hAnsi="Arial"/>
                  <w:sz w:val="18"/>
                  <w:szCs w:val="18"/>
                  <w:color w:val="0000EE"/>
                  <w:w w:val="97"/>
                </w:rPr>
                <w:t>Risk Factors</w:t>
              </w:r>
            </w:hyperlink>
          </w:p>
        </w:tc>
        <w:tc>
          <w:tcPr>
            <w:tcW w:w="1740" w:type="dxa"/>
            <w:vAlign w:val="bottom"/>
            <w:gridSpan w:val="4"/>
          </w:tcPr>
          <w:p>
            <w:pPr>
              <w:spacing w:after="0"/>
              <w:rPr>
                <w:sz w:val="24"/>
                <w:szCs w:val="24"/>
                <w:color w:val="auto"/>
              </w:rPr>
            </w:pPr>
          </w:p>
        </w:tc>
        <w:tc>
          <w:tcPr>
            <w:tcW w:w="71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99"/>
        </w:trPr>
        <w:tc>
          <w:tcPr>
            <w:tcW w:w="1500" w:type="dxa"/>
            <w:vAlign w:val="bottom"/>
          </w:tcPr>
          <w:p>
            <w:pPr>
              <w:spacing w:after="0"/>
              <w:rPr>
                <w:sz w:val="20"/>
                <w:szCs w:val="20"/>
                <w:color w:val="auto"/>
              </w:rPr>
            </w:pPr>
            <w:r>
              <w:rPr>
                <w:rFonts w:ascii="Arial" w:cs="Arial" w:eastAsia="Arial" w:hAnsi="Arial"/>
                <w:sz w:val="18"/>
                <w:szCs w:val="18"/>
                <w:color w:val="auto"/>
              </w:rPr>
              <w:t>Item 1B.</w:t>
            </w:r>
          </w:p>
        </w:tc>
        <w:tc>
          <w:tcPr>
            <w:tcW w:w="2740" w:type="dxa"/>
            <w:vAlign w:val="bottom"/>
            <w:gridSpan w:val="7"/>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Unresolved Staff Comments</w:t>
              </w:r>
            </w:hyperlink>
          </w:p>
        </w:tc>
        <w:tc>
          <w:tcPr>
            <w:tcW w:w="71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99"/>
        </w:trPr>
        <w:tc>
          <w:tcPr>
            <w:tcW w:w="1500" w:type="dxa"/>
            <w:vAlign w:val="bottom"/>
          </w:tcPr>
          <w:p>
            <w:pPr>
              <w:spacing w:after="0"/>
              <w:rPr>
                <w:sz w:val="20"/>
                <w:szCs w:val="20"/>
                <w:color w:val="auto"/>
              </w:rPr>
            </w:pPr>
            <w:r>
              <w:rPr>
                <w:rFonts w:ascii="Arial" w:cs="Arial" w:eastAsia="Arial" w:hAnsi="Arial"/>
                <w:sz w:val="18"/>
                <w:szCs w:val="18"/>
                <w:color w:val="auto"/>
              </w:rPr>
              <w:t>Item 2.</w:t>
            </w:r>
          </w:p>
        </w:tc>
        <w:tc>
          <w:tcPr>
            <w:tcW w:w="8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7"/>
              </w:rPr>
            </w:pPr>
            <w:hyperlink w:anchor="page18">
              <w:r>
                <w:rPr>
                  <w:rFonts w:ascii="Arial" w:cs="Arial" w:eastAsia="Arial" w:hAnsi="Arial"/>
                  <w:sz w:val="18"/>
                  <w:szCs w:val="18"/>
                  <w:color w:val="0000EE"/>
                  <w:w w:val="97"/>
                </w:rPr>
                <w:t>Properties</w:t>
              </w:r>
            </w:hyperlink>
          </w:p>
        </w:tc>
        <w:tc>
          <w:tcPr>
            <w:tcW w:w="1420" w:type="dxa"/>
            <w:vAlign w:val="bottom"/>
            <w:tcBorders>
              <w:top w:val="single" w:sz="8" w:color="0000EE"/>
            </w:tcBorders>
            <w:gridSpan w:val="4"/>
          </w:tcPr>
          <w:p>
            <w:pPr>
              <w:spacing w:after="0"/>
              <w:rPr>
                <w:sz w:val="24"/>
                <w:szCs w:val="24"/>
                <w:color w:val="auto"/>
              </w:rPr>
            </w:pPr>
          </w:p>
        </w:tc>
        <w:tc>
          <w:tcPr>
            <w:tcW w:w="500" w:type="dxa"/>
            <w:vAlign w:val="bottom"/>
          </w:tcPr>
          <w:p>
            <w:pPr>
              <w:spacing w:after="0"/>
              <w:rPr>
                <w:sz w:val="24"/>
                <w:szCs w:val="24"/>
                <w:color w:val="auto"/>
              </w:rPr>
            </w:pPr>
          </w:p>
        </w:tc>
        <w:tc>
          <w:tcPr>
            <w:tcW w:w="71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99"/>
        </w:trPr>
        <w:tc>
          <w:tcPr>
            <w:tcW w:w="1500" w:type="dxa"/>
            <w:vAlign w:val="bottom"/>
          </w:tcPr>
          <w:p>
            <w:pPr>
              <w:spacing w:after="0"/>
              <w:rPr>
                <w:sz w:val="20"/>
                <w:szCs w:val="20"/>
                <w:color w:val="auto"/>
              </w:rPr>
            </w:pPr>
            <w:r>
              <w:rPr>
                <w:rFonts w:ascii="Arial" w:cs="Arial" w:eastAsia="Arial" w:hAnsi="Arial"/>
                <w:sz w:val="18"/>
                <w:szCs w:val="18"/>
                <w:color w:val="auto"/>
              </w:rPr>
              <w:t>Item 3.</w:t>
            </w:r>
          </w:p>
        </w:tc>
        <w:tc>
          <w:tcPr>
            <w:tcW w:w="2740" w:type="dxa"/>
            <w:vAlign w:val="bottom"/>
            <w:gridSpan w:val="7"/>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Legal Proceedings</w:t>
              </w:r>
            </w:hyperlink>
          </w:p>
        </w:tc>
        <w:tc>
          <w:tcPr>
            <w:tcW w:w="71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1500" w:type="dxa"/>
            <w:vAlign w:val="bottom"/>
          </w:tcPr>
          <w:p>
            <w:pPr>
              <w:spacing w:after="0" w:line="20" w:lineRule="exact"/>
              <w:rPr>
                <w:sz w:val="1"/>
                <w:szCs w:val="1"/>
                <w:color w:val="auto"/>
              </w:rPr>
            </w:pPr>
          </w:p>
        </w:tc>
        <w:tc>
          <w:tcPr>
            <w:tcW w:w="1480" w:type="dxa"/>
            <w:vAlign w:val="bottom"/>
            <w:gridSpan w:val="4"/>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r>
      <w:tr>
        <w:trPr>
          <w:trHeight w:val="399"/>
        </w:trPr>
        <w:tc>
          <w:tcPr>
            <w:tcW w:w="1500" w:type="dxa"/>
            <w:vAlign w:val="bottom"/>
          </w:tcPr>
          <w:p>
            <w:pPr>
              <w:spacing w:after="0"/>
              <w:rPr>
                <w:sz w:val="20"/>
                <w:szCs w:val="20"/>
                <w:color w:val="auto"/>
              </w:rPr>
            </w:pPr>
            <w:r>
              <w:rPr>
                <w:rFonts w:ascii="Arial" w:cs="Arial" w:eastAsia="Arial" w:hAnsi="Arial"/>
                <w:sz w:val="18"/>
                <w:szCs w:val="18"/>
                <w:color w:val="auto"/>
              </w:rPr>
              <w:t>Item 4.</w:t>
            </w:r>
          </w:p>
        </w:tc>
        <w:tc>
          <w:tcPr>
            <w:tcW w:w="2740" w:type="dxa"/>
            <w:vAlign w:val="bottom"/>
            <w:gridSpan w:val="7"/>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Mine Safety Disclosures</w:t>
              </w:r>
            </w:hyperlink>
          </w:p>
        </w:tc>
        <w:tc>
          <w:tcPr>
            <w:tcW w:w="71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150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5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340" w:type="dxa"/>
            <w:vAlign w:val="bottom"/>
            <w:gridSpan w:val="5"/>
          </w:tcPr>
          <w:p>
            <w:pPr>
              <w:ind w:left="180"/>
              <w:spacing w:after="0"/>
              <w:rPr>
                <w:sz w:val="20"/>
                <w:szCs w:val="20"/>
                <w:color w:val="auto"/>
              </w:rPr>
            </w:pPr>
            <w:r>
              <w:rPr>
                <w:rFonts w:ascii="Arial" w:cs="Arial" w:eastAsia="Arial" w:hAnsi="Arial"/>
                <w:sz w:val="18"/>
                <w:szCs w:val="18"/>
                <w:b w:val="1"/>
                <w:bCs w:val="1"/>
                <w:color w:val="auto"/>
              </w:rPr>
              <w:t>PART II</w:t>
            </w:r>
          </w:p>
        </w:tc>
        <w:tc>
          <w:tcPr>
            <w:tcW w:w="860" w:type="dxa"/>
            <w:vAlign w:val="bottom"/>
          </w:tcPr>
          <w:p>
            <w:pPr>
              <w:spacing w:after="0"/>
              <w:rPr>
                <w:sz w:val="20"/>
                <w:szCs w:val="20"/>
                <w:color w:val="auto"/>
              </w:rPr>
            </w:pPr>
          </w:p>
        </w:tc>
      </w:tr>
      <w:tr>
        <w:trPr>
          <w:trHeight w:val="405"/>
        </w:trPr>
        <w:tc>
          <w:tcPr>
            <w:tcW w:w="1500" w:type="dxa"/>
            <w:vAlign w:val="bottom"/>
          </w:tcPr>
          <w:p>
            <w:pPr>
              <w:spacing w:after="0"/>
              <w:rPr>
                <w:sz w:val="20"/>
                <w:szCs w:val="20"/>
                <w:color w:val="auto"/>
              </w:rPr>
            </w:pPr>
            <w:r>
              <w:rPr>
                <w:rFonts w:ascii="Arial" w:cs="Arial" w:eastAsia="Arial" w:hAnsi="Arial"/>
                <w:sz w:val="18"/>
                <w:szCs w:val="18"/>
                <w:color w:val="auto"/>
              </w:rPr>
              <w:t>Item 5.</w:t>
            </w:r>
          </w:p>
        </w:tc>
        <w:tc>
          <w:tcPr>
            <w:tcW w:w="9060" w:type="dxa"/>
            <w:vAlign w:val="bottom"/>
            <w:gridSpan w:val="10"/>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Market for the Registrant’s Common Equity, Related Stockholder Matters, and Issuer Purchases of Equity</w:t>
              </w:r>
            </w:hyperlink>
          </w:p>
        </w:tc>
        <w:tc>
          <w:tcPr>
            <w:tcW w:w="860" w:type="dxa"/>
            <w:vAlign w:val="bottom"/>
          </w:tcPr>
          <w:p>
            <w:pPr>
              <w:spacing w:after="0"/>
              <w:rPr>
                <w:sz w:val="24"/>
                <w:szCs w:val="24"/>
                <w:color w:val="auto"/>
              </w:rPr>
            </w:pPr>
          </w:p>
        </w:tc>
      </w:tr>
      <w:tr>
        <w:trPr>
          <w:trHeight w:val="183"/>
        </w:trPr>
        <w:tc>
          <w:tcPr>
            <w:tcW w:w="1500" w:type="dxa"/>
            <w:vAlign w:val="bottom"/>
          </w:tcPr>
          <w:p>
            <w:pPr>
              <w:spacing w:after="0"/>
              <w:rPr>
                <w:sz w:val="15"/>
                <w:szCs w:val="15"/>
                <w:color w:val="auto"/>
              </w:rPr>
            </w:pPr>
          </w:p>
        </w:tc>
        <w:tc>
          <w:tcPr>
            <w:tcW w:w="838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w:anchor="page19">
              <w:r>
                <w:rPr>
                  <w:rFonts w:ascii="Arial" w:cs="Arial" w:eastAsia="Arial" w:hAnsi="Arial"/>
                  <w:sz w:val="18"/>
                  <w:szCs w:val="18"/>
                  <w:color w:val="0000EE"/>
                </w:rPr>
                <w:t>Securities</w:t>
              </w:r>
            </w:hyperlink>
          </w:p>
        </w:tc>
        <w:tc>
          <w:tcPr>
            <w:tcW w:w="680" w:type="dxa"/>
            <w:vAlign w:val="bottom"/>
          </w:tcPr>
          <w:p>
            <w:pPr>
              <w:spacing w:after="0"/>
              <w:rPr>
                <w:sz w:val="15"/>
                <w:szCs w:val="15"/>
                <w:color w:val="auto"/>
              </w:rPr>
            </w:pP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19</w:t>
            </w:r>
          </w:p>
        </w:tc>
      </w:tr>
      <w:tr>
        <w:trPr>
          <w:trHeight w:val="20"/>
        </w:trPr>
        <w:tc>
          <w:tcPr>
            <w:tcW w:w="15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99"/>
        </w:trPr>
        <w:tc>
          <w:tcPr>
            <w:tcW w:w="1500" w:type="dxa"/>
            <w:vAlign w:val="bottom"/>
          </w:tcPr>
          <w:p>
            <w:pPr>
              <w:spacing w:after="0"/>
              <w:rPr>
                <w:sz w:val="20"/>
                <w:szCs w:val="20"/>
                <w:color w:val="auto"/>
              </w:rPr>
            </w:pPr>
            <w:r>
              <w:rPr>
                <w:rFonts w:ascii="Arial" w:cs="Arial" w:eastAsia="Arial" w:hAnsi="Arial"/>
                <w:sz w:val="18"/>
                <w:szCs w:val="18"/>
                <w:color w:val="auto"/>
              </w:rPr>
              <w:t>Item 6.</w:t>
            </w:r>
          </w:p>
        </w:tc>
        <w:tc>
          <w:tcPr>
            <w:tcW w:w="1900" w:type="dxa"/>
            <w:vAlign w:val="bottom"/>
            <w:tcBorders>
              <w:bottom w:val="single" w:sz="8" w:color="0000EE"/>
            </w:tcBorders>
            <w:gridSpan w:val="3"/>
          </w:tcPr>
          <w:p>
            <w:pPr>
              <w:spacing w:after="0"/>
              <w:rPr>
                <w:rFonts w:ascii="Arial" w:cs="Arial" w:eastAsia="Arial" w:hAnsi="Arial"/>
                <w:sz w:val="18"/>
                <w:szCs w:val="18"/>
                <w:color w:val="0000EE"/>
                <w:w w:val="98"/>
              </w:rPr>
            </w:pPr>
            <w:hyperlink w:anchor="page19">
              <w:r>
                <w:rPr>
                  <w:rFonts w:ascii="Arial" w:cs="Arial" w:eastAsia="Arial" w:hAnsi="Arial"/>
                  <w:sz w:val="18"/>
                  <w:szCs w:val="18"/>
                  <w:color w:val="0000EE"/>
                  <w:w w:val="98"/>
                </w:rPr>
                <w:t>Selected Financial Data</w:t>
              </w:r>
            </w:hyperlink>
          </w:p>
        </w:tc>
        <w:tc>
          <w:tcPr>
            <w:tcW w:w="7160" w:type="dxa"/>
            <w:vAlign w:val="bottom"/>
            <w:gridSpan w:val="7"/>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99"/>
        </w:trPr>
        <w:tc>
          <w:tcPr>
            <w:tcW w:w="1500" w:type="dxa"/>
            <w:vAlign w:val="bottom"/>
          </w:tcPr>
          <w:p>
            <w:pPr>
              <w:spacing w:after="0"/>
              <w:rPr>
                <w:sz w:val="20"/>
                <w:szCs w:val="20"/>
                <w:color w:val="auto"/>
              </w:rPr>
            </w:pPr>
            <w:r>
              <w:rPr>
                <w:rFonts w:ascii="Arial" w:cs="Arial" w:eastAsia="Arial" w:hAnsi="Arial"/>
                <w:sz w:val="18"/>
                <w:szCs w:val="18"/>
                <w:color w:val="auto"/>
              </w:rPr>
              <w:t>Item 7.</w:t>
            </w:r>
          </w:p>
        </w:tc>
        <w:tc>
          <w:tcPr>
            <w:tcW w:w="7080" w:type="dxa"/>
            <w:vAlign w:val="bottom"/>
            <w:tcBorders>
              <w:bottom w:val="single" w:sz="8" w:color="0000EE"/>
            </w:tcBorders>
            <w:gridSpan w:val="7"/>
          </w:tcPr>
          <w:p>
            <w:pPr>
              <w:spacing w:after="0"/>
              <w:rPr>
                <w:rFonts w:ascii="Arial" w:cs="Arial" w:eastAsia="Arial" w:hAnsi="Arial"/>
                <w:sz w:val="18"/>
                <w:szCs w:val="18"/>
                <w:color w:val="0000EE"/>
                <w:w w:val="99"/>
              </w:rPr>
            </w:pPr>
            <w:hyperlink w:anchor="page22">
              <w:r>
                <w:rPr>
                  <w:rFonts w:ascii="Arial" w:cs="Arial" w:eastAsia="Arial" w:hAnsi="Arial"/>
                  <w:sz w:val="18"/>
                  <w:szCs w:val="18"/>
                  <w:color w:val="0000EE"/>
                  <w:w w:val="99"/>
                </w:rPr>
                <w:t>Management’s Discussion and Analysis of Financial Condition and Results of Operations</w:t>
              </w:r>
            </w:hyperlink>
          </w:p>
        </w:tc>
        <w:tc>
          <w:tcPr>
            <w:tcW w:w="1980" w:type="dxa"/>
            <w:vAlign w:val="bottom"/>
            <w:gridSpan w:val="3"/>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99"/>
        </w:trPr>
        <w:tc>
          <w:tcPr>
            <w:tcW w:w="1500" w:type="dxa"/>
            <w:vAlign w:val="bottom"/>
          </w:tcPr>
          <w:p>
            <w:pPr>
              <w:spacing w:after="0"/>
              <w:rPr>
                <w:sz w:val="20"/>
                <w:szCs w:val="20"/>
                <w:color w:val="auto"/>
              </w:rPr>
            </w:pPr>
            <w:r>
              <w:rPr>
                <w:rFonts w:ascii="Arial" w:cs="Arial" w:eastAsia="Arial" w:hAnsi="Arial"/>
                <w:sz w:val="18"/>
                <w:szCs w:val="18"/>
                <w:color w:val="auto"/>
              </w:rPr>
              <w:t>Item 7A.</w:t>
            </w:r>
          </w:p>
        </w:tc>
        <w:tc>
          <w:tcPr>
            <w:tcW w:w="9060" w:type="dxa"/>
            <w:vAlign w:val="bottom"/>
            <w:gridSpan w:val="10"/>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Quantitative and Qualitative Disclosures about Market Risk</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99"/>
        </w:trPr>
        <w:tc>
          <w:tcPr>
            <w:tcW w:w="1500" w:type="dxa"/>
            <w:vAlign w:val="bottom"/>
          </w:tcPr>
          <w:p>
            <w:pPr>
              <w:spacing w:after="0"/>
              <w:rPr>
                <w:sz w:val="20"/>
                <w:szCs w:val="20"/>
                <w:color w:val="auto"/>
              </w:rPr>
            </w:pPr>
            <w:r>
              <w:rPr>
                <w:rFonts w:ascii="Arial" w:cs="Arial" w:eastAsia="Arial" w:hAnsi="Arial"/>
                <w:sz w:val="18"/>
                <w:szCs w:val="18"/>
                <w:color w:val="auto"/>
              </w:rPr>
              <w:t>Item 8.</w:t>
            </w:r>
          </w:p>
        </w:tc>
        <w:tc>
          <w:tcPr>
            <w:tcW w:w="372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9"/>
              </w:rPr>
            </w:pPr>
            <w:hyperlink w:anchor="page43">
              <w:r>
                <w:rPr>
                  <w:rFonts w:ascii="Arial" w:cs="Arial" w:eastAsia="Arial" w:hAnsi="Arial"/>
                  <w:sz w:val="18"/>
                  <w:szCs w:val="18"/>
                  <w:color w:val="0000EE"/>
                  <w:w w:val="99"/>
                </w:rPr>
                <w:t>Financial Statements and Supplementary Data</w:t>
              </w:r>
            </w:hyperlink>
          </w:p>
        </w:tc>
        <w:tc>
          <w:tcPr>
            <w:tcW w:w="960" w:type="dxa"/>
            <w:vAlign w:val="bottom"/>
            <w:tcBorders>
              <w:top w:val="single" w:sz="8" w:color="0000EE"/>
            </w:tcBorders>
          </w:tcPr>
          <w:p>
            <w:pPr>
              <w:spacing w:after="0"/>
              <w:rPr>
                <w:sz w:val="24"/>
                <w:szCs w:val="24"/>
                <w:color w:val="auto"/>
              </w:rPr>
            </w:pPr>
          </w:p>
        </w:tc>
        <w:tc>
          <w:tcPr>
            <w:tcW w:w="4380" w:type="dxa"/>
            <w:vAlign w:val="bottom"/>
            <w:gridSpan w:val="4"/>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99"/>
        </w:trPr>
        <w:tc>
          <w:tcPr>
            <w:tcW w:w="1500" w:type="dxa"/>
            <w:vAlign w:val="bottom"/>
          </w:tcPr>
          <w:p>
            <w:pPr>
              <w:spacing w:after="0"/>
              <w:rPr>
                <w:sz w:val="20"/>
                <w:szCs w:val="20"/>
                <w:color w:val="auto"/>
              </w:rPr>
            </w:pPr>
            <w:r>
              <w:rPr>
                <w:rFonts w:ascii="Arial" w:cs="Arial" w:eastAsia="Arial" w:hAnsi="Arial"/>
                <w:sz w:val="18"/>
                <w:szCs w:val="18"/>
                <w:color w:val="auto"/>
              </w:rPr>
              <w:t>Item 9.</w:t>
            </w:r>
          </w:p>
        </w:tc>
        <w:tc>
          <w:tcPr>
            <w:tcW w:w="9060" w:type="dxa"/>
            <w:vAlign w:val="bottom"/>
            <w:gridSpan w:val="10"/>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Changes in and Disagreements with Accountants on Accounting and Financial Disclosure</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399"/>
        </w:trPr>
        <w:tc>
          <w:tcPr>
            <w:tcW w:w="1500" w:type="dxa"/>
            <w:vAlign w:val="bottom"/>
          </w:tcPr>
          <w:p>
            <w:pPr>
              <w:spacing w:after="0"/>
              <w:rPr>
                <w:sz w:val="20"/>
                <w:szCs w:val="20"/>
                <w:color w:val="auto"/>
              </w:rPr>
            </w:pPr>
            <w:r>
              <w:rPr>
                <w:rFonts w:ascii="Arial" w:cs="Arial" w:eastAsia="Arial" w:hAnsi="Arial"/>
                <w:sz w:val="18"/>
                <w:szCs w:val="18"/>
                <w:color w:val="auto"/>
              </w:rPr>
              <w:t>Item 9A.</w:t>
            </w:r>
          </w:p>
        </w:tc>
        <w:tc>
          <w:tcPr>
            <w:tcW w:w="7120" w:type="dxa"/>
            <w:vAlign w:val="bottom"/>
            <w:tcBorders>
              <w:top w:val="single" w:sz="8" w:color="0000EE"/>
            </w:tcBorders>
            <w:gridSpan w:val="8"/>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Controls and Procedures</w:t>
              </w:r>
            </w:hyperlink>
          </w:p>
        </w:tc>
        <w:tc>
          <w:tcPr>
            <w:tcW w:w="1940" w:type="dxa"/>
            <w:vAlign w:val="bottom"/>
            <w:gridSpan w:val="2"/>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399"/>
        </w:trPr>
        <w:tc>
          <w:tcPr>
            <w:tcW w:w="1500" w:type="dxa"/>
            <w:vAlign w:val="bottom"/>
          </w:tcPr>
          <w:p>
            <w:pPr>
              <w:spacing w:after="0"/>
              <w:rPr>
                <w:sz w:val="20"/>
                <w:szCs w:val="20"/>
                <w:color w:val="auto"/>
              </w:rPr>
            </w:pPr>
            <w:r>
              <w:rPr>
                <w:rFonts w:ascii="Arial" w:cs="Arial" w:eastAsia="Arial" w:hAnsi="Arial"/>
                <w:sz w:val="18"/>
                <w:szCs w:val="18"/>
                <w:color w:val="auto"/>
              </w:rPr>
              <w:t>Item 9B.</w:t>
            </w:r>
          </w:p>
        </w:tc>
        <w:tc>
          <w:tcPr>
            <w:tcW w:w="14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8"/>
              </w:rPr>
            </w:pPr>
            <w:hyperlink w:anchor="page93">
              <w:r>
                <w:rPr>
                  <w:rFonts w:ascii="Arial" w:cs="Arial" w:eastAsia="Arial" w:hAnsi="Arial"/>
                  <w:sz w:val="18"/>
                  <w:szCs w:val="18"/>
                  <w:color w:val="0000EE"/>
                  <w:w w:val="98"/>
                </w:rPr>
                <w:t>Other Information</w:t>
              </w:r>
            </w:hyperlink>
          </w:p>
        </w:tc>
        <w:tc>
          <w:tcPr>
            <w:tcW w:w="580" w:type="dxa"/>
            <w:vAlign w:val="bottom"/>
            <w:tcBorders>
              <w:top w:val="single" w:sz="8" w:color="0000EE"/>
            </w:tcBorders>
            <w:gridSpan w:val="2"/>
          </w:tcPr>
          <w:p>
            <w:pPr>
              <w:spacing w:after="0"/>
              <w:rPr>
                <w:sz w:val="24"/>
                <w:szCs w:val="24"/>
                <w:color w:val="auto"/>
              </w:rPr>
            </w:pPr>
          </w:p>
        </w:tc>
        <w:tc>
          <w:tcPr>
            <w:tcW w:w="7080" w:type="dxa"/>
            <w:vAlign w:val="bottom"/>
            <w:gridSpan w:val="6"/>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93</w:t>
            </w:r>
          </w:p>
        </w:tc>
      </w:tr>
    </w:tbl>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5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680" w:type="dxa"/>
            <w:vAlign w:val="bottom"/>
            <w:gridSpan w:val="4"/>
          </w:tcPr>
          <w:p>
            <w:pPr>
              <w:ind w:left="640"/>
              <w:spacing w:after="0"/>
              <w:rPr>
                <w:sz w:val="20"/>
                <w:szCs w:val="20"/>
                <w:color w:val="auto"/>
              </w:rPr>
            </w:pPr>
            <w:r>
              <w:rPr>
                <w:rFonts w:ascii="Arial" w:cs="Arial" w:eastAsia="Arial" w:hAnsi="Arial"/>
                <w:sz w:val="18"/>
                <w:szCs w:val="18"/>
                <w:b w:val="1"/>
                <w:bCs w:val="1"/>
                <w:color w:val="auto"/>
              </w:rPr>
              <w:t>PART III</w:t>
            </w:r>
          </w:p>
        </w:tc>
        <w:tc>
          <w:tcPr>
            <w:tcW w:w="1060" w:type="dxa"/>
            <w:vAlign w:val="bottom"/>
          </w:tcPr>
          <w:p>
            <w:pPr>
              <w:spacing w:after="0"/>
              <w:rPr>
                <w:sz w:val="20"/>
                <w:szCs w:val="20"/>
                <w:color w:val="auto"/>
              </w:rPr>
            </w:pPr>
          </w:p>
        </w:tc>
      </w:tr>
      <w:tr>
        <w:trPr>
          <w:trHeight w:val="405"/>
        </w:trPr>
        <w:tc>
          <w:tcPr>
            <w:tcW w:w="1500" w:type="dxa"/>
            <w:vAlign w:val="bottom"/>
          </w:tcPr>
          <w:p>
            <w:pPr>
              <w:spacing w:after="0"/>
              <w:rPr>
                <w:sz w:val="20"/>
                <w:szCs w:val="20"/>
                <w:color w:val="auto"/>
              </w:rPr>
            </w:pPr>
            <w:r>
              <w:rPr>
                <w:rFonts w:ascii="Arial" w:cs="Arial" w:eastAsia="Arial" w:hAnsi="Arial"/>
                <w:sz w:val="18"/>
                <w:szCs w:val="18"/>
                <w:color w:val="auto"/>
              </w:rPr>
              <w:t>Item 10.</w:t>
            </w:r>
          </w:p>
        </w:tc>
        <w:tc>
          <w:tcPr>
            <w:tcW w:w="4500" w:type="dxa"/>
            <w:vAlign w:val="bottom"/>
            <w:tcBorders>
              <w:bottom w:val="single" w:sz="8" w:color="0000EE"/>
            </w:tcBorders>
            <w:gridSpan w:val="3"/>
          </w:tcPr>
          <w:p>
            <w:pPr>
              <w:spacing w:after="0"/>
              <w:rPr>
                <w:rFonts w:ascii="Arial" w:cs="Arial" w:eastAsia="Arial" w:hAnsi="Arial"/>
                <w:sz w:val="18"/>
                <w:szCs w:val="18"/>
                <w:color w:val="0000EE"/>
                <w:w w:val="99"/>
              </w:rPr>
            </w:pPr>
            <w:hyperlink w:anchor="page94">
              <w:r>
                <w:rPr>
                  <w:rFonts w:ascii="Arial" w:cs="Arial" w:eastAsia="Arial" w:hAnsi="Arial"/>
                  <w:sz w:val="18"/>
                  <w:szCs w:val="18"/>
                  <w:color w:val="0000EE"/>
                  <w:w w:val="99"/>
                </w:rPr>
                <w:t>Directors, Executive Officers and Corporate Governance</w:t>
              </w:r>
            </w:hyperlink>
          </w:p>
        </w:tc>
        <w:tc>
          <w:tcPr>
            <w:tcW w:w="4360" w:type="dxa"/>
            <w:vAlign w:val="bottom"/>
            <w:gridSpan w:val="3"/>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399"/>
        </w:trPr>
        <w:tc>
          <w:tcPr>
            <w:tcW w:w="1500" w:type="dxa"/>
            <w:vAlign w:val="bottom"/>
          </w:tcPr>
          <w:p>
            <w:pPr>
              <w:spacing w:after="0"/>
              <w:rPr>
                <w:sz w:val="20"/>
                <w:szCs w:val="20"/>
                <w:color w:val="auto"/>
              </w:rPr>
            </w:pPr>
            <w:r>
              <w:rPr>
                <w:rFonts w:ascii="Arial" w:cs="Arial" w:eastAsia="Arial" w:hAnsi="Arial"/>
                <w:sz w:val="18"/>
                <w:szCs w:val="18"/>
                <w:color w:val="auto"/>
              </w:rPr>
              <w:t>Item 11.</w:t>
            </w:r>
          </w:p>
        </w:tc>
        <w:tc>
          <w:tcPr>
            <w:tcW w:w="8860" w:type="dxa"/>
            <w:vAlign w:val="bottom"/>
            <w:gridSpan w:val="6"/>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Executive Compensation</w:t>
              </w:r>
            </w:hyperlink>
          </w:p>
        </w:tc>
        <w:tc>
          <w:tcPr>
            <w:tcW w:w="106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0"/>
        </w:trPr>
        <w:tc>
          <w:tcPr>
            <w:tcW w:w="150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99"/>
        </w:trPr>
        <w:tc>
          <w:tcPr>
            <w:tcW w:w="1500" w:type="dxa"/>
            <w:vAlign w:val="bottom"/>
          </w:tcPr>
          <w:p>
            <w:pPr>
              <w:spacing w:after="0"/>
              <w:rPr>
                <w:sz w:val="20"/>
                <w:szCs w:val="20"/>
                <w:color w:val="auto"/>
              </w:rPr>
            </w:pPr>
            <w:r>
              <w:rPr>
                <w:rFonts w:ascii="Arial" w:cs="Arial" w:eastAsia="Arial" w:hAnsi="Arial"/>
                <w:sz w:val="18"/>
                <w:szCs w:val="18"/>
                <w:color w:val="auto"/>
              </w:rPr>
              <w:t>Item 12.</w:t>
            </w:r>
          </w:p>
        </w:tc>
        <w:tc>
          <w:tcPr>
            <w:tcW w:w="8860" w:type="dxa"/>
            <w:vAlign w:val="bottom"/>
            <w:gridSpan w:val="6"/>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Security Ownership of Certain Beneficial Owners and Management and Related Stockholder Matters</w:t>
              </w:r>
            </w:hyperlink>
          </w:p>
        </w:tc>
        <w:tc>
          <w:tcPr>
            <w:tcW w:w="10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399"/>
        </w:trPr>
        <w:tc>
          <w:tcPr>
            <w:tcW w:w="1500" w:type="dxa"/>
            <w:vAlign w:val="bottom"/>
          </w:tcPr>
          <w:p>
            <w:pPr>
              <w:spacing w:after="0"/>
              <w:rPr>
                <w:sz w:val="20"/>
                <w:szCs w:val="20"/>
                <w:color w:val="auto"/>
              </w:rPr>
            </w:pPr>
            <w:r>
              <w:rPr>
                <w:rFonts w:ascii="Arial" w:cs="Arial" w:eastAsia="Arial" w:hAnsi="Arial"/>
                <w:sz w:val="18"/>
                <w:szCs w:val="18"/>
                <w:color w:val="auto"/>
              </w:rPr>
              <w:t>Item 13.</w:t>
            </w:r>
          </w:p>
        </w:tc>
        <w:tc>
          <w:tcPr>
            <w:tcW w:w="8000" w:type="dxa"/>
            <w:vAlign w:val="bottom"/>
            <w:tcBorders>
              <w:top w:val="single" w:sz="8" w:color="0000EE"/>
            </w:tcBorders>
            <w:gridSpan w:val="5"/>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Certain Relationships, Related Transactions and Director Independence</w:t>
              </w:r>
            </w:hyperlink>
          </w:p>
        </w:tc>
        <w:tc>
          <w:tcPr>
            <w:tcW w:w="8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399"/>
        </w:trPr>
        <w:tc>
          <w:tcPr>
            <w:tcW w:w="1500" w:type="dxa"/>
            <w:vAlign w:val="bottom"/>
          </w:tcPr>
          <w:p>
            <w:pPr>
              <w:spacing w:after="0"/>
              <w:rPr>
                <w:sz w:val="20"/>
                <w:szCs w:val="20"/>
                <w:color w:val="auto"/>
              </w:rPr>
            </w:pPr>
            <w:r>
              <w:rPr>
                <w:rFonts w:ascii="Arial" w:cs="Arial" w:eastAsia="Arial" w:hAnsi="Arial"/>
                <w:sz w:val="18"/>
                <w:szCs w:val="18"/>
                <w:color w:val="auto"/>
              </w:rPr>
              <w:t>Item 14.</w:t>
            </w:r>
          </w:p>
        </w:tc>
        <w:tc>
          <w:tcPr>
            <w:tcW w:w="318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9"/>
              </w:rPr>
            </w:pPr>
            <w:hyperlink w:anchor="page96">
              <w:r>
                <w:rPr>
                  <w:rFonts w:ascii="Arial" w:cs="Arial" w:eastAsia="Arial" w:hAnsi="Arial"/>
                  <w:sz w:val="18"/>
                  <w:szCs w:val="18"/>
                  <w:color w:val="0000EE"/>
                  <w:w w:val="99"/>
                </w:rPr>
                <w:t>Principal Accountant Fees and Services</w:t>
              </w:r>
            </w:hyperlink>
          </w:p>
        </w:tc>
        <w:tc>
          <w:tcPr>
            <w:tcW w:w="2540" w:type="dxa"/>
            <w:vAlign w:val="bottom"/>
            <w:tcBorders>
              <w:top w:val="single" w:sz="8" w:color="0000EE"/>
            </w:tcBorders>
            <w:gridSpan w:val="2"/>
          </w:tcPr>
          <w:p>
            <w:pPr>
              <w:spacing w:after="0"/>
              <w:rPr>
                <w:sz w:val="24"/>
                <w:szCs w:val="24"/>
                <w:color w:val="auto"/>
              </w:rPr>
            </w:pPr>
          </w:p>
        </w:tc>
        <w:tc>
          <w:tcPr>
            <w:tcW w:w="3140" w:type="dxa"/>
            <w:vAlign w:val="bottom"/>
            <w:gridSpan w:val="2"/>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96</w:t>
            </w:r>
          </w:p>
        </w:tc>
      </w:tr>
    </w:tbl>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6420" w:type="dxa"/>
            <w:vAlign w:val="bottom"/>
          </w:tcPr>
          <w:p>
            <w:pPr>
              <w:jc w:val="right"/>
              <w:ind w:right="5270"/>
              <w:spacing w:after="0"/>
              <w:rPr>
                <w:sz w:val="20"/>
                <w:szCs w:val="20"/>
                <w:color w:val="auto"/>
              </w:rPr>
            </w:pPr>
            <w:r>
              <w:rPr>
                <w:rFonts w:ascii="Arial" w:cs="Arial" w:eastAsia="Arial" w:hAnsi="Arial"/>
                <w:sz w:val="18"/>
                <w:szCs w:val="18"/>
                <w:b w:val="1"/>
                <w:bCs w:val="1"/>
                <w:color w:val="auto"/>
              </w:rPr>
              <w:t>PART IV</w:t>
            </w:r>
          </w:p>
        </w:tc>
      </w:tr>
      <w:tr>
        <w:trPr>
          <w:trHeight w:val="405"/>
        </w:trPr>
        <w:tc>
          <w:tcPr>
            <w:tcW w:w="1080" w:type="dxa"/>
            <w:vAlign w:val="bottom"/>
          </w:tcPr>
          <w:p>
            <w:pPr>
              <w:spacing w:after="0"/>
              <w:rPr>
                <w:sz w:val="20"/>
                <w:szCs w:val="20"/>
                <w:color w:val="auto"/>
              </w:rPr>
            </w:pPr>
            <w:r>
              <w:rPr>
                <w:rFonts w:ascii="Arial" w:cs="Arial" w:eastAsia="Arial" w:hAnsi="Arial"/>
                <w:sz w:val="18"/>
                <w:szCs w:val="18"/>
                <w:color w:val="auto"/>
              </w:rPr>
              <w:t>Item 15.</w:t>
            </w:r>
          </w:p>
        </w:tc>
        <w:tc>
          <w:tcPr>
            <w:tcW w:w="3920" w:type="dxa"/>
            <w:vAlign w:val="bottom"/>
            <w:gridSpan w:val="2"/>
          </w:tcPr>
          <w:p>
            <w:pPr>
              <w:ind w:left="420"/>
              <w:spacing w:after="0"/>
              <w:rPr>
                <w:rFonts w:ascii="Arial" w:cs="Arial" w:eastAsia="Arial" w:hAnsi="Arial"/>
                <w:sz w:val="18"/>
                <w:szCs w:val="18"/>
                <w:color w:val="0000EE"/>
                <w:w w:val="99"/>
              </w:rPr>
            </w:pPr>
            <w:hyperlink w:anchor="page97">
              <w:r>
                <w:rPr>
                  <w:rFonts w:ascii="Arial" w:cs="Arial" w:eastAsia="Arial" w:hAnsi="Arial"/>
                  <w:sz w:val="18"/>
                  <w:szCs w:val="18"/>
                  <w:color w:val="0000EE"/>
                  <w:w w:val="99"/>
                </w:rPr>
                <w:t>Exhibits and Financial Statement Schedules</w:t>
              </w:r>
            </w:hyperlink>
          </w:p>
        </w:tc>
        <w:tc>
          <w:tcPr>
            <w:tcW w:w="64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601"/>
        </w:trPr>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500" w:type="dxa"/>
            <w:vAlign w:val="bottom"/>
            <w:tcBorders>
              <w:top w:val="single" w:sz="8" w:color="0000EE"/>
            </w:tcBorders>
          </w:tcPr>
          <w:p>
            <w:pPr>
              <w:spacing w:after="0"/>
              <w:rPr>
                <w:sz w:val="24"/>
                <w:szCs w:val="24"/>
                <w:color w:val="auto"/>
              </w:rPr>
            </w:pPr>
          </w:p>
        </w:tc>
        <w:tc>
          <w:tcPr>
            <w:tcW w:w="64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75"/>
        </w:trPr>
        <w:tc>
          <w:tcPr>
            <w:tcW w:w="108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3500" w:type="dxa"/>
            <w:vAlign w:val="bottom"/>
            <w:tcBorders>
              <w:bottom w:val="single" w:sz="8" w:color="auto"/>
            </w:tcBorders>
          </w:tcPr>
          <w:p>
            <w:pPr>
              <w:spacing w:after="0"/>
              <w:rPr>
                <w:sz w:val="6"/>
                <w:szCs w:val="6"/>
                <w:color w:val="auto"/>
              </w:rPr>
            </w:pPr>
          </w:p>
        </w:tc>
        <w:tc>
          <w:tcPr>
            <w:tcW w:w="6420" w:type="dxa"/>
            <w:vAlign w:val="bottom"/>
            <w:tcBorders>
              <w:bottom w:val="single" w:sz="8" w:color="auto"/>
            </w:tcBorders>
          </w:tcPr>
          <w:p>
            <w:pPr>
              <w:spacing w:after="0"/>
              <w:rPr>
                <w:sz w:val="6"/>
                <w:szCs w:val="6"/>
                <w:color w:val="auto"/>
              </w:rPr>
            </w:pPr>
          </w:p>
        </w:tc>
      </w:tr>
    </w:tbl>
    <w:p>
      <w:pPr>
        <w:sectPr>
          <w:pgSz w:w="11900" w:h="16838" w:orient="portrait"/>
          <w:cols w:equalWidth="0" w:num="1">
            <w:col w:w="11420"/>
          </w:cols>
          <w:pgMar w:left="240" w:top="819"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Forward-Looking Statements</w:t>
      </w:r>
    </w:p>
    <w:p>
      <w:pPr>
        <w:spacing w:after="0" w:line="193"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This annual report and the documents incorporated or deemed to be incorporated by reference in this annual report contain statements concerning future results and performance and other matters that are “forward-looking” statements within the meaning of Section 27A of the Securities Act and Section 21E of the Securities Exchange Act of 1934, as amended (the “Exchange Act”). The words “believe,” “expect,” “anticipate,” “intend,” “estimate,” “plan,” “project,” “may,” “will,” “should,” and variations of such words or similar expressions are intended, but are not the exclusive means, to identify forward-looking statements. Because forward-looking statements are subject to risks and uncertainties, actual results may differ materially from those expressed or implied by the forward-looking statements.</w:t>
      </w:r>
    </w:p>
    <w:p>
      <w:pPr>
        <w:spacing w:after="0" w:line="178" w:lineRule="exact"/>
        <w:rPr>
          <w:sz w:val="20"/>
          <w:szCs w:val="20"/>
          <w:color w:val="auto"/>
        </w:rPr>
      </w:pPr>
    </w:p>
    <w:p>
      <w:pPr>
        <w:ind w:right="540" w:firstLine="648"/>
        <w:spacing w:after="0" w:line="246" w:lineRule="auto"/>
        <w:rPr>
          <w:sz w:val="20"/>
          <w:szCs w:val="20"/>
          <w:color w:val="auto"/>
        </w:rPr>
      </w:pPr>
      <w:r>
        <w:rPr>
          <w:rFonts w:ascii="Arial" w:cs="Arial" w:eastAsia="Arial" w:hAnsi="Arial"/>
          <w:sz w:val="18"/>
          <w:szCs w:val="18"/>
          <w:color w:val="auto"/>
        </w:rPr>
        <w:t>There are a number of risks, uncertainties, and other important factors that could cause actual results to differ materially from the forward-looking statements, including, but not limited to:</w:t>
      </w:r>
    </w:p>
    <w:p>
      <w:pPr>
        <w:spacing w:after="0" w:line="156" w:lineRule="exact"/>
        <w:rPr>
          <w:sz w:val="20"/>
          <w:szCs w:val="20"/>
          <w:color w:val="auto"/>
        </w:rPr>
      </w:pPr>
    </w:p>
    <w:p>
      <w:pPr>
        <w:ind w:left="800" w:right="180" w:hanging="153"/>
        <w:spacing w:after="0" w:line="246" w:lineRule="auto"/>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Conditions in the industries in which our Machine Clothing segment competes, including the paper industry, along with general risks associated with economic downturns;</w:t>
      </w:r>
    </w:p>
    <w:p>
      <w:pPr>
        <w:spacing w:after="0" w:line="156" w:lineRule="exact"/>
        <w:rPr>
          <w:rFonts w:ascii="Arial" w:cs="Arial" w:eastAsia="Arial" w:hAnsi="Arial"/>
          <w:sz w:val="18"/>
          <w:szCs w:val="18"/>
          <w:color w:val="auto"/>
        </w:rPr>
      </w:pPr>
    </w:p>
    <w:p>
      <w:pPr>
        <w:ind w:left="800" w:hanging="153"/>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to remain competitive in the industries in which our Machine Clothing segment competes;</w:t>
      </w:r>
    </w:p>
    <w:p>
      <w:pPr>
        <w:spacing w:after="0" w:line="184" w:lineRule="exact"/>
        <w:rPr>
          <w:rFonts w:ascii="Arial" w:cs="Arial" w:eastAsia="Arial" w:hAnsi="Arial"/>
          <w:sz w:val="18"/>
          <w:szCs w:val="18"/>
          <w:color w:val="auto"/>
        </w:rPr>
      </w:pPr>
    </w:p>
    <w:p>
      <w:pPr>
        <w:ind w:left="800" w:hanging="153"/>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to have achieve or maintain anticipated profitable growth in our Engineered Composites segment; and</w:t>
      </w:r>
    </w:p>
    <w:p>
      <w:pPr>
        <w:spacing w:after="0" w:line="171" w:lineRule="exact"/>
        <w:rPr>
          <w:rFonts w:ascii="Arial" w:cs="Arial" w:eastAsia="Arial" w:hAnsi="Arial"/>
          <w:sz w:val="18"/>
          <w:szCs w:val="18"/>
          <w:color w:val="auto"/>
        </w:rPr>
      </w:pPr>
    </w:p>
    <w:p>
      <w:pPr>
        <w:ind w:left="800" w:hanging="153"/>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risks and uncertainties detailed in this report.</w:t>
      </w:r>
    </w:p>
    <w:p>
      <w:pPr>
        <w:spacing w:after="0" w:line="171"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auto"/>
        </w:rPr>
        <w:t>Further information concerning important factors that could cause actual events or results to be materially different from the forward-looking statements can be found in Item 1A - “Risk Factors”, as well as in the “Business Environment and Trends” sections in the business segment discussions in Item 7 of this annual report. Statements expressing our assessments of the growth potential of the Engineered Composites segment are not intended as forecasts of actual future growth, and should not be relied on as such. While we believe such assessments to have a reasonable basis, such assessments are, by their nature, inherently uncertain. This report sets forth a number of assumptions regarding these assessments, including projected timing and volume of demand for aircraft and for LEAP aircraft engines. Such assumptions could prove incorrect. Although we believe the expectations reflected in our forward-looking statements are based on reasonable assumptions, it is not possible to foresee or identify all factors that could have a material and negative impact on our future performance. The forward-looking statements included or incorporated by reference in this annual report are made on the basis of our assumptions and analyses, as of the time the statements are made, in light of our experience and perception of historical conditions, expected future developments, and other factors believed to be appropriate under the circumstances.</w:t>
      </w:r>
    </w:p>
    <w:p>
      <w:pPr>
        <w:spacing w:after="0" w:line="179" w:lineRule="exact"/>
        <w:rPr>
          <w:sz w:val="20"/>
          <w:szCs w:val="20"/>
          <w:color w:val="auto"/>
        </w:rPr>
      </w:pPr>
    </w:p>
    <w:p>
      <w:pPr>
        <w:ind w:right="160" w:firstLine="648"/>
        <w:spacing w:after="0"/>
        <w:rPr>
          <w:sz w:val="20"/>
          <w:szCs w:val="20"/>
          <w:color w:val="auto"/>
        </w:rPr>
      </w:pPr>
      <w:r>
        <w:rPr>
          <w:rFonts w:ascii="Arial" w:cs="Arial" w:eastAsia="Arial" w:hAnsi="Arial"/>
          <w:sz w:val="18"/>
          <w:szCs w:val="18"/>
          <w:color w:val="auto"/>
        </w:rPr>
        <w:t>Except as otherwise required by the federal securities laws, we disclaim any obligation or undertaking to publicly release any updates or revisions to any forward-looking statement contained or incorporated by reference in this annual report to reflect any change in our expectations with regard thereto or any change in events, conditions, or circumstances on which any such statement is based.</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Item 1. Business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Albany International Corp. (the Registrant, the Company, we, us, or our) and its subsidiaries are engaged in two business segments.</w:t>
      </w:r>
    </w:p>
    <w:p>
      <w:pPr>
        <w:spacing w:after="0" w:line="171" w:lineRule="exact"/>
        <w:rPr>
          <w:sz w:val="20"/>
          <w:szCs w:val="20"/>
          <w:color w:val="auto"/>
        </w:rPr>
      </w:pPr>
    </w:p>
    <w:p>
      <w:pPr>
        <w:ind w:right="80" w:firstLine="648"/>
        <w:spacing w:after="0" w:line="246" w:lineRule="auto"/>
        <w:rPr>
          <w:sz w:val="20"/>
          <w:szCs w:val="20"/>
          <w:color w:val="auto"/>
        </w:rPr>
      </w:pPr>
      <w:r>
        <w:rPr>
          <w:rFonts w:ascii="Arial" w:cs="Arial" w:eastAsia="Arial" w:hAnsi="Arial"/>
          <w:sz w:val="18"/>
          <w:szCs w:val="18"/>
          <w:color w:val="auto"/>
        </w:rPr>
        <w:t>The Machine Clothing (MC) segment includes paper machine clothing - engineered fabrics and belts used in the manufacture of paper and paperboard – as well as engineered fabrics and belts used in many other industrial applications.</w:t>
      </w:r>
    </w:p>
    <w:p>
      <w:pPr>
        <w:spacing w:after="0" w:line="156"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auto"/>
        </w:rPr>
        <w:t>We design, manufacture, and market paper machine clothing for each section of the paper machine. We manufacture and sell more paper machine clothing worldwide than any other company. Paper machine clothing consists of large permeable and non-permeable continuous belts of custom-designed and custom-manufactured engineered fabrics that are installed on paper machines and carry the paper stock through each stage of the paper production process. Paper machine clothing products are consumable products of technologically sophisticated design that utilize polymeric materials in a complex structure. The design and material composition of paper machine clothing can have a considerable effect on the quality of paper products produced and the efficiency of the paper machines on which it is used. Principal products in the paper machine clothing segment include forming, pressing, and dryer fabrics, and process belts. A forming fabric assists in paper sheet formation and conveys the very wet sheet (more than 75% water) through the forming section. Press fabrics are designed to carry the sheet through the press section, where water is pressed from the sheet as it passes through the press nip. In the dryer section, dryer fabrics manage air movement and hold the sheet against heated cylinders to enhance drying. Process belts are used in the press section to increase dryness and enhance sheet properties, as well as in other sections of the machine to improve runnability and enhance sheet qualities.</w:t>
      </w:r>
    </w:p>
    <w:p>
      <w:pPr>
        <w:spacing w:after="0" w:line="179" w:lineRule="exact"/>
        <w:rPr>
          <w:sz w:val="20"/>
          <w:szCs w:val="20"/>
          <w:color w:val="auto"/>
        </w:rPr>
      </w:pPr>
    </w:p>
    <w:p>
      <w:pPr>
        <w:ind w:right="160" w:firstLine="648"/>
        <w:spacing w:after="0"/>
        <w:rPr>
          <w:sz w:val="20"/>
          <w:szCs w:val="20"/>
          <w:color w:val="auto"/>
        </w:rPr>
      </w:pPr>
      <w:r>
        <w:rPr>
          <w:rFonts w:ascii="Arial" w:cs="Arial" w:eastAsia="Arial" w:hAnsi="Arial"/>
          <w:sz w:val="18"/>
          <w:szCs w:val="18"/>
          <w:color w:val="auto"/>
        </w:rPr>
        <w:t>The Machine Clothing segment also supplies consumable fabrics used to process paper pulp, as well as engineered fabrics used in a range of industries other than papermaking. These other products include belts used to make nonwovens, fiber cement building products, roofing shingles, and corrugated sheets used in boxboard, as well as belts used in tannery and textile applications.</w:t>
      </w:r>
    </w:p>
    <w:p>
      <w:pPr>
        <w:spacing w:after="0" w:line="162" w:lineRule="exact"/>
        <w:rPr>
          <w:sz w:val="20"/>
          <w:szCs w:val="20"/>
          <w:color w:val="auto"/>
        </w:rPr>
      </w:pPr>
    </w:p>
    <w:p>
      <w:pPr>
        <w:ind w:right="440" w:firstLine="648"/>
        <w:spacing w:after="0" w:line="238" w:lineRule="auto"/>
        <w:rPr>
          <w:sz w:val="20"/>
          <w:szCs w:val="20"/>
          <w:color w:val="auto"/>
        </w:rPr>
      </w:pPr>
      <w:r>
        <w:rPr>
          <w:rFonts w:ascii="Arial" w:cs="Arial" w:eastAsia="Arial" w:hAnsi="Arial"/>
          <w:sz w:val="18"/>
          <w:szCs w:val="18"/>
          <w:color w:val="auto"/>
        </w:rPr>
        <w:t>We sell our Machine Clothing products directly to customer end-users, which include paper industry companies, nonwovens manufacturers, and building products companies, some of which operate in multiple regions of the world. Our products, manufacturing processes, and distribution channels for Machine Clothing are substantially the same in each region of the world in which we operate. The sales of forming, pressing, and dryer fabrics, individually and in the aggregate, accounted for more than 10% of our consolidated net sales during one or more of the last three years.</w:t>
      </w:r>
    </w:p>
    <w:p>
      <w:pPr>
        <w:spacing w:after="0" w:line="162"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The Albany Engineered Composites segment (AEC), including Albany Safran Composites, LLC (ASC), in which our customer SAFRAN Group owns a 10% noncontrolling interest, provides custom-designed advanced composite structures based on proprietary technology to customers in the aerospace and defense industries. AEC’s largest current development program relates to the LEAP engine being developed by CFM International. Under this program, AEC through ASC, is developing a family of composite parts, including fan blades, to be incorporated into the LEAP engine under a long-term supply contract. In 2013, approximately 10% of this segment’s sales were related to U.S. government contracts or programs.</w:t>
      </w:r>
    </w:p>
    <w:p>
      <w:pPr>
        <w:spacing w:after="0" w:line="178" w:lineRule="exact"/>
        <w:rPr>
          <w:sz w:val="20"/>
          <w:szCs w:val="20"/>
          <w:color w:val="auto"/>
        </w:rPr>
      </w:pPr>
    </w:p>
    <w:p>
      <w:pPr>
        <w:ind w:right="220" w:firstLine="648"/>
        <w:spacing w:after="0" w:line="246" w:lineRule="auto"/>
        <w:rPr>
          <w:sz w:val="20"/>
          <w:szCs w:val="20"/>
          <w:color w:val="auto"/>
        </w:rPr>
      </w:pPr>
      <w:r>
        <w:rPr>
          <w:rFonts w:ascii="Arial" w:cs="Arial" w:eastAsia="Arial" w:hAnsi="Arial"/>
          <w:sz w:val="18"/>
          <w:szCs w:val="18"/>
          <w:color w:val="auto"/>
        </w:rPr>
        <w:t>See “Business Environment and Trends” under Item 7, Management’s Discussion and Analysis of Financial Condition and Results of Operations, for a discussion of general segment developments in recent years.</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Following is a table of net sales by segment for 2013, 2012, and 2011.</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5" w:name="page6"/>
    <w:bookmarkEnd w:id="5"/>
    <w:tbl>
      <w:tblPr>
        <w:tblLayout w:type="fixed"/>
        <w:tblInd w:w="760" w:type="dxa"/>
        <w:tblCellMar>
          <w:top w:w="0" w:type="dxa"/>
          <w:left w:w="0" w:type="dxa"/>
          <w:bottom w:w="0" w:type="dxa"/>
          <w:right w:w="0" w:type="dxa"/>
        </w:tblCellMar>
      </w:tblPr>
      <w:tr>
        <w:trPr>
          <w:trHeight w:val="216"/>
        </w:trPr>
        <w:tc>
          <w:tcPr>
            <w:tcW w:w="40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(in thousands)</w:t>
            </w:r>
          </w:p>
        </w:tc>
        <w:tc>
          <w:tcPr>
            <w:tcW w:w="320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2013</w:t>
            </w:r>
          </w:p>
        </w:tc>
        <w:tc>
          <w:tcPr>
            <w:tcW w:w="154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2012</w:t>
            </w:r>
          </w:p>
        </w:tc>
        <w:tc>
          <w:tcPr>
            <w:tcW w:w="11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2011</w:t>
            </w:r>
          </w:p>
        </w:tc>
        <w:tc>
          <w:tcPr>
            <w:tcW w:w="20" w:type="dxa"/>
            <w:vAlign w:val="bottom"/>
          </w:tcPr>
          <w:p>
            <w:pPr>
              <w:spacing w:after="0"/>
              <w:rPr>
                <w:sz w:val="18"/>
                <w:szCs w:val="18"/>
                <w:color w:val="auto"/>
              </w:rPr>
            </w:pPr>
          </w:p>
        </w:tc>
      </w:tr>
      <w:tr>
        <w:trPr>
          <w:trHeight w:val="173"/>
        </w:trPr>
        <w:tc>
          <w:tcPr>
            <w:tcW w:w="4000" w:type="dxa"/>
            <w:vAlign w:val="bottom"/>
          </w:tcPr>
          <w:p>
            <w:pPr>
              <w:ind w:left="40"/>
              <w:spacing w:after="0" w:line="173" w:lineRule="exact"/>
              <w:rPr>
                <w:sz w:val="20"/>
                <w:szCs w:val="20"/>
                <w:color w:val="auto"/>
              </w:rPr>
            </w:pPr>
            <w:r>
              <w:rPr>
                <w:rFonts w:ascii="Arial" w:cs="Arial" w:eastAsia="Arial" w:hAnsi="Arial"/>
                <w:sz w:val="18"/>
                <w:szCs w:val="18"/>
                <w:color w:val="auto"/>
              </w:rPr>
              <w:t>Machine Clothing</w:t>
            </w:r>
          </w:p>
        </w:tc>
        <w:tc>
          <w:tcPr>
            <w:tcW w:w="3200" w:type="dxa"/>
            <w:vAlign w:val="bottom"/>
          </w:tcPr>
          <w:p>
            <w:pPr>
              <w:jc w:val="right"/>
              <w:ind w:right="210"/>
              <w:spacing w:after="0" w:line="173" w:lineRule="exact"/>
              <w:rPr>
                <w:sz w:val="20"/>
                <w:szCs w:val="20"/>
                <w:color w:val="auto"/>
              </w:rPr>
            </w:pPr>
            <w:r>
              <w:rPr>
                <w:rFonts w:ascii="Arial" w:cs="Arial" w:eastAsia="Arial" w:hAnsi="Arial"/>
                <w:sz w:val="18"/>
                <w:szCs w:val="18"/>
                <w:b w:val="1"/>
                <w:bCs w:val="1"/>
                <w:color w:val="auto"/>
              </w:rPr>
              <w:t>$674,747</w:t>
            </w:r>
          </w:p>
        </w:tc>
        <w:tc>
          <w:tcPr>
            <w:tcW w:w="1540" w:type="dxa"/>
            <w:vAlign w:val="bottom"/>
          </w:tcPr>
          <w:p>
            <w:pPr>
              <w:jc w:val="right"/>
              <w:ind w:right="170"/>
              <w:spacing w:after="0" w:line="173" w:lineRule="exact"/>
              <w:rPr>
                <w:sz w:val="20"/>
                <w:szCs w:val="20"/>
                <w:color w:val="auto"/>
              </w:rPr>
            </w:pPr>
            <w:r>
              <w:rPr>
                <w:rFonts w:ascii="Arial" w:cs="Arial" w:eastAsia="Arial" w:hAnsi="Arial"/>
                <w:sz w:val="18"/>
                <w:szCs w:val="18"/>
                <w:color w:val="auto"/>
              </w:rPr>
              <w:t>$693,176</w:t>
            </w:r>
          </w:p>
        </w:tc>
        <w:tc>
          <w:tcPr>
            <w:tcW w:w="1180" w:type="dxa"/>
            <w:vAlign w:val="bottom"/>
          </w:tcPr>
          <w:p>
            <w:pPr>
              <w:jc w:val="right"/>
              <w:spacing w:after="0" w:line="173" w:lineRule="exact"/>
              <w:rPr>
                <w:sz w:val="20"/>
                <w:szCs w:val="20"/>
                <w:color w:val="auto"/>
              </w:rPr>
            </w:pPr>
            <w:r>
              <w:rPr>
                <w:rFonts w:ascii="Arial" w:cs="Arial" w:eastAsia="Arial" w:hAnsi="Arial"/>
                <w:sz w:val="18"/>
                <w:szCs w:val="18"/>
                <w:color w:val="auto"/>
              </w:rPr>
              <w:t>$739,211</w:t>
            </w:r>
          </w:p>
        </w:tc>
        <w:tc>
          <w:tcPr>
            <w:tcW w:w="20" w:type="dxa"/>
            <w:vAlign w:val="bottom"/>
          </w:tcPr>
          <w:p>
            <w:pPr>
              <w:spacing w:after="0"/>
              <w:rPr>
                <w:sz w:val="15"/>
                <w:szCs w:val="15"/>
                <w:color w:val="auto"/>
              </w:rPr>
            </w:pPr>
          </w:p>
        </w:tc>
      </w:tr>
      <w:tr>
        <w:trPr>
          <w:trHeight w:val="225"/>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Engineered Composites</w:t>
            </w:r>
          </w:p>
        </w:tc>
        <w:tc>
          <w:tcPr>
            <w:tcW w:w="32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82,667</w:t>
            </w:r>
          </w:p>
        </w:tc>
        <w:tc>
          <w:tcPr>
            <w:tcW w:w="15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67,765</w:t>
            </w: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48,076</w:t>
            </w:r>
          </w:p>
        </w:tc>
      </w:tr>
      <w:tr>
        <w:trPr>
          <w:trHeight w:val="196"/>
        </w:trPr>
        <w:tc>
          <w:tcPr>
            <w:tcW w:w="400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Consolidated total</w:t>
            </w:r>
          </w:p>
        </w:tc>
        <w:tc>
          <w:tcPr>
            <w:tcW w:w="320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auto"/>
              </w:rPr>
              <w:t>$757,414</w:t>
            </w:r>
          </w:p>
        </w:tc>
        <w:tc>
          <w:tcPr>
            <w:tcW w:w="154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$760,941</w:t>
            </w:r>
          </w:p>
        </w:tc>
        <w:tc>
          <w:tcPr>
            <w:tcW w:w="120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$787,287</w:t>
            </w:r>
          </w:p>
        </w:tc>
      </w:tr>
    </w:tbl>
    <w:p>
      <w:pPr>
        <w:spacing w:after="0" w:line="215" w:lineRule="exact"/>
        <w:rPr>
          <w:sz w:val="20"/>
          <w:szCs w:val="20"/>
          <w:color w:val="auto"/>
        </w:rPr>
      </w:pPr>
    </w:p>
    <w:p>
      <w:pPr>
        <w:ind w:right="440" w:firstLine="648"/>
        <w:spacing w:after="0" w:line="246" w:lineRule="auto"/>
        <w:rPr>
          <w:sz w:val="20"/>
          <w:szCs w:val="20"/>
          <w:color w:val="auto"/>
        </w:rPr>
      </w:pPr>
      <w:r>
        <w:rPr>
          <w:rFonts w:ascii="Arial" w:cs="Arial" w:eastAsia="Arial" w:hAnsi="Arial"/>
          <w:sz w:val="18"/>
          <w:szCs w:val="18"/>
          <w:color w:val="auto"/>
        </w:rPr>
        <w:t>The table setting forth certain sales, operating income, and balance sheet data that appears in Note 4, “Reportable Segments and Geographic Data,” of the Consolidated Financial Statements, included under Item 8 of this Form 10-K, is incorporated herein.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Operations</w:t>
      </w:r>
    </w:p>
    <w:p>
      <w:pPr>
        <w:spacing w:after="0" w:line="193" w:lineRule="exact"/>
        <w:rPr>
          <w:sz w:val="20"/>
          <w:szCs w:val="20"/>
          <w:color w:val="auto"/>
        </w:rPr>
      </w:pPr>
    </w:p>
    <w:p>
      <w:pPr>
        <w:ind w:right="540" w:firstLine="648"/>
        <w:spacing w:after="0"/>
        <w:rPr>
          <w:sz w:val="20"/>
          <w:szCs w:val="20"/>
          <w:color w:val="auto"/>
        </w:rPr>
      </w:pPr>
      <w:r>
        <w:rPr>
          <w:rFonts w:ascii="Arial" w:cs="Arial" w:eastAsia="Arial" w:hAnsi="Arial"/>
          <w:sz w:val="18"/>
          <w:szCs w:val="18"/>
          <w:color w:val="auto"/>
        </w:rPr>
        <w:t>We maintain manufacturing facilities in Brazil, Canada, China, France, Germany, Italy, Mexico, South Korea, Sweden, the United Kingdom, and the United States. We also have a 50% interest in a company in Russia (see Note 1 of Notes to Consolidated Financial Statements).</w:t>
      </w:r>
    </w:p>
    <w:p>
      <w:pPr>
        <w:spacing w:after="0" w:line="162" w:lineRule="exact"/>
        <w:rPr>
          <w:sz w:val="20"/>
          <w:szCs w:val="20"/>
          <w:color w:val="auto"/>
        </w:rPr>
      </w:pPr>
    </w:p>
    <w:p>
      <w:pPr>
        <w:ind w:right="220" w:firstLine="648"/>
        <w:spacing w:after="0"/>
        <w:rPr>
          <w:sz w:val="20"/>
          <w:szCs w:val="20"/>
          <w:color w:val="auto"/>
        </w:rPr>
      </w:pPr>
      <w:r>
        <w:rPr>
          <w:rFonts w:ascii="Arial" w:cs="Arial" w:eastAsia="Arial" w:hAnsi="Arial"/>
          <w:sz w:val="18"/>
          <w:szCs w:val="18"/>
          <w:color w:val="auto"/>
        </w:rPr>
        <w:t>Our geographically diversified operations allow us to serve our markets efficiently and to provide extensive technical services to our customers. We benefit from the transfer of research and development and product innovations between geographic regions. The worldwide scope of our manufacturing and marketing efforts helps to mitigate the impact of economic downturns that are limited to a geographic region.</w:t>
      </w:r>
    </w:p>
    <w:p>
      <w:pPr>
        <w:spacing w:after="0" w:line="176" w:lineRule="exact"/>
        <w:rPr>
          <w:sz w:val="20"/>
          <w:szCs w:val="20"/>
          <w:color w:val="auto"/>
        </w:rPr>
      </w:pPr>
    </w:p>
    <w:p>
      <w:pPr>
        <w:ind w:right="60" w:firstLine="648"/>
        <w:spacing w:after="0" w:line="238" w:lineRule="auto"/>
        <w:rPr>
          <w:sz w:val="20"/>
          <w:szCs w:val="20"/>
          <w:color w:val="auto"/>
        </w:rPr>
      </w:pPr>
      <w:r>
        <w:rPr>
          <w:rFonts w:ascii="Arial" w:cs="Arial" w:eastAsia="Arial" w:hAnsi="Arial"/>
          <w:sz w:val="18"/>
          <w:szCs w:val="18"/>
          <w:color w:val="auto"/>
        </w:rPr>
        <w:t>Our global presence subjects us to certain risks, including controls on foreign exchange and the repatriation of funds. We have a cash repatriation strategy that targets a certain amount of foreign current year earnings that are not permanently reinvested. To date, we have been able to make such repatriations without substantial governmental restrictions and do not foresee any material changes in our ability to continue to do so in the future. In addition, we believe that the risks associated with our operations outside the United States are no greater than those normally associated with doing business in those locations.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Working Capital, Customers, Seasonality, and Backlog</w:t>
      </w:r>
    </w:p>
    <w:p>
      <w:pPr>
        <w:spacing w:after="0" w:line="193" w:lineRule="exact"/>
        <w:rPr>
          <w:sz w:val="20"/>
          <w:szCs w:val="20"/>
          <w:color w:val="auto"/>
        </w:rPr>
      </w:pPr>
    </w:p>
    <w:p>
      <w:pPr>
        <w:ind w:right="280" w:firstLine="648"/>
        <w:spacing w:after="0" w:line="236" w:lineRule="auto"/>
        <w:rPr>
          <w:sz w:val="20"/>
          <w:szCs w:val="20"/>
          <w:color w:val="auto"/>
        </w:rPr>
      </w:pPr>
      <w:r>
        <w:rPr>
          <w:rFonts w:ascii="Arial" w:cs="Arial" w:eastAsia="Arial" w:hAnsi="Arial"/>
          <w:sz w:val="18"/>
          <w:szCs w:val="18"/>
          <w:color w:val="auto"/>
        </w:rPr>
        <w:t>Machine Clothing is custom-designed for each user, depending on the type, size, and speed of the machine, and the products being produced. Product design is also a function of the machine section, the grade of product being produced, and the quality of the stock used. Technical expertise, judgment, and experience are critical in designing the appropriate clothing for machine, position, and application. As a result, we employ highly skilled sales and technical service personnel who work directly with each customer’s plant operating management. Our technical service programs give our service engineers field access to the measurement and analysis equipment needed for troubleshooting and application engineering in many areas. Sales, service, and technical expenses are major cost components of the Company. Many employees in sales and technical functions have engineering degrees, paper mill experience, or other manufacturing experience in the markets in which they operate. Our market leadership position reflects our commitment to technological innovation.</w:t>
      </w:r>
    </w:p>
    <w:p>
      <w:pPr>
        <w:spacing w:after="0" w:line="181" w:lineRule="exact"/>
        <w:rPr>
          <w:sz w:val="20"/>
          <w:szCs w:val="20"/>
          <w:color w:val="auto"/>
        </w:rPr>
      </w:pPr>
    </w:p>
    <w:p>
      <w:pPr>
        <w:ind w:right="140" w:firstLine="648"/>
        <w:spacing w:after="0"/>
        <w:rPr>
          <w:sz w:val="20"/>
          <w:szCs w:val="20"/>
          <w:color w:val="auto"/>
        </w:rPr>
      </w:pPr>
      <w:r>
        <w:rPr>
          <w:rFonts w:ascii="Arial" w:cs="Arial" w:eastAsia="Arial" w:hAnsi="Arial"/>
          <w:sz w:val="18"/>
          <w:szCs w:val="18"/>
          <w:color w:val="auto"/>
        </w:rPr>
        <w:t>Payment terms granted to paper industry and other machine clothing customers reflect general competitive practices. Terms vary with product, competitive conditions, and the country of operation. In some markets, customer agreements require us to maintain significant amounts of finished goods inventories to assure continuous availability of our products.</w:t>
      </w:r>
    </w:p>
    <w:p>
      <w:pPr>
        <w:spacing w:after="0" w:line="162" w:lineRule="exact"/>
        <w:rPr>
          <w:sz w:val="20"/>
          <w:szCs w:val="20"/>
          <w:color w:val="auto"/>
        </w:rPr>
      </w:pPr>
    </w:p>
    <w:p>
      <w:pPr>
        <w:ind w:right="300" w:firstLine="648"/>
        <w:spacing w:after="0" w:line="239" w:lineRule="auto"/>
        <w:rPr>
          <w:sz w:val="20"/>
          <w:szCs w:val="20"/>
          <w:color w:val="auto"/>
        </w:rPr>
      </w:pPr>
      <w:r>
        <w:rPr>
          <w:rFonts w:ascii="Arial" w:cs="Arial" w:eastAsia="Arial" w:hAnsi="Arial"/>
          <w:sz w:val="18"/>
          <w:szCs w:val="18"/>
          <w:color w:val="auto"/>
        </w:rPr>
        <w:t>In addition to supplying paper companies, the Machine Clothing segment is a leading supplier to the nonwovens industry (which includes the manufacture of products such as diapers, personal care and household wipes, and fiberglass-reinforced roofing shingles), the wood and cement-based building products industry, and the pulp industry. These non-paper industries have a wide range of customers, with markets that vary from industrial applications to consumer use.</w:t>
      </w:r>
    </w:p>
    <w:p>
      <w:pPr>
        <w:spacing w:after="0" w:line="1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46" w:right="239" w:bottom="1440" w:gutter="0" w:footer="0" w:header="0"/>
        </w:sectPr>
      </w:pPr>
    </w:p>
    <w:bookmarkStart w:id="6" w:name="page7"/>
    <w:bookmarkEnd w:id="6"/>
    <w:p>
      <w:pPr>
        <w:ind w:right="80" w:firstLine="648"/>
        <w:spacing w:after="0"/>
        <w:rPr>
          <w:sz w:val="20"/>
          <w:szCs w:val="20"/>
          <w:color w:val="auto"/>
        </w:rPr>
      </w:pPr>
      <w:r>
        <w:rPr>
          <w:rFonts w:ascii="Arial" w:cs="Arial" w:eastAsia="Arial" w:hAnsi="Arial"/>
          <w:sz w:val="18"/>
          <w:szCs w:val="18"/>
          <w:color w:val="auto"/>
        </w:rPr>
        <w:t>Albany Engineered Composites primarily serves customers in commercial and military aircraft engine and airframe markets. Sales and Accounts receivable rose sharply in the last couple years. Additionally, we anticipate intensive growth in the future which could lead to further increases in working capital levels.</w:t>
      </w:r>
    </w:p>
    <w:p>
      <w:pPr>
        <w:spacing w:after="0" w:line="176" w:lineRule="exact"/>
        <w:rPr>
          <w:sz w:val="20"/>
          <w:szCs w:val="20"/>
          <w:color w:val="auto"/>
        </w:rPr>
      </w:pPr>
    </w:p>
    <w:p>
      <w:pPr>
        <w:ind w:right="60" w:firstLine="648"/>
        <w:spacing w:after="0" w:line="239" w:lineRule="auto"/>
        <w:rPr>
          <w:sz w:val="20"/>
          <w:szCs w:val="20"/>
          <w:color w:val="auto"/>
        </w:rPr>
      </w:pPr>
      <w:r>
        <w:rPr>
          <w:rFonts w:ascii="Arial" w:cs="Arial" w:eastAsia="Arial" w:hAnsi="Arial"/>
          <w:sz w:val="18"/>
          <w:szCs w:val="18"/>
          <w:color w:val="auto"/>
        </w:rPr>
        <w:t>In the Machine Clothing segment, the summer months and the end of the year are common periods of downtime for our customers, which can lead to weak sales periods for the Company. In recent years, broad industry ramp-ups or slowdowns have resulted in sales being distributed unevenly throughout the year. These combined factors make seasonal trends less predictable. Seasonality is not a significant factor in the Engineered Composites segment.</w:t>
      </w:r>
    </w:p>
    <w:p>
      <w:pPr>
        <w:spacing w:after="0" w:line="161" w:lineRule="exact"/>
        <w:rPr>
          <w:sz w:val="20"/>
          <w:szCs w:val="20"/>
          <w:color w:val="auto"/>
        </w:rPr>
      </w:pPr>
    </w:p>
    <w:p>
      <w:pPr>
        <w:ind w:right="160" w:firstLine="648"/>
        <w:spacing w:after="0" w:line="239" w:lineRule="auto"/>
        <w:rPr>
          <w:sz w:val="20"/>
          <w:szCs w:val="20"/>
          <w:color w:val="auto"/>
        </w:rPr>
      </w:pPr>
      <w:r>
        <w:rPr>
          <w:rFonts w:ascii="Arial" w:cs="Arial" w:eastAsia="Arial" w:hAnsi="Arial"/>
          <w:sz w:val="18"/>
          <w:szCs w:val="18"/>
          <w:color w:val="auto"/>
        </w:rPr>
        <w:t>Backlog in the Machine Clothing segment was $225.6 million at December 31, 2013, compared to $266.8 million at December 31, 2012. The decrease reflects a trend toward shorter order-to-delivery times. Backlog in the Engineered Composites segment was $21.7 million at December 31, 2013 compared to $33.2 million at December 31, 2012. The backlog is generally expected to be invoiced during the next 12 months.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07" w:lineRule="exact"/>
        <w:rPr>
          <w:sz w:val="20"/>
          <w:szCs w:val="20"/>
          <w:color w:val="auto"/>
        </w:rPr>
      </w:pPr>
    </w:p>
    <w:p>
      <w:pPr>
        <w:ind w:right="120" w:firstLine="648"/>
        <w:spacing w:after="0" w:line="237" w:lineRule="auto"/>
        <w:rPr>
          <w:sz w:val="20"/>
          <w:szCs w:val="20"/>
          <w:color w:val="auto"/>
        </w:rPr>
      </w:pPr>
      <w:r>
        <w:rPr>
          <w:rFonts w:ascii="Arial" w:cs="Arial" w:eastAsia="Arial" w:hAnsi="Arial"/>
          <w:sz w:val="18"/>
          <w:szCs w:val="18"/>
          <w:color w:val="auto"/>
        </w:rPr>
        <w:t>We invest in research, new product development, and technical analysis with the objective of maintaining our technological leadership in each business segment. While much research activity supports existing products, we also engage in research for new products and product enhancements. New product research has focused primarily on more sophisticated paper machine clothing and engineered fabrics and has resulted in a stream of new products and enhancements such as forming fabric INLINE; press fabrics HYDROCROSS, SPRING, SEAM HYDROCROSS, SEAMPLANE and Seam KMX; shoe press belts VENTABELT EVM and VENTABELT XTS; TRANSBELT GX; dryer fabric AEROPULSE; corrugator belt DURASPIRAL; and for the Nonwovens Industry NEOSTAT and SUPRASTAT.</w:t>
      </w:r>
    </w:p>
    <w:p>
      <w:pPr>
        <w:spacing w:after="0" w:line="165" w:lineRule="exact"/>
        <w:rPr>
          <w:sz w:val="20"/>
          <w:szCs w:val="20"/>
          <w:color w:val="auto"/>
        </w:rPr>
      </w:pPr>
    </w:p>
    <w:p>
      <w:pPr>
        <w:ind w:right="100" w:firstLine="648"/>
        <w:spacing w:after="0" w:line="246" w:lineRule="auto"/>
        <w:rPr>
          <w:sz w:val="20"/>
          <w:szCs w:val="20"/>
          <w:color w:val="auto"/>
        </w:rPr>
      </w:pPr>
      <w:r>
        <w:rPr>
          <w:rFonts w:ascii="Arial" w:cs="Arial" w:eastAsia="Arial" w:hAnsi="Arial"/>
          <w:sz w:val="18"/>
          <w:szCs w:val="18"/>
          <w:color w:val="auto"/>
        </w:rPr>
        <w:t>Product engineering and research and development expenses totaled $31.1 million in 2013, $28.5 million in 2012, and $31.1 million in 2011. In 2013, these costs were 4.1% of total Company net sales, including $9.4 million or 11.3% of net sales spent in our AEC segment.</w:t>
      </w:r>
    </w:p>
    <w:p>
      <w:pPr>
        <w:spacing w:after="0" w:line="156" w:lineRule="exact"/>
        <w:rPr>
          <w:sz w:val="20"/>
          <w:szCs w:val="20"/>
          <w:color w:val="auto"/>
        </w:rPr>
      </w:pPr>
    </w:p>
    <w:p>
      <w:pPr>
        <w:ind w:right="200" w:firstLine="648"/>
        <w:spacing w:after="0"/>
        <w:rPr>
          <w:sz w:val="20"/>
          <w:szCs w:val="20"/>
          <w:color w:val="auto"/>
        </w:rPr>
      </w:pPr>
      <w:r>
        <w:rPr>
          <w:rFonts w:ascii="Arial" w:cs="Arial" w:eastAsia="Arial" w:hAnsi="Arial"/>
          <w:sz w:val="18"/>
          <w:szCs w:val="18"/>
          <w:color w:val="auto"/>
        </w:rPr>
        <w:t>We conduct our major research and development in Halmstad, Sweden; Manchester, England; Kaukauna, Wisconsin and Rochester, New Hampshire. Additionally, we conduct process and product design development activities at locations in Quebec, Canada; Kaukauna, Wisconsin; and St. Stephen, South Carolina.</w:t>
      </w:r>
    </w:p>
    <w:p>
      <w:pPr>
        <w:spacing w:after="0" w:line="176" w:lineRule="exact"/>
        <w:rPr>
          <w:sz w:val="20"/>
          <w:szCs w:val="20"/>
          <w:color w:val="auto"/>
        </w:rPr>
      </w:pPr>
    </w:p>
    <w:p>
      <w:pPr>
        <w:ind w:right="100" w:firstLine="648"/>
        <w:spacing w:after="0" w:line="236" w:lineRule="auto"/>
        <w:rPr>
          <w:sz w:val="20"/>
          <w:szCs w:val="20"/>
          <w:color w:val="auto"/>
        </w:rPr>
      </w:pPr>
      <w:r>
        <w:rPr>
          <w:rFonts w:ascii="Arial" w:cs="Arial" w:eastAsia="Arial" w:hAnsi="Arial"/>
          <w:sz w:val="18"/>
          <w:szCs w:val="18"/>
          <w:color w:val="auto"/>
        </w:rPr>
        <w:t>We have developed, and continue to develop, proprietary intellectual property germane to the industries we serve. Our intellectual property takes many forms, including patents, trademarks and domains, and trade secrets. Our trade secrets include, among other things, manufacturing know-how and unique processes and equipment. Because intellectual property in the form of patents is published, we often forgo patent protection and preserve the intellectual property as trade secrets. We aggressively protect our proprietary intellectual property, pursuing patent protection when appropriate. Our active portfolio currently contains well over 2,100 patents, and more than 250 new patents are typically granted each year. While we consider our total portfolio of intellectual property, including our patents, to be an important competitive advantage, we do not believe that any single patent is critical to the continuation of our business. All brand names and product names are trade names of Albany International Corp. or its subsidiaries. We have from time to time licensed some of our patents and/or know-how to one or more competitors, and have been licensed under some competitors’ patents, in each case mainly to enhance customer acceptance of new products. The revenue from such licenses is less than 1% of consolidated net sales.</w:t>
      </w:r>
    </w:p>
    <w:p>
      <w:pPr>
        <w:spacing w:after="0" w:line="166" w:lineRule="exact"/>
        <w:rPr>
          <w:sz w:val="20"/>
          <w:szCs w:val="20"/>
          <w:color w:val="auto"/>
        </w:rPr>
      </w:pPr>
    </w:p>
    <w:p>
      <w:pPr>
        <w:ind w:right="480" w:firstLine="648"/>
        <w:spacing w:after="0"/>
        <w:rPr>
          <w:sz w:val="20"/>
          <w:szCs w:val="20"/>
          <w:color w:val="auto"/>
        </w:rPr>
      </w:pPr>
      <w:r>
        <w:rPr>
          <w:rFonts w:ascii="Arial" w:cs="Arial" w:eastAsia="Arial" w:hAnsi="Arial"/>
          <w:sz w:val="18"/>
          <w:szCs w:val="18"/>
          <w:color w:val="auto"/>
        </w:rPr>
        <w:t>The Engineered Composites segment participates in both Company-sponsored and customer-funded research and development. Some customer-funded research and development may be on a cost-sharing basis, in which case amounts charged to the customer are credited against research and development expense. Expenses</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 w:name="page8"/>
    <w:bookmarkEnd w:id="7"/>
    <w:p>
      <w:pPr>
        <w:ind w:right="980"/>
        <w:spacing w:after="0" w:line="246" w:lineRule="auto"/>
        <w:rPr>
          <w:sz w:val="20"/>
          <w:szCs w:val="20"/>
          <w:color w:val="auto"/>
        </w:rPr>
      </w:pPr>
      <w:r>
        <w:rPr>
          <w:rFonts w:ascii="Arial" w:cs="Arial" w:eastAsia="Arial" w:hAnsi="Arial"/>
          <w:sz w:val="18"/>
          <w:szCs w:val="18"/>
          <w:color w:val="auto"/>
        </w:rPr>
        <w:t>were reduced by $1.4 million in 2013 and $0.8 million in 2012 as a result of such arrangements. For customer-funded research and development in which we anticipate funding to exceed expenses, we include amounts charged to the customer in net sales.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207"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auto"/>
        </w:rPr>
        <w:t>Primary raw materials for our Machine Clothing products are polymer monofilaments and fibers, which have generally been available from a number of suppliers. Therefore, we have not needed to maintain raw material inventories in excess of our current needs to assure availability. In addition, we manufacture polymer monofilaments, a basic raw material for all types of Machine Clothing, at our facility in Homer, New York, which supplies approximately 50% of our worldwide monofilament requirements. This manufacturing enhances our ability to develop proprietary products and helps balance the total supply requirements for monofilaments. Polymer monofilaments are petroleum-based products and are therefore sensitive to changes in the price of petroleum and petroleum intermediates. While carbon fiber and other raw materials used by AEC are available from a number of suppliers, the use of certain suppliers may be mandated by customer agreements and alternative suppliers would be subject to material qualification or other requirements.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93" w:lineRule="exact"/>
        <w:rPr>
          <w:sz w:val="20"/>
          <w:szCs w:val="20"/>
          <w:color w:val="auto"/>
        </w:rPr>
      </w:pPr>
    </w:p>
    <w:p>
      <w:pPr>
        <w:ind w:right="160" w:firstLine="648"/>
        <w:spacing w:after="0"/>
        <w:rPr>
          <w:sz w:val="20"/>
          <w:szCs w:val="20"/>
          <w:color w:val="auto"/>
        </w:rPr>
      </w:pPr>
      <w:r>
        <w:rPr>
          <w:rFonts w:ascii="Arial" w:cs="Arial" w:eastAsia="Arial" w:hAnsi="Arial"/>
          <w:sz w:val="18"/>
          <w:szCs w:val="18"/>
          <w:color w:val="auto"/>
        </w:rPr>
        <w:t>The industries in which our Machine Clothing segment competes include several companies that compete in all global markets, along with other companies that compete primarily on a regional basis. In the paper machine clothing market, we believe that we had a worldwide market share of approximately 30% in 2013, while the two largest competitors each had a market share of approximately half of ours.</w:t>
      </w:r>
    </w:p>
    <w:p>
      <w:pPr>
        <w:spacing w:after="0" w:line="176" w:lineRule="exact"/>
        <w:rPr>
          <w:sz w:val="20"/>
          <w:szCs w:val="20"/>
          <w:color w:val="auto"/>
        </w:rPr>
      </w:pPr>
    </w:p>
    <w:p>
      <w:pPr>
        <w:ind w:right="100" w:firstLine="648"/>
        <w:spacing w:after="0" w:line="237" w:lineRule="auto"/>
        <w:rPr>
          <w:sz w:val="20"/>
          <w:szCs w:val="20"/>
          <w:color w:val="auto"/>
        </w:rPr>
      </w:pPr>
      <w:r>
        <w:rPr>
          <w:rFonts w:ascii="Arial" w:cs="Arial" w:eastAsia="Arial" w:hAnsi="Arial"/>
          <w:sz w:val="18"/>
          <w:szCs w:val="18"/>
          <w:color w:val="auto"/>
        </w:rPr>
        <w:t>While some competitors in the Machine Clothing segment tend to compete more on the basis of price, and others attempt to compete more on the basis of technology, both are significant competitive factors in this industry. Some of the Company’s paper machine clothing competitors also supply paper machines and papermaking equipment, and endeavor to compete by bundling clothing and equipment sales. We, like our competitors, provide technical support to customers through our sales and technical service personnel, including (1) consulting on performance of the machine, (2) consulting on machine configurations, both new and rebuilt, (3) selection and custom manufacture of the appropriate machine clothing, and (4) storing fabrics for delivery to the user. Revenues earned from these services are reflected in the prices charged for our products.</w:t>
      </w:r>
    </w:p>
    <w:p>
      <w:pPr>
        <w:spacing w:after="0" w:line="163" w:lineRule="exact"/>
        <w:rPr>
          <w:sz w:val="20"/>
          <w:szCs w:val="20"/>
          <w:color w:val="auto"/>
        </w:rPr>
      </w:pPr>
    </w:p>
    <w:p>
      <w:pPr>
        <w:ind w:right="60" w:firstLine="648"/>
        <w:spacing w:after="0" w:line="237" w:lineRule="auto"/>
        <w:rPr>
          <w:sz w:val="20"/>
          <w:szCs w:val="20"/>
          <w:color w:val="auto"/>
        </w:rPr>
      </w:pPr>
      <w:r>
        <w:rPr>
          <w:rFonts w:ascii="Arial" w:cs="Arial" w:eastAsia="Arial" w:hAnsi="Arial"/>
          <w:sz w:val="18"/>
          <w:szCs w:val="18"/>
          <w:color w:val="auto"/>
        </w:rPr>
        <w:t>The primary competitive factor in the markets in which our Albany Engineered Composites segment competes is product performance. Achieving lower weight without sacrificing strength is the key to improving fuel efficiency, and is a critical performance requirement in the aerospace industry. Our unique, proprietary capabilities in composites enable us to offer customers the opportunity to displace metal components and, in some cases, conventional composites with lower-weight, high-strength, and potentially high-temperature composites. The dominant competitive factor is how the customer weighs these performance benefits, which include fuel savings due to lower weight, against the possible cost advantage of more traditional metal and composite components.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07" w:lineRule="exact"/>
        <w:rPr>
          <w:sz w:val="20"/>
          <w:szCs w:val="20"/>
          <w:color w:val="auto"/>
        </w:rPr>
      </w:pPr>
    </w:p>
    <w:p>
      <w:pPr>
        <w:ind w:right="200" w:firstLine="648"/>
        <w:spacing w:after="0"/>
        <w:rPr>
          <w:sz w:val="20"/>
          <w:szCs w:val="20"/>
          <w:color w:val="auto"/>
        </w:rPr>
      </w:pPr>
      <w:r>
        <w:rPr>
          <w:rFonts w:ascii="Arial" w:cs="Arial" w:eastAsia="Arial" w:hAnsi="Arial"/>
          <w:sz w:val="18"/>
          <w:szCs w:val="18"/>
          <w:color w:val="auto"/>
        </w:rPr>
        <w:t>We employ approximately 4,100 persons, of whom 67% are engaged in manufacturing our products. Wages and benefits are competitive with those of other manufacturers in the geographic areas in which our facilities are located. In general, we consider our relations with employees to be excellent.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number of hourly employees outside of the United States are members of various unions.</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certain information with respect to the executive officers of the Company as of February 26, 2014:</w:t>
      </w:r>
    </w:p>
    <w:p>
      <w:pPr>
        <w:spacing w:after="0" w:line="167" w:lineRule="exact"/>
        <w:rPr>
          <w:sz w:val="20"/>
          <w:szCs w:val="20"/>
          <w:color w:val="auto"/>
        </w:rPr>
      </w:pPr>
    </w:p>
    <w:p>
      <w:pPr>
        <w:ind w:right="120" w:firstLine="648"/>
        <w:spacing w:after="0" w:line="242" w:lineRule="auto"/>
        <w:rPr>
          <w:sz w:val="20"/>
          <w:szCs w:val="20"/>
          <w:color w:val="auto"/>
        </w:rPr>
      </w:pPr>
      <w:r>
        <w:rPr>
          <w:rFonts w:ascii="Arial" w:cs="Arial" w:eastAsia="Arial" w:hAnsi="Arial"/>
          <w:sz w:val="18"/>
          <w:szCs w:val="18"/>
          <w:i w:val="1"/>
          <w:iCs w:val="1"/>
          <w:color w:val="auto"/>
        </w:rPr>
        <w:t xml:space="preserve">Joseph G. Morone, 60, President and Chief Executive Officer, </w:t>
      </w:r>
      <w:r>
        <w:rPr>
          <w:rFonts w:ascii="Arial" w:cs="Arial" w:eastAsia="Arial" w:hAnsi="Arial"/>
          <w:sz w:val="18"/>
          <w:szCs w:val="18"/>
          <w:color w:val="auto"/>
        </w:rPr>
        <w:t>joined the Company in 2005. He has served the Company as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and Chief Executive Officer since January 1, 2006, and President since August 1, 2005. He has been a director of the Company since 1996. From 1997 to July 2005, he served as President of Bentley University in Waltham, Massachusetts. Prior to joining Bentley, he served as the Dean of the Lally School of Management and Technology at Rensselaer Polytechnic Institute, where he also held the Andersen Consulting Professorship of Management. He currently serves as the Presiding Director of Transworld Entertainment Corporation.</w:t>
      </w:r>
    </w:p>
    <w:p>
      <w:pPr>
        <w:spacing w:after="0" w:line="145" w:lineRule="exact"/>
        <w:rPr>
          <w:sz w:val="20"/>
          <w:szCs w:val="20"/>
          <w:color w:val="auto"/>
        </w:rPr>
      </w:pPr>
    </w:p>
    <w:p>
      <w:pPr>
        <w:ind w:right="80" w:firstLine="648"/>
        <w:spacing w:after="0" w:line="260" w:lineRule="auto"/>
        <w:rPr>
          <w:sz w:val="20"/>
          <w:szCs w:val="20"/>
          <w:color w:val="auto"/>
        </w:rPr>
      </w:pPr>
      <w:r>
        <w:rPr>
          <w:rFonts w:ascii="Arial" w:cs="Arial" w:eastAsia="Arial" w:hAnsi="Arial"/>
          <w:sz w:val="17"/>
          <w:szCs w:val="17"/>
          <w:i w:val="1"/>
          <w:iCs w:val="1"/>
          <w:color w:val="auto"/>
        </w:rPr>
        <w:t xml:space="preserve">John B. Cozzolino, 47, Chief Financial Officer and Treasurer, </w:t>
      </w:r>
      <w:r>
        <w:rPr>
          <w:rFonts w:ascii="Arial" w:cs="Arial" w:eastAsia="Arial" w:hAnsi="Arial"/>
          <w:sz w:val="17"/>
          <w:szCs w:val="17"/>
          <w:color w:val="auto"/>
        </w:rPr>
        <w:t>joined the Company in 1994. He has served the Company as Chief</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Officer and Treasurer since February 2011. From September 2010 to February 2011, he served as Vice President – Corporate Treasurer and Strategic Planning/Acting Chief Financial Officer, from February 2009 to September 2010, he served as Vice President – Corporate Treasurer and Strategic Planning, and from 2007 to February 2009, he served the Company as Vice President – Strategic Planning. From 2000 until 2007 he served as Director – Strategic Planning, and from 1994 to 2000 he served as Manager – Corporate Accounting.</w:t>
      </w:r>
    </w:p>
    <w:p>
      <w:pPr>
        <w:spacing w:after="0" w:line="130" w:lineRule="exact"/>
        <w:rPr>
          <w:sz w:val="20"/>
          <w:szCs w:val="20"/>
          <w:color w:val="auto"/>
        </w:rPr>
      </w:pPr>
    </w:p>
    <w:p>
      <w:pPr>
        <w:ind w:right="40" w:firstLine="648"/>
        <w:spacing w:after="0"/>
        <w:rPr>
          <w:sz w:val="20"/>
          <w:szCs w:val="20"/>
          <w:color w:val="auto"/>
        </w:rPr>
      </w:pPr>
      <w:r>
        <w:rPr>
          <w:rFonts w:ascii="Arial" w:cs="Arial" w:eastAsia="Arial" w:hAnsi="Arial"/>
          <w:sz w:val="18"/>
          <w:szCs w:val="18"/>
          <w:i w:val="1"/>
          <w:iCs w:val="1"/>
          <w:color w:val="auto"/>
        </w:rPr>
        <w:t xml:space="preserve">Ralph M. Polumbo, 62, President </w:t>
      </w:r>
      <w:r>
        <w:rPr>
          <w:rFonts w:ascii="Arial" w:cs="Arial" w:eastAsia="Arial" w:hAnsi="Arial"/>
          <w:sz w:val="18"/>
          <w:szCs w:val="18"/>
          <w:color w:val="auto"/>
        </w:rPr>
        <w:t>–</w:t>
      </w:r>
      <w:r>
        <w:rPr>
          <w:rFonts w:ascii="Arial" w:cs="Arial" w:eastAsia="Arial" w:hAnsi="Arial"/>
          <w:sz w:val="18"/>
          <w:szCs w:val="18"/>
          <w:i w:val="1"/>
          <w:iCs w:val="1"/>
          <w:color w:val="auto"/>
        </w:rPr>
        <w:t xml:space="preserve"> Albany Engineered Composites</w:t>
      </w:r>
      <w:r>
        <w:rPr>
          <w:rFonts w:ascii="Arial" w:cs="Arial" w:eastAsia="Arial" w:hAnsi="Arial"/>
          <w:sz w:val="18"/>
          <w:szCs w:val="18"/>
          <w:color w:val="auto"/>
        </w:rPr>
        <w:t>, joined the Company in 2006. He has served the Company as</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 Albany Engineered Composites since November 2013. Prior to that, he served as Chief Operating Officer, Albany Engineered Composites, from December 2010 to November 2013. He previously served the Company as Chief Administrative Officer from September 2008 to December 2010, and as Senior Vice President – Human Resources from 2006 to 2008. From 2004 to April 2006 he served as Head of Human Capital for Deephaven Capital Management. From 1999 to 2004 he served as Vice President – Human Resources and Business Integration for MedSource Technologies. Prior to MedSource, he held the positions of Vice President – Integration and Vice President – Human Resources for Rubbermaid. From 1974 to 1994, he held various management and executive positions for The Stanley Works.</w:t>
      </w:r>
    </w:p>
    <w:p>
      <w:pPr>
        <w:spacing w:after="0" w:line="158" w:lineRule="exact"/>
        <w:rPr>
          <w:sz w:val="20"/>
          <w:szCs w:val="20"/>
          <w:color w:val="auto"/>
        </w:rPr>
      </w:pPr>
    </w:p>
    <w:p>
      <w:pPr>
        <w:ind w:right="40" w:firstLine="648"/>
        <w:spacing w:after="0" w:line="241" w:lineRule="auto"/>
        <w:rPr>
          <w:sz w:val="20"/>
          <w:szCs w:val="20"/>
          <w:color w:val="auto"/>
        </w:rPr>
      </w:pPr>
      <w:r>
        <w:rPr>
          <w:rFonts w:ascii="Arial" w:cs="Arial" w:eastAsia="Arial" w:hAnsi="Arial"/>
          <w:sz w:val="18"/>
          <w:szCs w:val="18"/>
          <w:i w:val="1"/>
          <w:iCs w:val="1"/>
          <w:color w:val="auto"/>
        </w:rPr>
        <w:t xml:space="preserve">Daniel A. Halftermeyer, 52, President </w:t>
      </w:r>
      <w:r>
        <w:rPr>
          <w:rFonts w:ascii="Arial" w:cs="Arial" w:eastAsia="Arial" w:hAnsi="Arial"/>
          <w:sz w:val="18"/>
          <w:szCs w:val="18"/>
          <w:color w:val="auto"/>
        </w:rPr>
        <w:t>–</w:t>
      </w:r>
      <w:r>
        <w:rPr>
          <w:rFonts w:ascii="Arial" w:cs="Arial" w:eastAsia="Arial" w:hAnsi="Arial"/>
          <w:sz w:val="18"/>
          <w:szCs w:val="18"/>
          <w:i w:val="1"/>
          <w:iCs w:val="1"/>
          <w:color w:val="auto"/>
        </w:rPr>
        <w:t xml:space="preserve"> Machine Clothing, </w:t>
      </w:r>
      <w:r>
        <w:rPr>
          <w:rFonts w:ascii="Arial" w:cs="Arial" w:eastAsia="Arial" w:hAnsi="Arial"/>
          <w:sz w:val="18"/>
          <w:szCs w:val="18"/>
          <w:color w:val="auto"/>
        </w:rPr>
        <w:t>joined the Company in 1987. He has served the Company as President –</w:t>
      </w:r>
      <w:r>
        <w:rPr>
          <w:rFonts w:ascii="Arial" w:cs="Arial" w:eastAsia="Arial" w:hAnsi="Arial"/>
          <w:sz w:val="18"/>
          <w:szCs w:val="18"/>
          <w:i w:val="1"/>
          <w:iCs w:val="1"/>
          <w:color w:val="auto"/>
        </w:rPr>
        <w:t xml:space="preserve"> </w:t>
      </w:r>
      <w:r>
        <w:rPr>
          <w:rFonts w:ascii="Arial" w:cs="Arial" w:eastAsia="Arial" w:hAnsi="Arial"/>
          <w:sz w:val="18"/>
          <w:szCs w:val="18"/>
          <w:color w:val="auto"/>
        </w:rPr>
        <w:t>Machine Clothing since February 2012. He previously served the Company as President – Paper Machine Clothing and Engineered Fabrics from August 2011 to February 2012, as President – Paper Machine Clothing from January 2010 until August 2011, Group Vice President – Paper Machine Clothing Europe from 2005 to August 2008, Vice President and General Manager – North American Dryer Fabrics from 1997 to March 2005, and Technical Director – Dryer Fabrics from 1993 to 1997. He held various technical and management positions in St. Stephen, South Carolina, and Sélestat, France, from 1987 to 1993.</w:t>
      </w:r>
    </w:p>
    <w:p>
      <w:pPr>
        <w:spacing w:after="0" w:line="144" w:lineRule="exact"/>
        <w:rPr>
          <w:sz w:val="20"/>
          <w:szCs w:val="20"/>
          <w:color w:val="auto"/>
        </w:rPr>
      </w:pPr>
    </w:p>
    <w:p>
      <w:pPr>
        <w:ind w:right="40" w:firstLine="648"/>
        <w:spacing w:after="0" w:line="241" w:lineRule="auto"/>
        <w:rPr>
          <w:sz w:val="20"/>
          <w:szCs w:val="20"/>
          <w:color w:val="auto"/>
        </w:rPr>
      </w:pPr>
      <w:r>
        <w:rPr>
          <w:rFonts w:ascii="Arial" w:cs="Arial" w:eastAsia="Arial" w:hAnsi="Arial"/>
          <w:sz w:val="18"/>
          <w:szCs w:val="18"/>
          <w:i w:val="1"/>
          <w:iCs w:val="1"/>
          <w:color w:val="auto"/>
        </w:rPr>
        <w:t xml:space="preserve">Robert A. Hansen, 56, Senior Vice President and Chief Technology Officer, </w:t>
      </w:r>
      <w:r>
        <w:rPr>
          <w:rFonts w:ascii="Arial" w:cs="Arial" w:eastAsia="Arial" w:hAnsi="Arial"/>
          <w:sz w:val="18"/>
          <w:szCs w:val="18"/>
          <w:color w:val="auto"/>
        </w:rPr>
        <w:t>joined the Company in 1981. He has served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as Senior Vice President and Chief Technology Officer since January 2010, Vice President – Corporate Research and Development from April 2006 to January 2010, and Director of Technical and Marketing – Europe Press Fabrics from 2004 to April 2006. From 2000 to 2004, he served as Technical Director – Press Fabrics, Göppingen, Germany. Previously he had the position of Technical Director in Dieren, The Netherlands, and had also held technical management and research and development positions in the Company’s Järvenpää, Finland, and Albany, New York facilities.</w:t>
      </w:r>
    </w:p>
    <w:p>
      <w:pPr>
        <w:spacing w:after="0" w:line="144" w:lineRule="exact"/>
        <w:rPr>
          <w:sz w:val="20"/>
          <w:szCs w:val="20"/>
          <w:color w:val="auto"/>
        </w:rPr>
      </w:pPr>
    </w:p>
    <w:p>
      <w:pPr>
        <w:ind w:right="540" w:firstLine="648"/>
        <w:spacing w:after="0" w:line="267" w:lineRule="auto"/>
        <w:rPr>
          <w:sz w:val="20"/>
          <w:szCs w:val="20"/>
          <w:color w:val="auto"/>
        </w:rPr>
      </w:pPr>
      <w:r>
        <w:rPr>
          <w:rFonts w:ascii="Arial" w:cs="Arial" w:eastAsia="Arial" w:hAnsi="Arial"/>
          <w:sz w:val="18"/>
          <w:szCs w:val="18"/>
          <w:i w:val="1"/>
          <w:iCs w:val="1"/>
          <w:color w:val="auto"/>
        </w:rPr>
        <w:t xml:space="preserve">David M. Pawlick, 52, Vice President </w:t>
      </w:r>
      <w:r>
        <w:rPr>
          <w:rFonts w:ascii="Arial" w:cs="Arial" w:eastAsia="Arial" w:hAnsi="Arial"/>
          <w:sz w:val="18"/>
          <w:szCs w:val="18"/>
          <w:color w:val="auto"/>
        </w:rPr>
        <w:t>–</w:t>
      </w:r>
      <w:r>
        <w:rPr>
          <w:rFonts w:ascii="Arial" w:cs="Arial" w:eastAsia="Arial" w:hAnsi="Arial"/>
          <w:sz w:val="18"/>
          <w:szCs w:val="18"/>
          <w:i w:val="1"/>
          <w:iCs w:val="1"/>
          <w:color w:val="auto"/>
        </w:rPr>
        <w:t xml:space="preserve"> Controller, </w:t>
      </w:r>
      <w:r>
        <w:rPr>
          <w:rFonts w:ascii="Arial" w:cs="Arial" w:eastAsia="Arial" w:hAnsi="Arial"/>
          <w:sz w:val="18"/>
          <w:szCs w:val="18"/>
          <w:color w:val="auto"/>
        </w:rPr>
        <w:t>joined the Company in 2000. He has served the Company as Vice President –</w:t>
      </w:r>
      <w:r>
        <w:rPr>
          <w:rFonts w:ascii="Arial" w:cs="Arial" w:eastAsia="Arial" w:hAnsi="Arial"/>
          <w:sz w:val="18"/>
          <w:szCs w:val="18"/>
          <w:i w:val="1"/>
          <w:iCs w:val="1"/>
          <w:color w:val="auto"/>
        </w:rPr>
        <w:t xml:space="preserve"> </w:t>
      </w:r>
      <w:r>
        <w:rPr>
          <w:rFonts w:ascii="Arial" w:cs="Arial" w:eastAsia="Arial" w:hAnsi="Arial"/>
          <w:sz w:val="18"/>
          <w:szCs w:val="18"/>
          <w:color w:val="auto"/>
        </w:rPr>
        <w:t>Controller since March 2008, and as Director of Corporate Accounting from 2000 to</w:t>
      </w:r>
    </w:p>
    <w:p>
      <w:pPr>
        <w:spacing w:after="0" w:line="1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9" w:name="page10"/>
    <w:bookmarkEnd w:id="9"/>
    <w:p>
      <w:pPr>
        <w:ind w:right="100"/>
        <w:spacing w:after="0" w:line="246" w:lineRule="auto"/>
        <w:rPr>
          <w:sz w:val="20"/>
          <w:szCs w:val="20"/>
          <w:color w:val="auto"/>
        </w:rPr>
      </w:pPr>
      <w:r>
        <w:rPr>
          <w:rFonts w:ascii="Arial" w:cs="Arial" w:eastAsia="Arial" w:hAnsi="Arial"/>
          <w:sz w:val="18"/>
          <w:szCs w:val="18"/>
          <w:color w:val="auto"/>
        </w:rPr>
        <w:t>2008. From 1994 to 2000 he served as Director of Finance and Controller for Ahlstrom Machinery, Inc. in Glens Falls, New York. Prior to 1994, he was employed as an Audit Manager for Coopers &amp; Lybrand.</w:t>
      </w:r>
    </w:p>
    <w:p>
      <w:pPr>
        <w:spacing w:after="0" w:line="138" w:lineRule="exact"/>
        <w:rPr>
          <w:sz w:val="20"/>
          <w:szCs w:val="20"/>
          <w:color w:val="auto"/>
        </w:rPr>
      </w:pPr>
    </w:p>
    <w:p>
      <w:pPr>
        <w:ind w:right="40" w:firstLine="648"/>
        <w:spacing w:after="0" w:line="251" w:lineRule="auto"/>
        <w:rPr>
          <w:sz w:val="20"/>
          <w:szCs w:val="20"/>
          <w:color w:val="auto"/>
        </w:rPr>
      </w:pPr>
      <w:r>
        <w:rPr>
          <w:rFonts w:ascii="Arial" w:cs="Arial" w:eastAsia="Arial" w:hAnsi="Arial"/>
          <w:sz w:val="18"/>
          <w:szCs w:val="18"/>
          <w:i w:val="1"/>
          <w:iCs w:val="1"/>
          <w:color w:val="auto"/>
        </w:rPr>
        <w:t xml:space="preserve">Charles J. Silva Jr., 54, Vice President </w:t>
      </w:r>
      <w:r>
        <w:rPr>
          <w:rFonts w:ascii="Arial" w:cs="Arial" w:eastAsia="Arial" w:hAnsi="Arial"/>
          <w:sz w:val="18"/>
          <w:szCs w:val="18"/>
          <w:color w:val="auto"/>
        </w:rPr>
        <w:t>–</w:t>
      </w:r>
      <w:r>
        <w:rPr>
          <w:rFonts w:ascii="Arial" w:cs="Arial" w:eastAsia="Arial" w:hAnsi="Arial"/>
          <w:sz w:val="18"/>
          <w:szCs w:val="18"/>
          <w:i w:val="1"/>
          <w:iCs w:val="1"/>
          <w:color w:val="auto"/>
        </w:rPr>
        <w:t xml:space="preserve"> General Counsel and Secretary, </w:t>
      </w:r>
      <w:r>
        <w:rPr>
          <w:rFonts w:ascii="Arial" w:cs="Arial" w:eastAsia="Arial" w:hAnsi="Arial"/>
          <w:sz w:val="18"/>
          <w:szCs w:val="18"/>
          <w:color w:val="auto"/>
        </w:rPr>
        <w:t>joined the Company in 1994. He has served the Company as</w:t>
      </w:r>
      <w:r>
        <w:rPr>
          <w:rFonts w:ascii="Arial" w:cs="Arial" w:eastAsia="Arial" w:hAnsi="Arial"/>
          <w:sz w:val="18"/>
          <w:szCs w:val="18"/>
          <w:i w:val="1"/>
          <w:iCs w:val="1"/>
          <w:color w:val="auto"/>
        </w:rPr>
        <w:t xml:space="preserve"> </w:t>
      </w:r>
      <w:r>
        <w:rPr>
          <w:rFonts w:ascii="Arial" w:cs="Arial" w:eastAsia="Arial" w:hAnsi="Arial"/>
          <w:sz w:val="18"/>
          <w:szCs w:val="18"/>
          <w:color w:val="auto"/>
        </w:rPr>
        <w:t>Vice President – General Counsel and Secretary since 2002. He served as Assistant General Counsel from 1994 until 2002. Prior to 1994, he was an associate with Cleary, Gottlieb, Steen and Hamilton, an international law firm with headquarters in New York City.</w:t>
      </w:r>
    </w:p>
    <w:p>
      <w:pPr>
        <w:spacing w:after="0" w:line="147" w:lineRule="exact"/>
        <w:rPr>
          <w:sz w:val="20"/>
          <w:szCs w:val="20"/>
          <w:color w:val="auto"/>
        </w:rPr>
      </w:pPr>
    </w:p>
    <w:p>
      <w:pPr>
        <w:ind w:right="80" w:firstLine="648"/>
        <w:spacing w:after="0" w:line="242" w:lineRule="auto"/>
        <w:rPr>
          <w:sz w:val="20"/>
          <w:szCs w:val="20"/>
          <w:color w:val="auto"/>
        </w:rPr>
      </w:pPr>
      <w:r>
        <w:rPr>
          <w:rFonts w:ascii="Arial" w:cs="Arial" w:eastAsia="Arial" w:hAnsi="Arial"/>
          <w:sz w:val="18"/>
          <w:szCs w:val="18"/>
          <w:i w:val="1"/>
          <w:iCs w:val="1"/>
          <w:color w:val="auto"/>
        </w:rPr>
        <w:t xml:space="preserve">Dawne H. Wimbrow, 56, Vice President </w:t>
      </w:r>
      <w:r>
        <w:rPr>
          <w:rFonts w:ascii="Arial" w:cs="Arial" w:eastAsia="Arial" w:hAnsi="Arial"/>
          <w:sz w:val="18"/>
          <w:szCs w:val="18"/>
          <w:color w:val="auto"/>
        </w:rPr>
        <w:t>–</w:t>
      </w:r>
      <w:r>
        <w:rPr>
          <w:rFonts w:ascii="Arial" w:cs="Arial" w:eastAsia="Arial" w:hAnsi="Arial"/>
          <w:sz w:val="18"/>
          <w:szCs w:val="18"/>
          <w:i w:val="1"/>
          <w:iCs w:val="1"/>
          <w:color w:val="auto"/>
        </w:rPr>
        <w:t xml:space="preserve"> Global Information Services and Chief Information Officer, </w:t>
      </w:r>
      <w:r>
        <w:rPr>
          <w:rFonts w:ascii="Arial" w:cs="Arial" w:eastAsia="Arial" w:hAnsi="Arial"/>
          <w:sz w:val="18"/>
          <w:szCs w:val="18"/>
          <w:color w:val="auto"/>
        </w:rPr>
        <w:t>joined the Company in 1993. She</w:t>
      </w:r>
      <w:r>
        <w:rPr>
          <w:rFonts w:ascii="Arial" w:cs="Arial" w:eastAsia="Arial" w:hAnsi="Arial"/>
          <w:sz w:val="18"/>
          <w:szCs w:val="18"/>
          <w:i w:val="1"/>
          <w:iCs w:val="1"/>
          <w:color w:val="auto"/>
        </w:rPr>
        <w:t xml:space="preserve"> </w:t>
      </w:r>
      <w:r>
        <w:rPr>
          <w:rFonts w:ascii="Arial" w:cs="Arial" w:eastAsia="Arial" w:hAnsi="Arial"/>
          <w:sz w:val="18"/>
          <w:szCs w:val="18"/>
          <w:color w:val="auto"/>
        </w:rPr>
        <w:t>has served the Company as Vice President – Global Information Services and Chief Information Officer since September 2005. She previously served the Company in various management positions in the Global Information Systems organization. From 1980 to 1993, she worked as a consultant supporting the design, development, and implementation of computer systems for various textile, real estate, insurance, and law firms.</w:t>
      </w:r>
    </w:p>
    <w:p>
      <w:pPr>
        <w:spacing w:after="0" w:line="145" w:lineRule="exact"/>
        <w:rPr>
          <w:sz w:val="20"/>
          <w:szCs w:val="20"/>
          <w:color w:val="auto"/>
        </w:rPr>
      </w:pPr>
    </w:p>
    <w:p>
      <w:pPr>
        <w:jc w:val="both"/>
        <w:ind w:right="200" w:firstLine="648"/>
        <w:spacing w:after="0" w:line="251" w:lineRule="auto"/>
        <w:rPr>
          <w:sz w:val="20"/>
          <w:szCs w:val="20"/>
          <w:color w:val="auto"/>
        </w:rPr>
      </w:pPr>
      <w:r>
        <w:rPr>
          <w:rFonts w:ascii="Arial" w:cs="Arial" w:eastAsia="Arial" w:hAnsi="Arial"/>
          <w:sz w:val="18"/>
          <w:szCs w:val="18"/>
          <w:i w:val="1"/>
          <w:iCs w:val="1"/>
          <w:color w:val="auto"/>
        </w:rPr>
        <w:t xml:space="preserve">Joseph M. Gaug, 50, Associate General Counsel and Assistant Secretary, </w:t>
      </w:r>
      <w:r>
        <w:rPr>
          <w:rFonts w:ascii="Arial" w:cs="Arial" w:eastAsia="Arial" w:hAnsi="Arial"/>
          <w:sz w:val="18"/>
          <w:szCs w:val="18"/>
          <w:color w:val="auto"/>
        </w:rPr>
        <w:t>joined the Company in 2004. He has served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as Associate General Counsel since 2004 and as Assistant Secretary since 2006. Prior to 2004, he was a principal with McNamee, Lochner, Titus &amp; Williams, P.C., a law firm located in Albany, New York.</w:t>
      </w:r>
    </w:p>
    <w:p>
      <w:pPr>
        <w:spacing w:after="0" w:line="152" w:lineRule="exact"/>
        <w:rPr>
          <w:sz w:val="20"/>
          <w:szCs w:val="20"/>
          <w:color w:val="auto"/>
        </w:rPr>
      </w:pPr>
    </w:p>
    <w:p>
      <w:pPr>
        <w:ind w:right="80" w:firstLine="648"/>
        <w:spacing w:after="0"/>
        <w:rPr>
          <w:sz w:val="20"/>
          <w:szCs w:val="20"/>
          <w:color w:val="auto"/>
        </w:rPr>
      </w:pPr>
      <w:r>
        <w:rPr>
          <w:rFonts w:ascii="Arial" w:cs="Arial" w:eastAsia="Arial" w:hAnsi="Arial"/>
          <w:sz w:val="18"/>
          <w:szCs w:val="18"/>
          <w:color w:val="auto"/>
        </w:rPr>
        <w:t>We are incorporated under the laws of the State of Delaware and are the successor to a New York corporation originally incorporated in 1895, which was merged into the Company in August 1987 solely for the purpose of changing the domicile of the corporation. References to the Company that relate to any time prior to the August 1987 merger should be understood to refer to the predecessor New York corporation.</w:t>
      </w:r>
    </w:p>
    <w:p>
      <w:pPr>
        <w:spacing w:after="0" w:line="176"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Our Corporate Governance Guidelines, Business Ethics Policy, and Code of Ethics for the Chief Executive Officer, Chief Financial Officer, and Controller, and the charters of the Audit, Compensation, and Governance Committees of the Board of Directors are available at the Corporate Governance section of our website (www.albint.com).</w:t>
      </w:r>
    </w:p>
    <w:p>
      <w:pPr>
        <w:spacing w:after="0" w:line="162"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Our current reports on Form 8-K, quarterly reports on Form 10-Q, and annual reports on Form 10-K are electronically filed with the Securities and Exchange Commission (SEC), and all such reports and amendments to such reports filed subsequent to November 15, 2002, have been and will be made available, free of charge, through our website (www.albint.com) as soon as reasonably practicable after such filing. The public may read and copy any materials filed by the Company with the SEC at the SEC’s Public Reference Room at 450 Fifth Street, NW, Washington, D.C. The public may obtain information on the operation of the Public Reference Room by calling the SEC at 1-800-SEC0330. The SEC maintains a website (www.sec.gov) that contains reports, proxy, information statements, and other information regarding issuers that file electronically with the SEC.</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jc w:val="both"/>
        <w:ind w:right="60" w:firstLine="648"/>
        <w:spacing w:after="0" w:line="245" w:lineRule="auto"/>
        <w:rPr>
          <w:sz w:val="20"/>
          <w:szCs w:val="20"/>
          <w:color w:val="auto"/>
        </w:rPr>
      </w:pPr>
      <w:r>
        <w:rPr>
          <w:rFonts w:ascii="Arial" w:cs="Arial" w:eastAsia="Arial" w:hAnsi="Arial"/>
          <w:sz w:val="18"/>
          <w:szCs w:val="18"/>
          <w:i w:val="1"/>
          <w:iCs w:val="1"/>
          <w:color w:val="auto"/>
        </w:rPr>
        <w:t>The Company’s business, operations, and financial condition are subject to various risks. Some of these risks are described below and in the documents incorporated by reference, and investors should take these risks into account in evaluating any investment decision involving the Company. This section does not describe all risks applicable to the Company, its industry or business, and it is intended only as a summary of certain material factors.</w:t>
      </w:r>
    </w:p>
    <w:p>
      <w:pPr>
        <w:spacing w:after="0" w:line="137" w:lineRule="exact"/>
        <w:rPr>
          <w:sz w:val="20"/>
          <w:szCs w:val="20"/>
          <w:color w:val="auto"/>
        </w:rPr>
      </w:pPr>
    </w:p>
    <w:p>
      <w:pPr>
        <w:ind w:right="700"/>
        <w:spacing w:after="0" w:line="271" w:lineRule="auto"/>
        <w:rPr>
          <w:sz w:val="20"/>
          <w:szCs w:val="20"/>
          <w:color w:val="auto"/>
        </w:rPr>
      </w:pPr>
      <w:r>
        <w:rPr>
          <w:rFonts w:ascii="Arial" w:cs="Arial" w:eastAsia="Arial" w:hAnsi="Arial"/>
          <w:sz w:val="18"/>
          <w:szCs w:val="18"/>
          <w:b w:val="1"/>
          <w:bCs w:val="1"/>
          <w:i w:val="1"/>
          <w:iCs w:val="1"/>
          <w:color w:val="auto"/>
        </w:rPr>
        <w:t>A number of factors have had, and in future periods could have, an adverse impact on sales, profitability and cash flow in the Company’s Machine Clothing segment</w:t>
      </w:r>
    </w:p>
    <w:p>
      <w:pPr>
        <w:spacing w:after="0" w:line="1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10" w:name="page11"/>
    <w:bookmarkEnd w:id="10"/>
    <w:p>
      <w:pPr>
        <w:ind w:firstLine="648"/>
        <w:spacing w:after="0" w:line="237" w:lineRule="auto"/>
        <w:rPr>
          <w:sz w:val="20"/>
          <w:szCs w:val="20"/>
          <w:color w:val="auto"/>
        </w:rPr>
      </w:pPr>
      <w:r>
        <w:rPr>
          <w:rFonts w:ascii="Arial" w:cs="Arial" w:eastAsia="Arial" w:hAnsi="Arial"/>
          <w:sz w:val="18"/>
          <w:szCs w:val="18"/>
          <w:color w:val="auto"/>
        </w:rPr>
        <w:t>Significant consolidation and rationalization in the paper industry in recent years has reduced global consumption of paper machine clothing in certain markets. Developments in digital media have adversely affected demand for newsprint and for printing and writing grades of paper in North America and Europe, which has had, and could continue to have, an adverse effect on demand for paper machine clothing in those markets. At the same time, technological advances in papermaking, including in paper machine clothing, while contributing to the papermaking efficiency of customers, have in some cases lengthened the useful life of our products and reduced the number of pieces required to produce the same volume of paper. These factors have had, and in future are likely to have, an adverse effect on paper machine clothing sales.</w:t>
      </w:r>
    </w:p>
    <w:p>
      <w:pPr>
        <w:spacing w:after="0" w:line="163" w:lineRule="exact"/>
        <w:rPr>
          <w:sz w:val="20"/>
          <w:szCs w:val="20"/>
          <w:color w:val="auto"/>
        </w:rPr>
      </w:pPr>
    </w:p>
    <w:p>
      <w:pPr>
        <w:ind w:right="140" w:firstLine="648"/>
        <w:spacing w:after="0"/>
        <w:rPr>
          <w:sz w:val="20"/>
          <w:szCs w:val="20"/>
          <w:color w:val="auto"/>
        </w:rPr>
      </w:pPr>
      <w:r>
        <w:rPr>
          <w:rFonts w:ascii="Arial" w:cs="Arial" w:eastAsia="Arial" w:hAnsi="Arial"/>
          <w:sz w:val="18"/>
          <w:szCs w:val="18"/>
          <w:color w:val="auto"/>
        </w:rPr>
        <w:t>The market for paper machine clothing in recent years has been characterized by increased price competition, especially in Europe, which has negatively affected our net sales and operating results. We expect price competition to remain intense in all paper machine clothing markets, especially during periods of customer consolidation, plant closures, or when major contracts are being renegotiated.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AEC is subject to significant execution risk related to the LEAP program in the short and medium-term</w:t>
      </w:r>
    </w:p>
    <w:p>
      <w:pPr>
        <w:spacing w:after="0" w:line="193" w:lineRule="exact"/>
        <w:rPr>
          <w:sz w:val="20"/>
          <w:szCs w:val="20"/>
          <w:color w:val="auto"/>
        </w:rPr>
      </w:pPr>
    </w:p>
    <w:p>
      <w:pPr>
        <w:ind w:right="80" w:firstLine="648"/>
        <w:spacing w:after="0" w:line="236" w:lineRule="auto"/>
        <w:rPr>
          <w:sz w:val="20"/>
          <w:szCs w:val="20"/>
          <w:color w:val="auto"/>
        </w:rPr>
      </w:pPr>
      <w:r>
        <w:rPr>
          <w:rFonts w:ascii="Arial" w:cs="Arial" w:eastAsia="Arial" w:hAnsi="Arial"/>
          <w:sz w:val="18"/>
          <w:szCs w:val="18"/>
          <w:color w:val="auto"/>
        </w:rPr>
        <w:t>The expected size and steep growth rate of the market for LEAP engines continues to put significant pressure on AEC to execute in the short and medium-term. In the short term, AEC must continue to fulfill critical product and process design and test milestones, continue to ramp production in the first LEAP plant in Rochester, New Hampshire, meet certain production readiness milestones, and continue the construction, equipping and staffing of the second LEAP plant in Commercy, France. In the medium-term, AEC will be required to continue to ramp up these new operations to full production. AEC’s ability to realize the full growth potential of the LEAP program will depend on how effectively it accomplishes these goals. Failure to accomplish these goals could have a material adverse impact on the amount and timing of anticipated LEAP program revenues, income, and cash flows, which could in turn have a material adverse impact on our consolidated financial results.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long-term growth prospects of AEC are subject to a number of risks</w:t>
      </w:r>
    </w:p>
    <w:p>
      <w:pPr>
        <w:spacing w:after="0" w:line="207" w:lineRule="exact"/>
        <w:rPr>
          <w:sz w:val="20"/>
          <w:szCs w:val="20"/>
          <w:color w:val="auto"/>
        </w:rPr>
      </w:pPr>
    </w:p>
    <w:p>
      <w:pPr>
        <w:ind w:right="260" w:firstLine="648"/>
        <w:spacing w:after="0" w:line="237" w:lineRule="auto"/>
        <w:rPr>
          <w:sz w:val="20"/>
          <w:szCs w:val="20"/>
          <w:color w:val="auto"/>
        </w:rPr>
      </w:pPr>
      <w:r>
        <w:rPr>
          <w:rFonts w:ascii="Arial" w:cs="Arial" w:eastAsia="Arial" w:hAnsi="Arial"/>
          <w:sz w:val="18"/>
          <w:szCs w:val="18"/>
          <w:color w:val="auto"/>
        </w:rPr>
        <w:t>Future growth and long-term success of AEC beyond the LEAP program will depend, in part, on the success of new commercial and military aircraft programs. AEC is currently working with customers on projects to develop components for a number of commercial, general aviation, and military aircraft programs. These development projects may or may not result in supply opportunities. In the event that AEC succeeds in developing products and securing contracts to manufacture and supply them, it will face the same industrialization and manufacturing ramp-up risks that it currently faces in the LEAP program, and may or may not be successful in meeting its obligations under these contracts.</w:t>
      </w:r>
    </w:p>
    <w:p>
      <w:pPr>
        <w:spacing w:after="0" w:line="165" w:lineRule="exact"/>
        <w:rPr>
          <w:sz w:val="20"/>
          <w:szCs w:val="20"/>
          <w:color w:val="auto"/>
        </w:rPr>
      </w:pPr>
    </w:p>
    <w:p>
      <w:pPr>
        <w:ind w:right="60" w:firstLine="648"/>
        <w:spacing w:after="0" w:line="237" w:lineRule="auto"/>
        <w:rPr>
          <w:sz w:val="20"/>
          <w:szCs w:val="20"/>
          <w:color w:val="auto"/>
        </w:rPr>
      </w:pPr>
      <w:r>
        <w:rPr>
          <w:rFonts w:ascii="Arial" w:cs="Arial" w:eastAsia="Arial" w:hAnsi="Arial"/>
          <w:sz w:val="18"/>
          <w:szCs w:val="18"/>
          <w:color w:val="auto"/>
        </w:rPr>
        <w:t>In addition to dealing with these development and manufacturing execution risks, future AEC growth will likely require increasingly larger amounts of cash to fund the investments likely to be required in equipment, capital, and development efforts required to achieve this growth. While AEC is starting to generate increasing amounts of cash, it is likely to be some time before AEC generates sufficient cash to fund, or to obtain financing to fund, this growth. Until that time, it will remain dependent on the Machine Clothing segment’s ability to generate cash, and a significant decline in Machine Clothing sales, operating income or cash flows could therefore have a material adverse impact on AEC’s growth.</w:t>
      </w:r>
    </w:p>
    <w:p>
      <w:pPr>
        <w:spacing w:after="0" w:line="143" w:lineRule="exact"/>
        <w:rPr>
          <w:sz w:val="20"/>
          <w:szCs w:val="20"/>
          <w:color w:val="auto"/>
        </w:rPr>
      </w:pPr>
    </w:p>
    <w:p>
      <w:pPr>
        <w:ind w:right="520"/>
        <w:spacing w:after="0" w:line="271" w:lineRule="auto"/>
        <w:rPr>
          <w:sz w:val="20"/>
          <w:szCs w:val="20"/>
          <w:color w:val="auto"/>
        </w:rPr>
      </w:pPr>
      <w:r>
        <w:rPr>
          <w:rFonts w:ascii="Arial" w:cs="Arial" w:eastAsia="Arial" w:hAnsi="Arial"/>
          <w:sz w:val="18"/>
          <w:szCs w:val="18"/>
          <w:b w:val="1"/>
          <w:bCs w:val="1"/>
          <w:i w:val="1"/>
          <w:iCs w:val="1"/>
          <w:color w:val="auto"/>
        </w:rPr>
        <w:t>Some of the Company’s competitors in the Machine Clothing segment have the capability to make and sell paper machines and papermaking equipment as well as other engineered fabrics</w:t>
      </w:r>
    </w:p>
    <w:p>
      <w:pPr>
        <w:spacing w:after="0" w:line="149" w:lineRule="exact"/>
        <w:rPr>
          <w:sz w:val="20"/>
          <w:szCs w:val="20"/>
          <w:color w:val="auto"/>
        </w:rPr>
      </w:pPr>
    </w:p>
    <w:p>
      <w:pPr>
        <w:ind w:right="120" w:firstLine="648"/>
        <w:spacing w:after="0"/>
        <w:rPr>
          <w:sz w:val="20"/>
          <w:szCs w:val="20"/>
          <w:color w:val="auto"/>
        </w:rPr>
      </w:pPr>
      <w:r>
        <w:rPr>
          <w:rFonts w:ascii="Arial" w:cs="Arial" w:eastAsia="Arial" w:hAnsi="Arial"/>
          <w:sz w:val="18"/>
          <w:szCs w:val="18"/>
          <w:color w:val="auto"/>
        </w:rPr>
        <w:t>Although customers historically have tended to view the purchase of paper machine clothing and the purchase of paper machines as separate purchasing decisions, the ability to coordinate research and development efforts, and to market machines and fabrics together, could provide a competitive advantage. This</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11" w:name="page12"/>
    <w:bookmarkEnd w:id="11"/>
    <w:p>
      <w:pPr>
        <w:ind w:right="140"/>
        <w:spacing w:after="0" w:line="246" w:lineRule="auto"/>
        <w:rPr>
          <w:sz w:val="20"/>
          <w:szCs w:val="20"/>
          <w:color w:val="auto"/>
        </w:rPr>
      </w:pPr>
      <w:r>
        <w:rPr>
          <w:rFonts w:ascii="Arial" w:cs="Arial" w:eastAsia="Arial" w:hAnsi="Arial"/>
          <w:sz w:val="18"/>
          <w:szCs w:val="18"/>
          <w:color w:val="auto"/>
        </w:rPr>
        <w:t>underscores the importance of our ability to maintain the technological competitiveness and value of our products, and a failure to do so could have a material adverse effect on our business, financial condition, and results of operations.</w:t>
      </w:r>
    </w:p>
    <w:p>
      <w:pPr>
        <w:spacing w:after="0" w:line="156" w:lineRule="exact"/>
        <w:rPr>
          <w:sz w:val="20"/>
          <w:szCs w:val="20"/>
          <w:color w:val="auto"/>
        </w:rPr>
      </w:pPr>
    </w:p>
    <w:p>
      <w:pPr>
        <w:ind w:right="240" w:firstLine="648"/>
        <w:spacing w:after="0" w:line="246" w:lineRule="auto"/>
        <w:rPr>
          <w:sz w:val="20"/>
          <w:szCs w:val="20"/>
          <w:color w:val="auto"/>
        </w:rPr>
      </w:pPr>
      <w:r>
        <w:rPr>
          <w:rFonts w:ascii="Arial" w:cs="Arial" w:eastAsia="Arial" w:hAnsi="Arial"/>
          <w:sz w:val="18"/>
          <w:szCs w:val="18"/>
          <w:color w:val="auto"/>
        </w:rPr>
        <w:t>Moreover, we cannot predict how the nature of competition in this segment may continue to evolve as a result of future consolidation among our competitors, or consolidation involving our competitors and other suppliers to our customers.</w:t>
      </w:r>
    </w:p>
    <w:p>
      <w:pPr>
        <w:spacing w:after="0" w:line="148"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b w:val="1"/>
          <w:bCs w:val="1"/>
          <w:i w:val="1"/>
          <w:iCs w:val="1"/>
          <w:color w:val="auto"/>
        </w:rPr>
        <w:t>Fixed-price contracts, contract or program terminations, reductions, cancellations, delays or other changes could result in losses or material write-offs in the Engineered Composites segment</w:t>
      </w:r>
    </w:p>
    <w:p>
      <w:pPr>
        <w:spacing w:after="0" w:line="135" w:lineRule="exact"/>
        <w:rPr>
          <w:sz w:val="20"/>
          <w:szCs w:val="20"/>
          <w:color w:val="auto"/>
        </w:rPr>
      </w:pPr>
    </w:p>
    <w:p>
      <w:pPr>
        <w:ind w:right="40" w:firstLine="648"/>
        <w:spacing w:after="0" w:line="236" w:lineRule="auto"/>
        <w:rPr>
          <w:sz w:val="20"/>
          <w:szCs w:val="20"/>
          <w:color w:val="auto"/>
        </w:rPr>
      </w:pPr>
      <w:r>
        <w:rPr>
          <w:rFonts w:ascii="Arial" w:cs="Arial" w:eastAsia="Arial" w:hAnsi="Arial"/>
          <w:sz w:val="18"/>
          <w:szCs w:val="18"/>
          <w:color w:val="auto"/>
        </w:rPr>
        <w:t>AEC has a number of long-term or life-of-program fixed price contracts, and is likely to enter into similar contracts in future. While such contracts enable AEC to enjoy increased profits as the result of cost reductions and efficiencies, estimations of contract costs and profitability over a long period of time are subject to many variables, and may prove to be inaccurate. Additionally, many of the parts AEC agrees to develop and produce have highly complex designs, and technical or quality issues may arise during development or production that result in higher costs or an inability to achieve required technical specifications. If actual production and/or development costs should prove higher, or revenues prove lower, than AEC’s estimates, our expected profits may be reduced, or if such costs should exceed contract prices, we may be required to recognize losses for future periods, and potentially for the remaining life of the program, which could significantly affect our reported results.</w:t>
      </w:r>
    </w:p>
    <w:p>
      <w:pPr>
        <w:spacing w:after="0" w:line="195" w:lineRule="exact"/>
        <w:rPr>
          <w:sz w:val="20"/>
          <w:szCs w:val="20"/>
          <w:color w:val="auto"/>
        </w:rPr>
      </w:pPr>
    </w:p>
    <w:p>
      <w:pPr>
        <w:ind w:right="160" w:firstLine="648"/>
        <w:spacing w:after="0"/>
        <w:rPr>
          <w:sz w:val="20"/>
          <w:szCs w:val="20"/>
          <w:color w:val="auto"/>
        </w:rPr>
      </w:pPr>
      <w:r>
        <w:rPr>
          <w:rFonts w:ascii="Arial" w:cs="Arial" w:eastAsia="Arial" w:hAnsi="Arial"/>
          <w:sz w:val="18"/>
          <w:szCs w:val="18"/>
          <w:color w:val="auto"/>
        </w:rPr>
        <w:t>In addition, the reduction or delay of orders by AEC’s customers under these contracts, or the termination of such contracts or orders, including those relating to the LEAP program, could also have a material adverse effect on AEC revenues and earnings in any period. Such events could also result in the write-off of deferred charges that have been accumulated in anticipation of future revenue streams.</w:t>
      </w:r>
    </w:p>
    <w:p>
      <w:pPr>
        <w:spacing w:after="0" w:line="140"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b w:val="1"/>
          <w:bCs w:val="1"/>
          <w:i w:val="1"/>
          <w:iCs w:val="1"/>
          <w:color w:val="auto"/>
        </w:rPr>
        <w:t>The Standish family has a significant influence on our Company and could prevent transactions that might be in the best interests of our other stockholders</w:t>
      </w:r>
    </w:p>
    <w:p>
      <w:pPr>
        <w:spacing w:after="0" w:line="149" w:lineRule="exact"/>
        <w:rPr>
          <w:sz w:val="20"/>
          <w:szCs w:val="20"/>
          <w:color w:val="auto"/>
        </w:rPr>
      </w:pPr>
    </w:p>
    <w:p>
      <w:pPr>
        <w:ind w:right="140" w:firstLine="648"/>
        <w:spacing w:after="0" w:line="237" w:lineRule="auto"/>
        <w:rPr>
          <w:sz w:val="20"/>
          <w:szCs w:val="20"/>
          <w:color w:val="auto"/>
        </w:rPr>
      </w:pPr>
      <w:r>
        <w:rPr>
          <w:rFonts w:ascii="Arial" w:cs="Arial" w:eastAsia="Arial" w:hAnsi="Arial"/>
          <w:sz w:val="18"/>
          <w:szCs w:val="18"/>
          <w:color w:val="auto"/>
        </w:rPr>
        <w:t>As of December 31, 2013, J. Spencer Standish and related persons (including Christine L. Standish and John C. Standish, both directors of the Company) held in the aggregate shares entitling them to cast approximately 53% of the combined votes entitled to be cast by all stockholders of the Company. The Standish family has significant influence over the management and affairs of the Company and matters requiring stockholder approval, including the election of directors and approval of significant corporate transactions. The Standish family currently has, in the aggregate, sufficient voting power to elect all of our directors and determine the outcome of any shareholder action requiring a majority vote. This could have the effect of delaying or preventing a change in control or a merger, consolidation, or other business combination at a premium price, even though it might be in the best interest of our other stockholders.</w:t>
      </w:r>
    </w:p>
    <w:p>
      <w:pPr>
        <w:spacing w:after="0" w:line="141" w:lineRule="exact"/>
        <w:rPr>
          <w:sz w:val="20"/>
          <w:szCs w:val="20"/>
          <w:color w:val="auto"/>
        </w:rPr>
      </w:pPr>
    </w:p>
    <w:p>
      <w:pPr>
        <w:ind w:right="700"/>
        <w:spacing w:after="0" w:line="271" w:lineRule="auto"/>
        <w:rPr>
          <w:sz w:val="20"/>
          <w:szCs w:val="20"/>
          <w:color w:val="auto"/>
        </w:rPr>
      </w:pPr>
      <w:r>
        <w:rPr>
          <w:rFonts w:ascii="Arial" w:cs="Arial" w:eastAsia="Arial" w:hAnsi="Arial"/>
          <w:sz w:val="18"/>
          <w:szCs w:val="18"/>
          <w:b w:val="1"/>
          <w:bCs w:val="1"/>
          <w:color w:val="auto"/>
        </w:rPr>
        <w:t>Deterioration of current global economic conditions could have an adverse impact on the Company’s business and results of operations</w:t>
      </w:r>
    </w:p>
    <w:p>
      <w:pPr>
        <w:spacing w:after="0" w:line="135"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The Company identifies in this section a number of risks, the effects of which may be exacerbated by an unfavorable economic climate. For example, unfavorable global economic and paper industry conditions may lead to greater consolidation and rationalization within the paper industry, further reducing global consumption of paper machine clothing. Reduced consumption of paper machine clothing could in turn increase the risk of greater price competition within the paper machine clothing industry, and greater efforts by competitors to gain market share at the expense of the Company. Sales of the Company’s other Machine Clothing products, as well as in the Company’s AEC business segment, may also be adversely affected by unfavorable economic conditions.</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12" w:name="page13"/>
    <w:bookmarkEnd w:id="12"/>
    <w:p>
      <w:pPr>
        <w:ind w:right="120" w:firstLine="648"/>
        <w:spacing w:after="0" w:line="237" w:lineRule="auto"/>
        <w:rPr>
          <w:sz w:val="20"/>
          <w:szCs w:val="20"/>
          <w:color w:val="auto"/>
        </w:rPr>
      </w:pPr>
      <w:r>
        <w:rPr>
          <w:rFonts w:ascii="Arial" w:cs="Arial" w:eastAsia="Arial" w:hAnsi="Arial"/>
          <w:sz w:val="18"/>
          <w:szCs w:val="18"/>
          <w:color w:val="auto"/>
        </w:rPr>
        <w:t>Weak or unstable economic conditions also increase the risk that one or more of our customers could be unable to pay outstanding accounts receivable, whether as the result of bankruptcy or an inability to obtain working capital financing from banks or other lenders. In such a case, we could be forced to write off such accounts, which could have a material adverse effect on our operating results, financial condition, and/or liquidity. Furthermore, many of our businesses design and manufacture products that are custom-designed for a specific customer application, at a specific location. In the event of a customer liquidity issue, the Company could also be required to write off amounts that are included in inventories.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may experience supply constraints due to a limited number of suppliers of certain raw materials and equipment</w:t>
      </w:r>
    </w:p>
    <w:p>
      <w:pPr>
        <w:spacing w:after="0" w:line="207" w:lineRule="exact"/>
        <w:rPr>
          <w:sz w:val="20"/>
          <w:szCs w:val="20"/>
          <w:color w:val="auto"/>
        </w:rPr>
      </w:pPr>
    </w:p>
    <w:p>
      <w:pPr>
        <w:ind w:right="120" w:firstLine="648"/>
        <w:spacing w:after="0" w:line="236" w:lineRule="auto"/>
        <w:rPr>
          <w:sz w:val="20"/>
          <w:szCs w:val="20"/>
          <w:color w:val="auto"/>
        </w:rPr>
      </w:pPr>
      <w:r>
        <w:rPr>
          <w:rFonts w:ascii="Arial" w:cs="Arial" w:eastAsia="Arial" w:hAnsi="Arial"/>
          <w:sz w:val="18"/>
          <w:szCs w:val="18"/>
          <w:color w:val="auto"/>
        </w:rPr>
        <w:t>There are a limited number of suppliers of polymer fiber and monofilaments, key raw materials used in the manufacture of Machine Clothing, and of carbon fiber and carbon resin, key raw materials used by AEC. In addition, there are a limited number of suppliers of some of the equipment used by AEC. While we have always been able to meet our raw material and equipment needs, the limited number of suppliers of these items creates the potential for disruptions in supply. AEC currently relies on single suppliers to meet the carbon fiber and carbon resin requirements for the LEAP program. Lack of supply, delivery delays, or quality problems relating to supplied raw materials for our key manufacturing equipment could harm our production capacity, and could require the Company to attempt to qualify one or more additional suppliers, which could be a lengthy and uncertain process. Such disruptions could make it difficult to supply our customers with products on time, which could have a negative impact on our business, financial condition, and results of operations.</w:t>
      </w:r>
    </w:p>
    <w:p>
      <w:pPr>
        <w:spacing w:after="0" w:line="146"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b w:val="1"/>
          <w:bCs w:val="1"/>
          <w:i w:val="1"/>
          <w:iCs w:val="1"/>
          <w:color w:val="auto"/>
        </w:rPr>
        <w:t>Conditions in the paper industry have required, and could further require, the Company to reorganize its operations, which could result in significant expense and could pose risks to the Company’s operations</w:t>
      </w:r>
    </w:p>
    <w:p>
      <w:pPr>
        <w:spacing w:after="0" w:line="135" w:lineRule="exact"/>
        <w:rPr>
          <w:sz w:val="20"/>
          <w:szCs w:val="20"/>
          <w:color w:val="auto"/>
        </w:rPr>
      </w:pPr>
    </w:p>
    <w:p>
      <w:pPr>
        <w:ind w:right="60" w:firstLine="648"/>
        <w:spacing w:after="0" w:line="236" w:lineRule="auto"/>
        <w:rPr>
          <w:sz w:val="20"/>
          <w:szCs w:val="20"/>
          <w:color w:val="auto"/>
        </w:rPr>
      </w:pPr>
      <w:r>
        <w:rPr>
          <w:rFonts w:ascii="Arial" w:cs="Arial" w:eastAsia="Arial" w:hAnsi="Arial"/>
          <w:sz w:val="18"/>
          <w:szCs w:val="18"/>
          <w:color w:val="auto"/>
        </w:rPr>
        <w:t>During the last several years, we have engaged in significant restructuring that included the closing of a number of manufacturing operations in North America, Europe, and Australia. These restructuring activities were intended to match manufacturing capacity to shifting global demand, and also to improve the efficiency of manufacturing and administrative processes. Future shifting of customer demand, the need to reduce costs, or other factors could cause us to determine in the future that additional restructuring steps are required. Restructuring involves risks such as employee work stoppages, slowdowns, or strikes, which can threaten uninterrupted production, maintenance of high product quality, meeting of customers’ delivery deadlines, and maintenance of administrative processes. Increases in output in remaining manufacturing operations can likewise impose stress on these remaining facilities as they undertake the manufacture of greater volume and, in some cases, a greater variety of products. Competitors can be quick to attempt to exploit these situations. Although we consider these risks, we plan each step of the process carefully, and work to reassure customers who could be affected by any such matters that their requirements will continue to be met, we could lose customers and associated revenues if we fail to plan properly, or if the foregoing tactics are ineffective.</w:t>
      </w:r>
    </w:p>
    <w:p>
      <w:pPr>
        <w:spacing w:after="0" w:line="158" w:lineRule="exact"/>
        <w:rPr>
          <w:sz w:val="20"/>
          <w:szCs w:val="20"/>
          <w:color w:val="auto"/>
        </w:rPr>
      </w:pPr>
    </w:p>
    <w:p>
      <w:pPr>
        <w:jc w:val="both"/>
        <w:ind w:right="740"/>
        <w:spacing w:after="0" w:line="253" w:lineRule="auto"/>
        <w:rPr>
          <w:sz w:val="20"/>
          <w:szCs w:val="20"/>
          <w:color w:val="auto"/>
        </w:rPr>
      </w:pPr>
      <w:r>
        <w:rPr>
          <w:rFonts w:ascii="Arial" w:cs="Arial" w:eastAsia="Arial" w:hAnsi="Arial"/>
          <w:sz w:val="18"/>
          <w:szCs w:val="18"/>
          <w:b w:val="1"/>
          <w:bCs w:val="1"/>
          <w:i w:val="1"/>
          <w:iCs w:val="1"/>
          <w:color w:val="auto"/>
        </w:rPr>
        <w:t>We are a “controlled company” within the meaning of the Corporate Governance Rules of the New York Stock Exchange (the “NYSE”) and qualify for, and rely on, certain exemptions from corporate governance requirements applicable to other listed companies</w:t>
      </w:r>
    </w:p>
    <w:p>
      <w:pPr>
        <w:spacing w:after="0" w:line="151"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As a result of the greater than 50% voting power of the Standish family described above, we are a “controlled company” within the meaning of the rules of the NYSE. Therefore, we are not required to comply with certain corporate governance rules that would otherwise apply to us as a listed company on the NYSE, including the requirement that the Compensation and Governance Committees be composed entirely of “independent” directors (as defined by the NYSE rules). In addition, although we believe that a majority of our current directors may be deemed independent under the NYSE rules, as a controlled company our Board of Directors is not required to include a majority of “independent” directors. Should the interests of the Standish family differ from</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13" w:name="page14"/>
    <w:bookmarkEnd w:id="13"/>
    <w:p>
      <w:pPr>
        <w:jc w:val="both"/>
        <w:ind w:right="360"/>
        <w:spacing w:after="0"/>
        <w:rPr>
          <w:sz w:val="20"/>
          <w:szCs w:val="20"/>
          <w:color w:val="auto"/>
        </w:rPr>
      </w:pPr>
      <w:r>
        <w:rPr>
          <w:rFonts w:ascii="Arial" w:cs="Arial" w:eastAsia="Arial" w:hAnsi="Arial"/>
          <w:sz w:val="18"/>
          <w:szCs w:val="18"/>
          <w:color w:val="auto"/>
        </w:rPr>
        <w:t>those of other stockholders, the other stockholders might not be afforded such protections as might exist if our Board of Directors, or these Committees, were required to have a majority, or be composed exclusively, of directors who were independent of the Standish family or our management.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as a result of changes in prices of commodities and labor costs may adversely impact our financial results of operations</w:t>
      </w:r>
    </w:p>
    <w:p>
      <w:pPr>
        <w:spacing w:after="0" w:line="207" w:lineRule="exact"/>
        <w:rPr>
          <w:sz w:val="20"/>
          <w:szCs w:val="20"/>
          <w:color w:val="auto"/>
        </w:rPr>
      </w:pPr>
    </w:p>
    <w:p>
      <w:pPr>
        <w:jc w:val="both"/>
        <w:ind w:right="40" w:firstLine="648"/>
        <w:spacing w:after="0" w:line="239" w:lineRule="auto"/>
        <w:rPr>
          <w:sz w:val="20"/>
          <w:szCs w:val="20"/>
          <w:color w:val="auto"/>
        </w:rPr>
      </w:pPr>
      <w:r>
        <w:rPr>
          <w:rFonts w:ascii="Arial" w:cs="Arial" w:eastAsia="Arial" w:hAnsi="Arial"/>
          <w:sz w:val="18"/>
          <w:szCs w:val="18"/>
          <w:color w:val="auto"/>
        </w:rPr>
        <w:t>The Company is a significant user of petroleum-based products required for the manufacture of our products. The Company also relies on the labor market in many regions of the world to meet our operational requirements. Increases in the prices of such commodities or in labor costs, particularly in regions that are experiencing higher-levels of inflation, could increase our costs, and we may not be able to fully offset the effects through price increases, productivity improvements, and cost-reduction programs.</w:t>
      </w:r>
    </w:p>
    <w:p>
      <w:pPr>
        <w:spacing w:after="0" w:line="139" w:lineRule="exact"/>
        <w:rPr>
          <w:sz w:val="20"/>
          <w:szCs w:val="20"/>
          <w:color w:val="auto"/>
        </w:rPr>
      </w:pPr>
    </w:p>
    <w:p>
      <w:pPr>
        <w:ind w:right="880"/>
        <w:spacing w:after="0" w:line="271" w:lineRule="auto"/>
        <w:rPr>
          <w:sz w:val="20"/>
          <w:szCs w:val="20"/>
          <w:color w:val="auto"/>
        </w:rPr>
      </w:pPr>
      <w:r>
        <w:rPr>
          <w:rFonts w:ascii="Arial" w:cs="Arial" w:eastAsia="Arial" w:hAnsi="Arial"/>
          <w:sz w:val="18"/>
          <w:szCs w:val="18"/>
          <w:b w:val="1"/>
          <w:bCs w:val="1"/>
          <w:i w:val="1"/>
          <w:iCs w:val="1"/>
          <w:color w:val="auto"/>
        </w:rPr>
        <w:t>Fluctuations in currency exchange rates could adversely affect the Company’s business, financial condition, and results of operations</w:t>
      </w:r>
    </w:p>
    <w:p>
      <w:pPr>
        <w:spacing w:after="0" w:line="135" w:lineRule="exact"/>
        <w:rPr>
          <w:sz w:val="20"/>
          <w:szCs w:val="20"/>
          <w:color w:val="auto"/>
        </w:rPr>
      </w:pPr>
    </w:p>
    <w:p>
      <w:pPr>
        <w:ind w:right="40" w:firstLine="648"/>
        <w:spacing w:after="0" w:line="236" w:lineRule="auto"/>
        <w:rPr>
          <w:sz w:val="20"/>
          <w:szCs w:val="20"/>
          <w:color w:val="auto"/>
        </w:rPr>
      </w:pPr>
      <w:r>
        <w:rPr>
          <w:rFonts w:ascii="Arial" w:cs="Arial" w:eastAsia="Arial" w:hAnsi="Arial"/>
          <w:sz w:val="18"/>
          <w:szCs w:val="18"/>
          <w:color w:val="auto"/>
        </w:rPr>
        <w:t>We operate our business in many regions of the world, and currency rate movements can have a significant effect on operating results. Changes in exchange rates can result in revaluation gains and losses that are recorded in Selling, Technical, General and Research expenses or Other income/expense, net. Revaluation gains and losses occur when our business units have cash, intercompany or third-party trade receivable or payable balances in a currency other than their local reporting (or functional) currency. Operating results can also be affected by the translation of sales and costs, for each non-U.S. subsidiary, from the local functional currency to the U.S. dollar. The translation effect on the income statement is dependent on our net income or expense position in each non-U.S. currency in which we do business. A net income position exists when sales realized in a particular currency exceed expenses paid in that currency; a net expense position exists if the opposite is true.</w:t>
      </w:r>
    </w:p>
    <w:p>
      <w:pPr>
        <w:spacing w:after="0" w:line="159"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b w:val="1"/>
          <w:bCs w:val="1"/>
          <w:i w:val="1"/>
          <w:iCs w:val="1"/>
          <w:color w:val="auto"/>
        </w:rPr>
        <w:t>The Company may fail to adequately protect its proprietary technology, which would allow competitors or others to take advantage of its research and development efforts</w:t>
      </w:r>
    </w:p>
    <w:p>
      <w:pPr>
        <w:spacing w:after="0" w:line="135"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Proprietary trade secrets are a source of competitive advantage in each of our segments. If our trade secrets were to become available to competitors, it could have a negative impact on our competitive strength. We employ measures to maintain the confidential nature of these secrets, including maintaining employment and confidentiality agreements; maintaining clear policies intended to protect such trade secrets; educating our employees about such policies; clearly identifying proprietary information subject to such agreements and policies; and vigorously enforcing such agreements and policies. Despite such measures, our employees, consultants, and third parties to whom such information may be disclosed in the ordinary course of our business may breach their obligations not to reveal such information, and any legal remedies available to us may be insufficient to compensate our damages.</w:t>
      </w:r>
    </w:p>
    <w:p>
      <w:pPr>
        <w:spacing w:after="0" w:line="141" w:lineRule="exact"/>
        <w:rPr>
          <w:sz w:val="20"/>
          <w:szCs w:val="20"/>
          <w:color w:val="auto"/>
        </w:rPr>
      </w:pPr>
    </w:p>
    <w:p>
      <w:pPr>
        <w:ind w:right="460"/>
        <w:spacing w:after="0" w:line="253" w:lineRule="auto"/>
        <w:rPr>
          <w:sz w:val="20"/>
          <w:szCs w:val="20"/>
          <w:color w:val="auto"/>
        </w:rPr>
      </w:pPr>
      <w:r>
        <w:rPr>
          <w:rFonts w:ascii="Arial" w:cs="Arial" w:eastAsia="Arial" w:hAnsi="Arial"/>
          <w:sz w:val="18"/>
          <w:szCs w:val="18"/>
          <w:b w:val="1"/>
          <w:bCs w:val="1"/>
          <w:i w:val="1"/>
          <w:iCs w:val="1"/>
          <w:color w:val="auto"/>
        </w:rPr>
        <w:t>At December 31, 2013, the Company had outstanding short-term debt of $3.8 million and long-term debt of $300.1 million. The Company may not be able to repay its outstanding debt in the event that default provisions are triggered due to a breach of loan covenants</w:t>
      </w:r>
    </w:p>
    <w:p>
      <w:pPr>
        <w:spacing w:after="0" w:line="164" w:lineRule="exact"/>
        <w:rPr>
          <w:sz w:val="20"/>
          <w:szCs w:val="20"/>
          <w:color w:val="auto"/>
        </w:rPr>
      </w:pPr>
    </w:p>
    <w:p>
      <w:pPr>
        <w:ind w:right="240" w:firstLine="648"/>
        <w:spacing w:after="0" w:line="237" w:lineRule="auto"/>
        <w:rPr>
          <w:sz w:val="20"/>
          <w:szCs w:val="20"/>
          <w:color w:val="auto"/>
        </w:rPr>
      </w:pPr>
      <w:r>
        <w:rPr>
          <w:rFonts w:ascii="Arial" w:cs="Arial" w:eastAsia="Arial" w:hAnsi="Arial"/>
          <w:sz w:val="18"/>
          <w:szCs w:val="18"/>
          <w:color w:val="auto"/>
        </w:rPr>
        <w:t>Existing borrowing agreements contain a number of covenants and financial ratios that the Company is required to satisfy. The most restrictive of these covenants pertain to prescribed leverage and interest coverage ratios and asset dispositions. Any breach of any such covenants or restrictions would result in a default under such agreements that would permit the lenders to declare all borrowings under such agreements to be immediately due and payable and, through cross-default provisions, could entitle other lenders to accelerate their loans. In such an event, the Company would need to modify or restructure all or a portion of such indebtedness. Depending on prevailing economic conditions at the time, the Company might find it difficult to modify or restructure on attractive terms, or at all.</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14" w:name="page15"/>
    <w:bookmarkEnd w:id="14"/>
    <w:p>
      <w:pPr>
        <w:ind w:right="160" w:firstLine="648"/>
        <w:spacing w:after="0" w:line="238" w:lineRule="auto"/>
        <w:rPr>
          <w:sz w:val="20"/>
          <w:szCs w:val="20"/>
          <w:color w:val="auto"/>
        </w:rPr>
      </w:pPr>
      <w:r>
        <w:rPr>
          <w:rFonts w:ascii="Arial" w:cs="Arial" w:eastAsia="Arial" w:hAnsi="Arial"/>
          <w:sz w:val="18"/>
          <w:szCs w:val="18"/>
          <w:color w:val="auto"/>
        </w:rPr>
        <w:t>We may incur a substantial amount of additional indebtedness in the future. As of December 31, 2013, we had borrowed $200 million under our $ 330 million revolving credit facility. Incurrence of additional indebtedness could increase the risks associated with higher leverage. These risks include limiting our ability to make acquisitions or capital expenditures to grow our business, limiting our ability to withstand business and economic downturns, limiting our ability to invest operating cash flow in our business, and limiting our ability to pay dividends. In addition, any such indebtedness could contain terms that are more restrictive than our current facilities.</w:t>
      </w:r>
    </w:p>
    <w:p>
      <w:pPr>
        <w:spacing w:after="0" w:line="140"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b w:val="1"/>
          <w:bCs w:val="1"/>
          <w:i w:val="1"/>
          <w:iCs w:val="1"/>
          <w:color w:val="auto"/>
        </w:rPr>
        <w:t>The Company is increasingly dependent on information technology and our systems and infrastructure face certain risks, including cyber security and data leakage risks.</w:t>
      </w:r>
    </w:p>
    <w:p>
      <w:pPr>
        <w:spacing w:after="0" w:line="149" w:lineRule="exact"/>
        <w:rPr>
          <w:sz w:val="20"/>
          <w:szCs w:val="20"/>
          <w:color w:val="auto"/>
        </w:rPr>
      </w:pPr>
    </w:p>
    <w:p>
      <w:pPr>
        <w:ind w:right="80" w:firstLine="648"/>
        <w:spacing w:after="0" w:line="237" w:lineRule="auto"/>
        <w:rPr>
          <w:sz w:val="20"/>
          <w:szCs w:val="20"/>
          <w:color w:val="auto"/>
        </w:rPr>
      </w:pPr>
      <w:r>
        <w:rPr>
          <w:rFonts w:ascii="Arial" w:cs="Arial" w:eastAsia="Arial" w:hAnsi="Arial"/>
          <w:sz w:val="18"/>
          <w:szCs w:val="18"/>
          <w:color w:val="auto"/>
        </w:rPr>
        <w:t>We are increasingly dependent on information technology systems and infrastructure. Any significant breakdown, invasion, destruction or interruption of these systems by employees, others with authorized access to our systems, or unauthorized persons could negatively impact operations. There is also a risk that we could experience a business interruption, theft of information, or reputational damage as a result of a cyber-attack, such as an infiltration of a data center, or data leakage of confidential information either internally or at our third-party providers. While we have invested heavily in the protection of our data and information technology to reduce these risks, there can be no assurance that our efforts will prevent breakdowns or breaches. If we experience such a breach or breakdown, it could have a material adverse effect on our business, financial position and results of operations.</w:t>
      </w:r>
    </w:p>
    <w:p>
      <w:pPr>
        <w:spacing w:after="0" w:line="141"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b w:val="1"/>
          <w:bCs w:val="1"/>
          <w:i w:val="1"/>
          <w:iCs w:val="1"/>
          <w:color w:val="auto"/>
        </w:rPr>
        <w:t>The Company is subject to legal proceedings and legal compliance risks, and has been named as defendant in a large number of suits relating to the actual or alleged exposure to asbestos-containing products</w:t>
      </w:r>
    </w:p>
    <w:p>
      <w:pPr>
        <w:spacing w:after="0" w:line="135" w:lineRule="exact"/>
        <w:rPr>
          <w:sz w:val="20"/>
          <w:szCs w:val="20"/>
          <w:color w:val="auto"/>
        </w:rPr>
      </w:pPr>
    </w:p>
    <w:p>
      <w:pPr>
        <w:ind w:right="40" w:firstLine="648"/>
        <w:spacing w:after="0" w:line="239" w:lineRule="auto"/>
        <w:rPr>
          <w:sz w:val="20"/>
          <w:szCs w:val="20"/>
          <w:color w:val="auto"/>
        </w:rPr>
      </w:pPr>
      <w:r>
        <w:rPr>
          <w:rFonts w:ascii="Arial" w:cs="Arial" w:eastAsia="Arial" w:hAnsi="Arial"/>
          <w:sz w:val="18"/>
          <w:szCs w:val="18"/>
          <w:color w:val="auto"/>
        </w:rPr>
        <w:t>We are subject to a variety of legal proceedings. Pending proceedings that the Company determines are material are disclosed in Note 17 to the Consolidated Financial Statements in Item 8, which is incorporated herein by reference. Litigation is an inherently unpredictable process and unanticipated negative outcomes are always possible. An adverse outcome in any period could have an adverse impact on the Company’s operating results for that period.</w:t>
      </w:r>
    </w:p>
    <w:p>
      <w:pPr>
        <w:spacing w:after="0" w:line="175" w:lineRule="exact"/>
        <w:rPr>
          <w:sz w:val="20"/>
          <w:szCs w:val="20"/>
          <w:color w:val="auto"/>
        </w:rPr>
      </w:pPr>
    </w:p>
    <w:p>
      <w:pPr>
        <w:ind w:right="80" w:firstLine="648"/>
        <w:spacing w:after="0" w:line="239" w:lineRule="auto"/>
        <w:rPr>
          <w:sz w:val="20"/>
          <w:szCs w:val="20"/>
          <w:color w:val="auto"/>
        </w:rPr>
      </w:pPr>
      <w:r>
        <w:rPr>
          <w:rFonts w:ascii="Arial" w:cs="Arial" w:eastAsia="Arial" w:hAnsi="Arial"/>
          <w:sz w:val="18"/>
          <w:szCs w:val="18"/>
          <w:color w:val="auto"/>
        </w:rPr>
        <w:t>We are also subject to a variety of legal compliance risks. While we believe that we have adopted appropriate risk management and compliance programs, the global and diverse nature of our operations means that legal compliance risks will continue to exist and related legal proceedings and other contingencies, the outcome of which cannot be predicted with certainty, are likely to arise from time to time. Failure to resolve successfully any legal proceedings related to compliance matters could have an adverse impact on our results in any period.</w:t>
      </w:r>
    </w:p>
    <w:p>
      <w:pPr>
        <w:spacing w:after="0" w:line="139"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b w:val="1"/>
          <w:bCs w:val="1"/>
          <w:i w:val="1"/>
          <w:iCs w:val="1"/>
          <w:color w:val="auto"/>
        </w:rPr>
        <w:t>Changes in actuarial assumptions and differences between actual experience and assumptions could adversely affect our pension and postretirement benefit costs and liabilities</w:t>
      </w:r>
    </w:p>
    <w:p>
      <w:pPr>
        <w:spacing w:after="0" w:line="135" w:lineRule="exact"/>
        <w:rPr>
          <w:sz w:val="20"/>
          <w:szCs w:val="20"/>
          <w:color w:val="auto"/>
        </w:rPr>
      </w:pPr>
    </w:p>
    <w:p>
      <w:pPr>
        <w:ind w:right="120" w:firstLine="648"/>
        <w:spacing w:after="0" w:line="237" w:lineRule="auto"/>
        <w:rPr>
          <w:sz w:val="20"/>
          <w:szCs w:val="20"/>
          <w:color w:val="auto"/>
        </w:rPr>
      </w:pPr>
      <w:r>
        <w:rPr>
          <w:rFonts w:ascii="Arial" w:cs="Arial" w:eastAsia="Arial" w:hAnsi="Arial"/>
          <w:sz w:val="18"/>
          <w:szCs w:val="18"/>
          <w:color w:val="auto"/>
        </w:rPr>
        <w:t>Although we were able to reduce pension liabilities by a significant amount during 2012, as of December 31, 2013, remaining net liabilities under our defined benefit pension plans exceeded plan assets by $35.9 million ($11.4 million for the U.S. plan, $24.5 million for non-U.S. plans). Additionally, the liability for unfunded postretirement welfare benefits, principally in the United States, totaled $ 61.1 million. Annual expense associated with these plans, as well as annual cash contributions, are subject to a number of variables, including discount rates, return on plan assets, mortality, and differences between actuarial assumptions and actual experience. In 2012, we settled certain pension obligations in the United States, Canada and Sweden, which led to charges</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15" w:name="page16"/>
    <w:bookmarkEnd w:id="15"/>
    <w:p>
      <w:pPr>
        <w:ind w:right="580"/>
        <w:spacing w:after="0" w:line="246" w:lineRule="auto"/>
        <w:rPr>
          <w:sz w:val="20"/>
          <w:szCs w:val="20"/>
          <w:color w:val="auto"/>
        </w:rPr>
      </w:pPr>
      <w:r>
        <w:rPr>
          <w:rFonts w:ascii="Arial" w:cs="Arial" w:eastAsia="Arial" w:hAnsi="Arial"/>
          <w:sz w:val="18"/>
          <w:szCs w:val="18"/>
          <w:color w:val="auto"/>
        </w:rPr>
        <w:t>totaling $119.7 million. If we were to take actions to settle additional pension or postretirement plan liabilities in the future, we could incur significant additional charges in the periods in which such actions were taken.</w:t>
      </w:r>
    </w:p>
    <w:p>
      <w:pPr>
        <w:spacing w:after="0" w:line="156" w:lineRule="exact"/>
        <w:rPr>
          <w:sz w:val="20"/>
          <w:szCs w:val="20"/>
          <w:color w:val="auto"/>
        </w:rPr>
      </w:pPr>
    </w:p>
    <w:p>
      <w:pPr>
        <w:ind w:right="160" w:firstLine="648"/>
        <w:spacing w:after="0" w:line="239" w:lineRule="auto"/>
        <w:rPr>
          <w:sz w:val="20"/>
          <w:szCs w:val="20"/>
          <w:color w:val="auto"/>
        </w:rPr>
      </w:pPr>
      <w:r>
        <w:rPr>
          <w:rFonts w:ascii="Arial" w:cs="Arial" w:eastAsia="Arial" w:hAnsi="Arial"/>
          <w:sz w:val="18"/>
          <w:szCs w:val="18"/>
          <w:color w:val="auto"/>
        </w:rPr>
        <w:t>Although the Company has taken actions to hedge certain pension plan assets to the pension liabilities, weakness in investment returns on plan assets, changes in discount rates or actuarial assumptions, and actual future experience could result in higher benefit plan expense and the need to increase pension plan contributions in future years, which could have a material effect on our financial condition and results of operations in future periods.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is exposed to the risk of increased expense in health-care related costs</w:t>
      </w:r>
    </w:p>
    <w:p>
      <w:pPr>
        <w:spacing w:after="0" w:line="193" w:lineRule="exact"/>
        <w:rPr>
          <w:sz w:val="20"/>
          <w:szCs w:val="20"/>
          <w:color w:val="auto"/>
        </w:rPr>
      </w:pPr>
    </w:p>
    <w:p>
      <w:pPr>
        <w:ind w:right="200" w:firstLine="648"/>
        <w:spacing w:after="0" w:line="236" w:lineRule="auto"/>
        <w:rPr>
          <w:sz w:val="20"/>
          <w:szCs w:val="20"/>
          <w:color w:val="auto"/>
        </w:rPr>
      </w:pPr>
      <w:r>
        <w:rPr>
          <w:rFonts w:ascii="Arial" w:cs="Arial" w:eastAsia="Arial" w:hAnsi="Arial"/>
          <w:sz w:val="18"/>
          <w:szCs w:val="18"/>
          <w:color w:val="auto"/>
        </w:rPr>
        <w:t>We are largely self-insured for some employee and business risks, including health care and workers’ compensation programs in the United States. Losses under all of these programs are accrued based upon estimates of the ultimate liability for claims reported and an estimate of claims incurred but not reported, with assistance from third-party actuaries and service providers. However, these liabilities are difficult to assess and estimate due to unknown factors, including the severity of an illness or injury and the number of incidents not reported. The accruals are based upon known facts and historical trends, and management believes such accruals to be adequate. The Company also maintains stop-loss insurance policies to protect against catastrophic claims above certain limits. If actual results significantly differ from estimates, our financial condition, results of operations, and cash flows could be materially impacted by losses under these programs, as well as higher stop-loss premiums in future periods.</w:t>
      </w:r>
    </w:p>
    <w:p>
      <w:pPr>
        <w:spacing w:after="0" w:line="146"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b w:val="1"/>
          <w:bCs w:val="1"/>
          <w:i w:val="1"/>
          <w:iCs w:val="1"/>
          <w:color w:val="auto"/>
        </w:rPr>
        <w:t>Changes in or interpretations of tax rules, structures, country profitability mix, and regulations may adversely affect our effective tax rates</w:t>
      </w:r>
    </w:p>
    <w:p>
      <w:pPr>
        <w:spacing w:after="0" w:line="149" w:lineRule="exact"/>
        <w:rPr>
          <w:sz w:val="20"/>
          <w:szCs w:val="20"/>
          <w:color w:val="auto"/>
        </w:rPr>
      </w:pPr>
    </w:p>
    <w:p>
      <w:pPr>
        <w:ind w:right="120" w:firstLine="648"/>
        <w:spacing w:after="0" w:line="238" w:lineRule="auto"/>
        <w:rPr>
          <w:sz w:val="20"/>
          <w:szCs w:val="20"/>
          <w:color w:val="auto"/>
        </w:rPr>
      </w:pPr>
      <w:r>
        <w:rPr>
          <w:rFonts w:ascii="Arial" w:cs="Arial" w:eastAsia="Arial" w:hAnsi="Arial"/>
          <w:sz w:val="18"/>
          <w:szCs w:val="18"/>
          <w:color w:val="auto"/>
        </w:rPr>
        <w:t>We are a United States-based multinational company subject to tax in the United States and foreign tax jurisdictions. Unanticipated changes in our tax rates, or tax policies of the countries in which we operate, could affect our future results of operations. Our future effective tax rates could be unfavorably affected by changes in or interpretation of tax rules and regulations in the jurisdictions in which we do business, by structural changes in the Company’s businesses, by unanticipated decreases in the amount of revenue or earnings in countries with low statutory tax rates, or by changes in the valuation of our deferred tax assets and liabilities.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has substantial deferred tax assets that could become impaired and result in a charge to earnings</w:t>
      </w:r>
    </w:p>
    <w:p>
      <w:pPr>
        <w:spacing w:after="0" w:line="193" w:lineRule="exact"/>
        <w:rPr>
          <w:sz w:val="20"/>
          <w:szCs w:val="20"/>
          <w:color w:val="auto"/>
        </w:rPr>
      </w:pPr>
    </w:p>
    <w:p>
      <w:pPr>
        <w:ind w:right="260" w:firstLine="648"/>
        <w:spacing w:after="0" w:line="239" w:lineRule="auto"/>
        <w:rPr>
          <w:sz w:val="20"/>
          <w:szCs w:val="20"/>
          <w:color w:val="auto"/>
        </w:rPr>
      </w:pPr>
      <w:r>
        <w:rPr>
          <w:rFonts w:ascii="Arial" w:cs="Arial" w:eastAsia="Arial" w:hAnsi="Arial"/>
          <w:sz w:val="18"/>
          <w:szCs w:val="18"/>
          <w:color w:val="auto"/>
        </w:rPr>
        <w:t>The Company has deferred tax assets in several tax jurisdictions, including a U.S. asset of approximately $ 73.2 million at December 31, 2013. Realization of this and other deferred tax assets is dependent upon many factors, including generation of future income in specific countries. Lower than expected operating results, organizational changes, or changes in tax laws could result in those deferred tax assets becoming impaired, thus resulting in a charge to earnings.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adversely affected by adverse outcomes of pending tax matters</w:t>
      </w:r>
    </w:p>
    <w:p>
      <w:pPr>
        <w:spacing w:after="0" w:line="193" w:lineRule="exact"/>
        <w:rPr>
          <w:sz w:val="20"/>
          <w:szCs w:val="20"/>
          <w:color w:val="auto"/>
        </w:rPr>
      </w:pPr>
    </w:p>
    <w:p>
      <w:pPr>
        <w:ind w:right="40" w:firstLine="648"/>
        <w:spacing w:after="0" w:line="238" w:lineRule="auto"/>
        <w:rPr>
          <w:sz w:val="20"/>
          <w:szCs w:val="20"/>
          <w:color w:val="auto"/>
        </w:rPr>
      </w:pPr>
      <w:r>
        <w:rPr>
          <w:rFonts w:ascii="Arial" w:cs="Arial" w:eastAsia="Arial" w:hAnsi="Arial"/>
          <w:sz w:val="18"/>
          <w:szCs w:val="18"/>
          <w:color w:val="auto"/>
        </w:rPr>
        <w:t>The Company is currently under audit in a non-U.S. taxing jurisdiction, and the Company’s position on certain tax matters are being contested by tax authorities in this country. (This is discussed in Note 8 to the Consolidated Financial Statements in Item 8, which is incorporated herein by reference.) While the Company believes that its position is correct and that it has reserved adequately for such matter, a final adverse outcome with respect to this matter could have a material adverse impact on the Company’s results in any period in which it occurs.</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The Company’s insurance coverage may be inadequate to cover other significant risk exposures</w:t>
      </w:r>
    </w:p>
    <w:p>
      <w:pPr>
        <w:spacing w:after="0" w:line="193"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In addition to asbestos-related claims, the Company may be exposed to other liabilities related to the products and services we provide. AEC is engaged in designing, developing, and manufacturing components for commercial jet aircraft and defense and technology systems and products. We expect this portion of the business to grow in future periods. Although we maintain insurance for the risks associated with this business, there can be no assurance that the amount of our insurance coverage will be adequate to cover all claims or liabilities. In addition, there can be no assurance that insurance coverage will continue to be available to us in the future at a cost that is acceptable. Any material liability not covered by insurance could have a material adverse effect on our business, financial condition, and results of operations.</w:t>
      </w:r>
    </w:p>
    <w:p>
      <w:pPr>
        <w:spacing w:after="0" w:line="154" w:lineRule="exact"/>
        <w:rPr>
          <w:sz w:val="20"/>
          <w:szCs w:val="20"/>
          <w:color w:val="auto"/>
        </w:rPr>
      </w:pPr>
    </w:p>
    <w:p>
      <w:pPr>
        <w:ind w:right="1160"/>
        <w:spacing w:after="0" w:line="271" w:lineRule="auto"/>
        <w:rPr>
          <w:sz w:val="20"/>
          <w:szCs w:val="20"/>
          <w:color w:val="auto"/>
        </w:rPr>
      </w:pPr>
      <w:r>
        <w:rPr>
          <w:rFonts w:ascii="Arial" w:cs="Arial" w:eastAsia="Arial" w:hAnsi="Arial"/>
          <w:sz w:val="18"/>
          <w:szCs w:val="18"/>
          <w:b w:val="1"/>
          <w:bCs w:val="1"/>
          <w:i w:val="1"/>
          <w:iCs w:val="1"/>
          <w:color w:val="auto"/>
        </w:rPr>
        <w:t>In addition to the general risks that the Company already faces outside the U.S., the Company now conducts more of its manufacturing operations in emerging markets than it did in the past, which could involve many uncertainties</w:t>
      </w:r>
    </w:p>
    <w:p>
      <w:pPr>
        <w:spacing w:after="0" w:line="135" w:lineRule="exact"/>
        <w:rPr>
          <w:sz w:val="20"/>
          <w:szCs w:val="20"/>
          <w:color w:val="auto"/>
        </w:rPr>
      </w:pPr>
    </w:p>
    <w:p>
      <w:pPr>
        <w:ind w:right="40" w:firstLine="648"/>
        <w:spacing w:after="0" w:line="236" w:lineRule="auto"/>
        <w:rPr>
          <w:sz w:val="20"/>
          <w:szCs w:val="20"/>
          <w:color w:val="auto"/>
        </w:rPr>
      </w:pPr>
      <w:r>
        <w:rPr>
          <w:rFonts w:ascii="Arial" w:cs="Arial" w:eastAsia="Arial" w:hAnsi="Arial"/>
          <w:sz w:val="18"/>
          <w:szCs w:val="18"/>
          <w:color w:val="auto"/>
        </w:rPr>
        <w:t>We currently have manufacturing facilities outside the U.S. In 2013, 55.3% of consolidated net sales were generated by our non-U.S. subsidiaries. Operations outside of the U.S. are subject to a number of risks and uncertainties, including: governments may impose limitations on our ability to repatriate funds; governments may impose withholding or other taxes on remittances and other payments from our non-U.S. operations, or the amount of any such taxes may increase; an outbreak or escalation of any insurrection or armed conflict may occur; governments may seek to nationalize our assets; or governments may impose or increase investment barriers or other restrictions affecting our business. In addition, emerging markets pose other uncertainties, including the protection of our intellectual property, pressure on the pricing of our products, and risks of political instability. The occurrence of any of these conditions could disrupt our business or prevent us from conducting business in particular countries or regions of the world.</w:t>
      </w:r>
    </w:p>
    <w:p>
      <w:pPr>
        <w:spacing w:after="0" w:line="168" w:lineRule="exact"/>
        <w:rPr>
          <w:sz w:val="20"/>
          <w:szCs w:val="20"/>
          <w:color w:val="auto"/>
        </w:rPr>
      </w:pPr>
    </w:p>
    <w:p>
      <w:pPr>
        <w:ind w:right="280" w:firstLine="648"/>
        <w:spacing w:after="0" w:line="238" w:lineRule="auto"/>
        <w:rPr>
          <w:sz w:val="20"/>
          <w:szCs w:val="20"/>
          <w:color w:val="auto"/>
        </w:rPr>
      </w:pPr>
      <w:r>
        <w:rPr>
          <w:rFonts w:ascii="Arial" w:cs="Arial" w:eastAsia="Arial" w:hAnsi="Arial"/>
          <w:sz w:val="18"/>
          <w:szCs w:val="18"/>
          <w:color w:val="auto"/>
        </w:rPr>
        <w:t>Our global presence subjects us to certain risks, including controls on foreign exchange and the repatriation of funds. However, we have been able to repatriate current earnings in excess of working capital requirements from certain countries in which we operate without substantial governmental restrictions and do not foresee any material changes in our ability to continue to do so in the future. In addition, we believe that the risks associated with our operations outside the United States are no greater than those normally associated with doing business in those locations.</w:t>
      </w:r>
    </w:p>
    <w:p>
      <w:pPr>
        <w:spacing w:after="0" w:line="154"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b w:val="1"/>
          <w:bCs w:val="1"/>
          <w:i w:val="1"/>
          <w:iCs w:val="1"/>
          <w:color w:val="auto"/>
        </w:rPr>
        <w:t>The Company is subject to laws and regulations worldwide, changes to which could increase our costs and have a material adverse effect on our financial condition or results of operations</w:t>
      </w:r>
    </w:p>
    <w:p>
      <w:pPr>
        <w:spacing w:after="0" w:line="135" w:lineRule="exact"/>
        <w:rPr>
          <w:sz w:val="20"/>
          <w:szCs w:val="20"/>
          <w:color w:val="auto"/>
        </w:rPr>
      </w:pPr>
    </w:p>
    <w:p>
      <w:pPr>
        <w:ind w:right="260" w:firstLine="648"/>
        <w:spacing w:after="0"/>
        <w:rPr>
          <w:sz w:val="20"/>
          <w:szCs w:val="20"/>
          <w:color w:val="auto"/>
        </w:rPr>
      </w:pPr>
      <w:r>
        <w:rPr>
          <w:rFonts w:ascii="Arial" w:cs="Arial" w:eastAsia="Arial" w:hAnsi="Arial"/>
          <w:sz w:val="18"/>
          <w:szCs w:val="18"/>
          <w:color w:val="auto"/>
        </w:rPr>
        <w:t>The Company is subject to laws and regulations relating to employment practices and benefits, taxes, import and export matters, corruption, foreign-exchange controls, competition, workplace health and safety, intellectual property, health-care, the environment and other areas. These laws and regulations have a significant impact on our domestic and international operations.</w:t>
      </w:r>
    </w:p>
    <w:p>
      <w:pPr>
        <w:spacing w:after="0" w:line="162" w:lineRule="exact"/>
        <w:rPr>
          <w:sz w:val="20"/>
          <w:szCs w:val="20"/>
          <w:color w:val="auto"/>
        </w:rPr>
      </w:pPr>
    </w:p>
    <w:p>
      <w:pPr>
        <w:ind w:right="520" w:firstLine="648"/>
        <w:spacing w:after="0" w:line="239" w:lineRule="auto"/>
        <w:rPr>
          <w:sz w:val="20"/>
          <w:szCs w:val="20"/>
          <w:color w:val="auto"/>
        </w:rPr>
      </w:pPr>
      <w:r>
        <w:rPr>
          <w:rFonts w:ascii="Arial" w:cs="Arial" w:eastAsia="Arial" w:hAnsi="Arial"/>
          <w:sz w:val="18"/>
          <w:szCs w:val="18"/>
          <w:color w:val="auto"/>
        </w:rPr>
        <w:t>We incur significant expenses to comply with laws and regulations. Changes or additions to laws and regulations, including those related to climate change, could increase these expenses, which could have an adverse impact on our financial condition and results of operations. Such changes could also have an adverse impact on our customers and suppliers, which in turn could adversely impact the Company.</w:t>
      </w:r>
    </w:p>
    <w:p>
      <w:pPr>
        <w:spacing w:after="0" w:line="175"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While we have implemented policies and training programs designed to ensure compliance, there can be no assurance that our employees or agents will not violate such laws, regulations or policies, which could have a material adverse impact on our financial condition or results of operations.</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Item 1B. UNRESOLVED STAFF COMMENTS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17" w:name="page18"/>
    <w:bookmarkEnd w:id="17"/>
    <w:p>
      <w:pPr>
        <w:ind w:left="660"/>
        <w:spacing w:after="0"/>
        <w:rPr>
          <w:sz w:val="20"/>
          <w:szCs w:val="20"/>
          <w:color w:val="auto"/>
        </w:rPr>
      </w:pPr>
      <w:r>
        <w:rPr>
          <w:rFonts w:ascii="Arial" w:cs="Arial" w:eastAsia="Arial" w:hAnsi="Arial"/>
          <w:sz w:val="18"/>
          <w:szCs w:val="18"/>
          <w:b w:val="1"/>
          <w:bCs w:val="1"/>
          <w:color w:val="auto"/>
        </w:rPr>
        <w:t>Item 2. PROPERTIES</w:t>
      </w:r>
    </w:p>
    <w:p>
      <w:pPr>
        <w:spacing w:after="0" w:line="193" w:lineRule="exact"/>
        <w:rPr>
          <w:sz w:val="20"/>
          <w:szCs w:val="20"/>
          <w:color w:val="auto"/>
        </w:rPr>
      </w:pPr>
    </w:p>
    <w:p>
      <w:pPr>
        <w:ind w:right="160" w:firstLine="648"/>
        <w:spacing w:after="0" w:line="237" w:lineRule="auto"/>
        <w:rPr>
          <w:sz w:val="20"/>
          <w:szCs w:val="20"/>
          <w:color w:val="auto"/>
        </w:rPr>
      </w:pPr>
      <w:r>
        <w:rPr>
          <w:rFonts w:ascii="Arial" w:cs="Arial" w:eastAsia="Arial" w:hAnsi="Arial"/>
          <w:sz w:val="18"/>
          <w:szCs w:val="18"/>
          <w:color w:val="auto"/>
        </w:rPr>
        <w:t>Our principal manufacturing facilities are located in Brazil, Canada, China, France, Germany, Italy, Mexico, South Korea, Sweden, the United Kingdom, and the United States. The aggregate square footage of our operating facilities in the United States and Canada is approximately 2.0 million square feet, of which 1.6 million square feet are owned and 0.4 million square feet are leased. Our facilities located outside the United States and Canada comprise approximately 2.6 million square feet, of which 2.4 million square feet are owned and 0.2 million square feet are leased. We consider these facilities to be in good condition and suitable for our purpose. The capacity associated with these facilities is adequate to meet production levels required and anticipated through 2014.</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Item 3. LEGAL PROCEEDINGS</w:t>
      </w:r>
    </w:p>
    <w:p>
      <w:pPr>
        <w:spacing w:after="0" w:line="234" w:lineRule="exact"/>
        <w:rPr>
          <w:sz w:val="20"/>
          <w:szCs w:val="20"/>
          <w:color w:val="auto"/>
        </w:rPr>
      </w:pPr>
    </w:p>
    <w:p>
      <w:pPr>
        <w:ind w:left="660" w:right="20" w:firstLine="648"/>
        <w:spacing w:after="0" w:line="246" w:lineRule="auto"/>
        <w:rPr>
          <w:sz w:val="20"/>
          <w:szCs w:val="20"/>
          <w:color w:val="auto"/>
        </w:rPr>
      </w:pPr>
      <w:r>
        <w:rPr>
          <w:rFonts w:ascii="Arial" w:cs="Arial" w:eastAsia="Arial" w:hAnsi="Arial"/>
          <w:sz w:val="18"/>
          <w:szCs w:val="18"/>
          <w:color w:val="auto"/>
        </w:rPr>
        <w:t>The information set forth above under Note 17 to the Consolidated Financial Statements in Item 8, which is incorporated herein by reference.</w:t>
      </w:r>
    </w:p>
    <w:p>
      <w:pPr>
        <w:spacing w:after="0" w:line="37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Item 4. MINE SAFETY DISCLOSURES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left="1160" w:hanging="1147"/>
        <w:spacing w:after="0" w:line="271" w:lineRule="auto"/>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THE REGISTRANT’S COMMON EQUITY, RELATED STOCKHOLDER MATTERS, AND ISSUER PURCHASES OF EQUITY SECURITIES</w:t>
      </w:r>
    </w:p>
    <w:p>
      <w:pPr>
        <w:spacing w:after="0" w:line="149" w:lineRule="exact"/>
        <w:rPr>
          <w:sz w:val="20"/>
          <w:szCs w:val="20"/>
          <w:color w:val="auto"/>
        </w:rPr>
      </w:pPr>
    </w:p>
    <w:p>
      <w:pPr>
        <w:ind w:right="280" w:firstLine="648"/>
        <w:spacing w:after="0" w:line="237" w:lineRule="auto"/>
        <w:rPr>
          <w:sz w:val="20"/>
          <w:szCs w:val="20"/>
          <w:color w:val="auto"/>
        </w:rPr>
      </w:pPr>
      <w:r>
        <w:rPr>
          <w:rFonts w:ascii="Arial" w:cs="Arial" w:eastAsia="Arial" w:hAnsi="Arial"/>
          <w:sz w:val="18"/>
          <w:szCs w:val="18"/>
          <w:color w:val="auto"/>
        </w:rPr>
        <w:t>We have two classes of Common Stock, Class A Common Stock and Class B Common Stock, each with a par value of $0.001 and equal liquidation rights. Our Class A Common Stock is principally traded on the New York Stock Exchange under the symbol AIN. As of December 31, 2013, there were approximately 6,200 beneficial owners of our Class A Common Stock, including employees owning shares through our 401(k) defined contribution plan. Our Class B Common Stock does not trade publicly. As of December 31, 2013, there were 17 holders of Class B Common Stock. Dividends are paid equally on shares of each class. Our cash dividends, and the high and low prices per share of our Class A Common Stock, were as follows for the periods presented:</w:t>
      </w:r>
    </w:p>
    <w:p>
      <w:pPr>
        <w:spacing w:after="0" w:line="143" w:lineRule="exact"/>
        <w:rPr>
          <w:sz w:val="20"/>
          <w:szCs w:val="20"/>
          <w:color w:val="auto"/>
        </w:rPr>
      </w:pPr>
    </w:p>
    <w:tbl>
      <w:tblPr>
        <w:tblLayout w:type="fixed"/>
        <w:tblInd w:w="66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Quarter Ended</w:t>
            </w:r>
          </w:p>
        </w:tc>
        <w:tc>
          <w:tcPr>
            <w:tcW w:w="21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March 31</w:t>
            </w:r>
          </w:p>
        </w:tc>
        <w:tc>
          <w:tcPr>
            <w:tcW w:w="15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June 30</w:t>
            </w:r>
          </w:p>
        </w:tc>
        <w:tc>
          <w:tcPr>
            <w:tcW w:w="1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September 30</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400" w:type="dxa"/>
            <w:vAlign w:val="bottom"/>
          </w:tcPr>
          <w:p>
            <w:pPr>
              <w:spacing w:after="0" w:line="195" w:lineRule="exact"/>
              <w:rPr>
                <w:sz w:val="20"/>
                <w:szCs w:val="20"/>
                <w:color w:val="auto"/>
              </w:rPr>
            </w:pPr>
            <w:r>
              <w:rPr>
                <w:rFonts w:ascii="Arial" w:cs="Arial" w:eastAsia="Arial" w:hAnsi="Arial"/>
                <w:sz w:val="18"/>
                <w:szCs w:val="18"/>
                <w:b w:val="1"/>
                <w:bCs w:val="1"/>
                <w:color w:val="auto"/>
              </w:rPr>
              <w:t>2013</w:t>
            </w:r>
          </w:p>
        </w:tc>
        <w:tc>
          <w:tcPr>
            <w:tcW w:w="2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20" w:type="dxa"/>
            <w:vAlign w:val="bottom"/>
            <w:gridSpan w:val="2"/>
          </w:tcPr>
          <w:p>
            <w:pPr>
              <w:spacing w:after="0" w:line="202" w:lineRule="exact"/>
              <w:rPr>
                <w:sz w:val="20"/>
                <w:szCs w:val="20"/>
                <w:color w:val="auto"/>
              </w:rPr>
            </w:pPr>
            <w:r>
              <w:rPr>
                <w:rFonts w:ascii="Arial" w:cs="Arial" w:eastAsia="Arial" w:hAnsi="Arial"/>
                <w:sz w:val="18"/>
                <w:szCs w:val="18"/>
                <w:color w:val="auto"/>
              </w:rPr>
              <w:t>Cash dividends per share</w:t>
            </w:r>
          </w:p>
        </w:tc>
        <w:tc>
          <w:tcPr>
            <w:tcW w:w="218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$0.14</w:t>
            </w:r>
          </w:p>
        </w:tc>
        <w:tc>
          <w:tcPr>
            <w:tcW w:w="150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$0.15</w:t>
            </w:r>
          </w:p>
        </w:tc>
        <w:tc>
          <w:tcPr>
            <w:tcW w:w="176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$0.15</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tcPr>
          <w:p>
            <w:pPr>
              <w:ind w:left="20"/>
              <w:spacing w:after="0" w:line="202" w:lineRule="exact"/>
              <w:rPr>
                <w:sz w:val="20"/>
                <w:szCs w:val="20"/>
                <w:color w:val="auto"/>
              </w:rPr>
            </w:pPr>
            <w:r>
              <w:rPr>
                <w:rFonts w:ascii="Arial" w:cs="Arial" w:eastAsia="Arial" w:hAnsi="Arial"/>
                <w:sz w:val="18"/>
                <w:szCs w:val="18"/>
                <w:color w:val="auto"/>
              </w:rPr>
              <w:t>Class A Common Stock prices:</w:t>
            </w:r>
          </w:p>
        </w:tc>
        <w:tc>
          <w:tcPr>
            <w:tcW w:w="2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tcPr>
          <w:p>
            <w:pPr>
              <w:ind w:left="220"/>
              <w:spacing w:after="0" w:line="202" w:lineRule="exact"/>
              <w:rPr>
                <w:sz w:val="20"/>
                <w:szCs w:val="20"/>
                <w:color w:val="auto"/>
              </w:rPr>
            </w:pPr>
            <w:r>
              <w:rPr>
                <w:rFonts w:ascii="Arial" w:cs="Arial" w:eastAsia="Arial" w:hAnsi="Arial"/>
                <w:sz w:val="18"/>
                <w:szCs w:val="18"/>
                <w:color w:val="auto"/>
              </w:rPr>
              <w:t>High</w:t>
            </w:r>
          </w:p>
        </w:tc>
        <w:tc>
          <w:tcPr>
            <w:tcW w:w="218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$29.87</w:t>
            </w:r>
          </w:p>
        </w:tc>
        <w:tc>
          <w:tcPr>
            <w:tcW w:w="150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$33.90</w:t>
            </w:r>
          </w:p>
        </w:tc>
        <w:tc>
          <w:tcPr>
            <w:tcW w:w="176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$36.53</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$37.25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00" w:type="dxa"/>
            <w:vAlign w:val="bottom"/>
          </w:tcPr>
          <w:p>
            <w:pPr>
              <w:ind w:left="220"/>
              <w:spacing w:after="0"/>
              <w:rPr>
                <w:sz w:val="20"/>
                <w:szCs w:val="20"/>
                <w:color w:val="auto"/>
              </w:rPr>
            </w:pPr>
            <w:r>
              <w:rPr>
                <w:rFonts w:ascii="Arial" w:cs="Arial" w:eastAsia="Arial" w:hAnsi="Arial"/>
                <w:sz w:val="18"/>
                <w:szCs w:val="18"/>
                <w:color w:val="auto"/>
              </w:rPr>
              <w:t>Low</w:t>
            </w:r>
          </w:p>
        </w:tc>
        <w:tc>
          <w:tcPr>
            <w:tcW w:w="2180" w:type="dxa"/>
            <w:vAlign w:val="bottom"/>
          </w:tcPr>
          <w:p>
            <w:pPr>
              <w:jc w:val="right"/>
              <w:ind w:right="370"/>
              <w:spacing w:after="0"/>
              <w:rPr>
                <w:sz w:val="20"/>
                <w:szCs w:val="20"/>
                <w:color w:val="auto"/>
              </w:rPr>
            </w:pPr>
            <w:r>
              <w:rPr>
                <w:rFonts w:ascii="Arial" w:cs="Arial" w:eastAsia="Arial" w:hAnsi="Arial"/>
                <w:sz w:val="18"/>
                <w:szCs w:val="18"/>
                <w:color w:val="auto"/>
              </w:rPr>
              <w:t>$23.21</w:t>
            </w:r>
          </w:p>
        </w:tc>
        <w:tc>
          <w:tcPr>
            <w:tcW w:w="1500" w:type="dxa"/>
            <w:vAlign w:val="bottom"/>
          </w:tcPr>
          <w:p>
            <w:pPr>
              <w:jc w:val="right"/>
              <w:ind w:right="230"/>
              <w:spacing w:after="0"/>
              <w:rPr>
                <w:sz w:val="20"/>
                <w:szCs w:val="20"/>
                <w:color w:val="auto"/>
              </w:rPr>
            </w:pPr>
            <w:r>
              <w:rPr>
                <w:rFonts w:ascii="Arial" w:cs="Arial" w:eastAsia="Arial" w:hAnsi="Arial"/>
                <w:sz w:val="18"/>
                <w:szCs w:val="18"/>
                <w:color w:val="auto"/>
              </w:rPr>
              <w:t>$27.48</w:t>
            </w:r>
          </w:p>
        </w:tc>
        <w:tc>
          <w:tcPr>
            <w:tcW w:w="1760" w:type="dxa"/>
            <w:vAlign w:val="bottom"/>
          </w:tcPr>
          <w:p>
            <w:pPr>
              <w:jc w:val="right"/>
              <w:ind w:right="150"/>
              <w:spacing w:after="0"/>
              <w:rPr>
                <w:sz w:val="20"/>
                <w:szCs w:val="20"/>
                <w:color w:val="auto"/>
              </w:rPr>
            </w:pPr>
            <w:r>
              <w:rPr>
                <w:rFonts w:ascii="Arial" w:cs="Arial" w:eastAsia="Arial" w:hAnsi="Arial"/>
                <w:sz w:val="18"/>
                <w:szCs w:val="18"/>
                <w:color w:val="auto"/>
              </w:rPr>
              <w:t>$32.27</w:t>
            </w:r>
          </w:p>
        </w:tc>
        <w:tc>
          <w:tcPr>
            <w:tcW w:w="1400" w:type="dxa"/>
            <w:vAlign w:val="bottom"/>
          </w:tcPr>
          <w:p>
            <w:pPr>
              <w:jc w:val="right"/>
              <w:spacing w:after="0"/>
              <w:rPr>
                <w:sz w:val="20"/>
                <w:szCs w:val="20"/>
                <w:color w:val="auto"/>
              </w:rPr>
            </w:pPr>
            <w:r>
              <w:rPr>
                <w:rFonts w:ascii="Arial" w:cs="Arial" w:eastAsia="Arial" w:hAnsi="Arial"/>
                <w:sz w:val="18"/>
                <w:szCs w:val="18"/>
                <w:color w:val="auto"/>
              </w:rPr>
              <w:t>$33.81</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34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3400" w:type="dxa"/>
            <w:vAlign w:val="bottom"/>
          </w:tcPr>
          <w:p>
            <w:pPr>
              <w:spacing w:after="0" w:line="195" w:lineRule="exact"/>
              <w:rPr>
                <w:sz w:val="20"/>
                <w:szCs w:val="20"/>
                <w:color w:val="auto"/>
              </w:rPr>
            </w:pPr>
            <w:r>
              <w:rPr>
                <w:rFonts w:ascii="Arial" w:cs="Arial" w:eastAsia="Arial" w:hAnsi="Arial"/>
                <w:sz w:val="18"/>
                <w:szCs w:val="18"/>
                <w:b w:val="1"/>
                <w:bCs w:val="1"/>
                <w:color w:val="auto"/>
              </w:rPr>
              <w:t>2012</w:t>
            </w:r>
          </w:p>
        </w:tc>
        <w:tc>
          <w:tcPr>
            <w:tcW w:w="2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20" w:type="dxa"/>
            <w:vAlign w:val="bottom"/>
            <w:gridSpan w:val="2"/>
          </w:tcPr>
          <w:p>
            <w:pPr>
              <w:spacing w:after="0" w:line="202" w:lineRule="exact"/>
              <w:rPr>
                <w:sz w:val="20"/>
                <w:szCs w:val="20"/>
                <w:color w:val="auto"/>
              </w:rPr>
            </w:pPr>
            <w:r>
              <w:rPr>
                <w:rFonts w:ascii="Arial" w:cs="Arial" w:eastAsia="Arial" w:hAnsi="Arial"/>
                <w:sz w:val="18"/>
                <w:szCs w:val="18"/>
                <w:color w:val="auto"/>
              </w:rPr>
              <w:t>Cash dividends per share</w:t>
            </w:r>
          </w:p>
        </w:tc>
        <w:tc>
          <w:tcPr>
            <w:tcW w:w="218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$0.13</w:t>
            </w:r>
          </w:p>
        </w:tc>
        <w:tc>
          <w:tcPr>
            <w:tcW w:w="150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$0.14</w:t>
            </w:r>
          </w:p>
        </w:tc>
        <w:tc>
          <w:tcPr>
            <w:tcW w:w="176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$0.14</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tcPr>
          <w:p>
            <w:pPr>
              <w:ind w:left="20"/>
              <w:spacing w:after="0" w:line="202" w:lineRule="exact"/>
              <w:rPr>
                <w:sz w:val="20"/>
                <w:szCs w:val="20"/>
                <w:color w:val="auto"/>
              </w:rPr>
            </w:pPr>
            <w:r>
              <w:rPr>
                <w:rFonts w:ascii="Arial" w:cs="Arial" w:eastAsia="Arial" w:hAnsi="Arial"/>
                <w:sz w:val="18"/>
                <w:szCs w:val="18"/>
                <w:color w:val="auto"/>
              </w:rPr>
              <w:t>Class A Common Stock prices:</w:t>
            </w:r>
          </w:p>
        </w:tc>
        <w:tc>
          <w:tcPr>
            <w:tcW w:w="2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tcPr>
          <w:p>
            <w:pPr>
              <w:ind w:left="220"/>
              <w:spacing w:after="0" w:line="202" w:lineRule="exact"/>
              <w:rPr>
                <w:sz w:val="20"/>
                <w:szCs w:val="20"/>
                <w:color w:val="auto"/>
              </w:rPr>
            </w:pPr>
            <w:r>
              <w:rPr>
                <w:rFonts w:ascii="Arial" w:cs="Arial" w:eastAsia="Arial" w:hAnsi="Arial"/>
                <w:sz w:val="18"/>
                <w:szCs w:val="18"/>
                <w:color w:val="auto"/>
              </w:rPr>
              <w:t>High</w:t>
            </w:r>
          </w:p>
        </w:tc>
        <w:tc>
          <w:tcPr>
            <w:tcW w:w="218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$25.90</w:t>
            </w:r>
          </w:p>
        </w:tc>
        <w:tc>
          <w:tcPr>
            <w:tcW w:w="150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$24.70</w:t>
            </w:r>
          </w:p>
        </w:tc>
        <w:tc>
          <w:tcPr>
            <w:tcW w:w="176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$22.78</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$22.68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00" w:type="dxa"/>
            <w:vAlign w:val="bottom"/>
          </w:tcPr>
          <w:p>
            <w:pPr>
              <w:ind w:left="220"/>
              <w:spacing w:after="0"/>
              <w:rPr>
                <w:sz w:val="20"/>
                <w:szCs w:val="20"/>
                <w:color w:val="auto"/>
              </w:rPr>
            </w:pPr>
            <w:r>
              <w:rPr>
                <w:rFonts w:ascii="Arial" w:cs="Arial" w:eastAsia="Arial" w:hAnsi="Arial"/>
                <w:sz w:val="18"/>
                <w:szCs w:val="18"/>
                <w:color w:val="auto"/>
              </w:rPr>
              <w:t>Low</w:t>
            </w:r>
          </w:p>
        </w:tc>
        <w:tc>
          <w:tcPr>
            <w:tcW w:w="2180" w:type="dxa"/>
            <w:vAlign w:val="bottom"/>
          </w:tcPr>
          <w:p>
            <w:pPr>
              <w:jc w:val="right"/>
              <w:ind w:right="370"/>
              <w:spacing w:after="0"/>
              <w:rPr>
                <w:sz w:val="20"/>
                <w:szCs w:val="20"/>
                <w:color w:val="auto"/>
              </w:rPr>
            </w:pPr>
            <w:r>
              <w:rPr>
                <w:rFonts w:ascii="Arial" w:cs="Arial" w:eastAsia="Arial" w:hAnsi="Arial"/>
                <w:sz w:val="18"/>
                <w:szCs w:val="18"/>
                <w:color w:val="auto"/>
              </w:rPr>
              <w:t>$22.35</w:t>
            </w:r>
          </w:p>
        </w:tc>
        <w:tc>
          <w:tcPr>
            <w:tcW w:w="1500" w:type="dxa"/>
            <w:vAlign w:val="bottom"/>
          </w:tcPr>
          <w:p>
            <w:pPr>
              <w:jc w:val="right"/>
              <w:ind w:right="230"/>
              <w:spacing w:after="0"/>
              <w:rPr>
                <w:sz w:val="20"/>
                <w:szCs w:val="20"/>
                <w:color w:val="auto"/>
              </w:rPr>
            </w:pPr>
            <w:r>
              <w:rPr>
                <w:rFonts w:ascii="Arial" w:cs="Arial" w:eastAsia="Arial" w:hAnsi="Arial"/>
                <w:sz w:val="18"/>
                <w:szCs w:val="18"/>
                <w:color w:val="auto"/>
              </w:rPr>
              <w:t>$17.15</w:t>
            </w:r>
          </w:p>
        </w:tc>
        <w:tc>
          <w:tcPr>
            <w:tcW w:w="1760" w:type="dxa"/>
            <w:vAlign w:val="bottom"/>
          </w:tcPr>
          <w:p>
            <w:pPr>
              <w:jc w:val="right"/>
              <w:ind w:right="150"/>
              <w:spacing w:after="0"/>
              <w:rPr>
                <w:sz w:val="20"/>
                <w:szCs w:val="20"/>
                <w:color w:val="auto"/>
              </w:rPr>
            </w:pPr>
            <w:r>
              <w:rPr>
                <w:rFonts w:ascii="Arial" w:cs="Arial" w:eastAsia="Arial" w:hAnsi="Arial"/>
                <w:sz w:val="18"/>
                <w:szCs w:val="18"/>
                <w:color w:val="auto"/>
              </w:rPr>
              <w:t>$17.66</w:t>
            </w:r>
          </w:p>
        </w:tc>
        <w:tc>
          <w:tcPr>
            <w:tcW w:w="1400" w:type="dxa"/>
            <w:vAlign w:val="bottom"/>
          </w:tcPr>
          <w:p>
            <w:pPr>
              <w:jc w:val="right"/>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120015</wp:posOffset>
            </wp:positionV>
            <wp:extent cx="651764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317" w:lineRule="exact"/>
        <w:rPr>
          <w:sz w:val="20"/>
          <w:szCs w:val="20"/>
          <w:color w:val="auto"/>
        </w:rPr>
      </w:pPr>
    </w:p>
    <w:p>
      <w:pPr>
        <w:ind w:right="120" w:firstLine="648"/>
        <w:spacing w:after="0" w:line="246" w:lineRule="auto"/>
        <w:rPr>
          <w:sz w:val="20"/>
          <w:szCs w:val="20"/>
          <w:color w:val="auto"/>
        </w:rPr>
      </w:pPr>
      <w:r>
        <w:rPr>
          <w:rFonts w:ascii="Arial" w:cs="Arial" w:eastAsia="Arial" w:hAnsi="Arial"/>
          <w:sz w:val="18"/>
          <w:szCs w:val="18"/>
          <w:color w:val="auto"/>
        </w:rPr>
        <w:t>Restrictions on dividends and other distributions are described in Note 14 of the Consolidated Financial Statements in Item 8, which is incorporated herein by reference.</w:t>
      </w:r>
    </w:p>
    <w:p>
      <w:pPr>
        <w:spacing w:after="0" w:line="156" w:lineRule="exact"/>
        <w:rPr>
          <w:sz w:val="20"/>
          <w:szCs w:val="20"/>
          <w:color w:val="auto"/>
        </w:rPr>
      </w:pPr>
    </w:p>
    <w:p>
      <w:pPr>
        <w:ind w:right="60" w:firstLine="648"/>
        <w:spacing w:after="0" w:line="246" w:lineRule="auto"/>
        <w:rPr>
          <w:sz w:val="20"/>
          <w:szCs w:val="20"/>
          <w:color w:val="auto"/>
        </w:rPr>
      </w:pPr>
      <w:r>
        <w:rPr>
          <w:rFonts w:ascii="Arial" w:cs="Arial" w:eastAsia="Arial" w:hAnsi="Arial"/>
          <w:sz w:val="18"/>
          <w:szCs w:val="18"/>
          <w:color w:val="auto"/>
        </w:rPr>
        <w:t>Disclosures of securities authorized for issuance under equity compensation plans and the performance graph are included under Item 12 of this Form 10-K.</w:t>
      </w:r>
    </w:p>
    <w:p>
      <w:pPr>
        <w:spacing w:after="0" w:line="170" w:lineRule="exact"/>
        <w:rPr>
          <w:sz w:val="20"/>
          <w:szCs w:val="20"/>
          <w:color w:val="auto"/>
        </w:rPr>
      </w:pPr>
    </w:p>
    <w:p>
      <w:pPr>
        <w:ind w:right="60" w:firstLine="648"/>
        <w:spacing w:after="0" w:line="239" w:lineRule="auto"/>
        <w:rPr>
          <w:sz w:val="20"/>
          <w:szCs w:val="20"/>
          <w:color w:val="auto"/>
        </w:rPr>
      </w:pPr>
      <w:r>
        <w:rPr>
          <w:rFonts w:ascii="Arial" w:cs="Arial" w:eastAsia="Arial" w:hAnsi="Arial"/>
          <w:sz w:val="18"/>
          <w:szCs w:val="18"/>
          <w:color w:val="auto"/>
        </w:rPr>
        <w:t>In August 2006, we announced that the Board of Directors authorized management to purchase up to 2 million additional shares of our Class A Common Stock. The Board’s action authorized management to purchase shares from time to time, in the open market or otherwise, whenever it believes such purchase to be advantageous to our shareholders, and it is otherwise legally permitted to do so. Management has made no share purchases under that authorization.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93" w:lineRule="exact"/>
        <w:rPr>
          <w:sz w:val="20"/>
          <w:szCs w:val="20"/>
          <w:color w:val="auto"/>
        </w:rPr>
      </w:pPr>
    </w:p>
    <w:p>
      <w:pPr>
        <w:ind w:right="260" w:firstLine="648"/>
        <w:spacing w:after="0"/>
        <w:rPr>
          <w:sz w:val="20"/>
          <w:szCs w:val="20"/>
          <w:color w:val="auto"/>
        </w:rPr>
      </w:pPr>
      <w:r>
        <w:rPr>
          <w:rFonts w:ascii="Arial" w:cs="Arial" w:eastAsia="Arial" w:hAnsi="Arial"/>
          <w:sz w:val="18"/>
          <w:szCs w:val="18"/>
          <w:color w:val="auto"/>
        </w:rPr>
        <w:t>The following selected historical financial data have been derived from our Consolidated Financial Statements in Item 8, which is incorporated herein by reference. The data should be read in conjunction with those financial statements and Management’s Discussion and Analysis of Financial Condition and Results of Operations in Item 7, which is incorporated herein by reference.</w:t>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25"/>
        </w:trPr>
        <w:tc>
          <w:tcPr>
            <w:tcW w:w="49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(in thousands, except per share amounts)</w:t>
            </w: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2010</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r>
        <w:trPr>
          <w:trHeight w:val="209"/>
        </w:trPr>
        <w:tc>
          <w:tcPr>
            <w:tcW w:w="4940" w:type="dxa"/>
            <w:vAlign w:val="bottom"/>
          </w:tcPr>
          <w:p>
            <w:pPr>
              <w:ind w:left="60"/>
              <w:spacing w:after="0"/>
              <w:rPr>
                <w:sz w:val="20"/>
                <w:szCs w:val="20"/>
                <w:color w:val="auto"/>
              </w:rPr>
            </w:pPr>
            <w:r>
              <w:rPr>
                <w:rFonts w:ascii="Arial" w:cs="Arial" w:eastAsia="Arial" w:hAnsi="Arial"/>
                <w:sz w:val="18"/>
                <w:szCs w:val="18"/>
                <w:b w:val="1"/>
                <w:bCs w:val="1"/>
                <w:color w:val="auto"/>
              </w:rPr>
              <w:t>Summary of Operations</w:t>
            </w:r>
          </w:p>
        </w:tc>
        <w:tc>
          <w:tcPr>
            <w:tcW w:w="4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757,414</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4940" w:type="dxa"/>
            <w:vAlign w:val="bottom"/>
          </w:tcPr>
          <w:p>
            <w:pPr>
              <w:ind w:left="60"/>
              <w:spacing w:after="0" w:line="181" w:lineRule="exact"/>
              <w:rPr>
                <w:sz w:val="20"/>
                <w:szCs w:val="20"/>
                <w:color w:val="auto"/>
              </w:rPr>
            </w:pPr>
            <w:r>
              <w:rPr>
                <w:rFonts w:ascii="Arial" w:cs="Arial" w:eastAsia="Arial" w:hAnsi="Arial"/>
                <w:sz w:val="18"/>
                <w:szCs w:val="18"/>
                <w:color w:val="auto"/>
              </w:rPr>
              <w:t>Net sales (1)</w:t>
            </w:r>
          </w:p>
        </w:tc>
        <w:tc>
          <w:tcPr>
            <w:tcW w:w="44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260" w:type="dxa"/>
            <w:vAlign w:val="bottom"/>
          </w:tcPr>
          <w:p>
            <w:pPr>
              <w:jc w:val="right"/>
              <w:ind w:right="30"/>
              <w:spacing w:after="0" w:line="181"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81" w:lineRule="exact"/>
              <w:rPr>
                <w:sz w:val="20"/>
                <w:szCs w:val="20"/>
                <w:color w:val="auto"/>
              </w:rPr>
            </w:pPr>
            <w:r>
              <w:rPr>
                <w:rFonts w:ascii="Arial" w:cs="Arial" w:eastAsia="Arial" w:hAnsi="Arial"/>
                <w:sz w:val="18"/>
                <w:szCs w:val="18"/>
                <w:color w:val="auto"/>
              </w:rPr>
              <w:t>760,941</w:t>
            </w:r>
          </w:p>
        </w:tc>
        <w:tc>
          <w:tcPr>
            <w:tcW w:w="240" w:type="dxa"/>
            <w:vAlign w:val="bottom"/>
          </w:tcPr>
          <w:p>
            <w:pPr>
              <w:jc w:val="right"/>
              <w:ind w:right="10"/>
              <w:spacing w:after="0" w:line="181"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181" w:lineRule="exact"/>
              <w:rPr>
                <w:sz w:val="20"/>
                <w:szCs w:val="20"/>
                <w:color w:val="auto"/>
              </w:rPr>
            </w:pPr>
            <w:r>
              <w:rPr>
                <w:rFonts w:ascii="Arial" w:cs="Arial" w:eastAsia="Arial" w:hAnsi="Arial"/>
                <w:sz w:val="18"/>
                <w:szCs w:val="18"/>
                <w:color w:val="auto"/>
              </w:rPr>
              <w:t>787,287</w:t>
            </w:r>
          </w:p>
        </w:tc>
        <w:tc>
          <w:tcPr>
            <w:tcW w:w="280" w:type="dxa"/>
            <w:vAlign w:val="bottom"/>
          </w:tcPr>
          <w:p>
            <w:pPr>
              <w:jc w:val="right"/>
              <w:ind w:right="30"/>
              <w:spacing w:after="0" w:line="181"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81" w:lineRule="exact"/>
              <w:rPr>
                <w:sz w:val="20"/>
                <w:szCs w:val="20"/>
                <w:color w:val="auto"/>
              </w:rPr>
            </w:pPr>
            <w:r>
              <w:rPr>
                <w:rFonts w:ascii="Arial" w:cs="Arial" w:eastAsia="Arial" w:hAnsi="Arial"/>
                <w:sz w:val="18"/>
                <w:szCs w:val="18"/>
                <w:color w:val="auto"/>
              </w:rPr>
              <w:t>742,887</w:t>
            </w:r>
          </w:p>
        </w:tc>
        <w:tc>
          <w:tcPr>
            <w:tcW w:w="280" w:type="dxa"/>
            <w:vAlign w:val="bottom"/>
          </w:tcPr>
          <w:p>
            <w:pPr>
              <w:jc w:val="right"/>
              <w:ind w:right="30"/>
              <w:spacing w:after="0" w:line="181"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line="181" w:lineRule="exact"/>
              <w:rPr>
                <w:sz w:val="20"/>
                <w:szCs w:val="20"/>
                <w:color w:val="auto"/>
              </w:rPr>
            </w:pPr>
            <w:r>
              <w:rPr>
                <w:rFonts w:ascii="Arial" w:cs="Arial" w:eastAsia="Arial" w:hAnsi="Arial"/>
                <w:sz w:val="18"/>
                <w:szCs w:val="18"/>
                <w:color w:val="auto"/>
              </w:rPr>
              <w:t>718,629</w:t>
            </w:r>
          </w:p>
        </w:tc>
        <w:tc>
          <w:tcPr>
            <w:tcW w:w="0" w:type="dxa"/>
            <w:vAlign w:val="bottom"/>
          </w:tcPr>
          <w:p>
            <w:pPr>
              <w:spacing w:after="0"/>
              <w:rPr>
                <w:sz w:val="1"/>
                <w:szCs w:val="1"/>
                <w:color w:val="auto"/>
              </w:rPr>
            </w:pPr>
          </w:p>
        </w:tc>
      </w:tr>
      <w:tr>
        <w:trPr>
          <w:trHeight w:val="203"/>
        </w:trPr>
        <w:tc>
          <w:tcPr>
            <w:tcW w:w="4940" w:type="dxa"/>
            <w:vAlign w:val="bottom"/>
          </w:tcPr>
          <w:p>
            <w:pPr>
              <w:ind w:left="60"/>
              <w:spacing w:after="0" w:line="202" w:lineRule="exact"/>
              <w:rPr>
                <w:sz w:val="20"/>
                <w:szCs w:val="20"/>
                <w:color w:val="auto"/>
              </w:rPr>
            </w:pPr>
            <w:r>
              <w:rPr>
                <w:rFonts w:ascii="Arial" w:cs="Arial" w:eastAsia="Arial" w:hAnsi="Arial"/>
                <w:sz w:val="18"/>
                <w:szCs w:val="18"/>
                <w:color w:val="auto"/>
              </w:rPr>
              <w:t>Cost of goods sold (1) (3)</w:t>
            </w:r>
          </w:p>
        </w:tc>
        <w:tc>
          <w:tcPr>
            <w:tcW w:w="4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466,860</w:t>
            </w:r>
          </w:p>
        </w:tc>
        <w:tc>
          <w:tcPr>
            <w:tcW w:w="2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455,545</w:t>
            </w:r>
          </w:p>
        </w:tc>
        <w:tc>
          <w:tcPr>
            <w:tcW w:w="2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473,121</w:t>
            </w:r>
          </w:p>
        </w:tc>
        <w:tc>
          <w:tcPr>
            <w:tcW w:w="2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460,914</w:t>
            </w:r>
          </w:p>
        </w:tc>
        <w:tc>
          <w:tcPr>
            <w:tcW w:w="280" w:type="dxa"/>
            <w:vAlign w:val="bottom"/>
          </w:tcPr>
          <w:p>
            <w:pPr>
              <w:spacing w:after="0"/>
              <w:rPr>
                <w:sz w:val="17"/>
                <w:szCs w:val="17"/>
                <w:color w:val="auto"/>
              </w:rPr>
            </w:pP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474,196</w:t>
            </w:r>
          </w:p>
        </w:tc>
        <w:tc>
          <w:tcPr>
            <w:tcW w:w="0" w:type="dxa"/>
            <w:vAlign w:val="bottom"/>
          </w:tcPr>
          <w:p>
            <w:pPr>
              <w:spacing w:after="0"/>
              <w:rPr>
                <w:sz w:val="1"/>
                <w:szCs w:val="1"/>
                <w:color w:val="auto"/>
              </w:rPr>
            </w:pPr>
          </w:p>
        </w:tc>
      </w:tr>
      <w:tr>
        <w:trPr>
          <w:trHeight w:val="203"/>
        </w:trPr>
        <w:tc>
          <w:tcPr>
            <w:tcW w:w="4940" w:type="dxa"/>
            <w:vAlign w:val="bottom"/>
          </w:tcPr>
          <w:p>
            <w:pPr>
              <w:ind w:left="60"/>
              <w:spacing w:after="0" w:line="202" w:lineRule="exact"/>
              <w:rPr>
                <w:sz w:val="20"/>
                <w:szCs w:val="20"/>
                <w:color w:val="auto"/>
              </w:rPr>
            </w:pPr>
            <w:r>
              <w:rPr>
                <w:rFonts w:ascii="Arial" w:cs="Arial" w:eastAsia="Arial" w:hAnsi="Arial"/>
                <w:sz w:val="18"/>
                <w:szCs w:val="18"/>
                <w:color w:val="auto"/>
              </w:rPr>
              <w:t>Restructuring and other (3)</w:t>
            </w:r>
          </w:p>
        </w:tc>
        <w:tc>
          <w:tcPr>
            <w:tcW w:w="4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25,108</w:t>
            </w:r>
          </w:p>
        </w:tc>
        <w:tc>
          <w:tcPr>
            <w:tcW w:w="2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7,061</w:t>
            </w:r>
          </w:p>
        </w:tc>
        <w:tc>
          <w:tcPr>
            <w:tcW w:w="2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9,317</w:t>
            </w:r>
          </w:p>
        </w:tc>
        <w:tc>
          <w:tcPr>
            <w:tcW w:w="2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3,747</w:t>
            </w:r>
          </w:p>
        </w:tc>
        <w:tc>
          <w:tcPr>
            <w:tcW w:w="280" w:type="dxa"/>
            <w:vAlign w:val="bottom"/>
          </w:tcPr>
          <w:p>
            <w:pPr>
              <w:spacing w:after="0"/>
              <w:rPr>
                <w:sz w:val="17"/>
                <w:szCs w:val="17"/>
                <w:color w:val="auto"/>
              </w:rPr>
            </w:pP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68,113</w:t>
            </w:r>
          </w:p>
        </w:tc>
        <w:tc>
          <w:tcPr>
            <w:tcW w:w="0" w:type="dxa"/>
            <w:vAlign w:val="bottom"/>
          </w:tcPr>
          <w:p>
            <w:pPr>
              <w:spacing w:after="0"/>
              <w:rPr>
                <w:sz w:val="1"/>
                <w:szCs w:val="1"/>
                <w:color w:val="auto"/>
              </w:rPr>
            </w:pPr>
          </w:p>
        </w:tc>
      </w:tr>
      <w:tr>
        <w:trPr>
          <w:trHeight w:val="203"/>
        </w:trPr>
        <w:tc>
          <w:tcPr>
            <w:tcW w:w="4940" w:type="dxa"/>
            <w:vAlign w:val="bottom"/>
          </w:tcPr>
          <w:p>
            <w:pPr>
              <w:ind w:left="60"/>
              <w:spacing w:after="0" w:line="202" w:lineRule="exact"/>
              <w:rPr>
                <w:sz w:val="20"/>
                <w:szCs w:val="20"/>
                <w:color w:val="auto"/>
              </w:rPr>
            </w:pPr>
            <w:r>
              <w:rPr>
                <w:rFonts w:ascii="Arial" w:cs="Arial" w:eastAsia="Arial" w:hAnsi="Arial"/>
                <w:sz w:val="18"/>
                <w:szCs w:val="18"/>
                <w:color w:val="auto"/>
              </w:rPr>
              <w:t>Pension settlement charges (2)</w:t>
            </w:r>
          </w:p>
        </w:tc>
        <w:tc>
          <w:tcPr>
            <w:tcW w:w="4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119,735</w:t>
            </w:r>
          </w:p>
        </w:tc>
        <w:tc>
          <w:tcPr>
            <w:tcW w:w="2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940" w:type="dxa"/>
            <w:vAlign w:val="bottom"/>
          </w:tcPr>
          <w:p>
            <w:pPr>
              <w:ind w:left="60"/>
              <w:spacing w:after="0" w:line="202" w:lineRule="exact"/>
              <w:rPr>
                <w:sz w:val="20"/>
                <w:szCs w:val="20"/>
                <w:color w:val="auto"/>
              </w:rPr>
            </w:pPr>
            <w:r>
              <w:rPr>
                <w:rFonts w:ascii="Arial" w:cs="Arial" w:eastAsia="Arial" w:hAnsi="Arial"/>
                <w:sz w:val="18"/>
                <w:szCs w:val="18"/>
                <w:color w:val="auto"/>
              </w:rPr>
              <w:t>Operating income/(loss) (1)</w:t>
            </w:r>
          </w:p>
        </w:tc>
        <w:tc>
          <w:tcPr>
            <w:tcW w:w="4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52,091</w:t>
            </w:r>
          </w:p>
        </w:tc>
        <w:tc>
          <w:tcPr>
            <w:tcW w:w="2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(44,136)</w:t>
            </w:r>
          </w:p>
        </w:tc>
        <w:tc>
          <w:tcPr>
            <w:tcW w:w="2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74,608</w:t>
            </w:r>
          </w:p>
        </w:tc>
        <w:tc>
          <w:tcPr>
            <w:tcW w:w="2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64,709</w:t>
            </w:r>
          </w:p>
        </w:tc>
        <w:tc>
          <w:tcPr>
            <w:tcW w:w="2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(39,720)</w:t>
            </w:r>
          </w:p>
        </w:tc>
        <w:tc>
          <w:tcPr>
            <w:tcW w:w="0" w:type="dxa"/>
            <w:vAlign w:val="bottom"/>
          </w:tcPr>
          <w:p>
            <w:pPr>
              <w:spacing w:after="0"/>
              <w:rPr>
                <w:sz w:val="1"/>
                <w:szCs w:val="1"/>
                <w:color w:val="auto"/>
              </w:rPr>
            </w:pPr>
          </w:p>
        </w:tc>
      </w:tr>
      <w:tr>
        <w:trPr>
          <w:trHeight w:val="203"/>
        </w:trPr>
        <w:tc>
          <w:tcPr>
            <w:tcW w:w="4940" w:type="dxa"/>
            <w:vAlign w:val="bottom"/>
          </w:tcPr>
          <w:p>
            <w:pPr>
              <w:ind w:left="60"/>
              <w:spacing w:after="0" w:line="202" w:lineRule="exact"/>
              <w:rPr>
                <w:sz w:val="20"/>
                <w:szCs w:val="20"/>
                <w:color w:val="auto"/>
              </w:rPr>
            </w:pPr>
            <w:r>
              <w:rPr>
                <w:rFonts w:ascii="Arial" w:cs="Arial" w:eastAsia="Arial" w:hAnsi="Arial"/>
                <w:sz w:val="18"/>
                <w:szCs w:val="18"/>
                <w:color w:val="auto"/>
              </w:rPr>
              <w:t>Interest expense, net</w:t>
            </w:r>
          </w:p>
        </w:tc>
        <w:tc>
          <w:tcPr>
            <w:tcW w:w="4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13,759</w:t>
            </w:r>
          </w:p>
        </w:tc>
        <w:tc>
          <w:tcPr>
            <w:tcW w:w="2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16,601</w:t>
            </w:r>
          </w:p>
        </w:tc>
        <w:tc>
          <w:tcPr>
            <w:tcW w:w="2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18,121</w:t>
            </w:r>
          </w:p>
        </w:tc>
        <w:tc>
          <w:tcPr>
            <w:tcW w:w="2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17,240</w:t>
            </w:r>
          </w:p>
        </w:tc>
        <w:tc>
          <w:tcPr>
            <w:tcW w:w="280" w:type="dxa"/>
            <w:vAlign w:val="bottom"/>
          </w:tcPr>
          <w:p>
            <w:pPr>
              <w:spacing w:after="0"/>
              <w:rPr>
                <w:sz w:val="17"/>
                <w:szCs w:val="17"/>
                <w:color w:val="auto"/>
              </w:rPr>
            </w:pP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20,627</w:t>
            </w:r>
          </w:p>
        </w:tc>
        <w:tc>
          <w:tcPr>
            <w:tcW w:w="0" w:type="dxa"/>
            <w:vAlign w:val="bottom"/>
          </w:tcPr>
          <w:p>
            <w:pPr>
              <w:spacing w:after="0"/>
              <w:rPr>
                <w:sz w:val="1"/>
                <w:szCs w:val="1"/>
                <w:color w:val="auto"/>
              </w:rPr>
            </w:pPr>
          </w:p>
        </w:tc>
      </w:tr>
      <w:tr>
        <w:trPr>
          <w:trHeight w:val="203"/>
        </w:trPr>
        <w:tc>
          <w:tcPr>
            <w:tcW w:w="4940" w:type="dxa"/>
            <w:vAlign w:val="bottom"/>
          </w:tcPr>
          <w:p>
            <w:pPr>
              <w:ind w:left="60"/>
              <w:spacing w:after="0" w:line="202" w:lineRule="exact"/>
              <w:rPr>
                <w:sz w:val="20"/>
                <w:szCs w:val="20"/>
                <w:color w:val="auto"/>
              </w:rPr>
            </w:pPr>
            <w:r>
              <w:rPr>
                <w:rFonts w:ascii="Arial" w:cs="Arial" w:eastAsia="Arial" w:hAnsi="Arial"/>
                <w:sz w:val="18"/>
                <w:szCs w:val="18"/>
                <w:color w:val="auto"/>
              </w:rPr>
              <w:t>Income/(loss) from continuing operations (4) (6)</w:t>
            </w:r>
          </w:p>
        </w:tc>
        <w:tc>
          <w:tcPr>
            <w:tcW w:w="4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17,704</w:t>
            </w:r>
          </w:p>
        </w:tc>
        <w:tc>
          <w:tcPr>
            <w:tcW w:w="2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(40,843)</w:t>
            </w:r>
          </w:p>
        </w:tc>
        <w:tc>
          <w:tcPr>
            <w:tcW w:w="2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21,266</w:t>
            </w:r>
          </w:p>
        </w:tc>
        <w:tc>
          <w:tcPr>
            <w:tcW w:w="2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27,423</w:t>
            </w:r>
          </w:p>
        </w:tc>
        <w:tc>
          <w:tcPr>
            <w:tcW w:w="2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(23,532)</w:t>
            </w:r>
          </w:p>
        </w:tc>
        <w:tc>
          <w:tcPr>
            <w:tcW w:w="0" w:type="dxa"/>
            <w:vAlign w:val="bottom"/>
          </w:tcPr>
          <w:p>
            <w:pPr>
              <w:spacing w:after="0"/>
              <w:rPr>
                <w:sz w:val="1"/>
                <w:szCs w:val="1"/>
                <w:color w:val="auto"/>
              </w:rPr>
            </w:pPr>
          </w:p>
        </w:tc>
      </w:tr>
      <w:tr>
        <w:trPr>
          <w:trHeight w:val="203"/>
        </w:trPr>
        <w:tc>
          <w:tcPr>
            <w:tcW w:w="4940" w:type="dxa"/>
            <w:vAlign w:val="bottom"/>
          </w:tcPr>
          <w:p>
            <w:pPr>
              <w:ind w:left="60"/>
              <w:spacing w:after="0" w:line="202" w:lineRule="exact"/>
              <w:rPr>
                <w:sz w:val="20"/>
                <w:szCs w:val="20"/>
                <w:color w:val="auto"/>
              </w:rPr>
            </w:pPr>
            <w:r>
              <w:rPr>
                <w:rFonts w:ascii="Arial" w:cs="Arial" w:eastAsia="Arial" w:hAnsi="Arial"/>
                <w:sz w:val="18"/>
                <w:szCs w:val="18"/>
                <w:color w:val="auto"/>
              </w:rPr>
              <w:t>Income/(loss) from discontinued operations (1) (5)</w:t>
            </w:r>
          </w:p>
        </w:tc>
        <w:tc>
          <w:tcPr>
            <w:tcW w:w="4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(46)</w:t>
            </w:r>
          </w:p>
        </w:tc>
        <w:tc>
          <w:tcPr>
            <w:tcW w:w="2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71,820</w:t>
            </w:r>
          </w:p>
        </w:tc>
        <w:tc>
          <w:tcPr>
            <w:tcW w:w="2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13,672</w:t>
            </w:r>
          </w:p>
        </w:tc>
        <w:tc>
          <w:tcPr>
            <w:tcW w:w="2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10,213</w:t>
            </w:r>
          </w:p>
        </w:tc>
        <w:tc>
          <w:tcPr>
            <w:tcW w:w="2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(9,926)</w:t>
            </w:r>
          </w:p>
        </w:tc>
        <w:tc>
          <w:tcPr>
            <w:tcW w:w="0" w:type="dxa"/>
            <w:vAlign w:val="bottom"/>
          </w:tcPr>
          <w:p>
            <w:pPr>
              <w:spacing w:after="0"/>
              <w:rPr>
                <w:sz w:val="1"/>
                <w:szCs w:val="1"/>
                <w:color w:val="auto"/>
              </w:rPr>
            </w:pPr>
          </w:p>
        </w:tc>
      </w:tr>
      <w:tr>
        <w:trPr>
          <w:trHeight w:val="203"/>
        </w:trPr>
        <w:tc>
          <w:tcPr>
            <w:tcW w:w="4940" w:type="dxa"/>
            <w:vAlign w:val="bottom"/>
          </w:tcPr>
          <w:p>
            <w:pPr>
              <w:ind w:left="60"/>
              <w:spacing w:after="0" w:line="202" w:lineRule="exact"/>
              <w:rPr>
                <w:sz w:val="20"/>
                <w:szCs w:val="20"/>
                <w:color w:val="auto"/>
              </w:rPr>
            </w:pPr>
            <w:r>
              <w:rPr>
                <w:rFonts w:ascii="Arial" w:cs="Arial" w:eastAsia="Arial" w:hAnsi="Arial"/>
                <w:sz w:val="18"/>
                <w:szCs w:val="18"/>
                <w:color w:val="auto"/>
              </w:rPr>
              <w:t>Net income attributable to the Company</w:t>
            </w:r>
          </w:p>
        </w:tc>
        <w:tc>
          <w:tcPr>
            <w:tcW w:w="4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17,517</w:t>
            </w:r>
          </w:p>
        </w:tc>
        <w:tc>
          <w:tcPr>
            <w:tcW w:w="2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30,977</w:t>
            </w:r>
          </w:p>
        </w:tc>
        <w:tc>
          <w:tcPr>
            <w:tcW w:w="2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34,938</w:t>
            </w:r>
          </w:p>
        </w:tc>
        <w:tc>
          <w:tcPr>
            <w:tcW w:w="2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37,636</w:t>
            </w:r>
          </w:p>
        </w:tc>
        <w:tc>
          <w:tcPr>
            <w:tcW w:w="2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(33,458)</w:t>
            </w:r>
          </w:p>
        </w:tc>
        <w:tc>
          <w:tcPr>
            <w:tcW w:w="0" w:type="dxa"/>
            <w:vAlign w:val="bottom"/>
          </w:tcPr>
          <w:p>
            <w:pPr>
              <w:spacing w:after="0"/>
              <w:rPr>
                <w:sz w:val="1"/>
                <w:szCs w:val="1"/>
                <w:color w:val="auto"/>
              </w:rPr>
            </w:pPr>
          </w:p>
        </w:tc>
      </w:tr>
      <w:tr>
        <w:trPr>
          <w:trHeight w:val="203"/>
        </w:trPr>
        <w:tc>
          <w:tcPr>
            <w:tcW w:w="4940" w:type="dxa"/>
            <w:vAlign w:val="bottom"/>
          </w:tcPr>
          <w:p>
            <w:pPr>
              <w:ind w:left="60"/>
              <w:spacing w:after="0" w:line="202" w:lineRule="exact"/>
              <w:rPr>
                <w:sz w:val="20"/>
                <w:szCs w:val="20"/>
                <w:color w:val="auto"/>
              </w:rPr>
            </w:pPr>
            <w:r>
              <w:rPr>
                <w:rFonts w:ascii="Arial" w:cs="Arial" w:eastAsia="Arial" w:hAnsi="Arial"/>
                <w:sz w:val="18"/>
                <w:szCs w:val="18"/>
                <w:color w:val="auto"/>
              </w:rPr>
              <w:t>Basic income/(loss) from continuing operations per share</w:t>
            </w:r>
          </w:p>
        </w:tc>
        <w:tc>
          <w:tcPr>
            <w:tcW w:w="4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0.55</w:t>
            </w:r>
          </w:p>
        </w:tc>
        <w:tc>
          <w:tcPr>
            <w:tcW w:w="2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(1.30)</w:t>
            </w:r>
          </w:p>
        </w:tc>
        <w:tc>
          <w:tcPr>
            <w:tcW w:w="2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0.68</w:t>
            </w:r>
          </w:p>
        </w:tc>
        <w:tc>
          <w:tcPr>
            <w:tcW w:w="2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0.88</w:t>
            </w:r>
          </w:p>
        </w:tc>
        <w:tc>
          <w:tcPr>
            <w:tcW w:w="2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03"/>
        </w:trPr>
        <w:tc>
          <w:tcPr>
            <w:tcW w:w="4940" w:type="dxa"/>
            <w:vAlign w:val="bottom"/>
          </w:tcPr>
          <w:p>
            <w:pPr>
              <w:ind w:left="60"/>
              <w:spacing w:after="0" w:line="202" w:lineRule="exact"/>
              <w:rPr>
                <w:sz w:val="20"/>
                <w:szCs w:val="20"/>
                <w:color w:val="auto"/>
              </w:rPr>
            </w:pPr>
            <w:r>
              <w:rPr>
                <w:rFonts w:ascii="Arial" w:cs="Arial" w:eastAsia="Arial" w:hAnsi="Arial"/>
                <w:sz w:val="18"/>
                <w:szCs w:val="18"/>
                <w:color w:val="auto"/>
              </w:rPr>
              <w:t>Diluted income/(loss) from continuing operations per share</w:t>
            </w:r>
          </w:p>
        </w:tc>
        <w:tc>
          <w:tcPr>
            <w:tcW w:w="4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0.55</w:t>
            </w:r>
          </w:p>
        </w:tc>
        <w:tc>
          <w:tcPr>
            <w:tcW w:w="2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(1.30)</w:t>
            </w:r>
          </w:p>
        </w:tc>
        <w:tc>
          <w:tcPr>
            <w:tcW w:w="2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0.67</w:t>
            </w:r>
          </w:p>
        </w:tc>
        <w:tc>
          <w:tcPr>
            <w:tcW w:w="2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0.88</w:t>
            </w:r>
          </w:p>
        </w:tc>
        <w:tc>
          <w:tcPr>
            <w:tcW w:w="2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03"/>
        </w:trPr>
        <w:tc>
          <w:tcPr>
            <w:tcW w:w="4940" w:type="dxa"/>
            <w:vAlign w:val="bottom"/>
          </w:tcPr>
          <w:p>
            <w:pPr>
              <w:ind w:left="60"/>
              <w:spacing w:after="0" w:line="202" w:lineRule="exact"/>
              <w:rPr>
                <w:sz w:val="20"/>
                <w:szCs w:val="20"/>
                <w:color w:val="auto"/>
              </w:rPr>
            </w:pPr>
            <w:r>
              <w:rPr>
                <w:rFonts w:ascii="Arial" w:cs="Arial" w:eastAsia="Arial" w:hAnsi="Arial"/>
                <w:sz w:val="18"/>
                <w:szCs w:val="18"/>
                <w:color w:val="auto"/>
              </w:rPr>
              <w:t>Dividends declared per share</w:t>
            </w:r>
          </w:p>
        </w:tc>
        <w:tc>
          <w:tcPr>
            <w:tcW w:w="4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0.59</w:t>
            </w:r>
          </w:p>
        </w:tc>
        <w:tc>
          <w:tcPr>
            <w:tcW w:w="2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0.55</w:t>
            </w:r>
          </w:p>
        </w:tc>
        <w:tc>
          <w:tcPr>
            <w:tcW w:w="2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0.51</w:t>
            </w:r>
          </w:p>
        </w:tc>
        <w:tc>
          <w:tcPr>
            <w:tcW w:w="2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0.48</w:t>
            </w:r>
          </w:p>
        </w:tc>
        <w:tc>
          <w:tcPr>
            <w:tcW w:w="280" w:type="dxa"/>
            <w:vAlign w:val="bottom"/>
          </w:tcPr>
          <w:p>
            <w:pPr>
              <w:spacing w:after="0"/>
              <w:rPr>
                <w:sz w:val="17"/>
                <w:szCs w:val="17"/>
                <w:color w:val="auto"/>
              </w:rPr>
            </w:pP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03"/>
        </w:trPr>
        <w:tc>
          <w:tcPr>
            <w:tcW w:w="4940" w:type="dxa"/>
            <w:vAlign w:val="bottom"/>
          </w:tcPr>
          <w:p>
            <w:pPr>
              <w:ind w:left="60"/>
              <w:spacing w:after="0" w:line="202" w:lineRule="exact"/>
              <w:rPr>
                <w:sz w:val="20"/>
                <w:szCs w:val="20"/>
                <w:color w:val="auto"/>
              </w:rPr>
            </w:pPr>
            <w:r>
              <w:rPr>
                <w:rFonts w:ascii="Arial" w:cs="Arial" w:eastAsia="Arial" w:hAnsi="Arial"/>
                <w:sz w:val="18"/>
                <w:szCs w:val="18"/>
                <w:color w:val="auto"/>
              </w:rPr>
              <w:t>Weighted average number of shares outstanding - basic</w:t>
            </w:r>
          </w:p>
        </w:tc>
        <w:tc>
          <w:tcPr>
            <w:tcW w:w="4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31,649</w:t>
            </w:r>
          </w:p>
        </w:tc>
        <w:tc>
          <w:tcPr>
            <w:tcW w:w="2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31,356</w:t>
            </w:r>
          </w:p>
        </w:tc>
        <w:tc>
          <w:tcPr>
            <w:tcW w:w="2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31,262</w:t>
            </w:r>
          </w:p>
        </w:tc>
        <w:tc>
          <w:tcPr>
            <w:tcW w:w="2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31,072</w:t>
            </w:r>
          </w:p>
        </w:tc>
        <w:tc>
          <w:tcPr>
            <w:tcW w:w="280" w:type="dxa"/>
            <w:vAlign w:val="bottom"/>
          </w:tcPr>
          <w:p>
            <w:pPr>
              <w:spacing w:after="0"/>
              <w:rPr>
                <w:sz w:val="17"/>
                <w:szCs w:val="17"/>
                <w:color w:val="auto"/>
              </w:rPr>
            </w:pP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30,612</w:t>
            </w:r>
          </w:p>
        </w:tc>
        <w:tc>
          <w:tcPr>
            <w:tcW w:w="0" w:type="dxa"/>
            <w:vAlign w:val="bottom"/>
          </w:tcPr>
          <w:p>
            <w:pPr>
              <w:spacing w:after="0"/>
              <w:rPr>
                <w:sz w:val="1"/>
                <w:szCs w:val="1"/>
                <w:color w:val="auto"/>
              </w:rPr>
            </w:pPr>
          </w:p>
        </w:tc>
      </w:tr>
      <w:tr>
        <w:trPr>
          <w:trHeight w:val="203"/>
        </w:trPr>
        <w:tc>
          <w:tcPr>
            <w:tcW w:w="4940" w:type="dxa"/>
            <w:vAlign w:val="bottom"/>
          </w:tcPr>
          <w:p>
            <w:pPr>
              <w:ind w:left="60"/>
              <w:spacing w:after="0" w:line="202" w:lineRule="exact"/>
              <w:rPr>
                <w:sz w:val="20"/>
                <w:szCs w:val="20"/>
                <w:color w:val="auto"/>
              </w:rPr>
            </w:pPr>
            <w:r>
              <w:rPr>
                <w:rFonts w:ascii="Arial" w:cs="Arial" w:eastAsia="Arial" w:hAnsi="Arial"/>
                <w:sz w:val="18"/>
                <w:szCs w:val="18"/>
                <w:color w:val="auto"/>
              </w:rPr>
              <w:t>Capital expenditures, including software</w:t>
            </w:r>
          </w:p>
        </w:tc>
        <w:tc>
          <w:tcPr>
            <w:tcW w:w="4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64,457</w:t>
            </w:r>
          </w:p>
        </w:tc>
        <w:tc>
          <w:tcPr>
            <w:tcW w:w="2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37,207</w:t>
            </w:r>
          </w:p>
        </w:tc>
        <w:tc>
          <w:tcPr>
            <w:tcW w:w="2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27,428</w:t>
            </w:r>
          </w:p>
        </w:tc>
        <w:tc>
          <w:tcPr>
            <w:tcW w:w="2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30,957</w:t>
            </w:r>
          </w:p>
        </w:tc>
        <w:tc>
          <w:tcPr>
            <w:tcW w:w="280" w:type="dxa"/>
            <w:vAlign w:val="bottom"/>
          </w:tcPr>
          <w:p>
            <w:pPr>
              <w:spacing w:after="0"/>
              <w:rPr>
                <w:sz w:val="17"/>
                <w:szCs w:val="17"/>
                <w:color w:val="auto"/>
              </w:rPr>
            </w:pP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41,827</w:t>
            </w:r>
          </w:p>
        </w:tc>
        <w:tc>
          <w:tcPr>
            <w:tcW w:w="0" w:type="dxa"/>
            <w:vAlign w:val="bottom"/>
          </w:tcPr>
          <w:p>
            <w:pPr>
              <w:spacing w:after="0"/>
              <w:rPr>
                <w:sz w:val="1"/>
                <w:szCs w:val="1"/>
                <w:color w:val="auto"/>
              </w:rPr>
            </w:pPr>
          </w:p>
        </w:tc>
      </w:tr>
      <w:tr>
        <w:trPr>
          <w:trHeight w:val="225"/>
        </w:trPr>
        <w:tc>
          <w:tcPr>
            <w:tcW w:w="4940" w:type="dxa"/>
            <w:vAlign w:val="bottom"/>
          </w:tcPr>
          <w:p>
            <w:pPr>
              <w:ind w:left="60"/>
              <w:spacing w:after="0"/>
              <w:rPr>
                <w:sz w:val="20"/>
                <w:szCs w:val="20"/>
                <w:color w:val="auto"/>
              </w:rPr>
            </w:pPr>
            <w:r>
              <w:rPr>
                <w:rFonts w:ascii="Arial" w:cs="Arial" w:eastAsia="Arial" w:hAnsi="Arial"/>
                <w:sz w:val="18"/>
                <w:szCs w:val="18"/>
                <w:b w:val="1"/>
                <w:bCs w:val="1"/>
                <w:color w:val="auto"/>
              </w:rPr>
              <w:t>Financial position</w:t>
            </w:r>
          </w:p>
        </w:tc>
        <w:tc>
          <w:tcPr>
            <w:tcW w:w="4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222,666</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4940" w:type="dxa"/>
            <w:vAlign w:val="bottom"/>
          </w:tcPr>
          <w:p>
            <w:pPr>
              <w:ind w:left="60"/>
              <w:spacing w:after="0" w:line="181" w:lineRule="exact"/>
              <w:rPr>
                <w:sz w:val="20"/>
                <w:szCs w:val="20"/>
                <w:color w:val="auto"/>
              </w:rPr>
            </w:pPr>
            <w:r>
              <w:rPr>
                <w:rFonts w:ascii="Arial" w:cs="Arial" w:eastAsia="Arial" w:hAnsi="Arial"/>
                <w:sz w:val="18"/>
                <w:szCs w:val="18"/>
                <w:color w:val="auto"/>
              </w:rPr>
              <w:t>Cash</w:t>
            </w:r>
          </w:p>
        </w:tc>
        <w:tc>
          <w:tcPr>
            <w:tcW w:w="44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260" w:type="dxa"/>
            <w:vAlign w:val="bottom"/>
          </w:tcPr>
          <w:p>
            <w:pPr>
              <w:jc w:val="right"/>
              <w:ind w:right="30"/>
              <w:spacing w:after="0" w:line="181"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81" w:lineRule="exact"/>
              <w:rPr>
                <w:sz w:val="20"/>
                <w:szCs w:val="20"/>
                <w:color w:val="auto"/>
              </w:rPr>
            </w:pPr>
            <w:r>
              <w:rPr>
                <w:rFonts w:ascii="Arial" w:cs="Arial" w:eastAsia="Arial" w:hAnsi="Arial"/>
                <w:sz w:val="18"/>
                <w:szCs w:val="18"/>
                <w:color w:val="auto"/>
              </w:rPr>
              <w:t>190,718</w:t>
            </w:r>
          </w:p>
        </w:tc>
        <w:tc>
          <w:tcPr>
            <w:tcW w:w="240" w:type="dxa"/>
            <w:vAlign w:val="bottom"/>
          </w:tcPr>
          <w:p>
            <w:pPr>
              <w:jc w:val="right"/>
              <w:ind w:right="10"/>
              <w:spacing w:after="0" w:line="181"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181" w:lineRule="exact"/>
              <w:rPr>
                <w:sz w:val="20"/>
                <w:szCs w:val="20"/>
                <w:color w:val="auto"/>
              </w:rPr>
            </w:pPr>
            <w:r>
              <w:rPr>
                <w:rFonts w:ascii="Arial" w:cs="Arial" w:eastAsia="Arial" w:hAnsi="Arial"/>
                <w:sz w:val="18"/>
                <w:szCs w:val="18"/>
                <w:color w:val="auto"/>
              </w:rPr>
              <w:t>118,909</w:t>
            </w:r>
          </w:p>
        </w:tc>
        <w:tc>
          <w:tcPr>
            <w:tcW w:w="280" w:type="dxa"/>
            <w:vAlign w:val="bottom"/>
          </w:tcPr>
          <w:p>
            <w:pPr>
              <w:jc w:val="right"/>
              <w:ind w:right="30"/>
              <w:spacing w:after="0" w:line="181"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81" w:lineRule="exact"/>
              <w:rPr>
                <w:sz w:val="20"/>
                <w:szCs w:val="20"/>
                <w:color w:val="auto"/>
              </w:rPr>
            </w:pPr>
            <w:r>
              <w:rPr>
                <w:rFonts w:ascii="Arial" w:cs="Arial" w:eastAsia="Arial" w:hAnsi="Arial"/>
                <w:sz w:val="18"/>
                <w:szCs w:val="18"/>
                <w:color w:val="auto"/>
              </w:rPr>
              <w:t>117,925</w:t>
            </w:r>
          </w:p>
        </w:tc>
        <w:tc>
          <w:tcPr>
            <w:tcW w:w="280" w:type="dxa"/>
            <w:vAlign w:val="bottom"/>
          </w:tcPr>
          <w:p>
            <w:pPr>
              <w:jc w:val="right"/>
              <w:ind w:right="30"/>
              <w:spacing w:after="0" w:line="181"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line="181" w:lineRule="exact"/>
              <w:rPr>
                <w:sz w:val="20"/>
                <w:szCs w:val="20"/>
                <w:color w:val="auto"/>
              </w:rPr>
            </w:pPr>
            <w:r>
              <w:rPr>
                <w:rFonts w:ascii="Arial" w:cs="Arial" w:eastAsia="Arial" w:hAnsi="Arial"/>
                <w:sz w:val="18"/>
                <w:szCs w:val="18"/>
                <w:color w:val="auto"/>
              </w:rPr>
              <w:t>94,139</w:t>
            </w:r>
          </w:p>
        </w:tc>
        <w:tc>
          <w:tcPr>
            <w:tcW w:w="0" w:type="dxa"/>
            <w:vAlign w:val="bottom"/>
          </w:tcPr>
          <w:p>
            <w:pPr>
              <w:spacing w:after="0"/>
              <w:rPr>
                <w:sz w:val="1"/>
                <w:szCs w:val="1"/>
                <w:color w:val="auto"/>
              </w:rPr>
            </w:pPr>
          </w:p>
        </w:tc>
      </w:tr>
      <w:tr>
        <w:trPr>
          <w:trHeight w:val="203"/>
        </w:trPr>
        <w:tc>
          <w:tcPr>
            <w:tcW w:w="4940" w:type="dxa"/>
            <w:vAlign w:val="bottom"/>
          </w:tcPr>
          <w:p>
            <w:pPr>
              <w:ind w:left="60"/>
              <w:spacing w:after="0" w:line="202" w:lineRule="exact"/>
              <w:rPr>
                <w:sz w:val="20"/>
                <w:szCs w:val="20"/>
                <w:color w:val="auto"/>
              </w:rPr>
            </w:pPr>
            <w:r>
              <w:rPr>
                <w:rFonts w:ascii="Arial" w:cs="Arial" w:eastAsia="Arial" w:hAnsi="Arial"/>
                <w:sz w:val="18"/>
                <w:szCs w:val="18"/>
                <w:color w:val="auto"/>
              </w:rPr>
              <w:t>Property, plant and equipment, net</w:t>
            </w:r>
          </w:p>
        </w:tc>
        <w:tc>
          <w:tcPr>
            <w:tcW w:w="4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418,830</w:t>
            </w:r>
          </w:p>
        </w:tc>
        <w:tc>
          <w:tcPr>
            <w:tcW w:w="2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420,154</w:t>
            </w:r>
          </w:p>
        </w:tc>
        <w:tc>
          <w:tcPr>
            <w:tcW w:w="2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438,953</w:t>
            </w:r>
          </w:p>
        </w:tc>
        <w:tc>
          <w:tcPr>
            <w:tcW w:w="2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480,711</w:t>
            </w:r>
          </w:p>
        </w:tc>
        <w:tc>
          <w:tcPr>
            <w:tcW w:w="280" w:type="dxa"/>
            <w:vAlign w:val="bottom"/>
          </w:tcPr>
          <w:p>
            <w:pPr>
              <w:spacing w:after="0"/>
              <w:rPr>
                <w:sz w:val="17"/>
                <w:szCs w:val="17"/>
                <w:color w:val="auto"/>
              </w:rPr>
            </w:pP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505,833</w:t>
            </w:r>
          </w:p>
        </w:tc>
        <w:tc>
          <w:tcPr>
            <w:tcW w:w="0" w:type="dxa"/>
            <w:vAlign w:val="bottom"/>
          </w:tcPr>
          <w:p>
            <w:pPr>
              <w:spacing w:after="0"/>
              <w:rPr>
                <w:sz w:val="1"/>
                <w:szCs w:val="1"/>
                <w:color w:val="auto"/>
              </w:rPr>
            </w:pPr>
          </w:p>
        </w:tc>
      </w:tr>
      <w:tr>
        <w:trPr>
          <w:trHeight w:val="203"/>
        </w:trPr>
        <w:tc>
          <w:tcPr>
            <w:tcW w:w="4940" w:type="dxa"/>
            <w:vAlign w:val="bottom"/>
          </w:tcPr>
          <w:p>
            <w:pPr>
              <w:ind w:left="60"/>
              <w:spacing w:after="0" w:line="202" w:lineRule="exact"/>
              <w:rPr>
                <w:sz w:val="20"/>
                <w:szCs w:val="20"/>
                <w:color w:val="auto"/>
              </w:rPr>
            </w:pPr>
            <w:r>
              <w:rPr>
                <w:rFonts w:ascii="Arial" w:cs="Arial" w:eastAsia="Arial" w:hAnsi="Arial"/>
                <w:sz w:val="18"/>
                <w:szCs w:val="18"/>
                <w:color w:val="auto"/>
              </w:rPr>
              <w:t>Total assets (1) (4)</w:t>
            </w:r>
          </w:p>
        </w:tc>
        <w:tc>
          <w:tcPr>
            <w:tcW w:w="4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1,166,888</w:t>
            </w:r>
          </w:p>
        </w:tc>
        <w:tc>
          <w:tcPr>
            <w:tcW w:w="2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1,156,697</w:t>
            </w:r>
          </w:p>
        </w:tc>
        <w:tc>
          <w:tcPr>
            <w:tcW w:w="2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1,230,928</w:t>
            </w:r>
          </w:p>
        </w:tc>
        <w:tc>
          <w:tcPr>
            <w:tcW w:w="2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1,278,293</w:t>
            </w:r>
          </w:p>
        </w:tc>
        <w:tc>
          <w:tcPr>
            <w:tcW w:w="280" w:type="dxa"/>
            <w:vAlign w:val="bottom"/>
          </w:tcPr>
          <w:p>
            <w:pPr>
              <w:spacing w:after="0"/>
              <w:rPr>
                <w:sz w:val="17"/>
                <w:szCs w:val="17"/>
                <w:color w:val="auto"/>
              </w:rPr>
            </w:pP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1,345,149</w:t>
            </w:r>
          </w:p>
        </w:tc>
        <w:tc>
          <w:tcPr>
            <w:tcW w:w="0" w:type="dxa"/>
            <w:vAlign w:val="bottom"/>
          </w:tcPr>
          <w:p>
            <w:pPr>
              <w:spacing w:after="0"/>
              <w:rPr>
                <w:sz w:val="1"/>
                <w:szCs w:val="1"/>
                <w:color w:val="auto"/>
              </w:rPr>
            </w:pPr>
          </w:p>
        </w:tc>
      </w:tr>
      <w:tr>
        <w:trPr>
          <w:trHeight w:val="203"/>
        </w:trPr>
        <w:tc>
          <w:tcPr>
            <w:tcW w:w="4940" w:type="dxa"/>
            <w:vAlign w:val="bottom"/>
          </w:tcPr>
          <w:p>
            <w:pPr>
              <w:ind w:left="60"/>
              <w:spacing w:after="0" w:line="202" w:lineRule="exact"/>
              <w:rPr>
                <w:sz w:val="20"/>
                <w:szCs w:val="20"/>
                <w:color w:val="auto"/>
              </w:rPr>
            </w:pPr>
            <w:r>
              <w:rPr>
                <w:rFonts w:ascii="Arial" w:cs="Arial" w:eastAsia="Arial" w:hAnsi="Arial"/>
                <w:sz w:val="18"/>
                <w:szCs w:val="18"/>
                <w:color w:val="auto"/>
              </w:rPr>
              <w:t>Current liabilities</w:t>
            </w:r>
          </w:p>
        </w:tc>
        <w:tc>
          <w:tcPr>
            <w:tcW w:w="4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158,508</w:t>
            </w:r>
          </w:p>
        </w:tc>
        <w:tc>
          <w:tcPr>
            <w:tcW w:w="2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235,788</w:t>
            </w:r>
          </w:p>
        </w:tc>
        <w:tc>
          <w:tcPr>
            <w:tcW w:w="2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170,711</w:t>
            </w:r>
          </w:p>
        </w:tc>
        <w:tc>
          <w:tcPr>
            <w:tcW w:w="2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165,856</w:t>
            </w:r>
          </w:p>
        </w:tc>
        <w:tc>
          <w:tcPr>
            <w:tcW w:w="280" w:type="dxa"/>
            <w:vAlign w:val="bottom"/>
          </w:tcPr>
          <w:p>
            <w:pPr>
              <w:spacing w:after="0"/>
              <w:rPr>
                <w:sz w:val="17"/>
                <w:szCs w:val="17"/>
                <w:color w:val="auto"/>
              </w:rPr>
            </w:pP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188,164</w:t>
            </w:r>
          </w:p>
        </w:tc>
        <w:tc>
          <w:tcPr>
            <w:tcW w:w="0" w:type="dxa"/>
            <w:vAlign w:val="bottom"/>
          </w:tcPr>
          <w:p>
            <w:pPr>
              <w:spacing w:after="0"/>
              <w:rPr>
                <w:sz w:val="1"/>
                <w:szCs w:val="1"/>
                <w:color w:val="auto"/>
              </w:rPr>
            </w:pPr>
          </w:p>
        </w:tc>
      </w:tr>
      <w:tr>
        <w:trPr>
          <w:trHeight w:val="203"/>
        </w:trPr>
        <w:tc>
          <w:tcPr>
            <w:tcW w:w="4940" w:type="dxa"/>
            <w:vAlign w:val="bottom"/>
          </w:tcPr>
          <w:p>
            <w:pPr>
              <w:ind w:left="60"/>
              <w:spacing w:after="0" w:line="202" w:lineRule="exact"/>
              <w:rPr>
                <w:sz w:val="20"/>
                <w:szCs w:val="20"/>
                <w:color w:val="auto"/>
              </w:rPr>
            </w:pPr>
            <w:r>
              <w:rPr>
                <w:rFonts w:ascii="Arial" w:cs="Arial" w:eastAsia="Arial" w:hAnsi="Arial"/>
                <w:sz w:val="18"/>
                <w:szCs w:val="18"/>
                <w:color w:val="auto"/>
              </w:rPr>
              <w:t>Long-term debt</w:t>
            </w:r>
          </w:p>
        </w:tc>
        <w:tc>
          <w:tcPr>
            <w:tcW w:w="4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300,111</w:t>
            </w:r>
          </w:p>
        </w:tc>
        <w:tc>
          <w:tcPr>
            <w:tcW w:w="2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235,877</w:t>
            </w:r>
          </w:p>
        </w:tc>
        <w:tc>
          <w:tcPr>
            <w:tcW w:w="2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373,125</w:t>
            </w:r>
          </w:p>
        </w:tc>
        <w:tc>
          <w:tcPr>
            <w:tcW w:w="2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423,634</w:t>
            </w:r>
          </w:p>
        </w:tc>
        <w:tc>
          <w:tcPr>
            <w:tcW w:w="280" w:type="dxa"/>
            <w:vAlign w:val="bottom"/>
          </w:tcPr>
          <w:p>
            <w:pPr>
              <w:spacing w:after="0"/>
              <w:rPr>
                <w:sz w:val="17"/>
                <w:szCs w:val="17"/>
                <w:color w:val="auto"/>
              </w:rPr>
            </w:pP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483,894</w:t>
            </w:r>
          </w:p>
        </w:tc>
        <w:tc>
          <w:tcPr>
            <w:tcW w:w="0" w:type="dxa"/>
            <w:vAlign w:val="bottom"/>
          </w:tcPr>
          <w:p>
            <w:pPr>
              <w:spacing w:after="0"/>
              <w:rPr>
                <w:sz w:val="1"/>
                <w:szCs w:val="1"/>
                <w:color w:val="auto"/>
              </w:rPr>
            </w:pPr>
          </w:p>
        </w:tc>
      </w:tr>
      <w:tr>
        <w:trPr>
          <w:trHeight w:val="203"/>
        </w:trPr>
        <w:tc>
          <w:tcPr>
            <w:tcW w:w="4940" w:type="dxa"/>
            <w:vAlign w:val="bottom"/>
          </w:tcPr>
          <w:p>
            <w:pPr>
              <w:ind w:left="60"/>
              <w:spacing w:after="0" w:line="202" w:lineRule="exact"/>
              <w:rPr>
                <w:sz w:val="20"/>
                <w:szCs w:val="20"/>
                <w:color w:val="auto"/>
              </w:rPr>
            </w:pPr>
            <w:r>
              <w:rPr>
                <w:rFonts w:ascii="Arial" w:cs="Arial" w:eastAsia="Arial" w:hAnsi="Arial"/>
                <w:sz w:val="18"/>
                <w:szCs w:val="18"/>
                <w:color w:val="auto"/>
              </w:rPr>
              <w:t>Total noncurrent liabilities (4)</w:t>
            </w:r>
          </w:p>
        </w:tc>
        <w:tc>
          <w:tcPr>
            <w:tcW w:w="4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460,601</w:t>
            </w:r>
          </w:p>
        </w:tc>
        <w:tc>
          <w:tcPr>
            <w:tcW w:w="2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427,398</w:t>
            </w:r>
          </w:p>
        </w:tc>
        <w:tc>
          <w:tcPr>
            <w:tcW w:w="2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644,367</w:t>
            </w:r>
          </w:p>
        </w:tc>
        <w:tc>
          <w:tcPr>
            <w:tcW w:w="2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686,178</w:t>
            </w:r>
          </w:p>
        </w:tc>
        <w:tc>
          <w:tcPr>
            <w:tcW w:w="280" w:type="dxa"/>
            <w:vAlign w:val="bottom"/>
          </w:tcPr>
          <w:p>
            <w:pPr>
              <w:spacing w:after="0"/>
              <w:rPr>
                <w:sz w:val="17"/>
                <w:szCs w:val="17"/>
                <w:color w:val="auto"/>
              </w:rPr>
            </w:pP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734,372</w:t>
            </w:r>
          </w:p>
        </w:tc>
        <w:tc>
          <w:tcPr>
            <w:tcW w:w="0" w:type="dxa"/>
            <w:vAlign w:val="bottom"/>
          </w:tcPr>
          <w:p>
            <w:pPr>
              <w:spacing w:after="0"/>
              <w:rPr>
                <w:sz w:val="1"/>
                <w:szCs w:val="1"/>
                <w:color w:val="auto"/>
              </w:rPr>
            </w:pPr>
          </w:p>
        </w:tc>
      </w:tr>
      <w:tr>
        <w:trPr>
          <w:trHeight w:val="203"/>
        </w:trPr>
        <w:tc>
          <w:tcPr>
            <w:tcW w:w="4940" w:type="dxa"/>
            <w:vAlign w:val="bottom"/>
          </w:tcPr>
          <w:p>
            <w:pPr>
              <w:ind w:left="60"/>
              <w:spacing w:after="0" w:line="202" w:lineRule="exact"/>
              <w:rPr>
                <w:sz w:val="20"/>
                <w:szCs w:val="20"/>
                <w:color w:val="auto"/>
              </w:rPr>
            </w:pPr>
            <w:r>
              <w:rPr>
                <w:rFonts w:ascii="Arial" w:cs="Arial" w:eastAsia="Arial" w:hAnsi="Arial"/>
                <w:sz w:val="18"/>
                <w:szCs w:val="18"/>
                <w:color w:val="auto"/>
              </w:rPr>
              <w:t>Total liabilities (1) (4)</w:t>
            </w:r>
          </w:p>
        </w:tc>
        <w:tc>
          <w:tcPr>
            <w:tcW w:w="4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619,109</w:t>
            </w:r>
          </w:p>
        </w:tc>
        <w:tc>
          <w:tcPr>
            <w:tcW w:w="2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663,186</w:t>
            </w:r>
          </w:p>
        </w:tc>
        <w:tc>
          <w:tcPr>
            <w:tcW w:w="2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815,078</w:t>
            </w:r>
          </w:p>
        </w:tc>
        <w:tc>
          <w:tcPr>
            <w:tcW w:w="2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852,034</w:t>
            </w:r>
          </w:p>
        </w:tc>
        <w:tc>
          <w:tcPr>
            <w:tcW w:w="280" w:type="dxa"/>
            <w:vAlign w:val="bottom"/>
          </w:tcPr>
          <w:p>
            <w:pPr>
              <w:spacing w:after="0"/>
              <w:rPr>
                <w:sz w:val="17"/>
                <w:szCs w:val="17"/>
                <w:color w:val="auto"/>
              </w:rPr>
            </w:pP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922,536</w:t>
            </w:r>
          </w:p>
        </w:tc>
        <w:tc>
          <w:tcPr>
            <w:tcW w:w="0" w:type="dxa"/>
            <w:vAlign w:val="bottom"/>
          </w:tcPr>
          <w:p>
            <w:pPr>
              <w:spacing w:after="0"/>
              <w:rPr>
                <w:sz w:val="1"/>
                <w:szCs w:val="1"/>
                <w:color w:val="auto"/>
              </w:rPr>
            </w:pPr>
          </w:p>
        </w:tc>
      </w:tr>
      <w:tr>
        <w:trPr>
          <w:trHeight w:val="239"/>
        </w:trPr>
        <w:tc>
          <w:tcPr>
            <w:tcW w:w="4940" w:type="dxa"/>
            <w:vAlign w:val="bottom"/>
          </w:tcPr>
          <w:p>
            <w:pPr>
              <w:ind w:left="60"/>
              <w:spacing w:after="0"/>
              <w:rPr>
                <w:sz w:val="20"/>
                <w:szCs w:val="20"/>
                <w:color w:val="auto"/>
              </w:rPr>
            </w:pPr>
            <w:r>
              <w:rPr>
                <w:rFonts w:ascii="Arial" w:cs="Arial" w:eastAsia="Arial" w:hAnsi="Arial"/>
                <w:sz w:val="18"/>
                <w:szCs w:val="18"/>
                <w:color w:val="auto"/>
              </w:rPr>
              <w:t>Shareholders’ equity (4) (7)</w:t>
            </w: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547,779</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493,511</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415,850</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426,259</w:t>
            </w:r>
          </w:p>
        </w:tc>
        <w:tc>
          <w:tcPr>
            <w:tcW w:w="28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422,613</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660" w:right="14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2012, we sold our Albany Door Systems and PrimaLoft Products business resulting in a pre-tax gain of $92.3 million. Previously reported data for net sales, cost of sales, operating income and liabilities for years prior to 2012 have been adjusted to reflect only the activity from continuing operations.</w:t>
      </w:r>
    </w:p>
    <w:p>
      <w:pPr>
        <w:spacing w:after="0" w:line="94" w:lineRule="exact"/>
        <w:rPr>
          <w:rFonts w:ascii="Arial" w:cs="Arial" w:eastAsia="Arial" w:hAnsi="Arial"/>
          <w:sz w:val="18"/>
          <w:szCs w:val="18"/>
          <w:color w:val="auto"/>
        </w:rPr>
      </w:pPr>
    </w:p>
    <w:p>
      <w:pPr>
        <w:ind w:left="660" w:right="60" w:hanging="652"/>
        <w:spacing w:after="0" w:line="24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2012, we took action to settle certain pension plan liabilities in the United States, Canada, and Sweden which led to charges totaling $119.7 million.</w:t>
      </w:r>
    </w:p>
    <w:p>
      <w:pPr>
        <w:spacing w:after="0" w:line="88"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During the period 2009 through 2013, we recorded restructuring and other charges related to cost reduction initiatives.</w:t>
      </w:r>
    </w:p>
    <w:p>
      <w:pPr>
        <w:spacing w:after="0" w:line="103" w:lineRule="exact"/>
        <w:rPr>
          <w:rFonts w:ascii="Arial" w:cs="Arial" w:eastAsia="Arial" w:hAnsi="Arial"/>
          <w:sz w:val="18"/>
          <w:szCs w:val="18"/>
          <w:color w:val="auto"/>
        </w:rPr>
      </w:pPr>
    </w:p>
    <w:p>
      <w:pPr>
        <w:ind w:left="660" w:right="120" w:hanging="652"/>
        <w:spacing w:after="0" w:line="23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2009, we adopted new accounting guidance for convertible debt instruments that may be settled in cash upon conversion, we entered into agreements to exchange a portion of these convertible debt instruments for cash plus an equivalent amount of our Senior Notes (“New Notes”). In each case, we simultaneously entered into additional agreements to purchase the New Notes, which resulted in $52.0 million of pretax gains on early retirement of debt.</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43" w:right="239" w:bottom="1440" w:gutter="0" w:footer="0" w:header="0"/>
        </w:sectPr>
      </w:pPr>
    </w:p>
    <w:bookmarkStart w:id="20" w:name="page21"/>
    <w:bookmarkEnd w:id="20"/>
    <w:p>
      <w:pPr>
        <w:ind w:left="660" w:right="700" w:hanging="652"/>
        <w:spacing w:after="0" w:line="23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2009, we recorded expenses and paid $10.0 million for a purchase price adjustment related to the 2008 sale of the Filtration business.</w:t>
      </w:r>
    </w:p>
    <w:p>
      <w:pPr>
        <w:spacing w:after="0" w:line="1" w:lineRule="exact"/>
        <w:rPr>
          <w:rFonts w:ascii="Arial" w:cs="Arial" w:eastAsia="Arial" w:hAnsi="Arial"/>
          <w:sz w:val="18"/>
          <w:szCs w:val="18"/>
          <w:color w:val="auto"/>
        </w:rPr>
      </w:pPr>
    </w:p>
    <w:p>
      <w:pPr>
        <w:jc w:val="both"/>
        <w:ind w:left="660" w:right="100" w:hanging="652"/>
        <w:spacing w:after="0" w:line="23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Income tax expense in 2011 includes a favorable adjustment of $3.5 million to correct errors from periods prior to 2006. The Company does not believe that the corrected item is or was material to 2011 or any previously reported quarterly or annual financial statements. As a result, the Company has not restated its previously issued annual or quarterly financial statements.</w:t>
      </w:r>
    </w:p>
    <w:p>
      <w:pPr>
        <w:spacing w:after="0" w:line="2" w:lineRule="exact"/>
        <w:rPr>
          <w:rFonts w:ascii="Arial" w:cs="Arial" w:eastAsia="Arial" w:hAnsi="Arial"/>
          <w:sz w:val="18"/>
          <w:szCs w:val="18"/>
          <w:color w:val="auto"/>
        </w:rPr>
      </w:pPr>
    </w:p>
    <w:p>
      <w:pPr>
        <w:ind w:left="660" w:right="480" w:hanging="652"/>
        <w:spacing w:after="0" w:line="24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2013, Safran S.A. obtained a 10% noncontrolling equity interest in Albany Safran Composites, LLC (ASC) resulting in an $18.9 million increase in shareholders’ equity.</w:t>
      </w:r>
    </w:p>
    <w:p>
      <w:pPr>
        <w:spacing w:after="0" w:line="1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07" w:lineRule="exact"/>
        <w:rPr>
          <w:sz w:val="20"/>
          <w:szCs w:val="20"/>
          <w:color w:val="auto"/>
        </w:rPr>
      </w:pPr>
    </w:p>
    <w:p>
      <w:pPr>
        <w:ind w:right="420" w:firstLine="648"/>
        <w:spacing w:after="0"/>
        <w:rPr>
          <w:sz w:val="20"/>
          <w:szCs w:val="20"/>
          <w:color w:val="auto"/>
        </w:rPr>
      </w:pPr>
      <w:r>
        <w:rPr>
          <w:rFonts w:ascii="Arial" w:cs="Arial" w:eastAsia="Arial" w:hAnsi="Arial"/>
          <w:sz w:val="18"/>
          <w:szCs w:val="18"/>
          <w:color w:val="auto"/>
        </w:rPr>
        <w:t>Management’s Discussion and Analysis (“MD&amp;A”) is intended to help the reader understand the results of operations and financial condition of the Company. MD&amp;A is provided as a supplement to, and should be read in conjunction with, our Consolidated Financial Statements and the accompanying Notes.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93"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Our reportable segments: Machine Clothing (MC) and Engineered Composites (AEC) draw on many of the same advanced textiles and materials processing capabilities, and compete on the basis of proprietary, product-based advantage that is grounded in those core capabilities. As a result, technology and manufacturing advances in one tend to benefit the other.</w:t>
      </w:r>
    </w:p>
    <w:p>
      <w:pPr>
        <w:spacing w:after="0" w:line="176" w:lineRule="exact"/>
        <w:rPr>
          <w:sz w:val="20"/>
          <w:szCs w:val="20"/>
          <w:color w:val="auto"/>
        </w:rPr>
      </w:pPr>
    </w:p>
    <w:p>
      <w:pPr>
        <w:ind w:right="140" w:firstLine="648"/>
        <w:spacing w:after="0" w:line="236" w:lineRule="auto"/>
        <w:rPr>
          <w:sz w:val="20"/>
          <w:szCs w:val="20"/>
          <w:color w:val="auto"/>
        </w:rPr>
      </w:pPr>
      <w:r>
        <w:rPr>
          <w:rFonts w:ascii="Arial" w:cs="Arial" w:eastAsia="Arial" w:hAnsi="Arial"/>
          <w:sz w:val="18"/>
          <w:szCs w:val="18"/>
          <w:color w:val="auto"/>
        </w:rPr>
        <w:t>Machine Clothing is the Company’s long-established core business and primary generator of cash. While the paper and paperboard industry in our traditional geographic markets has suffered from well-documented overcapacity in publication grades, especially newsprint, the industry is still expected to grow on a global basis, driven by demand for packaging and tissue grades, as well as the expansion of paper consumption and production in Asia and South America. We feel we are now well-positioned in these markets, with high-quality, low-cost production in growth markets, substantially lower fixed costs in mature markets, and continued strength in new product development, field services, and manufacturing technology. Although we consider the market for Machine Clothing as having flat growth potential, the business has been a significant generator of cash, and we seek to maintain the cash-generating potential of this business by maintaining the low costs that we achieved through restructuring, and competing vigorously by using our differentiated products and services to reduce our customers’ total cost of operation and improve their paper quality.</w:t>
      </w:r>
    </w:p>
    <w:p>
      <w:pPr>
        <w:spacing w:after="0" w:line="167" w:lineRule="exact"/>
        <w:rPr>
          <w:sz w:val="20"/>
          <w:szCs w:val="20"/>
          <w:color w:val="auto"/>
        </w:rPr>
      </w:pPr>
    </w:p>
    <w:p>
      <w:pPr>
        <w:ind w:right="180" w:firstLine="648"/>
        <w:spacing w:after="0" w:line="237" w:lineRule="auto"/>
        <w:rPr>
          <w:sz w:val="20"/>
          <w:szCs w:val="20"/>
          <w:color w:val="auto"/>
        </w:rPr>
      </w:pPr>
      <w:r>
        <w:rPr>
          <w:rFonts w:ascii="Arial" w:cs="Arial" w:eastAsia="Arial" w:hAnsi="Arial"/>
          <w:sz w:val="18"/>
          <w:szCs w:val="18"/>
          <w:color w:val="auto"/>
        </w:rPr>
        <w:t>We believe that AEC provides the greatest growth potential, both near and long term, for our Company. Our strategy is to grow organically by focusing our proprietary technology on high-value aerospace and defense applications that cannot be served effectively by conventional composites. AEC (including Albany Safran Composites, LLC (“ASC”), in which our customer SAFRAN Group owns a 10% noncontrolling interest) supplies a number of customers in the aerospace industry. AEC’s largest aerospace customer is the SAFRAN Group. Through ASC, AEC develops and sells composite aerospace components to SAFRAN, with the most significant program at present being the production of fan blades and other components for the LEAP engine. AEC (through ASC and otherwise) is also developing other new and potentially significant composite products for aerospace (engine and airframe) applications.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net sales by business segment:</w:t>
      </w:r>
    </w:p>
    <w:p>
      <w:pPr>
        <w:spacing w:after="0" w:line="149"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(in thousands, except percentages)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11430</wp:posOffset>
            </wp:positionV>
            <wp:extent cx="65176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192" w:lineRule="exact"/>
        <w:rPr>
          <w:sz w:val="20"/>
          <w:szCs w:val="20"/>
          <w:color w:val="auto"/>
        </w:rPr>
      </w:pPr>
    </w:p>
    <w:tbl>
      <w:tblPr>
        <w:tblLayout w:type="fixed"/>
        <w:tblInd w:w="580" w:type="dxa"/>
        <w:tblCellMar>
          <w:top w:w="0" w:type="dxa"/>
          <w:left w:w="0" w:type="dxa"/>
          <w:bottom w:w="0" w:type="dxa"/>
          <w:right w:w="0" w:type="dxa"/>
        </w:tblCellMar>
      </w:tblPr>
      <w:tr>
        <w:trPr>
          <w:trHeight w:val="225"/>
        </w:trPr>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Years ended December 31,</w:t>
            </w:r>
          </w:p>
        </w:tc>
        <w:tc>
          <w:tcPr>
            <w:tcW w:w="17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2013</w:t>
            </w:r>
          </w:p>
        </w:tc>
        <w:tc>
          <w:tcPr>
            <w:tcW w:w="5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2012</w:t>
            </w: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2011</w:t>
            </w:r>
          </w:p>
        </w:tc>
      </w:tr>
      <w:tr>
        <w:trPr>
          <w:trHeight w:val="173"/>
        </w:trPr>
        <w:tc>
          <w:tcPr>
            <w:tcW w:w="3700" w:type="dxa"/>
            <w:vAlign w:val="bottom"/>
          </w:tcPr>
          <w:p>
            <w:pPr>
              <w:spacing w:after="0" w:line="173" w:lineRule="exact"/>
              <w:rPr>
                <w:sz w:val="20"/>
                <w:szCs w:val="20"/>
                <w:color w:val="auto"/>
              </w:rPr>
            </w:pPr>
            <w:r>
              <w:rPr>
                <w:rFonts w:ascii="Arial" w:cs="Arial" w:eastAsia="Arial" w:hAnsi="Arial"/>
                <w:sz w:val="18"/>
                <w:szCs w:val="18"/>
                <w:color w:val="auto"/>
              </w:rPr>
              <w:t>Machine Clothing</w:t>
            </w:r>
          </w:p>
        </w:tc>
        <w:tc>
          <w:tcPr>
            <w:tcW w:w="1720" w:type="dxa"/>
            <w:vAlign w:val="bottom"/>
          </w:tcPr>
          <w:p>
            <w:pPr>
              <w:jc w:val="right"/>
              <w:ind w:right="90"/>
              <w:spacing w:after="0" w:line="173" w:lineRule="exact"/>
              <w:rPr>
                <w:sz w:val="20"/>
                <w:szCs w:val="20"/>
                <w:color w:val="auto"/>
              </w:rPr>
            </w:pPr>
            <w:r>
              <w:rPr>
                <w:rFonts w:ascii="Arial" w:cs="Arial" w:eastAsia="Arial" w:hAnsi="Arial"/>
                <w:sz w:val="18"/>
                <w:szCs w:val="18"/>
                <w:b w:val="1"/>
                <w:bCs w:val="1"/>
                <w:color w:val="auto"/>
              </w:rPr>
              <w:t>$</w:t>
            </w:r>
          </w:p>
        </w:tc>
        <w:tc>
          <w:tcPr>
            <w:tcW w:w="1360" w:type="dxa"/>
            <w:vAlign w:val="bottom"/>
          </w:tcPr>
          <w:p>
            <w:pPr>
              <w:jc w:val="right"/>
              <w:ind w:right="330"/>
              <w:spacing w:after="0" w:line="173" w:lineRule="exact"/>
              <w:rPr>
                <w:sz w:val="20"/>
                <w:szCs w:val="20"/>
                <w:color w:val="auto"/>
              </w:rPr>
            </w:pPr>
            <w:r>
              <w:rPr>
                <w:rFonts w:ascii="Arial" w:cs="Arial" w:eastAsia="Arial" w:hAnsi="Arial"/>
                <w:sz w:val="18"/>
                <w:szCs w:val="18"/>
                <w:b w:val="1"/>
                <w:bCs w:val="1"/>
                <w:color w:val="auto"/>
              </w:rPr>
              <w:t>674,747</w:t>
            </w:r>
          </w:p>
        </w:tc>
        <w:tc>
          <w:tcPr>
            <w:tcW w:w="540" w:type="dxa"/>
            <w:vAlign w:val="bottom"/>
          </w:tcPr>
          <w:p>
            <w:pPr>
              <w:jc w:val="right"/>
              <w:ind w:right="90"/>
              <w:spacing w:after="0" w:line="173" w:lineRule="exact"/>
              <w:rPr>
                <w:sz w:val="20"/>
                <w:szCs w:val="20"/>
                <w:color w:val="auto"/>
              </w:rPr>
            </w:pPr>
            <w:r>
              <w:rPr>
                <w:rFonts w:ascii="Arial" w:cs="Arial" w:eastAsia="Arial" w:hAnsi="Arial"/>
                <w:sz w:val="18"/>
                <w:szCs w:val="18"/>
                <w:color w:val="auto"/>
              </w:rPr>
              <w:t>$</w:t>
            </w:r>
          </w:p>
        </w:tc>
        <w:tc>
          <w:tcPr>
            <w:tcW w:w="1360" w:type="dxa"/>
            <w:vAlign w:val="bottom"/>
          </w:tcPr>
          <w:p>
            <w:pPr>
              <w:jc w:val="right"/>
              <w:ind w:right="330"/>
              <w:spacing w:after="0" w:line="173" w:lineRule="exact"/>
              <w:rPr>
                <w:sz w:val="20"/>
                <w:szCs w:val="20"/>
                <w:color w:val="auto"/>
              </w:rPr>
            </w:pPr>
            <w:r>
              <w:rPr>
                <w:rFonts w:ascii="Arial" w:cs="Arial" w:eastAsia="Arial" w:hAnsi="Arial"/>
                <w:sz w:val="18"/>
                <w:szCs w:val="18"/>
                <w:color w:val="auto"/>
              </w:rPr>
              <w:t>693,176</w:t>
            </w:r>
          </w:p>
        </w:tc>
        <w:tc>
          <w:tcPr>
            <w:tcW w:w="540" w:type="dxa"/>
            <w:vAlign w:val="bottom"/>
          </w:tcPr>
          <w:p>
            <w:pPr>
              <w:jc w:val="right"/>
              <w:ind w:right="90"/>
              <w:spacing w:after="0" w:line="173"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line="173" w:lineRule="exact"/>
              <w:rPr>
                <w:sz w:val="20"/>
                <w:szCs w:val="20"/>
                <w:color w:val="auto"/>
              </w:rPr>
            </w:pPr>
            <w:r>
              <w:rPr>
                <w:rFonts w:ascii="Arial" w:cs="Arial" w:eastAsia="Arial" w:hAnsi="Arial"/>
                <w:sz w:val="18"/>
                <w:szCs w:val="18"/>
                <w:color w:val="auto"/>
              </w:rPr>
              <w:t>739,211</w:t>
            </w:r>
          </w:p>
        </w:tc>
      </w:tr>
      <w:tr>
        <w:trPr>
          <w:trHeight w:val="225"/>
        </w:trPr>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Engineered Composites</w:t>
            </w:r>
          </w:p>
        </w:tc>
        <w:tc>
          <w:tcPr>
            <w:tcW w:w="17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82,667</w:t>
            </w:r>
          </w:p>
        </w:tc>
        <w:tc>
          <w:tcPr>
            <w:tcW w:w="5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67,765</w:t>
            </w: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48,076</w:t>
            </w:r>
          </w:p>
        </w:tc>
      </w:tr>
      <w:tr>
        <w:trPr>
          <w:trHeight w:val="196"/>
        </w:trPr>
        <w:tc>
          <w:tcPr>
            <w:tcW w:w="37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172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757,414</w:t>
            </w:r>
          </w:p>
        </w:tc>
        <w:tc>
          <w:tcPr>
            <w:tcW w:w="54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color w:val="auto"/>
              </w:rPr>
              <w:t>760,941</w:t>
            </w:r>
          </w:p>
        </w:tc>
        <w:tc>
          <w:tcPr>
            <w:tcW w:w="54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787,287</w:t>
            </w:r>
          </w:p>
        </w:tc>
      </w:tr>
      <w:tr>
        <w:trPr>
          <w:trHeight w:val="196"/>
        </w:trPr>
        <w:tc>
          <w:tcPr>
            <w:tcW w:w="37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 change</w:t>
            </w:r>
          </w:p>
        </w:tc>
        <w:tc>
          <w:tcPr>
            <w:tcW w:w="17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b w:val="1"/>
                <w:bCs w:val="1"/>
                <w:color w:val="auto"/>
              </w:rPr>
              <w:t>-0.5%</w:t>
            </w:r>
          </w:p>
        </w:tc>
        <w:tc>
          <w:tcPr>
            <w:tcW w:w="5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-3.3%</w:t>
            </w:r>
          </w:p>
        </w:tc>
        <w:tc>
          <w:tcPr>
            <w:tcW w:w="5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2013 vs. 2012</w:t>
      </w:r>
    </w:p>
    <w:p>
      <w:pPr>
        <w:spacing w:after="0" w:line="193" w:lineRule="exact"/>
        <w:rPr>
          <w:sz w:val="20"/>
          <w:szCs w:val="20"/>
          <w:color w:val="auto"/>
        </w:rPr>
      </w:pPr>
    </w:p>
    <w:p>
      <w:pPr>
        <w:ind w:left="900" w:hanging="244"/>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currency translation rates had the effect of increasing net sales by $1.6 million during 2013 as compared to 2012.</w:t>
      </w:r>
    </w:p>
    <w:p>
      <w:pPr>
        <w:spacing w:after="0" w:line="90" w:lineRule="exact"/>
        <w:rPr>
          <w:rFonts w:ascii="Arial" w:cs="Arial" w:eastAsia="Arial" w:hAnsi="Arial"/>
          <w:sz w:val="18"/>
          <w:szCs w:val="18"/>
          <w:color w:val="auto"/>
        </w:rPr>
      </w:pPr>
    </w:p>
    <w:p>
      <w:pPr>
        <w:ind w:left="900" w:hanging="244"/>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Excluding the effect of changes in currency translation rates:</w:t>
      </w:r>
    </w:p>
    <w:p>
      <w:pPr>
        <w:spacing w:after="0" w:line="171" w:lineRule="exact"/>
        <w:rPr>
          <w:rFonts w:ascii="Arial" w:cs="Arial" w:eastAsia="Arial" w:hAnsi="Arial"/>
          <w:sz w:val="18"/>
          <w:szCs w:val="18"/>
          <w:color w:val="auto"/>
        </w:rPr>
      </w:pPr>
    </w:p>
    <w:p>
      <w:pPr>
        <w:ind w:left="2600" w:hanging="323"/>
        <w:spacing w:after="0"/>
        <w:tabs>
          <w:tab w:leader="none" w:pos="2600" w:val="left"/>
        </w:tabs>
        <w:numPr>
          <w:ilvl w:val="1"/>
          <w:numId w:val="5"/>
        </w:numPr>
        <w:rPr>
          <w:rFonts w:ascii="Arial" w:cs="Arial" w:eastAsia="Arial" w:hAnsi="Arial"/>
          <w:sz w:val="18"/>
          <w:szCs w:val="18"/>
          <w:color w:val="auto"/>
        </w:rPr>
      </w:pPr>
      <w:r>
        <w:rPr>
          <w:rFonts w:ascii="Arial" w:cs="Arial" w:eastAsia="Arial" w:hAnsi="Arial"/>
          <w:sz w:val="18"/>
          <w:szCs w:val="18"/>
          <w:color w:val="auto"/>
        </w:rPr>
        <w:t>Net sales were down 0.7% compared to 2012.</w:t>
      </w:r>
    </w:p>
    <w:p>
      <w:pPr>
        <w:spacing w:after="0" w:line="117" w:lineRule="exact"/>
        <w:rPr>
          <w:rFonts w:ascii="Arial" w:cs="Arial" w:eastAsia="Arial" w:hAnsi="Arial"/>
          <w:sz w:val="18"/>
          <w:szCs w:val="18"/>
          <w:color w:val="auto"/>
        </w:rPr>
      </w:pPr>
    </w:p>
    <w:p>
      <w:pPr>
        <w:ind w:left="2600" w:hanging="323"/>
        <w:spacing w:after="0"/>
        <w:tabs>
          <w:tab w:leader="none" w:pos="2600" w:val="left"/>
        </w:tabs>
        <w:numPr>
          <w:ilvl w:val="1"/>
          <w:numId w:val="5"/>
        </w:numPr>
        <w:rPr>
          <w:rFonts w:ascii="Arial" w:cs="Arial" w:eastAsia="Arial" w:hAnsi="Arial"/>
          <w:sz w:val="18"/>
          <w:szCs w:val="18"/>
          <w:color w:val="auto"/>
        </w:rPr>
      </w:pPr>
      <w:r>
        <w:rPr>
          <w:rFonts w:ascii="Arial" w:cs="Arial" w:eastAsia="Arial" w:hAnsi="Arial"/>
          <w:sz w:val="18"/>
          <w:szCs w:val="18"/>
          <w:color w:val="auto"/>
        </w:rPr>
        <w:t>Net sales in MC decreased 2.9%.</w:t>
      </w:r>
    </w:p>
    <w:p>
      <w:pPr>
        <w:spacing w:after="0" w:line="117" w:lineRule="exact"/>
        <w:rPr>
          <w:rFonts w:ascii="Arial" w:cs="Arial" w:eastAsia="Arial" w:hAnsi="Arial"/>
          <w:sz w:val="18"/>
          <w:szCs w:val="18"/>
          <w:color w:val="auto"/>
        </w:rPr>
      </w:pPr>
    </w:p>
    <w:p>
      <w:pPr>
        <w:ind w:left="2600" w:hanging="323"/>
        <w:spacing w:after="0"/>
        <w:tabs>
          <w:tab w:leader="none" w:pos="2600" w:val="left"/>
        </w:tabs>
        <w:numPr>
          <w:ilvl w:val="1"/>
          <w:numId w:val="5"/>
        </w:numPr>
        <w:rPr>
          <w:rFonts w:ascii="Arial" w:cs="Arial" w:eastAsia="Arial" w:hAnsi="Arial"/>
          <w:sz w:val="18"/>
          <w:szCs w:val="18"/>
          <w:color w:val="auto"/>
        </w:rPr>
      </w:pPr>
      <w:r>
        <w:rPr>
          <w:rFonts w:ascii="Arial" w:cs="Arial" w:eastAsia="Arial" w:hAnsi="Arial"/>
          <w:sz w:val="18"/>
          <w:szCs w:val="18"/>
          <w:color w:val="auto"/>
        </w:rPr>
        <w:t>Net sales in Engineered Composites increased 22.0%.</w:t>
      </w:r>
    </w:p>
    <w:p>
      <w:pPr>
        <w:spacing w:after="0" w:line="211" w:lineRule="exact"/>
        <w:rPr>
          <w:rFonts w:ascii="Arial" w:cs="Arial" w:eastAsia="Arial" w:hAnsi="Arial"/>
          <w:sz w:val="18"/>
          <w:szCs w:val="18"/>
          <w:color w:val="auto"/>
        </w:rPr>
      </w:pPr>
    </w:p>
    <w:p>
      <w:pPr>
        <w:ind w:left="900" w:hanging="244"/>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2012 included a change in contract terms with a North American MC customer that increased sales by $8.0 million.</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 vs. 2011</w:t>
      </w:r>
    </w:p>
    <w:p>
      <w:pPr>
        <w:spacing w:after="0" w:line="193" w:lineRule="exact"/>
        <w:rPr>
          <w:sz w:val="20"/>
          <w:szCs w:val="20"/>
          <w:color w:val="auto"/>
        </w:rPr>
      </w:pPr>
    </w:p>
    <w:p>
      <w:pPr>
        <w:ind w:left="900" w:hanging="244"/>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currency translation rates had the effect of decreasing net sales by $15.4 million during 2012 as compared to 2011.</w:t>
      </w:r>
    </w:p>
    <w:p>
      <w:pPr>
        <w:spacing w:after="0" w:line="184" w:lineRule="exact"/>
        <w:rPr>
          <w:rFonts w:ascii="Arial" w:cs="Arial" w:eastAsia="Arial" w:hAnsi="Arial"/>
          <w:sz w:val="18"/>
          <w:szCs w:val="18"/>
          <w:color w:val="auto"/>
        </w:rPr>
      </w:pPr>
    </w:p>
    <w:p>
      <w:pPr>
        <w:ind w:left="900" w:hanging="244"/>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Excluding the effect of changes in currency translation rates:</w:t>
      </w:r>
    </w:p>
    <w:p>
      <w:pPr>
        <w:spacing w:after="0" w:line="198" w:lineRule="exact"/>
        <w:rPr>
          <w:rFonts w:ascii="Arial" w:cs="Arial" w:eastAsia="Arial" w:hAnsi="Arial"/>
          <w:sz w:val="18"/>
          <w:szCs w:val="18"/>
          <w:color w:val="auto"/>
        </w:rPr>
      </w:pPr>
    </w:p>
    <w:p>
      <w:pPr>
        <w:ind w:left="2600" w:hanging="323"/>
        <w:spacing w:after="0"/>
        <w:tabs>
          <w:tab w:leader="none" w:pos="2600" w:val="left"/>
        </w:tabs>
        <w:numPr>
          <w:ilvl w:val="1"/>
          <w:numId w:val="6"/>
        </w:numPr>
        <w:rPr>
          <w:rFonts w:ascii="Arial" w:cs="Arial" w:eastAsia="Arial" w:hAnsi="Arial"/>
          <w:sz w:val="18"/>
          <w:szCs w:val="18"/>
          <w:color w:val="auto"/>
        </w:rPr>
      </w:pPr>
      <w:r>
        <w:rPr>
          <w:rFonts w:ascii="Arial" w:cs="Arial" w:eastAsia="Arial" w:hAnsi="Arial"/>
          <w:sz w:val="18"/>
          <w:szCs w:val="18"/>
          <w:color w:val="auto"/>
        </w:rPr>
        <w:t>Net sales decreased 1.4% as compared to 2011.</w:t>
      </w:r>
    </w:p>
    <w:p>
      <w:pPr>
        <w:spacing w:after="0" w:line="117" w:lineRule="exact"/>
        <w:rPr>
          <w:rFonts w:ascii="Arial" w:cs="Arial" w:eastAsia="Arial" w:hAnsi="Arial"/>
          <w:sz w:val="18"/>
          <w:szCs w:val="18"/>
          <w:color w:val="auto"/>
        </w:rPr>
      </w:pPr>
    </w:p>
    <w:p>
      <w:pPr>
        <w:ind w:left="2600" w:hanging="323"/>
        <w:spacing w:after="0"/>
        <w:tabs>
          <w:tab w:leader="none" w:pos="2600" w:val="left"/>
        </w:tabs>
        <w:numPr>
          <w:ilvl w:val="1"/>
          <w:numId w:val="6"/>
        </w:numPr>
        <w:rPr>
          <w:rFonts w:ascii="Arial" w:cs="Arial" w:eastAsia="Arial" w:hAnsi="Arial"/>
          <w:sz w:val="18"/>
          <w:szCs w:val="18"/>
          <w:color w:val="auto"/>
        </w:rPr>
      </w:pPr>
      <w:r>
        <w:rPr>
          <w:rFonts w:ascii="Arial" w:cs="Arial" w:eastAsia="Arial" w:hAnsi="Arial"/>
          <w:sz w:val="18"/>
          <w:szCs w:val="18"/>
          <w:color w:val="auto"/>
        </w:rPr>
        <w:t>Net sales in MC decreased 4.1%.</w:t>
      </w:r>
    </w:p>
    <w:p>
      <w:pPr>
        <w:spacing w:after="0" w:line="117" w:lineRule="exact"/>
        <w:rPr>
          <w:rFonts w:ascii="Arial" w:cs="Arial" w:eastAsia="Arial" w:hAnsi="Arial"/>
          <w:sz w:val="18"/>
          <w:szCs w:val="18"/>
          <w:color w:val="auto"/>
        </w:rPr>
      </w:pPr>
    </w:p>
    <w:p>
      <w:pPr>
        <w:ind w:left="2600" w:hanging="323"/>
        <w:spacing w:after="0"/>
        <w:tabs>
          <w:tab w:leader="none" w:pos="2600" w:val="left"/>
        </w:tabs>
        <w:numPr>
          <w:ilvl w:val="1"/>
          <w:numId w:val="6"/>
        </w:numPr>
        <w:rPr>
          <w:rFonts w:ascii="Arial" w:cs="Arial" w:eastAsia="Arial" w:hAnsi="Arial"/>
          <w:sz w:val="18"/>
          <w:szCs w:val="18"/>
          <w:color w:val="auto"/>
        </w:rPr>
      </w:pPr>
      <w:r>
        <w:rPr>
          <w:rFonts w:ascii="Arial" w:cs="Arial" w:eastAsia="Arial" w:hAnsi="Arial"/>
          <w:sz w:val="18"/>
          <w:szCs w:val="18"/>
          <w:color w:val="auto"/>
        </w:rPr>
        <w:t>Net sales in Engineered Composites increased 41.0%.</w:t>
      </w:r>
    </w:p>
    <w:p>
      <w:pPr>
        <w:spacing w:after="0" w:line="211" w:lineRule="exact"/>
        <w:rPr>
          <w:rFonts w:ascii="Arial" w:cs="Arial" w:eastAsia="Arial" w:hAnsi="Arial"/>
          <w:sz w:val="18"/>
          <w:szCs w:val="18"/>
          <w:color w:val="auto"/>
        </w:rPr>
      </w:pPr>
    </w:p>
    <w:p>
      <w:pPr>
        <w:ind w:left="900" w:right="520" w:hanging="244"/>
        <w:spacing w:after="0" w:line="246"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Compared to 2011, 2012 MC sales in Western Europe declined approximately 15% due to economic weakness and customer overcapacity.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93" w:lineRule="exact"/>
        <w:rPr>
          <w:sz w:val="20"/>
          <w:szCs w:val="20"/>
          <w:color w:val="auto"/>
        </w:rPr>
      </w:pPr>
    </w:p>
    <w:p>
      <w:pPr>
        <w:ind w:right="160" w:firstLine="648"/>
        <w:spacing w:after="0" w:line="239" w:lineRule="auto"/>
        <w:rPr>
          <w:sz w:val="20"/>
          <w:szCs w:val="20"/>
          <w:color w:val="auto"/>
        </w:rPr>
      </w:pPr>
      <w:r>
        <w:rPr>
          <w:rFonts w:ascii="Arial" w:cs="Arial" w:eastAsia="Arial" w:hAnsi="Arial"/>
          <w:sz w:val="18"/>
          <w:szCs w:val="18"/>
          <w:color w:val="auto"/>
        </w:rPr>
        <w:t>Backlog in the Machine Clothing segment was $225.6 million at December 31, 2013, compared to $266.8 million at December 31, 2012. The decrease reflects a trend toward shorter order-to-delivery times. Backlog in the Engineered Composites segment was $21.7 million at December 31, 2013 compared to $33.2 million at December 31, 2012. The backlog is generally expected to be invoiced during the next 12 months.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gross profit by business segment:</w:t>
      </w:r>
    </w:p>
    <w:p>
      <w:pPr>
        <w:spacing w:after="0" w:line="149"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(in thousands, except percentages)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11430</wp:posOffset>
            </wp:positionV>
            <wp:extent cx="542861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428615" cy="8890"/>
                    </a:xfrm>
                    <a:prstGeom prst="rect">
                      <a:avLst/>
                    </a:prstGeom>
                    <a:noFill/>
                  </pic:spPr>
                </pic:pic>
              </a:graphicData>
            </a:graphic>
          </wp:anchor>
        </w:drawing>
      </w:r>
    </w:p>
    <w:p>
      <w:pPr>
        <w:spacing w:after="0" w:line="192" w:lineRule="exact"/>
        <w:rPr>
          <w:sz w:val="20"/>
          <w:szCs w:val="20"/>
          <w:color w:val="auto"/>
        </w:rPr>
      </w:pPr>
    </w:p>
    <w:tbl>
      <w:tblPr>
        <w:tblLayout w:type="fixed"/>
        <w:tblInd w:w="660" w:type="dxa"/>
        <w:tblCellMar>
          <w:top w:w="0" w:type="dxa"/>
          <w:left w:w="0" w:type="dxa"/>
          <w:bottom w:w="0" w:type="dxa"/>
          <w:right w:w="0" w:type="dxa"/>
        </w:tblCellMar>
      </w:tblPr>
      <w:tr>
        <w:trPr>
          <w:trHeight w:val="225"/>
        </w:trPr>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Years ended December 31,</w:t>
            </w:r>
          </w:p>
        </w:tc>
        <w:tc>
          <w:tcPr>
            <w:tcW w:w="25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2013</w:t>
            </w:r>
          </w:p>
        </w:tc>
        <w:tc>
          <w:tcPr>
            <w:tcW w:w="11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2012</w:t>
            </w: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2011</w:t>
            </w:r>
          </w:p>
        </w:tc>
      </w:tr>
      <w:tr>
        <w:trPr>
          <w:trHeight w:val="173"/>
        </w:trPr>
        <w:tc>
          <w:tcPr>
            <w:tcW w:w="3780" w:type="dxa"/>
            <w:vAlign w:val="bottom"/>
          </w:tcPr>
          <w:p>
            <w:pPr>
              <w:spacing w:after="0" w:line="173" w:lineRule="exact"/>
              <w:rPr>
                <w:sz w:val="20"/>
                <w:szCs w:val="20"/>
                <w:color w:val="auto"/>
              </w:rPr>
            </w:pPr>
            <w:r>
              <w:rPr>
                <w:rFonts w:ascii="Arial" w:cs="Arial" w:eastAsia="Arial" w:hAnsi="Arial"/>
                <w:sz w:val="18"/>
                <w:szCs w:val="18"/>
                <w:color w:val="auto"/>
              </w:rPr>
              <w:t>Machine Clothing</w:t>
            </w:r>
          </w:p>
        </w:tc>
        <w:tc>
          <w:tcPr>
            <w:tcW w:w="2540" w:type="dxa"/>
            <w:vAlign w:val="bottom"/>
          </w:tcPr>
          <w:p>
            <w:pPr>
              <w:jc w:val="right"/>
              <w:ind w:right="190"/>
              <w:spacing w:after="0" w:line="173" w:lineRule="exact"/>
              <w:rPr>
                <w:sz w:val="20"/>
                <w:szCs w:val="20"/>
                <w:color w:val="auto"/>
              </w:rPr>
            </w:pPr>
            <w:r>
              <w:rPr>
                <w:rFonts w:ascii="Arial" w:cs="Arial" w:eastAsia="Arial" w:hAnsi="Arial"/>
                <w:sz w:val="18"/>
                <w:szCs w:val="18"/>
                <w:b w:val="1"/>
                <w:bCs w:val="1"/>
                <w:color w:val="auto"/>
              </w:rPr>
              <w:t>$289,100</w:t>
            </w:r>
          </w:p>
        </w:tc>
        <w:tc>
          <w:tcPr>
            <w:tcW w:w="1180" w:type="dxa"/>
            <w:vAlign w:val="bottom"/>
          </w:tcPr>
          <w:p>
            <w:pPr>
              <w:jc w:val="right"/>
              <w:ind w:right="210"/>
              <w:spacing w:after="0" w:line="173" w:lineRule="exact"/>
              <w:rPr>
                <w:sz w:val="20"/>
                <w:szCs w:val="20"/>
                <w:color w:val="auto"/>
              </w:rPr>
            </w:pPr>
            <w:r>
              <w:rPr>
                <w:rFonts w:ascii="Arial" w:cs="Arial" w:eastAsia="Arial" w:hAnsi="Arial"/>
                <w:sz w:val="18"/>
                <w:szCs w:val="18"/>
                <w:color w:val="auto"/>
              </w:rPr>
              <w:t>$303,801</w:t>
            </w:r>
          </w:p>
        </w:tc>
        <w:tc>
          <w:tcPr>
            <w:tcW w:w="1040" w:type="dxa"/>
            <w:vAlign w:val="bottom"/>
          </w:tcPr>
          <w:p>
            <w:pPr>
              <w:jc w:val="right"/>
              <w:ind w:right="70"/>
              <w:spacing w:after="0" w:line="173" w:lineRule="exact"/>
              <w:rPr>
                <w:sz w:val="20"/>
                <w:szCs w:val="20"/>
                <w:color w:val="auto"/>
              </w:rPr>
            </w:pPr>
            <w:r>
              <w:rPr>
                <w:rFonts w:ascii="Arial" w:cs="Arial" w:eastAsia="Arial" w:hAnsi="Arial"/>
                <w:sz w:val="18"/>
                <w:szCs w:val="18"/>
                <w:color w:val="auto"/>
              </w:rPr>
              <w:t>$317,984</w:t>
            </w: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8"/>
                <w:szCs w:val="18"/>
                <w:color w:val="auto"/>
              </w:rPr>
              <w:t>Engineered Composites</w:t>
            </w:r>
          </w:p>
        </w:tc>
        <w:tc>
          <w:tcPr>
            <w:tcW w:w="254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4,799</w:t>
            </w:r>
          </w:p>
        </w:tc>
        <w:tc>
          <w:tcPr>
            <w:tcW w:w="118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5,627</w:t>
            </w:r>
          </w:p>
        </w:tc>
        <w:tc>
          <w:tcPr>
            <w:tcW w:w="10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507</w:t>
            </w:r>
          </w:p>
        </w:tc>
      </w:tr>
      <w:tr>
        <w:trPr>
          <w:trHeight w:val="225"/>
        </w:trPr>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Unallocated expenses</w:t>
            </w:r>
          </w:p>
        </w:tc>
        <w:tc>
          <w:tcPr>
            <w:tcW w:w="25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(3,345)</w:t>
            </w:r>
          </w:p>
        </w:tc>
        <w:tc>
          <w:tcPr>
            <w:tcW w:w="11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(4,032)</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(4,325)</w:t>
            </w:r>
          </w:p>
        </w:tc>
      </w:tr>
      <w:tr>
        <w:trPr>
          <w:trHeight w:val="196"/>
        </w:trPr>
        <w:tc>
          <w:tcPr>
            <w:tcW w:w="37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254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b w:val="1"/>
                <w:bCs w:val="1"/>
                <w:color w:val="auto"/>
              </w:rPr>
              <w:t>$290,554</w:t>
            </w:r>
          </w:p>
        </w:tc>
        <w:tc>
          <w:tcPr>
            <w:tcW w:w="118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$305,396</w:t>
            </w:r>
          </w:p>
        </w:tc>
        <w:tc>
          <w:tcPr>
            <w:tcW w:w="104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$314,166</w:t>
            </w:r>
          </w:p>
        </w:tc>
      </w:tr>
      <w:tr>
        <w:trPr>
          <w:trHeight w:val="196"/>
        </w:trPr>
        <w:tc>
          <w:tcPr>
            <w:tcW w:w="37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 of Net Sales</w:t>
            </w:r>
          </w:p>
        </w:tc>
        <w:tc>
          <w:tcPr>
            <w:tcW w:w="25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38.4%</w:t>
            </w:r>
          </w:p>
        </w:tc>
        <w:tc>
          <w:tcPr>
            <w:tcW w:w="118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40.1%</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39.9%</w:t>
            </w:r>
          </w:p>
        </w:tc>
      </w:tr>
    </w:tbl>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decrease in gross profit during 2013 was principally due to the net effect of the following:</w:t>
      </w:r>
    </w:p>
    <w:p>
      <w:pPr>
        <w:spacing w:after="0" w:line="185" w:lineRule="exact"/>
        <w:rPr>
          <w:sz w:val="20"/>
          <w:szCs w:val="20"/>
          <w:color w:val="auto"/>
        </w:rPr>
      </w:pPr>
    </w:p>
    <w:p>
      <w:pPr>
        <w:ind w:left="980" w:right="180" w:hanging="324"/>
        <w:spacing w:after="0" w:line="246"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$8.1 million decrease due to lower sales in North America for MC, principally due to the 2012 change in contract terms with a key customer.</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23" w:name="page24"/>
    <w:bookmarkEnd w:id="23"/>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$6.8 million decrease due to lower gross profit margin in MC resulting from lower sales volume.</w:t>
      </w:r>
    </w:p>
    <w:p>
      <w:pPr>
        <w:spacing w:after="0" w:line="211" w:lineRule="exact"/>
        <w:rPr>
          <w:rFonts w:ascii="Arial" w:cs="Arial" w:eastAsia="Arial" w:hAnsi="Arial"/>
          <w:sz w:val="18"/>
          <w:szCs w:val="18"/>
          <w:color w:val="auto"/>
        </w:rPr>
      </w:pPr>
    </w:p>
    <w:p>
      <w:pPr>
        <w:ind w:left="980" w:right="680" w:hanging="324"/>
        <w:spacing w:after="0" w:line="246"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AEC 2013 gross margin was negatively affected by inventory write-offs and profitability adjustments associated with legacy programs at the Company’s Boerne, Texas, facility that resulted in gross profit losses of $2.3 million in 2013.</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decrease in gross profit during 2012 was principally due to the net effect of the following:</w:t>
      </w:r>
    </w:p>
    <w:p>
      <w:pPr>
        <w:spacing w:after="0" w:line="185" w:lineRule="exact"/>
        <w:rPr>
          <w:sz w:val="20"/>
          <w:szCs w:val="20"/>
          <w:color w:val="auto"/>
        </w:rPr>
      </w:pPr>
    </w:p>
    <w:p>
      <w:pPr>
        <w:ind w:left="900" w:right="820" w:hanging="244"/>
        <w:spacing w:after="0" w:line="246"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$5.9 million increase due to higher gross profit margin in MC resulting from high plant utilization in the Americas, favorable geographic sales mix, and the cumulative effect of restructuring initiatives.</w:t>
      </w:r>
    </w:p>
    <w:p>
      <w:pPr>
        <w:spacing w:after="0" w:line="156" w:lineRule="exact"/>
        <w:rPr>
          <w:rFonts w:ascii="Arial" w:cs="Arial" w:eastAsia="Arial" w:hAnsi="Arial"/>
          <w:sz w:val="18"/>
          <w:szCs w:val="18"/>
          <w:color w:val="auto"/>
        </w:rPr>
      </w:pPr>
    </w:p>
    <w:p>
      <w:pPr>
        <w:ind w:left="900" w:hanging="244"/>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$19.8 million decrease due to lower sales in MC, principally in Western Europe.</w:t>
      </w:r>
    </w:p>
    <w:p>
      <w:pPr>
        <w:spacing w:after="0" w:line="184" w:lineRule="exact"/>
        <w:rPr>
          <w:rFonts w:ascii="Arial" w:cs="Arial" w:eastAsia="Arial" w:hAnsi="Arial"/>
          <w:sz w:val="18"/>
          <w:szCs w:val="18"/>
          <w:color w:val="auto"/>
        </w:rPr>
      </w:pPr>
    </w:p>
    <w:p>
      <w:pPr>
        <w:ind w:left="900" w:hanging="244"/>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increase of $5.1 million in Engineered Composites, principally due to higher sales related to the LEAP program.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Technical, General, and Research (STG&amp;R)</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STG&amp;R by business segment:</w:t>
      </w:r>
    </w:p>
    <w:p>
      <w:pPr>
        <w:spacing w:after="0" w:line="149"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(in thousands, except percentages)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11430</wp:posOffset>
            </wp:positionV>
            <wp:extent cx="542861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428615" cy="8890"/>
                    </a:xfrm>
                    <a:prstGeom prst="rect">
                      <a:avLst/>
                    </a:prstGeom>
                    <a:noFill/>
                  </pic:spPr>
                </pic:pic>
              </a:graphicData>
            </a:graphic>
          </wp:anchor>
        </w:drawing>
      </w:r>
    </w:p>
    <w:p>
      <w:pPr>
        <w:spacing w:after="0" w:line="192" w:lineRule="exact"/>
        <w:rPr>
          <w:sz w:val="20"/>
          <w:szCs w:val="20"/>
          <w:color w:val="auto"/>
        </w:rPr>
      </w:pPr>
    </w:p>
    <w:tbl>
      <w:tblPr>
        <w:tblLayout w:type="fixed"/>
        <w:tblInd w:w="660" w:type="dxa"/>
        <w:tblCellMar>
          <w:top w:w="0" w:type="dxa"/>
          <w:left w:w="0" w:type="dxa"/>
          <w:bottom w:w="0" w:type="dxa"/>
          <w:right w:w="0" w:type="dxa"/>
        </w:tblCellMar>
      </w:tblPr>
      <w:tr>
        <w:trPr>
          <w:trHeight w:val="225"/>
        </w:trPr>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Years ended December 31,</w:t>
            </w:r>
          </w:p>
        </w:tc>
        <w:tc>
          <w:tcPr>
            <w:tcW w:w="25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2013</w:t>
            </w:r>
          </w:p>
        </w:tc>
        <w:tc>
          <w:tcPr>
            <w:tcW w:w="11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2012</w:t>
            </w: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2011</w:t>
            </w:r>
          </w:p>
        </w:tc>
      </w:tr>
      <w:tr>
        <w:trPr>
          <w:trHeight w:val="173"/>
        </w:trPr>
        <w:tc>
          <w:tcPr>
            <w:tcW w:w="3780" w:type="dxa"/>
            <w:vAlign w:val="bottom"/>
          </w:tcPr>
          <w:p>
            <w:pPr>
              <w:spacing w:after="0" w:line="173" w:lineRule="exact"/>
              <w:rPr>
                <w:sz w:val="20"/>
                <w:szCs w:val="20"/>
                <w:color w:val="auto"/>
              </w:rPr>
            </w:pPr>
            <w:r>
              <w:rPr>
                <w:rFonts w:ascii="Arial" w:cs="Arial" w:eastAsia="Arial" w:hAnsi="Arial"/>
                <w:sz w:val="18"/>
                <w:szCs w:val="18"/>
                <w:color w:val="auto"/>
              </w:rPr>
              <w:t>Machine Clothing</w:t>
            </w:r>
          </w:p>
        </w:tc>
        <w:tc>
          <w:tcPr>
            <w:tcW w:w="2540" w:type="dxa"/>
            <w:vAlign w:val="bottom"/>
          </w:tcPr>
          <w:p>
            <w:pPr>
              <w:jc w:val="right"/>
              <w:ind w:right="190"/>
              <w:spacing w:after="0" w:line="173" w:lineRule="exact"/>
              <w:rPr>
                <w:sz w:val="20"/>
                <w:szCs w:val="20"/>
                <w:color w:val="auto"/>
              </w:rPr>
            </w:pPr>
            <w:r>
              <w:rPr>
                <w:rFonts w:ascii="Arial" w:cs="Arial" w:eastAsia="Arial" w:hAnsi="Arial"/>
                <w:sz w:val="18"/>
                <w:szCs w:val="18"/>
                <w:b w:val="1"/>
                <w:bCs w:val="1"/>
                <w:color w:val="auto"/>
              </w:rPr>
              <w:t>$127,835</w:t>
            </w:r>
          </w:p>
        </w:tc>
        <w:tc>
          <w:tcPr>
            <w:tcW w:w="1180" w:type="dxa"/>
            <w:vAlign w:val="bottom"/>
          </w:tcPr>
          <w:p>
            <w:pPr>
              <w:jc w:val="right"/>
              <w:ind w:right="210"/>
              <w:spacing w:after="0" w:line="173" w:lineRule="exact"/>
              <w:rPr>
                <w:sz w:val="20"/>
                <w:szCs w:val="20"/>
                <w:color w:val="auto"/>
              </w:rPr>
            </w:pPr>
            <w:r>
              <w:rPr>
                <w:rFonts w:ascii="Arial" w:cs="Arial" w:eastAsia="Arial" w:hAnsi="Arial"/>
                <w:sz w:val="18"/>
                <w:szCs w:val="18"/>
                <w:color w:val="auto"/>
              </w:rPr>
              <w:t>$132,542</w:t>
            </w:r>
          </w:p>
        </w:tc>
        <w:tc>
          <w:tcPr>
            <w:tcW w:w="1040" w:type="dxa"/>
            <w:vAlign w:val="bottom"/>
          </w:tcPr>
          <w:p>
            <w:pPr>
              <w:jc w:val="right"/>
              <w:ind w:right="70"/>
              <w:spacing w:after="0" w:line="173" w:lineRule="exact"/>
              <w:rPr>
                <w:sz w:val="20"/>
                <w:szCs w:val="20"/>
                <w:color w:val="auto"/>
              </w:rPr>
            </w:pPr>
            <w:r>
              <w:rPr>
                <w:rFonts w:ascii="Arial" w:cs="Arial" w:eastAsia="Arial" w:hAnsi="Arial"/>
                <w:sz w:val="18"/>
                <w:szCs w:val="18"/>
                <w:color w:val="auto"/>
              </w:rPr>
              <w:t>$135,545</w:t>
            </w: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8"/>
                <w:szCs w:val="18"/>
                <w:color w:val="auto"/>
              </w:rPr>
              <w:t>Engineered Composites</w:t>
            </w:r>
          </w:p>
        </w:tc>
        <w:tc>
          <w:tcPr>
            <w:tcW w:w="254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7,233</w:t>
            </w:r>
          </w:p>
        </w:tc>
        <w:tc>
          <w:tcPr>
            <w:tcW w:w="118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6,467</w:t>
            </w:r>
          </w:p>
        </w:tc>
        <w:tc>
          <w:tcPr>
            <w:tcW w:w="10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4,654</w:t>
            </w: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8"/>
                <w:szCs w:val="18"/>
                <w:color w:val="auto"/>
              </w:rPr>
              <w:t>Research</w:t>
            </w:r>
          </w:p>
        </w:tc>
        <w:tc>
          <w:tcPr>
            <w:tcW w:w="254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30,220</w:t>
            </w:r>
          </w:p>
        </w:tc>
        <w:tc>
          <w:tcPr>
            <w:tcW w:w="118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27,616</w:t>
            </w:r>
          </w:p>
        </w:tc>
        <w:tc>
          <w:tcPr>
            <w:tcW w:w="10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29,007</w:t>
            </w:r>
          </w:p>
        </w:tc>
      </w:tr>
      <w:tr>
        <w:trPr>
          <w:trHeight w:val="225"/>
        </w:trPr>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Unallocated expenses</w:t>
            </w:r>
          </w:p>
        </w:tc>
        <w:tc>
          <w:tcPr>
            <w:tcW w:w="25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48,067</w:t>
            </w:r>
          </w:p>
        </w:tc>
        <w:tc>
          <w:tcPr>
            <w:tcW w:w="11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56,111</w:t>
            </w: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61,035</w:t>
            </w:r>
          </w:p>
        </w:tc>
      </w:tr>
      <w:tr>
        <w:trPr>
          <w:trHeight w:val="196"/>
        </w:trPr>
        <w:tc>
          <w:tcPr>
            <w:tcW w:w="37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254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b w:val="1"/>
                <w:bCs w:val="1"/>
                <w:color w:val="auto"/>
              </w:rPr>
              <w:t>$213,355</w:t>
            </w:r>
          </w:p>
        </w:tc>
        <w:tc>
          <w:tcPr>
            <w:tcW w:w="118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$222,736</w:t>
            </w:r>
          </w:p>
        </w:tc>
        <w:tc>
          <w:tcPr>
            <w:tcW w:w="104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$230,241</w:t>
            </w:r>
          </w:p>
        </w:tc>
      </w:tr>
      <w:tr>
        <w:trPr>
          <w:trHeight w:val="196"/>
        </w:trPr>
        <w:tc>
          <w:tcPr>
            <w:tcW w:w="37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 of Net Sales</w:t>
            </w:r>
          </w:p>
        </w:tc>
        <w:tc>
          <w:tcPr>
            <w:tcW w:w="25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28.2%</w:t>
            </w:r>
          </w:p>
        </w:tc>
        <w:tc>
          <w:tcPr>
            <w:tcW w:w="118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29.3%</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29.2%</w:t>
            </w:r>
          </w:p>
        </w:tc>
      </w:tr>
    </w:tbl>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STG&amp;R expenses for 2013 decreased $9.4 million in comparison with 2012, principally due to the net effect of the following:</w:t>
      </w:r>
    </w:p>
    <w:p>
      <w:pPr>
        <w:spacing w:after="0" w:line="185"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gain on the sale of a former manufacturing facility in Australia reduced 2013 expenses by $3.8 million.</w:t>
      </w:r>
    </w:p>
    <w:p>
      <w:pPr>
        <w:spacing w:after="0" w:line="211" w:lineRule="exact"/>
        <w:rPr>
          <w:rFonts w:ascii="Arial" w:cs="Arial" w:eastAsia="Arial" w:hAnsi="Arial"/>
          <w:sz w:val="18"/>
          <w:szCs w:val="18"/>
          <w:color w:val="auto"/>
        </w:rPr>
      </w:pPr>
    </w:p>
    <w:p>
      <w:pPr>
        <w:ind w:left="980" w:right="100" w:hanging="324"/>
        <w:spacing w:after="0" w:line="246"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Revaluation of nonfunctional currency assets and liabilities resulted in losses of $0.3 million during 2013 and losses of $1.6 million in 2012.</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U.S. pension expense decreased by $1.7 million principally due to the settlement in 2012 of certain pension plan liabilities.</w:t>
      </w:r>
    </w:p>
    <w:p>
      <w:pPr>
        <w:spacing w:after="0" w:line="3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STG&amp;R expenses for 2012 decreased $7.5 million in comparison with 2011, principally due to the net effect of the following:</w:t>
      </w:r>
    </w:p>
    <w:p>
      <w:pPr>
        <w:spacing w:after="0" w:line="171" w:lineRule="exact"/>
        <w:rPr>
          <w:sz w:val="20"/>
          <w:szCs w:val="20"/>
          <w:color w:val="auto"/>
        </w:rPr>
      </w:pPr>
    </w:p>
    <w:p>
      <w:pPr>
        <w:ind w:left="900" w:hanging="244"/>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Currency translation decreased STG&amp;R by $7.1 million as compared to 2011.</w:t>
      </w:r>
    </w:p>
    <w:p>
      <w:pPr>
        <w:spacing w:after="0" w:line="198" w:lineRule="exact"/>
        <w:rPr>
          <w:rFonts w:ascii="Arial" w:cs="Arial" w:eastAsia="Arial" w:hAnsi="Arial"/>
          <w:sz w:val="18"/>
          <w:szCs w:val="18"/>
          <w:color w:val="auto"/>
        </w:rPr>
      </w:pPr>
    </w:p>
    <w:p>
      <w:pPr>
        <w:ind w:left="900" w:right="440" w:hanging="244"/>
        <w:spacing w:after="0" w:line="246"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Revaluation of nonfunctional currency assets and liabilities resulted in losses of $1.6 million in 2012 and gains of $2.7 million in 2011.</w:t>
      </w:r>
    </w:p>
    <w:p>
      <w:pPr>
        <w:spacing w:after="0" w:line="156" w:lineRule="exact"/>
        <w:rPr>
          <w:rFonts w:ascii="Arial" w:cs="Arial" w:eastAsia="Arial" w:hAnsi="Arial"/>
          <w:sz w:val="18"/>
          <w:szCs w:val="18"/>
          <w:color w:val="auto"/>
        </w:rPr>
      </w:pPr>
    </w:p>
    <w:p>
      <w:pPr>
        <w:ind w:left="900" w:hanging="244"/>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Pension expense decreased by $3.4 million as a result of settlement of certain pension plan liabilities.</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24" w:name="page25"/>
    <w:bookmarkEnd w:id="24"/>
    <w:p>
      <w:pPr>
        <w:ind w:left="900" w:right="140" w:hanging="244"/>
        <w:spacing w:after="0" w:line="246"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completed our global SAP implementation in 2011. Implementation charges in 2011 were $2.9 million. No similar expense was incurred in 2012.</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w:t>
      </w:r>
    </w:p>
    <w:p>
      <w:pPr>
        <w:spacing w:after="0" w:line="207"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In 2012, we took actions to settle certain pension plan liabilities in the U.S., Canada, and Sweden leading to charges totaling $119.7 million, which were included in Unallocated Expenses. In the first quarter of 2012, we recorded a settlement charge of $9.2 million related to the extinguishment of our pension plan liability in Sweden. In the second quarter of 2012, we recorded settlement charges totaling $110.6 million related to settling a majority of the defined benefit pension plan liabilities in the United States and Canada. No similar charges were incurred in 2013 or 2011.</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w:t>
      </w:r>
    </w:p>
    <w:p>
      <w:pPr>
        <w:spacing w:after="0" w:line="193" w:lineRule="exact"/>
        <w:rPr>
          <w:sz w:val="20"/>
          <w:szCs w:val="20"/>
          <w:color w:val="auto"/>
        </w:rPr>
      </w:pPr>
    </w:p>
    <w:p>
      <w:pPr>
        <w:ind w:right="180" w:firstLine="648"/>
        <w:spacing w:after="0" w:line="246" w:lineRule="auto"/>
        <w:rPr>
          <w:sz w:val="20"/>
          <w:szCs w:val="20"/>
          <w:color w:val="auto"/>
        </w:rPr>
      </w:pPr>
      <w:r>
        <w:rPr>
          <w:rFonts w:ascii="Arial" w:cs="Arial" w:eastAsia="Arial" w:hAnsi="Arial"/>
          <w:sz w:val="18"/>
          <w:szCs w:val="18"/>
          <w:color w:val="auto"/>
        </w:rPr>
        <w:t>In addition to the items discussed above affecting gross profit, STG&amp;R, and pension settlement charges, operating income/(loss) was affected by restructuring costs of $25.1 million in 2013, $7.1 million in 2012, and $1.3 million in 2011.</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restructuring expense by business segment:</w:t>
      </w:r>
    </w:p>
    <w:p>
      <w:pPr>
        <w:spacing w:after="0" w:line="149" w:lineRule="exact"/>
        <w:rPr>
          <w:sz w:val="20"/>
          <w:szCs w:val="20"/>
          <w:color w:val="auto"/>
        </w:rPr>
      </w:pPr>
    </w:p>
    <w:tbl>
      <w:tblPr>
        <w:tblLayout w:type="fixed"/>
        <w:tblInd w:w="660" w:type="dxa"/>
        <w:tblCellMar>
          <w:top w:w="0" w:type="dxa"/>
          <w:left w:w="0" w:type="dxa"/>
          <w:bottom w:w="0" w:type="dxa"/>
          <w:right w:w="0" w:type="dxa"/>
        </w:tblCellMar>
      </w:tblPr>
      <w:tr>
        <w:trPr>
          <w:trHeight w:val="225"/>
        </w:trPr>
        <w:tc>
          <w:tcPr>
            <w:tcW w:w="31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(in thousands)</w:t>
            </w:r>
          </w:p>
        </w:tc>
        <w:tc>
          <w:tcPr>
            <w:tcW w:w="960" w:type="dxa"/>
            <w:vAlign w:val="bottom"/>
            <w:tcBorders>
              <w:bottom w:val="single" w:sz="8" w:color="auto"/>
            </w:tcBorders>
          </w:tcPr>
          <w:p>
            <w:pPr>
              <w:spacing w:after="0"/>
              <w:rPr>
                <w:sz w:val="19"/>
                <w:szCs w:val="19"/>
                <w:color w:val="auto"/>
              </w:rPr>
            </w:pPr>
          </w:p>
        </w:tc>
      </w:tr>
      <w:tr>
        <w:trPr>
          <w:trHeight w:val="399"/>
        </w:trPr>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Years ended December 31,</w:t>
            </w:r>
          </w:p>
        </w:tc>
        <w:tc>
          <w:tcPr>
            <w:tcW w:w="16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6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2012</w:t>
            </w:r>
          </w:p>
        </w:tc>
        <w:tc>
          <w:tcPr>
            <w:tcW w:w="9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r>
      <w:tr>
        <w:trPr>
          <w:trHeight w:val="173"/>
        </w:trPr>
        <w:tc>
          <w:tcPr>
            <w:tcW w:w="3160" w:type="dxa"/>
            <w:vAlign w:val="bottom"/>
          </w:tcPr>
          <w:p>
            <w:pPr>
              <w:spacing w:after="0" w:line="173" w:lineRule="exact"/>
              <w:rPr>
                <w:sz w:val="20"/>
                <w:szCs w:val="20"/>
                <w:color w:val="auto"/>
              </w:rPr>
            </w:pPr>
            <w:r>
              <w:rPr>
                <w:rFonts w:ascii="Arial" w:cs="Arial" w:eastAsia="Arial" w:hAnsi="Arial"/>
                <w:sz w:val="18"/>
                <w:szCs w:val="18"/>
                <w:color w:val="auto"/>
              </w:rPr>
              <w:t>Machine Clothing</w:t>
            </w:r>
          </w:p>
        </w:tc>
        <w:tc>
          <w:tcPr>
            <w:tcW w:w="1680" w:type="dxa"/>
            <w:vAlign w:val="bottom"/>
          </w:tcPr>
          <w:p>
            <w:pPr>
              <w:jc w:val="right"/>
              <w:ind w:right="70"/>
              <w:spacing w:after="0" w:line="173" w:lineRule="exact"/>
              <w:rPr>
                <w:sz w:val="20"/>
                <w:szCs w:val="20"/>
                <w:color w:val="auto"/>
              </w:rPr>
            </w:pPr>
            <w:r>
              <w:rPr>
                <w:rFonts w:ascii="Arial" w:cs="Arial" w:eastAsia="Arial" w:hAnsi="Arial"/>
                <w:sz w:val="18"/>
                <w:szCs w:val="18"/>
                <w:b w:val="1"/>
                <w:bCs w:val="1"/>
                <w:color w:val="auto"/>
              </w:rPr>
              <w:t>$24,568</w:t>
            </w:r>
          </w:p>
        </w:tc>
        <w:tc>
          <w:tcPr>
            <w:tcW w:w="1620" w:type="dxa"/>
            <w:vAlign w:val="bottom"/>
          </w:tcPr>
          <w:p>
            <w:pPr>
              <w:jc w:val="right"/>
              <w:ind w:right="330"/>
              <w:spacing w:after="0" w:line="173" w:lineRule="exact"/>
              <w:rPr>
                <w:sz w:val="20"/>
                <w:szCs w:val="20"/>
                <w:color w:val="auto"/>
              </w:rPr>
            </w:pPr>
            <w:r>
              <w:rPr>
                <w:rFonts w:ascii="Arial" w:cs="Arial" w:eastAsia="Arial" w:hAnsi="Arial"/>
                <w:sz w:val="18"/>
                <w:szCs w:val="18"/>
                <w:color w:val="auto"/>
              </w:rPr>
              <w:t>$7,386</w:t>
            </w:r>
          </w:p>
        </w:tc>
        <w:tc>
          <w:tcPr>
            <w:tcW w:w="960" w:type="dxa"/>
            <w:vAlign w:val="bottom"/>
          </w:tcPr>
          <w:p>
            <w:pPr>
              <w:jc w:val="right"/>
              <w:spacing w:after="0" w:line="173" w:lineRule="exact"/>
              <w:rPr>
                <w:sz w:val="20"/>
                <w:szCs w:val="20"/>
                <w:color w:val="auto"/>
              </w:rPr>
            </w:pPr>
            <w:r>
              <w:rPr>
                <w:rFonts w:ascii="Arial" w:cs="Arial" w:eastAsia="Arial" w:hAnsi="Arial"/>
                <w:sz w:val="18"/>
                <w:szCs w:val="18"/>
                <w:color w:val="auto"/>
              </w:rPr>
              <w:t>$5,680</w:t>
            </w:r>
          </w:p>
        </w:tc>
      </w:tr>
      <w:tr>
        <w:trPr>
          <w:trHeight w:val="203"/>
        </w:trPr>
        <w:tc>
          <w:tcPr>
            <w:tcW w:w="3160" w:type="dxa"/>
            <w:vAlign w:val="bottom"/>
          </w:tcPr>
          <w:p>
            <w:pPr>
              <w:spacing w:after="0" w:line="202" w:lineRule="exact"/>
              <w:rPr>
                <w:sz w:val="20"/>
                <w:szCs w:val="20"/>
                <w:color w:val="auto"/>
              </w:rPr>
            </w:pPr>
            <w:r>
              <w:rPr>
                <w:rFonts w:ascii="Arial" w:cs="Arial" w:eastAsia="Arial" w:hAnsi="Arial"/>
                <w:sz w:val="18"/>
                <w:szCs w:val="18"/>
                <w:color w:val="auto"/>
              </w:rPr>
              <w:t>Engineered Composites</w:t>
            </w:r>
          </w:p>
        </w:tc>
        <w:tc>
          <w:tcPr>
            <w:tcW w:w="168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540</w:t>
            </w:r>
          </w:p>
        </w:tc>
        <w:tc>
          <w:tcPr>
            <w:tcW w:w="16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57</w:t>
            </w:r>
          </w:p>
        </w:tc>
      </w:tr>
      <w:tr>
        <w:trPr>
          <w:trHeight w:val="225"/>
        </w:trPr>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Unallocated expenses</w:t>
            </w:r>
          </w:p>
        </w:tc>
        <w:tc>
          <w:tcPr>
            <w:tcW w:w="16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6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(325)</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3,580</w:t>
            </w:r>
          </w:p>
        </w:tc>
      </w:tr>
      <w:tr>
        <w:trPr>
          <w:trHeight w:val="196"/>
        </w:trPr>
        <w:tc>
          <w:tcPr>
            <w:tcW w:w="31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168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rPr>
              <w:t>$25,108</w:t>
            </w:r>
          </w:p>
        </w:tc>
        <w:tc>
          <w:tcPr>
            <w:tcW w:w="162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color w:val="auto"/>
              </w:rPr>
              <w:t>$7,061</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$9,317</w:t>
            </w:r>
          </w:p>
        </w:tc>
      </w:tr>
    </w:tbl>
    <w:p>
      <w:pPr>
        <w:spacing w:after="0" w:line="215" w:lineRule="exact"/>
        <w:rPr>
          <w:sz w:val="20"/>
          <w:szCs w:val="20"/>
          <w:color w:val="auto"/>
        </w:rPr>
      </w:pPr>
    </w:p>
    <w:p>
      <w:pPr>
        <w:ind w:right="80" w:firstLine="648"/>
        <w:spacing w:after="0"/>
        <w:rPr>
          <w:sz w:val="20"/>
          <w:szCs w:val="20"/>
          <w:color w:val="auto"/>
        </w:rPr>
      </w:pPr>
      <w:r>
        <w:rPr>
          <w:rFonts w:ascii="Arial" w:cs="Arial" w:eastAsia="Arial" w:hAnsi="Arial"/>
          <w:sz w:val="18"/>
          <w:szCs w:val="18"/>
          <w:color w:val="auto"/>
        </w:rPr>
        <w:t>During the second quarter of 2013, the Company commenced a program to restructure operations at the Company’s Machine Clothing production facilities in France. The restructuring, when completed, will have reduced employment by approximately 200 positions at these locations. As of December 31, 2013, approximately 150 positions had been eliminated.</w:t>
      </w:r>
    </w:p>
    <w:p>
      <w:pPr>
        <w:spacing w:after="0" w:line="189" w:lineRule="exact"/>
        <w:rPr>
          <w:sz w:val="20"/>
          <w:szCs w:val="20"/>
          <w:color w:val="auto"/>
        </w:rPr>
      </w:pPr>
    </w:p>
    <w:p>
      <w:pPr>
        <w:ind w:right="60" w:firstLine="648"/>
        <w:spacing w:after="0" w:line="236" w:lineRule="auto"/>
        <w:rPr>
          <w:sz w:val="20"/>
          <w:szCs w:val="20"/>
          <w:color w:val="auto"/>
        </w:rPr>
      </w:pPr>
      <w:r>
        <w:rPr>
          <w:rFonts w:ascii="Arial" w:cs="Arial" w:eastAsia="Arial" w:hAnsi="Arial"/>
          <w:sz w:val="18"/>
          <w:szCs w:val="18"/>
          <w:color w:val="auto"/>
        </w:rPr>
        <w:t>Under the terms of the restructuring plan, the Company provides training, outplacement and other benefits, the costs of which are recorded as restructuring when they are incurred. In 2013, the Company recorded a curtailment gain of $1.1 million related to the elimination of pension accruals, which reduced net restructuring expense as reflected in the above table. Such curtailment gains are recorded as employees terminate employment and, accordingly, we expect to record additional curtailment gains in 2014. The total amount of such gains has not yet been determined, but will be less than the 2013 gain. Remaining costs for this program, net of curtailment gains, are expected to be between $3 to $5 million, most of which we expect to be incurred in 2014. We expect the annual cost savings associated with this restructuring to be approximately $ 10 million. Whereas most of the affected employees were involved in the production process, the full effect of the cost savings associated with this restructuring program will not be full realized until mid-2014.</w:t>
      </w:r>
    </w:p>
    <w:p>
      <w:pPr>
        <w:spacing w:after="0" w:line="195" w:lineRule="exact"/>
        <w:rPr>
          <w:sz w:val="20"/>
          <w:szCs w:val="20"/>
          <w:color w:val="auto"/>
        </w:rPr>
      </w:pPr>
    </w:p>
    <w:p>
      <w:pPr>
        <w:ind w:right="1100" w:firstLine="648"/>
        <w:spacing w:after="0" w:line="246" w:lineRule="auto"/>
        <w:rPr>
          <w:sz w:val="20"/>
          <w:szCs w:val="20"/>
          <w:color w:val="auto"/>
        </w:rPr>
      </w:pPr>
      <w:r>
        <w:rPr>
          <w:rFonts w:ascii="Arial" w:cs="Arial" w:eastAsia="Arial" w:hAnsi="Arial"/>
          <w:sz w:val="18"/>
          <w:szCs w:val="18"/>
          <w:color w:val="auto"/>
        </w:rPr>
        <w:t>During 2013, the Company incurred some restructuring costs in the Engineered Composites segment that were related to organizational changes and exiting certain aerospace programs.</w:t>
      </w:r>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25" w:name="page26"/>
    <w:bookmarkEnd w:id="25"/>
    <w:p>
      <w:pPr>
        <w:ind w:right="100" w:firstLine="648"/>
        <w:spacing w:after="0"/>
        <w:rPr>
          <w:sz w:val="20"/>
          <w:szCs w:val="20"/>
          <w:color w:val="auto"/>
        </w:rPr>
      </w:pPr>
      <w:r>
        <w:rPr>
          <w:rFonts w:ascii="Arial" w:cs="Arial" w:eastAsia="Arial" w:hAnsi="Arial"/>
          <w:sz w:val="18"/>
          <w:szCs w:val="18"/>
          <w:color w:val="auto"/>
        </w:rPr>
        <w:t>Restructuring expenses in 2012 were principally due to a reduction in workforce in Sweden and curtailment of manufacturing in New York and Wisconsin, driven by lower demand for paper machine clothing. Those costs were partially offset by a reduction in accruals related to the Company’s headquarters.</w:t>
      </w:r>
    </w:p>
    <w:p>
      <w:pPr>
        <w:spacing w:after="0" w:line="162" w:lineRule="exact"/>
        <w:rPr>
          <w:sz w:val="20"/>
          <w:szCs w:val="20"/>
          <w:color w:val="auto"/>
        </w:rPr>
      </w:pPr>
    </w:p>
    <w:p>
      <w:pPr>
        <w:ind w:right="160" w:firstLine="648"/>
        <w:spacing w:after="0" w:line="246" w:lineRule="auto"/>
        <w:rPr>
          <w:sz w:val="20"/>
          <w:szCs w:val="20"/>
          <w:color w:val="auto"/>
        </w:rPr>
      </w:pPr>
      <w:r>
        <w:rPr>
          <w:rFonts w:ascii="Arial" w:cs="Arial" w:eastAsia="Arial" w:hAnsi="Arial"/>
          <w:sz w:val="18"/>
          <w:szCs w:val="18"/>
          <w:color w:val="auto"/>
        </w:rPr>
        <w:t>Restructuring expenses for 2011 were the result of restructuring and performance improvement plans affecting each of our reportable segments, and included actions to reduce costs and to create process efficiencies within administrative functions.</w:t>
      </w:r>
    </w:p>
    <w:p>
      <w:pPr>
        <w:spacing w:after="0" w:line="170"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Restructuring actions taken in 2011, 2012 and 2013 have resulted in cost reductions in line with Company expectations, and have helped to maintain or improve gross profit margins, or reduce STG&amp;R expenses. For more information on our restructuring charges, see Note 6 to the Consolidated Financial Statements in Item 8, which is incorporated herein by reference.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Income/(loss)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operating income/(loss) by business segment: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60" w:type="dxa"/>
            <w:vAlign w:val="bottom"/>
          </w:tcPr>
          <w:p>
            <w:pPr>
              <w:spacing w:after="0"/>
              <w:rPr>
                <w:sz w:val="19"/>
                <w:szCs w:val="19"/>
                <w:color w:val="auto"/>
              </w:rPr>
            </w:pPr>
          </w:p>
        </w:tc>
        <w:tc>
          <w:tcPr>
            <w:tcW w:w="46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(in thousands)</w:t>
            </w:r>
          </w:p>
        </w:tc>
        <w:tc>
          <w:tcPr>
            <w:tcW w:w="1200" w:type="dxa"/>
            <w:vAlign w:val="bottom"/>
            <w:tcBorders>
              <w:bottom w:val="single" w:sz="8" w:color="auto"/>
            </w:tcBorders>
          </w:tcPr>
          <w:p>
            <w:pPr>
              <w:spacing w:after="0"/>
              <w:rPr>
                <w:sz w:val="19"/>
                <w:szCs w:val="19"/>
                <w:color w:val="auto"/>
              </w:rPr>
            </w:pPr>
          </w:p>
        </w:tc>
      </w:tr>
      <w:tr>
        <w:trPr>
          <w:trHeight w:val="399"/>
        </w:trPr>
        <w:tc>
          <w:tcPr>
            <w:tcW w:w="660" w:type="dxa"/>
            <w:vAlign w:val="bottom"/>
          </w:tcPr>
          <w:p>
            <w:pPr>
              <w:spacing w:after="0"/>
              <w:rPr>
                <w:sz w:val="24"/>
                <w:szCs w:val="24"/>
                <w:color w:val="auto"/>
              </w:rPr>
            </w:pP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Years ended December 31,</w:t>
            </w:r>
          </w:p>
        </w:tc>
        <w:tc>
          <w:tcPr>
            <w:tcW w:w="14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2013</w:t>
            </w:r>
          </w:p>
        </w:tc>
        <w:tc>
          <w:tcPr>
            <w:tcW w:w="184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2012</w:t>
            </w: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2011</w:t>
            </w:r>
          </w:p>
        </w:tc>
      </w:tr>
      <w:tr>
        <w:trPr>
          <w:trHeight w:val="173"/>
        </w:trPr>
        <w:tc>
          <w:tcPr>
            <w:tcW w:w="660" w:type="dxa"/>
            <w:vAlign w:val="bottom"/>
          </w:tcPr>
          <w:p>
            <w:pPr>
              <w:spacing w:after="0"/>
              <w:rPr>
                <w:sz w:val="15"/>
                <w:szCs w:val="15"/>
                <w:color w:val="auto"/>
              </w:rPr>
            </w:pPr>
          </w:p>
        </w:tc>
        <w:tc>
          <w:tcPr>
            <w:tcW w:w="4680" w:type="dxa"/>
            <w:vAlign w:val="bottom"/>
          </w:tcPr>
          <w:p>
            <w:pPr>
              <w:spacing w:after="0" w:line="173" w:lineRule="exact"/>
              <w:rPr>
                <w:sz w:val="20"/>
                <w:szCs w:val="20"/>
                <w:color w:val="auto"/>
              </w:rPr>
            </w:pPr>
            <w:r>
              <w:rPr>
                <w:rFonts w:ascii="Arial" w:cs="Arial" w:eastAsia="Arial" w:hAnsi="Arial"/>
                <w:sz w:val="18"/>
                <w:szCs w:val="18"/>
                <w:color w:val="auto"/>
              </w:rPr>
              <w:t>Machine Clothing</w:t>
            </w:r>
          </w:p>
        </w:tc>
        <w:tc>
          <w:tcPr>
            <w:tcW w:w="1400" w:type="dxa"/>
            <w:vAlign w:val="bottom"/>
          </w:tcPr>
          <w:p>
            <w:pPr>
              <w:jc w:val="right"/>
              <w:ind w:right="230"/>
              <w:spacing w:after="0" w:line="173" w:lineRule="exact"/>
              <w:rPr>
                <w:sz w:val="20"/>
                <w:szCs w:val="20"/>
                <w:color w:val="auto"/>
              </w:rPr>
            </w:pPr>
            <w:r>
              <w:rPr>
                <w:rFonts w:ascii="Arial" w:cs="Arial" w:eastAsia="Arial" w:hAnsi="Arial"/>
                <w:sz w:val="18"/>
                <w:szCs w:val="18"/>
                <w:b w:val="1"/>
                <w:bCs w:val="1"/>
                <w:color w:val="auto"/>
              </w:rPr>
              <w:t>$136,698</w:t>
            </w:r>
          </w:p>
        </w:tc>
        <w:tc>
          <w:tcPr>
            <w:tcW w:w="1840" w:type="dxa"/>
            <w:vAlign w:val="bottom"/>
          </w:tcPr>
          <w:p>
            <w:pPr>
              <w:jc w:val="right"/>
              <w:ind w:right="410"/>
              <w:spacing w:after="0" w:line="173" w:lineRule="exact"/>
              <w:rPr>
                <w:sz w:val="20"/>
                <w:szCs w:val="20"/>
                <w:color w:val="auto"/>
              </w:rPr>
            </w:pPr>
            <w:r>
              <w:rPr>
                <w:rFonts w:ascii="Arial" w:cs="Arial" w:eastAsia="Arial" w:hAnsi="Arial"/>
                <w:sz w:val="18"/>
                <w:szCs w:val="18"/>
                <w:color w:val="auto"/>
              </w:rPr>
              <w:t>$163,873</w:t>
            </w:r>
          </w:p>
        </w:tc>
        <w:tc>
          <w:tcPr>
            <w:tcW w:w="1200" w:type="dxa"/>
            <w:vAlign w:val="bottom"/>
          </w:tcPr>
          <w:p>
            <w:pPr>
              <w:jc w:val="right"/>
              <w:spacing w:after="0" w:line="173" w:lineRule="exact"/>
              <w:rPr>
                <w:sz w:val="20"/>
                <w:szCs w:val="20"/>
                <w:color w:val="auto"/>
              </w:rPr>
            </w:pPr>
            <w:r>
              <w:rPr>
                <w:rFonts w:ascii="Arial" w:cs="Arial" w:eastAsia="Arial" w:hAnsi="Arial"/>
                <w:sz w:val="18"/>
                <w:szCs w:val="18"/>
                <w:color w:val="auto"/>
              </w:rPr>
              <w:t>$176,759</w:t>
            </w:r>
          </w:p>
        </w:tc>
      </w:tr>
      <w:tr>
        <w:trPr>
          <w:trHeight w:val="203"/>
        </w:trPr>
        <w:tc>
          <w:tcPr>
            <w:tcW w:w="660" w:type="dxa"/>
            <w:vAlign w:val="bottom"/>
          </w:tcPr>
          <w:p>
            <w:pPr>
              <w:spacing w:after="0"/>
              <w:rPr>
                <w:sz w:val="17"/>
                <w:szCs w:val="17"/>
                <w:color w:val="auto"/>
              </w:rPr>
            </w:pPr>
          </w:p>
        </w:tc>
        <w:tc>
          <w:tcPr>
            <w:tcW w:w="4680" w:type="dxa"/>
            <w:vAlign w:val="bottom"/>
          </w:tcPr>
          <w:p>
            <w:pPr>
              <w:spacing w:after="0" w:line="202" w:lineRule="exact"/>
              <w:rPr>
                <w:sz w:val="20"/>
                <w:szCs w:val="20"/>
                <w:color w:val="auto"/>
              </w:rPr>
            </w:pPr>
            <w:r>
              <w:rPr>
                <w:rFonts w:ascii="Arial" w:cs="Arial" w:eastAsia="Arial" w:hAnsi="Arial"/>
                <w:sz w:val="18"/>
                <w:szCs w:val="18"/>
                <w:color w:val="auto"/>
              </w:rPr>
              <w:t>Engineered Composites</w:t>
            </w:r>
          </w:p>
        </w:tc>
        <w:tc>
          <w:tcPr>
            <w:tcW w:w="1400" w:type="dxa"/>
            <w:vAlign w:val="bottom"/>
          </w:tcPr>
          <w:p>
            <w:pPr>
              <w:jc w:val="right"/>
              <w:ind w:right="170"/>
              <w:spacing w:after="0" w:line="202" w:lineRule="exact"/>
              <w:rPr>
                <w:sz w:val="20"/>
                <w:szCs w:val="20"/>
                <w:color w:val="auto"/>
              </w:rPr>
            </w:pPr>
            <w:r>
              <w:rPr>
                <w:rFonts w:ascii="Arial" w:cs="Arial" w:eastAsia="Arial" w:hAnsi="Arial"/>
                <w:sz w:val="18"/>
                <w:szCs w:val="18"/>
                <w:b w:val="1"/>
                <w:bCs w:val="1"/>
                <w:color w:val="auto"/>
              </w:rPr>
              <w:t>(2,974)</w:t>
            </w:r>
          </w:p>
        </w:tc>
        <w:tc>
          <w:tcPr>
            <w:tcW w:w="184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(840)</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(4,204)</w:t>
            </w:r>
          </w:p>
        </w:tc>
      </w:tr>
      <w:tr>
        <w:trPr>
          <w:trHeight w:val="203"/>
        </w:trPr>
        <w:tc>
          <w:tcPr>
            <w:tcW w:w="660" w:type="dxa"/>
            <w:vAlign w:val="bottom"/>
          </w:tcPr>
          <w:p>
            <w:pPr>
              <w:spacing w:after="0"/>
              <w:rPr>
                <w:sz w:val="17"/>
                <w:szCs w:val="17"/>
                <w:color w:val="auto"/>
              </w:rPr>
            </w:pPr>
          </w:p>
        </w:tc>
        <w:tc>
          <w:tcPr>
            <w:tcW w:w="4680" w:type="dxa"/>
            <w:vAlign w:val="bottom"/>
          </w:tcPr>
          <w:p>
            <w:pPr>
              <w:spacing w:after="0" w:line="202" w:lineRule="exact"/>
              <w:rPr>
                <w:sz w:val="20"/>
                <w:szCs w:val="20"/>
                <w:color w:val="auto"/>
              </w:rPr>
            </w:pPr>
            <w:r>
              <w:rPr>
                <w:rFonts w:ascii="Arial" w:cs="Arial" w:eastAsia="Arial" w:hAnsi="Arial"/>
                <w:sz w:val="18"/>
                <w:szCs w:val="18"/>
                <w:color w:val="auto"/>
              </w:rPr>
              <w:t>Research expenses</w:t>
            </w:r>
          </w:p>
        </w:tc>
        <w:tc>
          <w:tcPr>
            <w:tcW w:w="1400" w:type="dxa"/>
            <w:vAlign w:val="bottom"/>
          </w:tcPr>
          <w:p>
            <w:pPr>
              <w:jc w:val="right"/>
              <w:ind w:right="170"/>
              <w:spacing w:after="0" w:line="202" w:lineRule="exact"/>
              <w:rPr>
                <w:sz w:val="20"/>
                <w:szCs w:val="20"/>
                <w:color w:val="auto"/>
              </w:rPr>
            </w:pPr>
            <w:r>
              <w:rPr>
                <w:rFonts w:ascii="Arial" w:cs="Arial" w:eastAsia="Arial" w:hAnsi="Arial"/>
                <w:sz w:val="18"/>
                <w:szCs w:val="18"/>
                <w:b w:val="1"/>
                <w:bCs w:val="1"/>
                <w:color w:val="auto"/>
              </w:rPr>
              <w:t>(30,220)</w:t>
            </w:r>
          </w:p>
        </w:tc>
        <w:tc>
          <w:tcPr>
            <w:tcW w:w="184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(27,616)</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(23,000)</w:t>
            </w:r>
          </w:p>
        </w:tc>
      </w:tr>
      <w:tr>
        <w:trPr>
          <w:trHeight w:val="203"/>
        </w:trPr>
        <w:tc>
          <w:tcPr>
            <w:tcW w:w="660" w:type="dxa"/>
            <w:vAlign w:val="bottom"/>
          </w:tcPr>
          <w:p>
            <w:pPr>
              <w:spacing w:after="0"/>
              <w:rPr>
                <w:sz w:val="17"/>
                <w:szCs w:val="17"/>
                <w:color w:val="auto"/>
              </w:rPr>
            </w:pPr>
          </w:p>
        </w:tc>
        <w:tc>
          <w:tcPr>
            <w:tcW w:w="4680" w:type="dxa"/>
            <w:vAlign w:val="bottom"/>
          </w:tcPr>
          <w:p>
            <w:pPr>
              <w:spacing w:after="0" w:line="202" w:lineRule="exact"/>
              <w:rPr>
                <w:sz w:val="20"/>
                <w:szCs w:val="20"/>
                <w:color w:val="auto"/>
              </w:rPr>
            </w:pPr>
            <w:r>
              <w:rPr>
                <w:rFonts w:ascii="Arial" w:cs="Arial" w:eastAsia="Arial" w:hAnsi="Arial"/>
                <w:sz w:val="18"/>
                <w:szCs w:val="18"/>
                <w:color w:val="auto"/>
              </w:rPr>
              <w:t>Unallocated expenses-pension settlement</w:t>
            </w:r>
          </w:p>
        </w:tc>
        <w:tc>
          <w:tcPr>
            <w:tcW w:w="140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w:t>
            </w:r>
          </w:p>
        </w:tc>
        <w:tc>
          <w:tcPr>
            <w:tcW w:w="184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(119,735)</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25"/>
        </w:trPr>
        <w:tc>
          <w:tcPr>
            <w:tcW w:w="660" w:type="dxa"/>
            <w:vAlign w:val="bottom"/>
          </w:tcPr>
          <w:p>
            <w:pPr>
              <w:spacing w:after="0"/>
              <w:rPr>
                <w:sz w:val="19"/>
                <w:szCs w:val="19"/>
                <w:color w:val="auto"/>
              </w:rPr>
            </w:pP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Unallocated expenses-other</w:t>
            </w:r>
          </w:p>
        </w:tc>
        <w:tc>
          <w:tcPr>
            <w:tcW w:w="1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(51,413)</w:t>
            </w:r>
          </w:p>
        </w:tc>
        <w:tc>
          <w:tcPr>
            <w:tcW w:w="1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(60,818)</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(74,947)</w:t>
            </w:r>
          </w:p>
        </w:tc>
      </w:tr>
      <w:tr>
        <w:trPr>
          <w:trHeight w:val="196"/>
        </w:trPr>
        <w:tc>
          <w:tcPr>
            <w:tcW w:w="660" w:type="dxa"/>
            <w:vAlign w:val="bottom"/>
          </w:tcPr>
          <w:p>
            <w:pPr>
              <w:spacing w:after="0"/>
              <w:rPr>
                <w:sz w:val="17"/>
                <w:szCs w:val="17"/>
                <w:color w:val="auto"/>
              </w:rPr>
            </w:pPr>
          </w:p>
        </w:tc>
        <w:tc>
          <w:tcPr>
            <w:tcW w:w="46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140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$52,091</w:t>
            </w:r>
          </w:p>
        </w:tc>
        <w:tc>
          <w:tcPr>
            <w:tcW w:w="184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rPr>
              <w:t>($45,136)</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$74,608</w:t>
            </w:r>
          </w:p>
        </w:tc>
      </w:tr>
      <w:tr>
        <w:trPr>
          <w:trHeight w:val="426"/>
        </w:trPr>
        <w:tc>
          <w:tcPr>
            <w:tcW w:w="5340" w:type="dxa"/>
            <w:vAlign w:val="bottom"/>
            <w:gridSpan w:val="2"/>
          </w:tcPr>
          <w:p>
            <w:pPr>
              <w:spacing w:after="0"/>
              <w:rPr>
                <w:sz w:val="20"/>
                <w:szCs w:val="20"/>
                <w:color w:val="auto"/>
              </w:rPr>
            </w:pPr>
            <w:r>
              <w:rPr>
                <w:rFonts w:ascii="Arial" w:cs="Arial" w:eastAsia="Arial" w:hAnsi="Arial"/>
                <w:sz w:val="18"/>
                <w:szCs w:val="18"/>
                <w:b w:val="1"/>
                <w:bCs w:val="1"/>
                <w:color w:val="auto"/>
              </w:rPr>
              <w:t>Other Earnings Items</w:t>
            </w:r>
          </w:p>
        </w:tc>
        <w:tc>
          <w:tcPr>
            <w:tcW w:w="14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65"/>
        </w:trPr>
        <w:tc>
          <w:tcPr>
            <w:tcW w:w="660" w:type="dxa"/>
            <w:vAlign w:val="bottom"/>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(in thousands)</w:t>
            </w:r>
          </w:p>
        </w:tc>
        <w:tc>
          <w:tcPr>
            <w:tcW w:w="1200" w:type="dxa"/>
            <w:vAlign w:val="bottom"/>
            <w:tcBorders>
              <w:bottom w:val="single" w:sz="8" w:color="auto"/>
            </w:tcBorders>
          </w:tcPr>
          <w:p>
            <w:pPr>
              <w:spacing w:after="0"/>
              <w:rPr>
                <w:sz w:val="24"/>
                <w:szCs w:val="24"/>
                <w:color w:val="auto"/>
              </w:rPr>
            </w:pPr>
          </w:p>
        </w:tc>
      </w:tr>
      <w:tr>
        <w:trPr>
          <w:trHeight w:val="399"/>
        </w:trPr>
        <w:tc>
          <w:tcPr>
            <w:tcW w:w="660" w:type="dxa"/>
            <w:vAlign w:val="bottom"/>
          </w:tcPr>
          <w:p>
            <w:pPr>
              <w:spacing w:after="0"/>
              <w:rPr>
                <w:sz w:val="24"/>
                <w:szCs w:val="24"/>
                <w:color w:val="auto"/>
              </w:rPr>
            </w:pP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Years ended December 31,</w:t>
            </w:r>
          </w:p>
        </w:tc>
        <w:tc>
          <w:tcPr>
            <w:tcW w:w="14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184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2012</w:t>
            </w: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2011</w:t>
            </w:r>
          </w:p>
        </w:tc>
      </w:tr>
      <w:tr>
        <w:trPr>
          <w:trHeight w:val="173"/>
        </w:trPr>
        <w:tc>
          <w:tcPr>
            <w:tcW w:w="660" w:type="dxa"/>
            <w:vAlign w:val="bottom"/>
          </w:tcPr>
          <w:p>
            <w:pPr>
              <w:spacing w:after="0"/>
              <w:rPr>
                <w:sz w:val="15"/>
                <w:szCs w:val="15"/>
                <w:color w:val="auto"/>
              </w:rPr>
            </w:pPr>
          </w:p>
        </w:tc>
        <w:tc>
          <w:tcPr>
            <w:tcW w:w="4680" w:type="dxa"/>
            <w:vAlign w:val="bottom"/>
          </w:tcPr>
          <w:p>
            <w:pPr>
              <w:spacing w:after="0" w:line="173" w:lineRule="exact"/>
              <w:rPr>
                <w:sz w:val="20"/>
                <w:szCs w:val="20"/>
                <w:color w:val="auto"/>
              </w:rPr>
            </w:pPr>
            <w:r>
              <w:rPr>
                <w:rFonts w:ascii="Arial" w:cs="Arial" w:eastAsia="Arial" w:hAnsi="Arial"/>
                <w:sz w:val="18"/>
                <w:szCs w:val="18"/>
                <w:color w:val="auto"/>
              </w:rPr>
              <w:t>Interest expense, net</w:t>
            </w:r>
          </w:p>
        </w:tc>
        <w:tc>
          <w:tcPr>
            <w:tcW w:w="1400" w:type="dxa"/>
            <w:vAlign w:val="bottom"/>
          </w:tcPr>
          <w:p>
            <w:pPr>
              <w:jc w:val="right"/>
              <w:ind w:right="150"/>
              <w:spacing w:after="0" w:line="173" w:lineRule="exact"/>
              <w:rPr>
                <w:sz w:val="20"/>
                <w:szCs w:val="20"/>
                <w:color w:val="auto"/>
              </w:rPr>
            </w:pPr>
            <w:r>
              <w:rPr>
                <w:rFonts w:ascii="Arial" w:cs="Arial" w:eastAsia="Arial" w:hAnsi="Arial"/>
                <w:sz w:val="18"/>
                <w:szCs w:val="18"/>
                <w:b w:val="1"/>
                <w:bCs w:val="1"/>
                <w:color w:val="auto"/>
              </w:rPr>
              <w:t>$13,759</w:t>
            </w:r>
          </w:p>
        </w:tc>
        <w:tc>
          <w:tcPr>
            <w:tcW w:w="1840" w:type="dxa"/>
            <w:vAlign w:val="bottom"/>
          </w:tcPr>
          <w:p>
            <w:pPr>
              <w:jc w:val="right"/>
              <w:ind w:right="410"/>
              <w:spacing w:after="0" w:line="173" w:lineRule="exact"/>
              <w:rPr>
                <w:sz w:val="20"/>
                <w:szCs w:val="20"/>
                <w:color w:val="auto"/>
              </w:rPr>
            </w:pPr>
            <w:r>
              <w:rPr>
                <w:rFonts w:ascii="Arial" w:cs="Arial" w:eastAsia="Arial" w:hAnsi="Arial"/>
                <w:sz w:val="18"/>
                <w:szCs w:val="18"/>
                <w:color w:val="auto"/>
              </w:rPr>
              <w:t>$16,601</w:t>
            </w:r>
          </w:p>
        </w:tc>
        <w:tc>
          <w:tcPr>
            <w:tcW w:w="1200" w:type="dxa"/>
            <w:vAlign w:val="bottom"/>
          </w:tcPr>
          <w:p>
            <w:pPr>
              <w:jc w:val="right"/>
              <w:spacing w:after="0" w:line="173" w:lineRule="exact"/>
              <w:rPr>
                <w:sz w:val="20"/>
                <w:szCs w:val="20"/>
                <w:color w:val="auto"/>
              </w:rPr>
            </w:pPr>
            <w:r>
              <w:rPr>
                <w:rFonts w:ascii="Arial" w:cs="Arial" w:eastAsia="Arial" w:hAnsi="Arial"/>
                <w:sz w:val="18"/>
                <w:szCs w:val="18"/>
                <w:color w:val="auto"/>
              </w:rPr>
              <w:t>$18,121</w:t>
            </w:r>
          </w:p>
        </w:tc>
      </w:tr>
      <w:tr>
        <w:trPr>
          <w:trHeight w:val="203"/>
        </w:trPr>
        <w:tc>
          <w:tcPr>
            <w:tcW w:w="660" w:type="dxa"/>
            <w:vAlign w:val="bottom"/>
          </w:tcPr>
          <w:p>
            <w:pPr>
              <w:spacing w:after="0"/>
              <w:rPr>
                <w:sz w:val="17"/>
                <w:szCs w:val="17"/>
                <w:color w:val="auto"/>
              </w:rPr>
            </w:pPr>
          </w:p>
        </w:tc>
        <w:tc>
          <w:tcPr>
            <w:tcW w:w="4680" w:type="dxa"/>
            <w:vAlign w:val="bottom"/>
          </w:tcPr>
          <w:p>
            <w:pPr>
              <w:spacing w:after="0" w:line="202" w:lineRule="exact"/>
              <w:rPr>
                <w:sz w:val="20"/>
                <w:szCs w:val="20"/>
                <w:color w:val="auto"/>
              </w:rPr>
            </w:pPr>
            <w:r>
              <w:rPr>
                <w:rFonts w:ascii="Arial" w:cs="Arial" w:eastAsia="Arial" w:hAnsi="Arial"/>
                <w:sz w:val="18"/>
                <w:szCs w:val="18"/>
                <w:color w:val="auto"/>
              </w:rPr>
              <w:t>Other expense/(income), net</w:t>
            </w:r>
          </w:p>
        </w:tc>
        <w:tc>
          <w:tcPr>
            <w:tcW w:w="140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7,256</w:t>
            </w:r>
          </w:p>
        </w:tc>
        <w:tc>
          <w:tcPr>
            <w:tcW w:w="184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7,629</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2,639</w:t>
            </w:r>
          </w:p>
        </w:tc>
      </w:tr>
      <w:tr>
        <w:trPr>
          <w:trHeight w:val="203"/>
        </w:trPr>
        <w:tc>
          <w:tcPr>
            <w:tcW w:w="660" w:type="dxa"/>
            <w:vAlign w:val="bottom"/>
          </w:tcPr>
          <w:p>
            <w:pPr>
              <w:spacing w:after="0"/>
              <w:rPr>
                <w:sz w:val="17"/>
                <w:szCs w:val="17"/>
                <w:color w:val="auto"/>
              </w:rPr>
            </w:pPr>
          </w:p>
        </w:tc>
        <w:tc>
          <w:tcPr>
            <w:tcW w:w="4680" w:type="dxa"/>
            <w:vAlign w:val="bottom"/>
          </w:tcPr>
          <w:p>
            <w:pPr>
              <w:spacing w:after="0" w:line="202" w:lineRule="exact"/>
              <w:rPr>
                <w:sz w:val="20"/>
                <w:szCs w:val="20"/>
                <w:color w:val="auto"/>
              </w:rPr>
            </w:pPr>
            <w:r>
              <w:rPr>
                <w:rFonts w:ascii="Arial" w:cs="Arial" w:eastAsia="Arial" w:hAnsi="Arial"/>
                <w:sz w:val="18"/>
                <w:szCs w:val="18"/>
                <w:color w:val="auto"/>
              </w:rPr>
              <w:t>Income tax expense/(benefit)</w:t>
            </w:r>
          </w:p>
        </w:tc>
        <w:tc>
          <w:tcPr>
            <w:tcW w:w="140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13,372</w:t>
            </w:r>
          </w:p>
        </w:tc>
        <w:tc>
          <w:tcPr>
            <w:tcW w:w="184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(27,523)</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32,582</w:t>
            </w:r>
          </w:p>
        </w:tc>
      </w:tr>
      <w:tr>
        <w:trPr>
          <w:trHeight w:val="203"/>
        </w:trPr>
        <w:tc>
          <w:tcPr>
            <w:tcW w:w="660" w:type="dxa"/>
            <w:vAlign w:val="bottom"/>
          </w:tcPr>
          <w:p>
            <w:pPr>
              <w:spacing w:after="0"/>
              <w:rPr>
                <w:sz w:val="17"/>
                <w:szCs w:val="17"/>
                <w:color w:val="auto"/>
              </w:rPr>
            </w:pPr>
          </w:p>
        </w:tc>
        <w:tc>
          <w:tcPr>
            <w:tcW w:w="4680" w:type="dxa"/>
            <w:vAlign w:val="bottom"/>
          </w:tcPr>
          <w:p>
            <w:pPr>
              <w:spacing w:after="0" w:line="202" w:lineRule="exact"/>
              <w:rPr>
                <w:sz w:val="20"/>
                <w:szCs w:val="20"/>
                <w:color w:val="auto"/>
              </w:rPr>
            </w:pPr>
            <w:r>
              <w:rPr>
                <w:rFonts w:ascii="Arial" w:cs="Arial" w:eastAsia="Arial" w:hAnsi="Arial"/>
                <w:sz w:val="18"/>
                <w:szCs w:val="18"/>
                <w:color w:val="auto"/>
              </w:rPr>
              <w:t>(Loss)/income from discontinued operations, net of tax</w:t>
            </w:r>
          </w:p>
        </w:tc>
        <w:tc>
          <w:tcPr>
            <w:tcW w:w="140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(46)</w:t>
            </w:r>
          </w:p>
        </w:tc>
        <w:tc>
          <w:tcPr>
            <w:tcW w:w="184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71,820</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13,672</w:t>
            </w:r>
          </w:p>
        </w:tc>
      </w:tr>
      <w:tr>
        <w:trPr>
          <w:trHeight w:val="225"/>
        </w:trPr>
        <w:tc>
          <w:tcPr>
            <w:tcW w:w="660" w:type="dxa"/>
            <w:vAlign w:val="bottom"/>
          </w:tcPr>
          <w:p>
            <w:pPr>
              <w:spacing w:after="0"/>
              <w:rPr>
                <w:sz w:val="19"/>
                <w:szCs w:val="19"/>
                <w:color w:val="auto"/>
              </w:rPr>
            </w:pP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attributable to the noncontrolling interest</w:t>
            </w:r>
          </w:p>
        </w:tc>
        <w:tc>
          <w:tcPr>
            <w:tcW w:w="1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141</w:t>
            </w:r>
          </w:p>
        </w:tc>
        <w:tc>
          <w:tcPr>
            <w:tcW w:w="18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193" w:lineRule="exact"/>
        <w:rPr>
          <w:sz w:val="20"/>
          <w:szCs w:val="20"/>
          <w:color w:val="auto"/>
        </w:rPr>
      </w:pPr>
    </w:p>
    <w:p>
      <w:pPr>
        <w:ind w:right="220" w:firstLine="648"/>
        <w:spacing w:after="0"/>
        <w:rPr>
          <w:sz w:val="20"/>
          <w:szCs w:val="20"/>
          <w:color w:val="auto"/>
        </w:rPr>
      </w:pPr>
      <w:r>
        <w:rPr>
          <w:rFonts w:ascii="Arial" w:cs="Arial" w:eastAsia="Arial" w:hAnsi="Arial"/>
          <w:sz w:val="18"/>
          <w:szCs w:val="18"/>
          <w:color w:val="auto"/>
        </w:rPr>
        <w:t>Interest expense, net, decreased $2.8 million in 2013, of which $2.0 million was due to lower interest rates, and the remainder due to lower average debt. Interest expense, net declined $1.5 million in 2012 principally due to a decline in net debt. See the Capital Resources section below for further discussion of borrowings and interest rates.</w:t>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Other Expense/(income), net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expense/(income), net included the following:</w:t>
      </w:r>
    </w:p>
    <w:p>
      <w:pPr>
        <w:spacing w:after="0" w:line="185" w:lineRule="exact"/>
        <w:rPr>
          <w:sz w:val="20"/>
          <w:szCs w:val="20"/>
          <w:color w:val="auto"/>
        </w:rPr>
      </w:pPr>
    </w:p>
    <w:p>
      <w:pPr>
        <w:ind w:left="900" w:right="160" w:hanging="244"/>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Foreign currency revaluations of cash and intercompany balances resulted in losses of $5.2 million in 2013, $5.7 million in 2012, and gains of $0.1 million in 2011. The revaluation effects were principally due to the euro’s relative strength against the U.S. dollar, Canadian dollar, Australian dollar, and Japanese yen.</w:t>
      </w:r>
    </w:p>
    <w:p>
      <w:pPr>
        <w:spacing w:after="0" w:line="162" w:lineRule="exact"/>
        <w:rPr>
          <w:rFonts w:ascii="Arial" w:cs="Arial" w:eastAsia="Arial" w:hAnsi="Arial"/>
          <w:sz w:val="18"/>
          <w:szCs w:val="18"/>
          <w:color w:val="auto"/>
        </w:rPr>
      </w:pPr>
    </w:p>
    <w:p>
      <w:pPr>
        <w:ind w:left="900" w:right="700" w:hanging="244"/>
        <w:spacing w:after="0" w:line="246"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Bank fees and amortization of debt issuance costs were $1.5 million, $2.4 million, and $1.8 million in 2013, 2012, and 2011, respectively.</w:t>
      </w:r>
    </w:p>
    <w:p>
      <w:pPr>
        <w:spacing w:after="0" w:line="156" w:lineRule="exact"/>
        <w:rPr>
          <w:rFonts w:ascii="Arial" w:cs="Arial" w:eastAsia="Arial" w:hAnsi="Arial"/>
          <w:sz w:val="18"/>
          <w:szCs w:val="18"/>
          <w:color w:val="auto"/>
        </w:rPr>
      </w:pPr>
    </w:p>
    <w:p>
      <w:pPr>
        <w:ind w:left="900" w:right="420" w:hanging="244"/>
        <w:spacing w:after="0" w:line="246"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Fees for a letter-of-credit (LOC) were $0.0 million, $1.0 million, and $1.5 million in 2013, 2012, and 2011, respectively. The fees were associated with an LOC required by the Canadian government for tax contingencies that were resolved in 2012.</w:t>
      </w:r>
    </w:p>
    <w:p>
      <w:pPr>
        <w:spacing w:after="0" w:line="169" w:lineRule="exact"/>
        <w:rPr>
          <w:rFonts w:ascii="Arial" w:cs="Arial" w:eastAsia="Arial" w:hAnsi="Arial"/>
          <w:sz w:val="18"/>
          <w:szCs w:val="18"/>
          <w:color w:val="auto"/>
        </w:rPr>
      </w:pPr>
    </w:p>
    <w:p>
      <w:pPr>
        <w:ind w:left="900" w:right="180" w:hanging="244"/>
        <w:spacing w:after="0" w:line="23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July 2013, the Company’s manufacturing facility in Germany was damaged by severe weather. The Company expensed the remaining book value of the damaged property, but that value was minimal. We have filed an insurance claim, but the final amount that the Company will recover has not been determined. We expect to record a gain for this involuntary conversion when the insurance claim is settled, but the amount of the gain cannot presently be determined.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93" w:lineRule="exact"/>
        <w:rPr>
          <w:sz w:val="20"/>
          <w:szCs w:val="20"/>
          <w:color w:val="auto"/>
        </w:rPr>
      </w:pPr>
    </w:p>
    <w:p>
      <w:pPr>
        <w:jc w:val="both"/>
        <w:ind w:right="180" w:firstLine="648"/>
        <w:spacing w:after="0"/>
        <w:rPr>
          <w:sz w:val="20"/>
          <w:szCs w:val="20"/>
          <w:color w:val="auto"/>
        </w:rPr>
      </w:pPr>
      <w:r>
        <w:rPr>
          <w:rFonts w:ascii="Arial" w:cs="Arial" w:eastAsia="Arial" w:hAnsi="Arial"/>
          <w:sz w:val="18"/>
          <w:szCs w:val="18"/>
          <w:color w:val="auto"/>
        </w:rPr>
        <w:t>The Company has operations which constitute a taxable presence in 19 countries outside of the United States. All of these countries except one had income tax rates that were lower than the United States federal tax rate of 35% during the periods reported. The jurisdictional location of earnings is a significant component of our effective tax rate each year, and therefore on our overall income tax expense.</w:t>
      </w:r>
    </w:p>
    <w:p>
      <w:pPr>
        <w:spacing w:after="0" w:line="176" w:lineRule="exact"/>
        <w:rPr>
          <w:sz w:val="20"/>
          <w:szCs w:val="20"/>
          <w:color w:val="auto"/>
        </w:rPr>
      </w:pPr>
    </w:p>
    <w:p>
      <w:pPr>
        <w:ind w:right="80" w:firstLine="648"/>
        <w:spacing w:after="0" w:line="239" w:lineRule="auto"/>
        <w:rPr>
          <w:sz w:val="20"/>
          <w:szCs w:val="20"/>
          <w:color w:val="auto"/>
        </w:rPr>
      </w:pPr>
      <w:r>
        <w:rPr>
          <w:rFonts w:ascii="Arial" w:cs="Arial" w:eastAsia="Arial" w:hAnsi="Arial"/>
          <w:sz w:val="18"/>
          <w:szCs w:val="18"/>
          <w:color w:val="auto"/>
        </w:rPr>
        <w:t>The Company’s effective tax rate for fiscal years 2013, 2012, and 2011 was 43.0%, 40.3%, and 60.5%, respectively. The tax rate is affected by recurring items, such as the income tax rate in the U.S. and in non-U.S. jurisdictions and the mix of income earned in those jurisdictions. The rate is also affected by U.S. tax costs on foreign earnings that have been or will be repatriated to the U.S., and discrete items that may occur in any given year but are not consistent from year to year.</w:t>
      </w:r>
    </w:p>
    <w:p>
      <w:pPr>
        <w:spacing w:after="0" w:line="161" w:lineRule="exact"/>
        <w:rPr>
          <w:sz w:val="20"/>
          <w:szCs w:val="20"/>
          <w:color w:val="auto"/>
        </w:rPr>
      </w:pPr>
    </w:p>
    <w:p>
      <w:pPr>
        <w:ind w:right="160" w:firstLine="648"/>
        <w:spacing w:after="0" w:line="246" w:lineRule="auto"/>
        <w:rPr>
          <w:sz w:val="20"/>
          <w:szCs w:val="20"/>
          <w:color w:val="auto"/>
        </w:rPr>
      </w:pPr>
      <w:r>
        <w:rPr>
          <w:rFonts w:ascii="Arial" w:cs="Arial" w:eastAsia="Arial" w:hAnsi="Arial"/>
          <w:sz w:val="18"/>
          <w:szCs w:val="18"/>
          <w:color w:val="auto"/>
        </w:rPr>
        <w:t>Significant items that impacted the 2013 tax rate included the following (percentages reflect the effect of each item as a percentage of income before income taxes):</w:t>
      </w:r>
    </w:p>
    <w:p>
      <w:pPr>
        <w:spacing w:after="0" w:line="156"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discrete charge of $1.8 million (5.7%) related to the settlement of a competent authority claim with U.S. and France.</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discrete tax benefit of $3.7 million (12.0%) related to the release of a valuation allowance on deferred tax assets.</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$0.1 million (0.6%) net tax benefit related to other discrete items.</w:t>
      </w:r>
    </w:p>
    <w:p>
      <w:pPr>
        <w:spacing w:after="0" w:line="198" w:lineRule="exact"/>
        <w:rPr>
          <w:rFonts w:ascii="Arial" w:cs="Arial" w:eastAsia="Arial" w:hAnsi="Arial"/>
          <w:sz w:val="18"/>
          <w:szCs w:val="18"/>
          <w:color w:val="auto"/>
        </w:rPr>
      </w:pPr>
    </w:p>
    <w:p>
      <w:pPr>
        <w:jc w:val="both"/>
        <w:ind w:left="980" w:right="46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net tax rate increase of 0.2% was recognized in 2013 from rate differences between non-U.S. and U.S. jurisdictions. Lesser earnings in jurisdictions where tax rates differ substantially from the U.S. tax rate coupled with lower tax benefits on non-U.S. restructuring charges contributed to the net tax rate increase.</w:t>
      </w:r>
    </w:p>
    <w:p>
      <w:pPr>
        <w:spacing w:after="0" w:line="189"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income tax rate on continuing operations, excluding discrete items, was 49%.</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27" w:name="page28"/>
    <w:bookmarkEnd w:id="27"/>
    <w:p>
      <w:pPr>
        <w:ind w:left="660"/>
        <w:spacing w:after="0"/>
        <w:rPr>
          <w:sz w:val="20"/>
          <w:szCs w:val="20"/>
          <w:color w:val="auto"/>
        </w:rPr>
      </w:pPr>
      <w:r>
        <w:rPr>
          <w:rFonts w:ascii="Arial" w:cs="Arial" w:eastAsia="Arial" w:hAnsi="Arial"/>
          <w:sz w:val="18"/>
          <w:szCs w:val="18"/>
          <w:color w:val="auto"/>
        </w:rPr>
        <w:t>Significant items that impacted the 2012 tax rate included the following:</w:t>
      </w:r>
    </w:p>
    <w:p>
      <w:pPr>
        <w:spacing w:after="0" w:line="171" w:lineRule="exact"/>
        <w:rPr>
          <w:sz w:val="20"/>
          <w:szCs w:val="20"/>
          <w:color w:val="auto"/>
        </w:rPr>
      </w:pPr>
    </w:p>
    <w:p>
      <w:pPr>
        <w:ind w:left="900" w:hanging="244"/>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$39.5 million (57.7%) discrete income tax benefit related to pension settlements in the U.S., Canada and Sweden.</w:t>
      </w:r>
    </w:p>
    <w:p>
      <w:pPr>
        <w:spacing w:after="0" w:line="198" w:lineRule="exact"/>
        <w:rPr>
          <w:rFonts w:ascii="Arial" w:cs="Arial" w:eastAsia="Arial" w:hAnsi="Arial"/>
          <w:sz w:val="18"/>
          <w:szCs w:val="18"/>
          <w:color w:val="auto"/>
        </w:rPr>
      </w:pPr>
    </w:p>
    <w:p>
      <w:pPr>
        <w:ind w:left="900" w:hanging="244"/>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discrete tax benefit of $7.1 million (10.3%) related to the settlement of a tax audit in Canada.</w:t>
      </w:r>
    </w:p>
    <w:p>
      <w:pPr>
        <w:spacing w:after="0" w:line="184" w:lineRule="exact"/>
        <w:rPr>
          <w:rFonts w:ascii="Arial" w:cs="Arial" w:eastAsia="Arial" w:hAnsi="Arial"/>
          <w:sz w:val="18"/>
          <w:szCs w:val="18"/>
          <w:color w:val="auto"/>
        </w:rPr>
      </w:pPr>
    </w:p>
    <w:p>
      <w:pPr>
        <w:ind w:left="900" w:hanging="244"/>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$0.8 million (1.1%) net tax benefit related to other discrete items.</w:t>
      </w:r>
    </w:p>
    <w:p>
      <w:pPr>
        <w:spacing w:after="0" w:line="184" w:lineRule="exact"/>
        <w:rPr>
          <w:rFonts w:ascii="Arial" w:cs="Arial" w:eastAsia="Arial" w:hAnsi="Arial"/>
          <w:sz w:val="18"/>
          <w:szCs w:val="18"/>
          <w:color w:val="auto"/>
        </w:rPr>
      </w:pPr>
    </w:p>
    <w:p>
      <w:pPr>
        <w:ind w:left="900" w:right="60" w:hanging="244"/>
        <w:spacing w:after="0" w:line="23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net tax rate reduction of 1.7% was recognized in 2012 from rate differences between non-U.S. and U.S. jurisdictions. The tax rate benefit from earnings in Switzerland and Brazil that are taxed at lower rates was offset by pension settlement and restructuring charges recognized outside the U.S. that resulted in a lower tax benefit, as compared to the benefit calculated using the U.S. notional tax rate of 35%.</w:t>
      </w:r>
    </w:p>
    <w:p>
      <w:pPr>
        <w:spacing w:after="0" w:line="174" w:lineRule="exact"/>
        <w:rPr>
          <w:rFonts w:ascii="Arial" w:cs="Arial" w:eastAsia="Arial" w:hAnsi="Arial"/>
          <w:sz w:val="18"/>
          <w:szCs w:val="18"/>
          <w:color w:val="auto"/>
        </w:rPr>
      </w:pPr>
    </w:p>
    <w:p>
      <w:pPr>
        <w:ind w:left="900" w:hanging="244"/>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income tax rate on continuing operations, excluding discrete items, was 39%.</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Significant items that impacted the 2011 tax rate included the following:</w:t>
      </w:r>
    </w:p>
    <w:p>
      <w:pPr>
        <w:spacing w:after="0" w:line="171" w:lineRule="exact"/>
        <w:rPr>
          <w:sz w:val="20"/>
          <w:szCs w:val="20"/>
          <w:color w:val="auto"/>
        </w:rPr>
      </w:pPr>
    </w:p>
    <w:p>
      <w:pPr>
        <w:ind w:left="900" w:right="140" w:hanging="244"/>
        <w:spacing w:after="0" w:line="246"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$22.8 million (42.1%) of expense for valuation allowances, principally in Germany, that resulted from the Company’s sale of Albany Door Systems.</w:t>
      </w:r>
    </w:p>
    <w:p>
      <w:pPr>
        <w:spacing w:after="0" w:line="169" w:lineRule="exact"/>
        <w:rPr>
          <w:rFonts w:ascii="Arial" w:cs="Arial" w:eastAsia="Arial" w:hAnsi="Arial"/>
          <w:sz w:val="18"/>
          <w:szCs w:val="18"/>
          <w:color w:val="auto"/>
        </w:rPr>
      </w:pPr>
    </w:p>
    <w:p>
      <w:pPr>
        <w:jc w:val="both"/>
        <w:ind w:left="900" w:right="220" w:hanging="244"/>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favorable tax adjustment of $3.5 million (6.4%) to correct errors from periods prior to 2006. (The Company does not believe that the corrected item was material to 2011 or any of the previously reported quarterly or annual financial statements. As a result, the Company has not restated its previously issued financial statements.)</w:t>
      </w:r>
    </w:p>
    <w:p>
      <w:pPr>
        <w:spacing w:after="0" w:line="162" w:lineRule="exact"/>
        <w:rPr>
          <w:rFonts w:ascii="Arial" w:cs="Arial" w:eastAsia="Arial" w:hAnsi="Arial"/>
          <w:sz w:val="18"/>
          <w:szCs w:val="18"/>
          <w:color w:val="auto"/>
        </w:rPr>
      </w:pPr>
    </w:p>
    <w:p>
      <w:pPr>
        <w:ind w:left="900" w:hanging="244"/>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$3.3 million (6.2%) reduction in expense resulting from a change in the applicable tax regime in Mexico.</w:t>
      </w:r>
    </w:p>
    <w:p>
      <w:pPr>
        <w:spacing w:after="0" w:line="184" w:lineRule="exact"/>
        <w:rPr>
          <w:rFonts w:ascii="Arial" w:cs="Arial" w:eastAsia="Arial" w:hAnsi="Arial"/>
          <w:sz w:val="18"/>
          <w:szCs w:val="18"/>
          <w:color w:val="auto"/>
        </w:rPr>
      </w:pPr>
    </w:p>
    <w:p>
      <w:pPr>
        <w:ind w:left="900" w:hanging="244"/>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$1.2 million (2.2%) net tax benefit related to the settlement of certain audits and other discrete tax matters.</w:t>
      </w:r>
    </w:p>
    <w:p>
      <w:pPr>
        <w:spacing w:after="0" w:line="198" w:lineRule="exact"/>
        <w:rPr>
          <w:rFonts w:ascii="Arial" w:cs="Arial" w:eastAsia="Arial" w:hAnsi="Arial"/>
          <w:sz w:val="18"/>
          <w:szCs w:val="18"/>
          <w:color w:val="auto"/>
        </w:rPr>
      </w:pPr>
    </w:p>
    <w:p>
      <w:pPr>
        <w:ind w:left="900" w:right="400" w:hanging="244"/>
        <w:spacing w:after="0" w:line="23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net tax rate reduction of 14.3% was recognized from rate differences between non-U.S. and U.S. jurisdictions. Earnings in Switzerland and Brazil, where tax rates are lower than the U.S. notional rate of 35%, contributed to the majority of the reduction noted. U.S. tax costs on foreign earnings and foreign withholdings offset the tax rate benefits gained from operating in low tax jurisdictions by 12.8%.</w:t>
      </w:r>
    </w:p>
    <w:p>
      <w:pPr>
        <w:spacing w:after="0" w:line="161" w:lineRule="exact"/>
        <w:rPr>
          <w:rFonts w:ascii="Arial" w:cs="Arial" w:eastAsia="Arial" w:hAnsi="Arial"/>
          <w:sz w:val="18"/>
          <w:szCs w:val="18"/>
          <w:color w:val="auto"/>
        </w:rPr>
      </w:pPr>
    </w:p>
    <w:p>
      <w:pPr>
        <w:ind w:left="900" w:hanging="244"/>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income tax rate on continuing operations, excluding discrete items, was 33%.</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from Discontinued Operations</w:t>
      </w:r>
    </w:p>
    <w:p>
      <w:pPr>
        <w:spacing w:after="0" w:line="207" w:lineRule="exact"/>
        <w:rPr>
          <w:sz w:val="20"/>
          <w:szCs w:val="20"/>
          <w:color w:val="auto"/>
        </w:rPr>
      </w:pPr>
    </w:p>
    <w:p>
      <w:pPr>
        <w:ind w:right="100" w:firstLine="648"/>
        <w:spacing w:after="0" w:line="237" w:lineRule="auto"/>
        <w:rPr>
          <w:sz w:val="20"/>
          <w:szCs w:val="20"/>
          <w:color w:val="auto"/>
        </w:rPr>
      </w:pPr>
      <w:r>
        <w:rPr>
          <w:rFonts w:ascii="Arial" w:cs="Arial" w:eastAsia="Arial" w:hAnsi="Arial"/>
          <w:sz w:val="18"/>
          <w:szCs w:val="18"/>
          <w:color w:val="auto"/>
        </w:rPr>
        <w:t>In October, 2011 we entered into a contract to sell the assets and liabilities of our Albany Door Systems (ADS) business to Assa Abloy AB for $130 million. Closing on the transaction occurred on January 11, 2012 Under the terms of the contract, Assa Abloy AB acquired our equity ownership of Albany Doors Systems GmbH in Germany, Albany Door Systems AB in Sweden, and other ADS affiliates in Germany, France, the Netherlands, Turkey, Poland, Belgium, New Zealand, and other countries, as well as the remaining ADS business assets, most of which were located in the United States, Australia, China, and Italy. In January 2012, the Company completed the sale of Albany Door Systems, and in March 2012, we finalized certain post-closing adjustments that increased the sale price by $ 5 million. As of December 31, 2012, $122 million of the total $135 million sale price had been received, with the remainder received in July 2013.</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28" w:name="page29"/>
    <w:bookmarkEnd w:id="28"/>
    <w:p>
      <w:pPr>
        <w:ind w:right="120" w:firstLine="648"/>
        <w:spacing w:after="0" w:line="239" w:lineRule="auto"/>
        <w:rPr>
          <w:sz w:val="20"/>
          <w:szCs w:val="20"/>
          <w:color w:val="auto"/>
        </w:rPr>
      </w:pPr>
      <w:r>
        <w:rPr>
          <w:rFonts w:ascii="Arial" w:cs="Arial" w:eastAsia="Arial" w:hAnsi="Arial"/>
          <w:sz w:val="18"/>
          <w:szCs w:val="18"/>
          <w:color w:val="auto"/>
        </w:rPr>
        <w:t>In May 2012, we announced an agreement to sell our PrimaLoft Products business and that transaction closed on June 29, 2012. Under the terms of the agreement, the purchaser acquired all of the assets of that business, which were located in the United States, Italy and Germany. The purchase price of $38.0 million included $3.8 million held in escrow accounts, and which was received in 2013. The Company recorded a pre-tax gain of $34.9 million as result of that sale.</w:t>
      </w:r>
    </w:p>
    <w:p>
      <w:pPr>
        <w:spacing w:after="0" w:line="161" w:lineRule="exact"/>
        <w:rPr>
          <w:sz w:val="20"/>
          <w:szCs w:val="20"/>
          <w:color w:val="auto"/>
        </w:rPr>
      </w:pPr>
    </w:p>
    <w:p>
      <w:pPr>
        <w:ind w:right="180" w:firstLine="648"/>
        <w:spacing w:after="0" w:line="238" w:lineRule="auto"/>
        <w:rPr>
          <w:sz w:val="20"/>
          <w:szCs w:val="20"/>
          <w:color w:val="auto"/>
        </w:rPr>
      </w:pPr>
      <w:r>
        <w:rPr>
          <w:rFonts w:ascii="Arial" w:cs="Arial" w:eastAsia="Arial" w:hAnsi="Arial"/>
          <w:sz w:val="18"/>
          <w:szCs w:val="18"/>
          <w:color w:val="auto"/>
        </w:rPr>
        <w:t>We provided customary representations and warranties in the sale of both of these businesses, but we do not expect any material negative financial consequence will result from these arrangements. In accordance with the applicable accounting guidance for discontinued businesses, the associated results of operations and financial position are reported separately in the accompanying Consolidated Statements of Income and Balance Sheets. Cash flows of the discontinued operation were combined with cash flows from continuing operations in the Consolidated Statements of Cash Flows.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Machine Clothing Segment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Trends</w:t>
      </w:r>
    </w:p>
    <w:p>
      <w:pPr>
        <w:spacing w:after="0" w:line="198" w:lineRule="exact"/>
        <w:rPr>
          <w:sz w:val="20"/>
          <w:szCs w:val="20"/>
          <w:color w:val="auto"/>
        </w:rPr>
      </w:pPr>
    </w:p>
    <w:p>
      <w:pPr>
        <w:ind w:right="20" w:firstLine="648"/>
        <w:spacing w:after="0" w:line="246" w:lineRule="auto"/>
        <w:rPr>
          <w:sz w:val="20"/>
          <w:szCs w:val="20"/>
          <w:color w:val="auto"/>
        </w:rPr>
      </w:pPr>
      <w:r>
        <w:rPr>
          <w:rFonts w:ascii="Arial" w:cs="Arial" w:eastAsia="Arial" w:hAnsi="Arial"/>
          <w:sz w:val="18"/>
          <w:szCs w:val="18"/>
          <w:color w:val="auto"/>
        </w:rPr>
        <w:t>Machine Clothing is our primary business segment and accounted for 89% of our consolidated revenues during 2013. Machine clothing is purchased primarily by manufacturers of paper and paperboard.</w:t>
      </w:r>
    </w:p>
    <w:p>
      <w:pPr>
        <w:spacing w:after="0" w:line="156" w:lineRule="exact"/>
        <w:rPr>
          <w:sz w:val="20"/>
          <w:szCs w:val="20"/>
          <w:color w:val="auto"/>
        </w:rPr>
      </w:pPr>
    </w:p>
    <w:p>
      <w:pPr>
        <w:ind w:right="80" w:firstLine="648"/>
        <w:spacing w:after="0"/>
        <w:rPr>
          <w:sz w:val="20"/>
          <w:szCs w:val="20"/>
          <w:color w:val="auto"/>
        </w:rPr>
      </w:pPr>
      <w:r>
        <w:rPr>
          <w:rFonts w:ascii="Arial" w:cs="Arial" w:eastAsia="Arial" w:hAnsi="Arial"/>
          <w:sz w:val="18"/>
          <w:szCs w:val="18"/>
          <w:color w:val="auto"/>
        </w:rPr>
        <w:t>According to RISI, Inc., global production of paper and paperboard is expected to grow at an annual rate of approximately 2% over the next five years, driven primarily by secular demand increases in Asia and South America, with stabilization in the mature markets of Europe and North America.</w:t>
      </w:r>
    </w:p>
    <w:p>
      <w:pPr>
        <w:spacing w:after="0" w:line="176"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Shifting demand for paper, across different paper grades as well as across geographical regions, continues to drive the elimination of papermaking capacity in areas with significant established capacity, primarily in the mature markets of Europe and North America. At the same time, the newest, most efficient machines were being installed in areas of growing demand, including Asia and South America generally, as well as tissue and towel paper grades in all regions. Recent technological advances in Paper Machine Clothing, while contributing to the papermaking efficiency of customers, have lengthened the useful life of many of our products and had an adverse impact on overall paper machine clothing demand.</w:t>
      </w:r>
    </w:p>
    <w:p>
      <w:pPr>
        <w:spacing w:after="0" w:line="165" w:lineRule="exact"/>
        <w:rPr>
          <w:sz w:val="20"/>
          <w:szCs w:val="20"/>
          <w:color w:val="auto"/>
        </w:rPr>
      </w:pPr>
    </w:p>
    <w:p>
      <w:pPr>
        <w:ind w:right="60" w:firstLine="648"/>
        <w:spacing w:after="0" w:line="239" w:lineRule="auto"/>
        <w:rPr>
          <w:sz w:val="20"/>
          <w:szCs w:val="20"/>
          <w:color w:val="auto"/>
        </w:rPr>
      </w:pPr>
      <w:r>
        <w:rPr>
          <w:rFonts w:ascii="Arial" w:cs="Arial" w:eastAsia="Arial" w:hAnsi="Arial"/>
          <w:sz w:val="18"/>
          <w:szCs w:val="18"/>
          <w:color w:val="auto"/>
        </w:rPr>
        <w:t>The Company’s manufacturing and product platforms position us well to meet these shifting demands across product grades and geographic regions. Our strategy for meeting these challenges continues to be to grow share in all markets, with new products and technology, and to maintain our manufacturing footprint to align with global demand, while we offset the effects of inflation through continuous productivity improvement.</w:t>
      </w:r>
    </w:p>
    <w:p>
      <w:pPr>
        <w:spacing w:after="0" w:line="161" w:lineRule="exact"/>
        <w:rPr>
          <w:sz w:val="20"/>
          <w:szCs w:val="20"/>
          <w:color w:val="auto"/>
        </w:rPr>
      </w:pPr>
    </w:p>
    <w:p>
      <w:pPr>
        <w:ind w:right="340" w:firstLine="648"/>
        <w:spacing w:after="0" w:line="246" w:lineRule="auto"/>
        <w:rPr>
          <w:sz w:val="20"/>
          <w:szCs w:val="20"/>
          <w:color w:val="auto"/>
        </w:rPr>
      </w:pPr>
      <w:r>
        <w:rPr>
          <w:rFonts w:ascii="Arial" w:cs="Arial" w:eastAsia="Arial" w:hAnsi="Arial"/>
          <w:sz w:val="18"/>
          <w:szCs w:val="18"/>
          <w:color w:val="auto"/>
        </w:rPr>
        <w:t>We have incurred significant restructuring charges in recent periods as we reduced Machine Clothing manufacturing capacity in the United States, Canada, Germany, Finland, France, the Netherlands, Sweden, and Australia.</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Review of Operations</w:t>
      </w:r>
    </w:p>
    <w:p>
      <w:pPr>
        <w:spacing w:after="0" w:line="171"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(in thousands, except percentages)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11430</wp:posOffset>
            </wp:positionV>
            <wp:extent cx="542861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428615" cy="8890"/>
                    </a:xfrm>
                    <a:prstGeom prst="rect">
                      <a:avLst/>
                    </a:prstGeom>
                    <a:noFill/>
                  </pic:spPr>
                </pic:pic>
              </a:graphicData>
            </a:graphic>
          </wp:anchor>
        </w:drawing>
      </w:r>
    </w:p>
    <w:p>
      <w:pPr>
        <w:spacing w:after="0" w:line="192" w:lineRule="exact"/>
        <w:rPr>
          <w:sz w:val="20"/>
          <w:szCs w:val="20"/>
          <w:color w:val="auto"/>
        </w:rPr>
      </w:pPr>
    </w:p>
    <w:tbl>
      <w:tblPr>
        <w:tblLayout w:type="fixed"/>
        <w:tblInd w:w="660" w:type="dxa"/>
        <w:tblCellMar>
          <w:top w:w="0" w:type="dxa"/>
          <w:left w:w="0" w:type="dxa"/>
          <w:bottom w:w="0" w:type="dxa"/>
          <w:right w:w="0" w:type="dxa"/>
        </w:tblCellMar>
      </w:tblPr>
      <w:tr>
        <w:trPr>
          <w:trHeight w:val="225"/>
        </w:trPr>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Years ended December 31,</w:t>
            </w:r>
          </w:p>
        </w:tc>
        <w:tc>
          <w:tcPr>
            <w:tcW w:w="25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2013</w:t>
            </w:r>
          </w:p>
        </w:tc>
        <w:tc>
          <w:tcPr>
            <w:tcW w:w="11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2012</w:t>
            </w: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2011</w:t>
            </w:r>
          </w:p>
        </w:tc>
      </w:tr>
      <w:tr>
        <w:trPr>
          <w:trHeight w:val="173"/>
        </w:trPr>
        <w:tc>
          <w:tcPr>
            <w:tcW w:w="3780" w:type="dxa"/>
            <w:vAlign w:val="bottom"/>
          </w:tcPr>
          <w:p>
            <w:pPr>
              <w:spacing w:after="0" w:line="173" w:lineRule="exact"/>
              <w:rPr>
                <w:sz w:val="20"/>
                <w:szCs w:val="20"/>
                <w:color w:val="auto"/>
              </w:rPr>
            </w:pPr>
            <w:r>
              <w:rPr>
                <w:rFonts w:ascii="Arial" w:cs="Arial" w:eastAsia="Arial" w:hAnsi="Arial"/>
                <w:sz w:val="18"/>
                <w:szCs w:val="18"/>
                <w:color w:val="auto"/>
              </w:rPr>
              <w:t>Net sales</w:t>
            </w:r>
          </w:p>
        </w:tc>
        <w:tc>
          <w:tcPr>
            <w:tcW w:w="2540" w:type="dxa"/>
            <w:vAlign w:val="bottom"/>
          </w:tcPr>
          <w:p>
            <w:pPr>
              <w:jc w:val="right"/>
              <w:ind w:right="190"/>
              <w:spacing w:after="0" w:line="173" w:lineRule="exact"/>
              <w:rPr>
                <w:sz w:val="20"/>
                <w:szCs w:val="20"/>
                <w:color w:val="auto"/>
              </w:rPr>
            </w:pPr>
            <w:r>
              <w:rPr>
                <w:rFonts w:ascii="Arial" w:cs="Arial" w:eastAsia="Arial" w:hAnsi="Arial"/>
                <w:sz w:val="18"/>
                <w:szCs w:val="18"/>
                <w:b w:val="1"/>
                <w:bCs w:val="1"/>
                <w:color w:val="auto"/>
              </w:rPr>
              <w:t>$674,747</w:t>
            </w:r>
          </w:p>
        </w:tc>
        <w:tc>
          <w:tcPr>
            <w:tcW w:w="1180" w:type="dxa"/>
            <w:vAlign w:val="bottom"/>
          </w:tcPr>
          <w:p>
            <w:pPr>
              <w:jc w:val="right"/>
              <w:ind w:right="210"/>
              <w:spacing w:after="0" w:line="173" w:lineRule="exact"/>
              <w:rPr>
                <w:sz w:val="20"/>
                <w:szCs w:val="20"/>
                <w:color w:val="auto"/>
              </w:rPr>
            </w:pPr>
            <w:r>
              <w:rPr>
                <w:rFonts w:ascii="Arial" w:cs="Arial" w:eastAsia="Arial" w:hAnsi="Arial"/>
                <w:sz w:val="18"/>
                <w:szCs w:val="18"/>
                <w:color w:val="auto"/>
              </w:rPr>
              <w:t>$693,176</w:t>
            </w:r>
          </w:p>
        </w:tc>
        <w:tc>
          <w:tcPr>
            <w:tcW w:w="1040" w:type="dxa"/>
            <w:vAlign w:val="bottom"/>
          </w:tcPr>
          <w:p>
            <w:pPr>
              <w:jc w:val="right"/>
              <w:ind w:right="70"/>
              <w:spacing w:after="0" w:line="173" w:lineRule="exact"/>
              <w:rPr>
                <w:sz w:val="20"/>
                <w:szCs w:val="20"/>
                <w:color w:val="auto"/>
              </w:rPr>
            </w:pPr>
            <w:r>
              <w:rPr>
                <w:rFonts w:ascii="Arial" w:cs="Arial" w:eastAsia="Arial" w:hAnsi="Arial"/>
                <w:sz w:val="18"/>
                <w:szCs w:val="18"/>
                <w:color w:val="auto"/>
              </w:rPr>
              <w:t>$739,211</w:t>
            </w: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8"/>
                <w:szCs w:val="18"/>
                <w:color w:val="auto"/>
              </w:rPr>
              <w:t>% change from prior year</w:t>
            </w:r>
          </w:p>
        </w:tc>
        <w:tc>
          <w:tcPr>
            <w:tcW w:w="254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-2.7%</w:t>
            </w:r>
          </w:p>
        </w:tc>
        <w:tc>
          <w:tcPr>
            <w:tcW w:w="11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-6.2%</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5.4%</w:t>
            </w: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8"/>
                <w:szCs w:val="18"/>
                <w:color w:val="auto"/>
              </w:rPr>
              <w:t>Gross profit</w:t>
            </w:r>
          </w:p>
        </w:tc>
        <w:tc>
          <w:tcPr>
            <w:tcW w:w="254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289,100</w:t>
            </w:r>
          </w:p>
        </w:tc>
        <w:tc>
          <w:tcPr>
            <w:tcW w:w="118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303,801</w:t>
            </w:r>
          </w:p>
        </w:tc>
        <w:tc>
          <w:tcPr>
            <w:tcW w:w="10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317,984</w:t>
            </w: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8"/>
                <w:szCs w:val="18"/>
                <w:color w:val="auto"/>
              </w:rPr>
              <w:t>% of net sales</w:t>
            </w:r>
          </w:p>
        </w:tc>
        <w:tc>
          <w:tcPr>
            <w:tcW w:w="254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42.8%</w:t>
            </w:r>
          </w:p>
        </w:tc>
        <w:tc>
          <w:tcPr>
            <w:tcW w:w="11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43.8%</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43.0%</w:t>
            </w:r>
          </w:p>
        </w:tc>
      </w:tr>
      <w:tr>
        <w:trPr>
          <w:trHeight w:val="225"/>
        </w:trPr>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income</w:t>
            </w:r>
          </w:p>
        </w:tc>
        <w:tc>
          <w:tcPr>
            <w:tcW w:w="25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136,698</w:t>
            </w:r>
          </w:p>
        </w:tc>
        <w:tc>
          <w:tcPr>
            <w:tcW w:w="11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163,873</w:t>
            </w: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176,759</w:t>
            </w:r>
          </w:p>
        </w:tc>
      </w:tr>
    </w:tbl>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2013 vs. 2012</w:t>
      </w:r>
    </w:p>
    <w:p>
      <w:pPr>
        <w:spacing w:after="0" w:line="193"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currency translation rates had the effect of increasing net sales by $1.6 million during 2013 as compared to 2012.</w:t>
      </w:r>
    </w:p>
    <w:p>
      <w:pPr>
        <w:spacing w:after="0" w:line="184" w:lineRule="exact"/>
        <w:rPr>
          <w:rFonts w:ascii="Arial" w:cs="Arial" w:eastAsia="Arial" w:hAnsi="Arial"/>
          <w:sz w:val="18"/>
          <w:szCs w:val="18"/>
          <w:color w:val="auto"/>
        </w:rPr>
      </w:pPr>
    </w:p>
    <w:p>
      <w:pPr>
        <w:ind w:left="980" w:right="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Excluding the effect of changes in currency translation rates, 2013 sales decreased 2.9% as compared to 2012. The decrease principally resulted from a change in contract terms with a North American MC customer that increased 2012 sales by $8.0 million, and from lower 2013 sales in Asia resulting from very strong sales in the first half of 2012.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 vs. 2011</w:t>
      </w:r>
    </w:p>
    <w:p>
      <w:pPr>
        <w:spacing w:after="0" w:line="207" w:lineRule="exact"/>
        <w:rPr>
          <w:sz w:val="20"/>
          <w:szCs w:val="20"/>
          <w:color w:val="auto"/>
        </w:rPr>
      </w:pPr>
    </w:p>
    <w:p>
      <w:pPr>
        <w:ind w:left="900" w:hanging="244"/>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currency translation rates had the effect of decreasing 2012 sales by $15.4 million.</w:t>
      </w:r>
    </w:p>
    <w:p>
      <w:pPr>
        <w:spacing w:after="0" w:line="184" w:lineRule="exact"/>
        <w:rPr>
          <w:rFonts w:ascii="Arial" w:cs="Arial" w:eastAsia="Arial" w:hAnsi="Arial"/>
          <w:sz w:val="18"/>
          <w:szCs w:val="18"/>
          <w:color w:val="auto"/>
        </w:rPr>
      </w:pPr>
    </w:p>
    <w:p>
      <w:pPr>
        <w:ind w:left="900" w:hanging="244"/>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Excluding the effect of changes in currency translation rates, 2012 sales decreased 4.1% as compared to 2011.</w:t>
      </w:r>
    </w:p>
    <w:p>
      <w:pPr>
        <w:spacing w:after="0" w:line="184" w:lineRule="exact"/>
        <w:rPr>
          <w:rFonts w:ascii="Arial" w:cs="Arial" w:eastAsia="Arial" w:hAnsi="Arial"/>
          <w:sz w:val="18"/>
          <w:szCs w:val="18"/>
          <w:color w:val="auto"/>
        </w:rPr>
      </w:pPr>
    </w:p>
    <w:p>
      <w:pPr>
        <w:ind w:left="900" w:right="220" w:hanging="244"/>
        <w:spacing w:after="0" w:line="246"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decrease in 2012 sales was principally due to a decline of approximately 15% in Western Europe due to economic weakness and customer overcapacity.</w:t>
      </w:r>
    </w:p>
    <w:p>
      <w:pPr>
        <w:spacing w:after="0" w:line="169" w:lineRule="exact"/>
        <w:rPr>
          <w:rFonts w:ascii="Arial" w:cs="Arial" w:eastAsia="Arial" w:hAnsi="Arial"/>
          <w:sz w:val="18"/>
          <w:szCs w:val="18"/>
          <w:color w:val="auto"/>
        </w:rPr>
      </w:pPr>
    </w:p>
    <w:p>
      <w:pPr>
        <w:ind w:left="900" w:hanging="244"/>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Sales remained relatively stable in the Americas and China.</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decrease in 2013 gross profit was principally due to the net effect of the following:</w:t>
      </w:r>
    </w:p>
    <w:p>
      <w:pPr>
        <w:spacing w:after="0" w:line="185" w:lineRule="exact"/>
        <w:rPr>
          <w:sz w:val="20"/>
          <w:szCs w:val="20"/>
          <w:color w:val="auto"/>
        </w:rPr>
      </w:pPr>
    </w:p>
    <w:p>
      <w:pPr>
        <w:ind w:left="900" w:hanging="244"/>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$8.1 million decrease due to lower sales.</w:t>
      </w:r>
    </w:p>
    <w:p>
      <w:pPr>
        <w:spacing w:after="0" w:line="184" w:lineRule="exact"/>
        <w:rPr>
          <w:rFonts w:ascii="Arial" w:cs="Arial" w:eastAsia="Arial" w:hAnsi="Arial"/>
          <w:sz w:val="18"/>
          <w:szCs w:val="18"/>
          <w:color w:val="auto"/>
        </w:rPr>
      </w:pPr>
    </w:p>
    <w:p>
      <w:pPr>
        <w:ind w:left="660" w:right="3420" w:hanging="4"/>
        <w:spacing w:after="0" w:line="446" w:lineRule="auto"/>
        <w:tabs>
          <w:tab w:leader="none" w:pos="903" w:val="left"/>
        </w:tabs>
        <w:numPr>
          <w:ilvl w:val="0"/>
          <w:numId w:val="19"/>
        </w:numPr>
        <w:rPr>
          <w:rFonts w:ascii="Arial" w:cs="Arial" w:eastAsia="Arial" w:hAnsi="Arial"/>
          <w:sz w:val="18"/>
          <w:szCs w:val="18"/>
          <w:color w:val="auto"/>
        </w:rPr>
      </w:pPr>
      <w:r>
        <w:rPr>
          <w:rFonts w:ascii="Arial" w:cs="Arial" w:eastAsia="Arial" w:hAnsi="Arial"/>
          <w:sz w:val="18"/>
          <w:szCs w:val="18"/>
          <w:color w:val="auto"/>
        </w:rPr>
        <w:t>$6.8 million decrease due to lower gross profit margin, resulting from lower sales volume. The decrease in 2012 gross profit was principally due to the net effect of the following:</w:t>
      </w:r>
    </w:p>
    <w:p>
      <w:pPr>
        <w:spacing w:after="0" w:line="14" w:lineRule="exact"/>
        <w:rPr>
          <w:rFonts w:ascii="Arial" w:cs="Arial" w:eastAsia="Arial" w:hAnsi="Arial"/>
          <w:sz w:val="18"/>
          <w:szCs w:val="18"/>
          <w:color w:val="auto"/>
        </w:rPr>
      </w:pPr>
    </w:p>
    <w:p>
      <w:pPr>
        <w:ind w:left="900" w:right="340" w:hanging="244"/>
        <w:spacing w:after="0" w:line="246"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$5.9 million increase due to higher gross profit margin, resulting from high plant utilization in the Americas, favorable geographic sales mix, and the cumulative effect of restructuring initiatives.</w:t>
      </w:r>
    </w:p>
    <w:p>
      <w:pPr>
        <w:spacing w:after="0" w:line="156" w:lineRule="exact"/>
        <w:rPr>
          <w:rFonts w:ascii="Arial" w:cs="Arial" w:eastAsia="Arial" w:hAnsi="Arial"/>
          <w:sz w:val="18"/>
          <w:szCs w:val="18"/>
          <w:color w:val="auto"/>
        </w:rPr>
      </w:pPr>
    </w:p>
    <w:p>
      <w:pPr>
        <w:ind w:left="900" w:hanging="244"/>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$19.8 million decrease due to lower sales, principally in Western Europe.</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Operating Income/(loss)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decrease in 2013 operating income was principally due to the net effect of the following:</w:t>
      </w:r>
    </w:p>
    <w:p>
      <w:pPr>
        <w:spacing w:after="0" w:line="185"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Restructuring charges of $24.6 million in 2013 compared to $7.4 million in 2012.</w:t>
      </w:r>
    </w:p>
    <w:p>
      <w:pPr>
        <w:spacing w:after="0" w:line="211"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Lower gross profit, as described above.</w:t>
      </w:r>
    </w:p>
    <w:p>
      <w:pPr>
        <w:spacing w:after="0" w:line="211" w:lineRule="exact"/>
        <w:rPr>
          <w:rFonts w:ascii="Arial" w:cs="Arial" w:eastAsia="Arial" w:hAnsi="Arial"/>
          <w:sz w:val="18"/>
          <w:szCs w:val="18"/>
          <w:color w:val="auto"/>
        </w:rPr>
      </w:pPr>
    </w:p>
    <w:p>
      <w:pPr>
        <w:ind w:left="980" w:right="340" w:hanging="324"/>
        <w:spacing w:after="0" w:line="246"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Revaluation of nonfunctional currency assets and liabilities resulted in losses of $0.3 million in 2013 compared to $1.6 million in 2012.</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decrease in 2012 operating income was principally due to the net effect of the following:</w:t>
      </w:r>
    </w:p>
    <w:p>
      <w:pPr>
        <w:spacing w:after="0" w:line="171" w:lineRule="exact"/>
        <w:rPr>
          <w:sz w:val="20"/>
          <w:szCs w:val="20"/>
          <w:color w:val="auto"/>
        </w:rPr>
      </w:pPr>
    </w:p>
    <w:p>
      <w:pPr>
        <w:ind w:left="900" w:hanging="244"/>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Lower gross profit, as described above.</w:t>
      </w:r>
    </w:p>
    <w:p>
      <w:pPr>
        <w:spacing w:after="0" w:line="198" w:lineRule="exact"/>
        <w:rPr>
          <w:rFonts w:ascii="Arial" w:cs="Arial" w:eastAsia="Arial" w:hAnsi="Arial"/>
          <w:sz w:val="18"/>
          <w:szCs w:val="18"/>
          <w:color w:val="auto"/>
        </w:rPr>
      </w:pPr>
    </w:p>
    <w:p>
      <w:pPr>
        <w:ind w:left="900" w:right="480" w:hanging="244"/>
        <w:spacing w:after="0" w:line="246"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Revaluation of nonfunctional currency assets and liabilities resulted in losses of $1.6 million in 2012 compared to gains of $1.7 million in 2011.</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Engineered Composites Segment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Trends</w:t>
      </w:r>
    </w:p>
    <w:p>
      <w:pPr>
        <w:spacing w:after="0" w:line="198"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The Albany Engineered Composites segment (AEC), including Albany Safran Composites, LLC (ASC), in which our customer SAFRAN Group owns a 10 percent noncontrolling interest, provides custom-designed advanced composite structures based on proprietary technology to customers in the aerospace and defense industries. AEC’s largest current development program relates to the LEAP engine being developed by CFM International. Under this program, AEC, through ASC, is developing a family of composite parts, including fan blades, to be incorporated into the LEAP engine. In 2013, approximately 10 percent of this segment’s sales were related to U.S. government contracts or programs.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of Operations</w:t>
      </w:r>
    </w:p>
    <w:p>
      <w:pPr>
        <w:spacing w:after="0" w:line="185"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(in thousands, except percentages)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11430</wp:posOffset>
            </wp:positionV>
            <wp:extent cx="542861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428615" cy="8890"/>
                    </a:xfrm>
                    <a:prstGeom prst="rect">
                      <a:avLst/>
                    </a:prstGeom>
                    <a:noFill/>
                  </pic:spPr>
                </pic:pic>
              </a:graphicData>
            </a:graphic>
          </wp:anchor>
        </w:drawing>
      </w:r>
    </w:p>
    <w:p>
      <w:pPr>
        <w:spacing w:after="0" w:line="192" w:lineRule="exact"/>
        <w:rPr>
          <w:sz w:val="20"/>
          <w:szCs w:val="20"/>
          <w:color w:val="auto"/>
        </w:rPr>
      </w:pPr>
    </w:p>
    <w:tbl>
      <w:tblPr>
        <w:tblLayout w:type="fixed"/>
        <w:tblInd w:w="660" w:type="dxa"/>
        <w:tblCellMar>
          <w:top w:w="0" w:type="dxa"/>
          <w:left w:w="0" w:type="dxa"/>
          <w:bottom w:w="0" w:type="dxa"/>
          <w:right w:w="0" w:type="dxa"/>
        </w:tblCellMar>
      </w:tblPr>
      <w:tr>
        <w:trPr>
          <w:trHeight w:val="225"/>
        </w:trPr>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Years ended December 31,</w:t>
            </w:r>
          </w:p>
        </w:tc>
        <w:tc>
          <w:tcPr>
            <w:tcW w:w="25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11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2012</w:t>
            </w: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2011</w:t>
            </w:r>
          </w:p>
        </w:tc>
      </w:tr>
      <w:tr>
        <w:trPr>
          <w:trHeight w:val="173"/>
        </w:trPr>
        <w:tc>
          <w:tcPr>
            <w:tcW w:w="3840" w:type="dxa"/>
            <w:vAlign w:val="bottom"/>
          </w:tcPr>
          <w:p>
            <w:pPr>
              <w:spacing w:after="0" w:line="173" w:lineRule="exact"/>
              <w:rPr>
                <w:sz w:val="20"/>
                <w:szCs w:val="20"/>
                <w:color w:val="auto"/>
              </w:rPr>
            </w:pPr>
            <w:r>
              <w:rPr>
                <w:rFonts w:ascii="Arial" w:cs="Arial" w:eastAsia="Arial" w:hAnsi="Arial"/>
                <w:sz w:val="18"/>
                <w:szCs w:val="18"/>
                <w:color w:val="auto"/>
              </w:rPr>
              <w:t>Net sales</w:t>
            </w:r>
          </w:p>
        </w:tc>
        <w:tc>
          <w:tcPr>
            <w:tcW w:w="2540" w:type="dxa"/>
            <w:vAlign w:val="bottom"/>
          </w:tcPr>
          <w:p>
            <w:pPr>
              <w:jc w:val="right"/>
              <w:ind w:right="250"/>
              <w:spacing w:after="0" w:line="173" w:lineRule="exact"/>
              <w:rPr>
                <w:sz w:val="20"/>
                <w:szCs w:val="20"/>
                <w:color w:val="auto"/>
              </w:rPr>
            </w:pPr>
            <w:r>
              <w:rPr>
                <w:rFonts w:ascii="Arial" w:cs="Arial" w:eastAsia="Arial" w:hAnsi="Arial"/>
                <w:sz w:val="18"/>
                <w:szCs w:val="18"/>
                <w:b w:val="1"/>
                <w:bCs w:val="1"/>
                <w:color w:val="auto"/>
              </w:rPr>
              <w:t>$82,667</w:t>
            </w:r>
          </w:p>
        </w:tc>
        <w:tc>
          <w:tcPr>
            <w:tcW w:w="1180" w:type="dxa"/>
            <w:vAlign w:val="bottom"/>
          </w:tcPr>
          <w:p>
            <w:pPr>
              <w:jc w:val="right"/>
              <w:ind w:right="270"/>
              <w:spacing w:after="0" w:line="173" w:lineRule="exact"/>
              <w:rPr>
                <w:sz w:val="20"/>
                <w:szCs w:val="20"/>
                <w:color w:val="auto"/>
              </w:rPr>
            </w:pPr>
            <w:r>
              <w:rPr>
                <w:rFonts w:ascii="Arial" w:cs="Arial" w:eastAsia="Arial" w:hAnsi="Arial"/>
                <w:sz w:val="18"/>
                <w:szCs w:val="18"/>
                <w:color w:val="auto"/>
              </w:rPr>
              <w:t>$67,765</w:t>
            </w:r>
          </w:p>
        </w:tc>
        <w:tc>
          <w:tcPr>
            <w:tcW w:w="980" w:type="dxa"/>
            <w:vAlign w:val="bottom"/>
          </w:tcPr>
          <w:p>
            <w:pPr>
              <w:jc w:val="right"/>
              <w:ind w:right="70"/>
              <w:spacing w:after="0" w:line="173" w:lineRule="exact"/>
              <w:rPr>
                <w:sz w:val="20"/>
                <w:szCs w:val="20"/>
                <w:color w:val="auto"/>
              </w:rPr>
            </w:pPr>
            <w:r>
              <w:rPr>
                <w:rFonts w:ascii="Arial" w:cs="Arial" w:eastAsia="Arial" w:hAnsi="Arial"/>
                <w:sz w:val="18"/>
                <w:szCs w:val="18"/>
                <w:color w:val="auto"/>
              </w:rPr>
              <w:t>$48,076</w:t>
            </w:r>
          </w:p>
        </w:tc>
      </w:tr>
      <w:tr>
        <w:trPr>
          <w:trHeight w:val="203"/>
        </w:trPr>
        <w:tc>
          <w:tcPr>
            <w:tcW w:w="3840" w:type="dxa"/>
            <w:vAlign w:val="bottom"/>
          </w:tcPr>
          <w:p>
            <w:pPr>
              <w:spacing w:after="0" w:line="202" w:lineRule="exact"/>
              <w:rPr>
                <w:sz w:val="20"/>
                <w:szCs w:val="20"/>
                <w:color w:val="auto"/>
              </w:rPr>
            </w:pPr>
            <w:r>
              <w:rPr>
                <w:rFonts w:ascii="Arial" w:cs="Arial" w:eastAsia="Arial" w:hAnsi="Arial"/>
                <w:sz w:val="18"/>
                <w:szCs w:val="18"/>
                <w:color w:val="auto"/>
              </w:rPr>
              <w:t>% change from prior year</w:t>
            </w:r>
          </w:p>
        </w:tc>
        <w:tc>
          <w:tcPr>
            <w:tcW w:w="254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22.0%</w:t>
            </w:r>
          </w:p>
        </w:tc>
        <w:tc>
          <w:tcPr>
            <w:tcW w:w="11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41.0%</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14.8%</w:t>
            </w:r>
          </w:p>
        </w:tc>
      </w:tr>
      <w:tr>
        <w:trPr>
          <w:trHeight w:val="203"/>
        </w:trPr>
        <w:tc>
          <w:tcPr>
            <w:tcW w:w="3840" w:type="dxa"/>
            <w:vAlign w:val="bottom"/>
          </w:tcPr>
          <w:p>
            <w:pPr>
              <w:spacing w:after="0" w:line="202" w:lineRule="exact"/>
              <w:rPr>
                <w:sz w:val="20"/>
                <w:szCs w:val="20"/>
                <w:color w:val="auto"/>
              </w:rPr>
            </w:pPr>
            <w:r>
              <w:rPr>
                <w:rFonts w:ascii="Arial" w:cs="Arial" w:eastAsia="Arial" w:hAnsi="Arial"/>
                <w:sz w:val="18"/>
                <w:szCs w:val="18"/>
                <w:color w:val="auto"/>
              </w:rPr>
              <w:t>Gross profit</w:t>
            </w:r>
          </w:p>
        </w:tc>
        <w:tc>
          <w:tcPr>
            <w:tcW w:w="254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4,799</w:t>
            </w:r>
          </w:p>
        </w:tc>
        <w:tc>
          <w:tcPr>
            <w:tcW w:w="118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5,627</w:t>
            </w:r>
          </w:p>
        </w:tc>
        <w:tc>
          <w:tcPr>
            <w:tcW w:w="9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507</w:t>
            </w:r>
          </w:p>
        </w:tc>
      </w:tr>
      <w:tr>
        <w:trPr>
          <w:trHeight w:val="203"/>
        </w:trPr>
        <w:tc>
          <w:tcPr>
            <w:tcW w:w="3840" w:type="dxa"/>
            <w:vAlign w:val="bottom"/>
          </w:tcPr>
          <w:p>
            <w:pPr>
              <w:spacing w:after="0" w:line="202" w:lineRule="exact"/>
              <w:rPr>
                <w:sz w:val="20"/>
                <w:szCs w:val="20"/>
                <w:color w:val="auto"/>
              </w:rPr>
            </w:pPr>
            <w:r>
              <w:rPr>
                <w:rFonts w:ascii="Arial" w:cs="Arial" w:eastAsia="Arial" w:hAnsi="Arial"/>
                <w:sz w:val="18"/>
                <w:szCs w:val="18"/>
                <w:color w:val="auto"/>
              </w:rPr>
              <w:t>% of net sales</w:t>
            </w:r>
          </w:p>
        </w:tc>
        <w:tc>
          <w:tcPr>
            <w:tcW w:w="254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5.8%</w:t>
            </w:r>
          </w:p>
        </w:tc>
        <w:tc>
          <w:tcPr>
            <w:tcW w:w="11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8.3%</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r>
      <w:tr>
        <w:trPr>
          <w:trHeight w:val="225"/>
        </w:trPr>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income/(loss)</w:t>
            </w:r>
          </w:p>
        </w:tc>
        <w:tc>
          <w:tcPr>
            <w:tcW w:w="25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(2,974)</w:t>
            </w:r>
          </w:p>
        </w:tc>
        <w:tc>
          <w:tcPr>
            <w:tcW w:w="11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(840)</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(4,204)</w:t>
            </w:r>
          </w:p>
        </w:tc>
      </w:tr>
    </w:tbl>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93" w:lineRule="exact"/>
        <w:rPr>
          <w:sz w:val="20"/>
          <w:szCs w:val="20"/>
          <w:color w:val="auto"/>
        </w:rPr>
      </w:pPr>
    </w:p>
    <w:p>
      <w:pPr>
        <w:ind w:left="900" w:right="300" w:hanging="244"/>
        <w:spacing w:after="0" w:line="246"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increase in 2013 sales over 2012 was principally due to LEAP program activities. The majority of revenue recognized for the LEAP program was earned under a cost plus fixed fee arrangement.</w:t>
      </w:r>
    </w:p>
    <w:p>
      <w:pPr>
        <w:spacing w:after="0" w:line="156" w:lineRule="exact"/>
        <w:rPr>
          <w:rFonts w:ascii="Arial" w:cs="Arial" w:eastAsia="Arial" w:hAnsi="Arial"/>
          <w:sz w:val="18"/>
          <w:szCs w:val="18"/>
          <w:color w:val="auto"/>
        </w:rPr>
      </w:pPr>
    </w:p>
    <w:p>
      <w:pPr>
        <w:ind w:left="900" w:hanging="244"/>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increase in 2012 sales over 2011 was principally due to LEAP program activities.</w:t>
      </w:r>
    </w:p>
    <w:p>
      <w:pPr>
        <w:spacing w:after="0" w:line="198" w:lineRule="exact"/>
        <w:rPr>
          <w:rFonts w:ascii="Arial" w:cs="Arial" w:eastAsia="Arial" w:hAnsi="Arial"/>
          <w:sz w:val="18"/>
          <w:szCs w:val="18"/>
          <w:color w:val="auto"/>
        </w:rPr>
      </w:pPr>
    </w:p>
    <w:p>
      <w:pPr>
        <w:ind w:left="900" w:right="20" w:hanging="244"/>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AEC uses the percentage of completion method for long-term fixed price contracts. Revenue recognized for these contracts amounted to $10.4 million in 2013, $19.6 million in 2012, and $22.2 million in 2011. The decrease in 2013 reflects a lower amount of LEAP program revenue generated by fixed price contracts.</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Gross Profit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2013 vs. 2012</w:t>
      </w:r>
    </w:p>
    <w:p>
      <w:pPr>
        <w:spacing w:after="0" w:line="207" w:lineRule="exact"/>
        <w:rPr>
          <w:sz w:val="20"/>
          <w:szCs w:val="20"/>
          <w:color w:val="auto"/>
        </w:rPr>
      </w:pPr>
    </w:p>
    <w:p>
      <w:pPr>
        <w:ind w:left="900" w:right="40" w:hanging="244"/>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AEC gross profit for 2013 was negatively affected by inventory write-offs and lower profitability associated with legacy programs at the Company’s Boerne, Texas facility that resulted in gross profit losses of $2.3 million in 2013. Those losses were partially offset by increased revenue associated with the LEAP program.</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 vs. 2011</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increase in 2012 gross profit included the following:</w:t>
      </w:r>
    </w:p>
    <w:p>
      <w:pPr>
        <w:spacing w:after="0" w:line="185" w:lineRule="exact"/>
        <w:rPr>
          <w:sz w:val="20"/>
          <w:szCs w:val="20"/>
          <w:color w:val="auto"/>
        </w:rPr>
      </w:pPr>
    </w:p>
    <w:p>
      <w:pPr>
        <w:ind w:left="900" w:hanging="244"/>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$4.2 million increase due to higher sales related to the LEAP program.</w:t>
      </w:r>
    </w:p>
    <w:p>
      <w:pPr>
        <w:spacing w:after="0" w:line="184" w:lineRule="exact"/>
        <w:rPr>
          <w:rFonts w:ascii="Arial" w:cs="Arial" w:eastAsia="Arial" w:hAnsi="Arial"/>
          <w:sz w:val="18"/>
          <w:szCs w:val="18"/>
          <w:color w:val="auto"/>
        </w:rPr>
      </w:pPr>
    </w:p>
    <w:p>
      <w:pPr>
        <w:ind w:left="900" w:hanging="244"/>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Ongoing improvements in the manufacturing processes also contributed to an increase in gross profit.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contracts</w:t>
      </w:r>
    </w:p>
    <w:p>
      <w:pPr>
        <w:spacing w:after="0" w:line="207" w:lineRule="exact"/>
        <w:rPr>
          <w:sz w:val="20"/>
          <w:szCs w:val="20"/>
          <w:color w:val="auto"/>
        </w:rPr>
      </w:pPr>
    </w:p>
    <w:p>
      <w:pPr>
        <w:ind w:left="660" w:right="80"/>
        <w:spacing w:after="0" w:line="238" w:lineRule="auto"/>
        <w:rPr>
          <w:sz w:val="20"/>
          <w:szCs w:val="20"/>
          <w:color w:val="auto"/>
        </w:rPr>
      </w:pPr>
      <w:r>
        <w:rPr>
          <w:rFonts w:ascii="Arial" w:cs="Arial" w:eastAsia="Arial" w:hAnsi="Arial"/>
          <w:sz w:val="18"/>
          <w:szCs w:val="18"/>
          <w:color w:val="auto"/>
        </w:rPr>
        <w:t>In the accounting for long-term fixed price contracts, we estimate the profit margin expected at the completion of the contract and recognize a pro-rata share of that profit during the course of the contract using a cost-to-cost or units of delivery approach. Changes in estimated contract profitability will affect revenue and gross profit when the change occurs, which could have a significant favorable or unfavorable effect on revenue and gross profit in any reporting period. The table below provides a summary of long-term contracts that were in process at the end of each year.</w:t>
      </w:r>
    </w:p>
    <w:p>
      <w:pPr>
        <w:spacing w:after="0" w:line="140" w:lineRule="exact"/>
        <w:rPr>
          <w:sz w:val="20"/>
          <w:szCs w:val="20"/>
          <w:color w:val="auto"/>
        </w:rPr>
      </w:pPr>
    </w:p>
    <w:tbl>
      <w:tblPr>
        <w:tblLayout w:type="fixed"/>
        <w:tblInd w:w="660" w:type="dxa"/>
        <w:tblCellMar>
          <w:top w:w="0" w:type="dxa"/>
          <w:left w:w="0" w:type="dxa"/>
          <w:bottom w:w="0" w:type="dxa"/>
          <w:right w:w="0" w:type="dxa"/>
        </w:tblCellMar>
      </w:tblPr>
      <w:tr>
        <w:trPr>
          <w:trHeight w:val="225"/>
        </w:trPr>
        <w:tc>
          <w:tcPr>
            <w:tcW w:w="41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(in thousands)</w:t>
            </w:r>
          </w:p>
        </w:tc>
        <w:tc>
          <w:tcPr>
            <w:tcW w:w="1500" w:type="dxa"/>
            <w:vAlign w:val="bottom"/>
            <w:tcBorders>
              <w:bottom w:val="single" w:sz="8" w:color="auto"/>
            </w:tcBorders>
          </w:tcPr>
          <w:p>
            <w:pPr>
              <w:spacing w:after="0"/>
              <w:rPr>
                <w:sz w:val="19"/>
                <w:szCs w:val="19"/>
                <w:color w:val="auto"/>
              </w:rPr>
            </w:pPr>
          </w:p>
        </w:tc>
      </w:tr>
      <w:tr>
        <w:trPr>
          <w:trHeight w:val="196"/>
        </w:trPr>
        <w:tc>
          <w:tcPr>
            <w:tcW w:w="41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r>
      <w:tr>
        <w:trPr>
          <w:trHeight w:val="399"/>
        </w:trPr>
        <w:tc>
          <w:tcPr>
            <w:tcW w:w="4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As of December 31,</w:t>
            </w:r>
          </w:p>
        </w:tc>
        <w:tc>
          <w:tcPr>
            <w:tcW w:w="17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2013</w:t>
            </w:r>
          </w:p>
        </w:tc>
        <w:tc>
          <w:tcPr>
            <w:tcW w:w="176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2012</w:t>
            </w:r>
          </w:p>
        </w:tc>
        <w:tc>
          <w:tcPr>
            <w:tcW w:w="150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2011</w:t>
            </w:r>
          </w:p>
        </w:tc>
      </w:tr>
      <w:tr>
        <w:trPr>
          <w:trHeight w:val="173"/>
        </w:trPr>
        <w:tc>
          <w:tcPr>
            <w:tcW w:w="4140" w:type="dxa"/>
            <w:vAlign w:val="bottom"/>
          </w:tcPr>
          <w:p>
            <w:pPr>
              <w:spacing w:after="0" w:line="173" w:lineRule="exact"/>
              <w:rPr>
                <w:sz w:val="20"/>
                <w:szCs w:val="20"/>
                <w:color w:val="auto"/>
              </w:rPr>
            </w:pPr>
            <w:r>
              <w:rPr>
                <w:rFonts w:ascii="Arial" w:cs="Arial" w:eastAsia="Arial" w:hAnsi="Arial"/>
                <w:sz w:val="18"/>
                <w:szCs w:val="18"/>
                <w:color w:val="auto"/>
              </w:rPr>
              <w:t>Total value of contracts in process</w:t>
            </w:r>
          </w:p>
        </w:tc>
        <w:tc>
          <w:tcPr>
            <w:tcW w:w="1720" w:type="dxa"/>
            <w:vAlign w:val="bottom"/>
          </w:tcPr>
          <w:p>
            <w:pPr>
              <w:jc w:val="right"/>
              <w:ind w:right="110"/>
              <w:spacing w:after="0" w:line="173" w:lineRule="exact"/>
              <w:rPr>
                <w:sz w:val="20"/>
                <w:szCs w:val="20"/>
                <w:color w:val="auto"/>
              </w:rPr>
            </w:pPr>
            <w:r>
              <w:rPr>
                <w:rFonts w:ascii="Arial" w:cs="Arial" w:eastAsia="Arial" w:hAnsi="Arial"/>
                <w:sz w:val="18"/>
                <w:szCs w:val="18"/>
                <w:b w:val="1"/>
                <w:bCs w:val="1"/>
                <w:color w:val="auto"/>
              </w:rPr>
              <w:t>$9,690</w:t>
            </w:r>
          </w:p>
        </w:tc>
        <w:tc>
          <w:tcPr>
            <w:tcW w:w="1760" w:type="dxa"/>
            <w:vAlign w:val="bottom"/>
          </w:tcPr>
          <w:p>
            <w:pPr>
              <w:jc w:val="right"/>
              <w:ind w:right="330"/>
              <w:spacing w:after="0" w:line="173" w:lineRule="exact"/>
              <w:rPr>
                <w:sz w:val="20"/>
                <w:szCs w:val="20"/>
                <w:color w:val="auto"/>
              </w:rPr>
            </w:pPr>
            <w:r>
              <w:rPr>
                <w:rFonts w:ascii="Arial" w:cs="Arial" w:eastAsia="Arial" w:hAnsi="Arial"/>
                <w:sz w:val="18"/>
                <w:szCs w:val="18"/>
                <w:color w:val="auto"/>
              </w:rPr>
              <w:t>$37,937</w:t>
            </w:r>
          </w:p>
        </w:tc>
        <w:tc>
          <w:tcPr>
            <w:tcW w:w="1500" w:type="dxa"/>
            <w:vAlign w:val="bottom"/>
          </w:tcPr>
          <w:p>
            <w:pPr>
              <w:jc w:val="right"/>
              <w:ind w:right="270"/>
              <w:spacing w:after="0" w:line="173" w:lineRule="exact"/>
              <w:rPr>
                <w:sz w:val="20"/>
                <w:szCs w:val="20"/>
                <w:color w:val="auto"/>
              </w:rPr>
            </w:pPr>
            <w:r>
              <w:rPr>
                <w:rFonts w:ascii="Arial" w:cs="Arial" w:eastAsia="Arial" w:hAnsi="Arial"/>
                <w:sz w:val="18"/>
                <w:szCs w:val="18"/>
                <w:color w:val="auto"/>
              </w:rPr>
              <w:t>$37,127</w:t>
            </w:r>
          </w:p>
        </w:tc>
      </w:tr>
      <w:tr>
        <w:trPr>
          <w:trHeight w:val="203"/>
        </w:trPr>
        <w:tc>
          <w:tcPr>
            <w:tcW w:w="4140" w:type="dxa"/>
            <w:vAlign w:val="bottom"/>
          </w:tcPr>
          <w:p>
            <w:pPr>
              <w:spacing w:after="0" w:line="202" w:lineRule="exact"/>
              <w:rPr>
                <w:sz w:val="20"/>
                <w:szCs w:val="20"/>
                <w:color w:val="auto"/>
              </w:rPr>
            </w:pPr>
            <w:r>
              <w:rPr>
                <w:rFonts w:ascii="Arial" w:cs="Arial" w:eastAsia="Arial" w:hAnsi="Arial"/>
                <w:sz w:val="18"/>
                <w:szCs w:val="18"/>
                <w:color w:val="auto"/>
              </w:rPr>
              <w:t>Revenue recognized to date</w:t>
            </w:r>
          </w:p>
        </w:tc>
        <w:tc>
          <w:tcPr>
            <w:tcW w:w="172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7,776</w:t>
            </w:r>
          </w:p>
        </w:tc>
        <w:tc>
          <w:tcPr>
            <w:tcW w:w="176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26,319</w:t>
            </w:r>
          </w:p>
        </w:tc>
        <w:tc>
          <w:tcPr>
            <w:tcW w:w="150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18,456</w:t>
            </w:r>
          </w:p>
        </w:tc>
      </w:tr>
      <w:tr>
        <w:trPr>
          <w:trHeight w:val="225"/>
        </w:trPr>
        <w:tc>
          <w:tcPr>
            <w:tcW w:w="4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Revenue to be recognized in future periods</w:t>
            </w:r>
          </w:p>
        </w:tc>
        <w:tc>
          <w:tcPr>
            <w:tcW w:w="17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1,914</w:t>
            </w:r>
          </w:p>
        </w:tc>
        <w:tc>
          <w:tcPr>
            <w:tcW w:w="17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11,618</w:t>
            </w:r>
          </w:p>
        </w:tc>
        <w:tc>
          <w:tcPr>
            <w:tcW w:w="15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18,671</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Income/(loss)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2013 operating income/(loss) decreased principally due to the decrease in gross profit as described above.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2012 operating income/(loss) improved principally due to the increase in gross profit as described above.</w:t>
      </w: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9"/>
        </w:trPr>
        <w:tc>
          <w:tcPr>
            <w:tcW w:w="5620" w:type="dxa"/>
            <w:vAlign w:val="bottom"/>
            <w:gridSpan w:val="3"/>
          </w:tcPr>
          <w:p>
            <w:pPr>
              <w:spacing w:after="0"/>
              <w:rPr>
                <w:sz w:val="20"/>
                <w:szCs w:val="20"/>
                <w:color w:val="auto"/>
              </w:rPr>
            </w:pPr>
            <w:r>
              <w:rPr>
                <w:rFonts w:ascii="Arial" w:cs="Arial" w:eastAsia="Arial" w:hAnsi="Arial"/>
                <w:sz w:val="18"/>
                <w:szCs w:val="18"/>
                <w:b w:val="1"/>
                <w:bCs w:val="1"/>
                <w:color w:val="auto"/>
              </w:rPr>
              <w:t>Liquidity and Capital Resources</w:t>
            </w:r>
          </w:p>
        </w:tc>
        <w:tc>
          <w:tcPr>
            <w:tcW w:w="18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5620" w:type="dxa"/>
            <w:vAlign w:val="bottom"/>
            <w:gridSpan w:val="3"/>
          </w:tcPr>
          <w:p>
            <w:pPr>
              <w:spacing w:after="0"/>
              <w:rPr>
                <w:sz w:val="20"/>
                <w:szCs w:val="20"/>
                <w:color w:val="auto"/>
              </w:rPr>
            </w:pPr>
            <w:r>
              <w:rPr>
                <w:rFonts w:ascii="Arial" w:cs="Arial" w:eastAsia="Arial" w:hAnsi="Arial"/>
                <w:sz w:val="18"/>
                <w:szCs w:val="18"/>
                <w:b w:val="1"/>
                <w:bCs w:val="1"/>
                <w:color w:val="auto"/>
              </w:rPr>
              <w:t>Cash Flow Summary</w:t>
            </w:r>
          </w:p>
        </w:tc>
        <w:tc>
          <w:tcPr>
            <w:tcW w:w="18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40" w:type="dxa"/>
            <w:vAlign w:val="bottom"/>
          </w:tcPr>
          <w:p>
            <w:pPr>
              <w:jc w:val="right"/>
              <w:ind w:right="430"/>
              <w:spacing w:after="0"/>
              <w:rPr>
                <w:sz w:val="20"/>
                <w:szCs w:val="20"/>
                <w:color w:val="auto"/>
              </w:rPr>
            </w:pPr>
            <w:r>
              <w:rPr>
                <w:rFonts w:ascii="Arial" w:cs="Arial" w:eastAsia="Arial" w:hAnsi="Arial"/>
                <w:sz w:val="18"/>
                <w:szCs w:val="18"/>
                <w:b w:val="1"/>
                <w:bCs w:val="1"/>
                <w:color w:val="auto"/>
              </w:rPr>
              <w:t>(in thousands)</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660" w:type="dxa"/>
            <w:vAlign w:val="bottom"/>
          </w:tcPr>
          <w:p>
            <w:pPr>
              <w:spacing w:after="0"/>
              <w:rPr>
                <w:sz w:val="19"/>
                <w:szCs w:val="19"/>
                <w:color w:val="auto"/>
              </w:rPr>
            </w:pPr>
          </w:p>
        </w:tc>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For the years ended December 31,</w:t>
            </w:r>
          </w:p>
        </w:tc>
        <w:tc>
          <w:tcPr>
            <w:tcW w:w="18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2013</w:t>
            </w:r>
          </w:p>
        </w:tc>
        <w:tc>
          <w:tcPr>
            <w:tcW w:w="20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2012</w:t>
            </w:r>
          </w:p>
        </w:tc>
        <w:tc>
          <w:tcPr>
            <w:tcW w:w="13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173"/>
        </w:trPr>
        <w:tc>
          <w:tcPr>
            <w:tcW w:w="660" w:type="dxa"/>
            <w:vAlign w:val="bottom"/>
          </w:tcPr>
          <w:p>
            <w:pPr>
              <w:spacing w:after="0"/>
              <w:rPr>
                <w:sz w:val="15"/>
                <w:szCs w:val="15"/>
                <w:color w:val="auto"/>
              </w:rPr>
            </w:pPr>
          </w:p>
        </w:tc>
        <w:tc>
          <w:tcPr>
            <w:tcW w:w="4960" w:type="dxa"/>
            <w:vAlign w:val="bottom"/>
            <w:gridSpan w:val="2"/>
          </w:tcPr>
          <w:p>
            <w:pPr>
              <w:spacing w:after="0" w:line="173" w:lineRule="exact"/>
              <w:rPr>
                <w:sz w:val="20"/>
                <w:szCs w:val="20"/>
                <w:color w:val="auto"/>
              </w:rPr>
            </w:pPr>
            <w:r>
              <w:rPr>
                <w:rFonts w:ascii="Arial" w:cs="Arial" w:eastAsia="Arial" w:hAnsi="Arial"/>
                <w:sz w:val="18"/>
                <w:szCs w:val="18"/>
                <w:color w:val="auto"/>
              </w:rPr>
              <w:t>Net income</w:t>
            </w:r>
          </w:p>
        </w:tc>
        <w:tc>
          <w:tcPr>
            <w:tcW w:w="1800" w:type="dxa"/>
            <w:vAlign w:val="bottom"/>
          </w:tcPr>
          <w:p>
            <w:pPr>
              <w:jc w:val="right"/>
              <w:ind w:right="250"/>
              <w:spacing w:after="0" w:line="173" w:lineRule="exact"/>
              <w:rPr>
                <w:sz w:val="20"/>
                <w:szCs w:val="20"/>
                <w:color w:val="auto"/>
              </w:rPr>
            </w:pPr>
            <w:r>
              <w:rPr>
                <w:rFonts w:ascii="Arial" w:cs="Arial" w:eastAsia="Arial" w:hAnsi="Arial"/>
                <w:sz w:val="18"/>
                <w:szCs w:val="18"/>
                <w:b w:val="1"/>
                <w:bCs w:val="1"/>
                <w:color w:val="auto"/>
              </w:rPr>
              <w:t>$17,658</w:t>
            </w:r>
          </w:p>
        </w:tc>
        <w:tc>
          <w:tcPr>
            <w:tcW w:w="2040" w:type="dxa"/>
            <w:vAlign w:val="bottom"/>
          </w:tcPr>
          <w:p>
            <w:pPr>
              <w:jc w:val="right"/>
              <w:ind w:right="470"/>
              <w:spacing w:after="0" w:line="173" w:lineRule="exact"/>
              <w:rPr>
                <w:sz w:val="20"/>
                <w:szCs w:val="20"/>
                <w:color w:val="auto"/>
              </w:rPr>
            </w:pPr>
            <w:r>
              <w:rPr>
                <w:rFonts w:ascii="Arial" w:cs="Arial" w:eastAsia="Arial" w:hAnsi="Arial"/>
                <w:sz w:val="18"/>
                <w:szCs w:val="18"/>
                <w:color w:val="auto"/>
              </w:rPr>
              <w:t>$30,977</w:t>
            </w:r>
          </w:p>
        </w:tc>
        <w:tc>
          <w:tcPr>
            <w:tcW w:w="1360" w:type="dxa"/>
            <w:vAlign w:val="bottom"/>
          </w:tcPr>
          <w:p>
            <w:pPr>
              <w:jc w:val="right"/>
              <w:ind w:right="10"/>
              <w:spacing w:after="0" w:line="173" w:lineRule="exact"/>
              <w:rPr>
                <w:sz w:val="20"/>
                <w:szCs w:val="20"/>
                <w:color w:val="auto"/>
              </w:rPr>
            </w:pPr>
            <w:r>
              <w:rPr>
                <w:rFonts w:ascii="Arial" w:cs="Arial" w:eastAsia="Arial" w:hAnsi="Arial"/>
                <w:sz w:val="18"/>
                <w:szCs w:val="18"/>
                <w:color w:val="auto"/>
              </w:rPr>
              <w:t>$34,938</w:t>
            </w: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40" w:type="dxa"/>
            <w:vAlign w:val="bottom"/>
          </w:tcPr>
          <w:p>
            <w:pPr>
              <w:ind w:left="180"/>
              <w:spacing w:after="0" w:line="202" w:lineRule="exact"/>
              <w:rPr>
                <w:sz w:val="20"/>
                <w:szCs w:val="20"/>
                <w:color w:val="auto"/>
              </w:rPr>
            </w:pPr>
            <w:r>
              <w:rPr>
                <w:rFonts w:ascii="Arial" w:cs="Arial" w:eastAsia="Arial" w:hAnsi="Arial"/>
                <w:sz w:val="18"/>
                <w:szCs w:val="18"/>
                <w:color w:val="auto"/>
              </w:rPr>
              <w:t>Depreciation and amortization</w:t>
            </w:r>
          </w:p>
        </w:tc>
        <w:tc>
          <w:tcPr>
            <w:tcW w:w="180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63,789</w:t>
            </w:r>
          </w:p>
        </w:tc>
        <w:tc>
          <w:tcPr>
            <w:tcW w:w="204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63,235</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66,385</w:t>
            </w: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40" w:type="dxa"/>
            <w:vAlign w:val="bottom"/>
          </w:tcPr>
          <w:p>
            <w:pPr>
              <w:ind w:left="180"/>
              <w:spacing w:after="0" w:line="202" w:lineRule="exact"/>
              <w:rPr>
                <w:sz w:val="20"/>
                <w:szCs w:val="20"/>
                <w:color w:val="auto"/>
              </w:rPr>
            </w:pPr>
            <w:r>
              <w:rPr>
                <w:rFonts w:ascii="Arial" w:cs="Arial" w:eastAsia="Arial" w:hAnsi="Arial"/>
                <w:sz w:val="18"/>
                <w:szCs w:val="18"/>
                <w:color w:val="auto"/>
              </w:rPr>
              <w:t>Changes in working capital</w:t>
            </w:r>
          </w:p>
        </w:tc>
        <w:tc>
          <w:tcPr>
            <w:tcW w:w="180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(1,511)</w:t>
            </w:r>
          </w:p>
        </w:tc>
        <w:tc>
          <w:tcPr>
            <w:tcW w:w="204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34,085</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r>
        <w:trPr>
          <w:trHeight w:val="225"/>
        </w:trPr>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40" w:type="dxa"/>
            <w:vAlign w:val="bottom"/>
          </w:tcPr>
          <w:p>
            <w:pPr>
              <w:ind w:left="180"/>
              <w:spacing w:after="0"/>
              <w:rPr>
                <w:sz w:val="20"/>
                <w:szCs w:val="20"/>
                <w:color w:val="auto"/>
              </w:rPr>
            </w:pPr>
            <w:r>
              <w:rPr>
                <w:rFonts w:ascii="Arial" w:cs="Arial" w:eastAsia="Arial" w:hAnsi="Arial"/>
                <w:sz w:val="18"/>
                <w:szCs w:val="18"/>
                <w:color w:val="auto"/>
              </w:rPr>
              <w:t>Gain on disposition of assets</w:t>
            </w:r>
          </w:p>
        </w:tc>
        <w:tc>
          <w:tcPr>
            <w:tcW w:w="1800" w:type="dxa"/>
            <w:vAlign w:val="bottom"/>
          </w:tcPr>
          <w:p>
            <w:pPr>
              <w:jc w:val="right"/>
              <w:ind w:right="190"/>
              <w:spacing w:after="0"/>
              <w:rPr>
                <w:sz w:val="20"/>
                <w:szCs w:val="20"/>
                <w:color w:val="auto"/>
              </w:rPr>
            </w:pPr>
            <w:r>
              <w:rPr>
                <w:rFonts w:ascii="Arial" w:cs="Arial" w:eastAsia="Arial" w:hAnsi="Arial"/>
                <w:sz w:val="18"/>
                <w:szCs w:val="18"/>
                <w:b w:val="1"/>
                <w:bCs w:val="1"/>
                <w:color w:val="auto"/>
              </w:rPr>
              <w:t>(3,763)</w:t>
            </w:r>
          </w:p>
        </w:tc>
        <w:tc>
          <w:tcPr>
            <w:tcW w:w="2040" w:type="dxa"/>
            <w:vAlign w:val="bottom"/>
          </w:tcPr>
          <w:p>
            <w:pPr>
              <w:jc w:val="right"/>
              <w:ind w:right="410"/>
              <w:spacing w:after="0"/>
              <w:rPr>
                <w:sz w:val="20"/>
                <w:szCs w:val="20"/>
                <w:color w:val="auto"/>
              </w:rPr>
            </w:pPr>
            <w:r>
              <w:rPr>
                <w:rFonts w:ascii="Arial" w:cs="Arial" w:eastAsia="Arial" w:hAnsi="Arial"/>
                <w:sz w:val="18"/>
                <w:szCs w:val="18"/>
                <w:color w:val="auto"/>
              </w:rPr>
              <w:t>(92,457)</w:t>
            </w:r>
          </w:p>
        </w:tc>
        <w:tc>
          <w:tcPr>
            <w:tcW w:w="1360" w:type="dxa"/>
            <w:vAlign w:val="bottom"/>
          </w:tcPr>
          <w:p>
            <w:pPr>
              <w:jc w:val="right"/>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40" w:type="dxa"/>
            <w:vAlign w:val="bottom"/>
          </w:tcPr>
          <w:p>
            <w:pPr>
              <w:ind w:left="180"/>
              <w:spacing w:after="0" w:line="202" w:lineRule="exact"/>
              <w:rPr>
                <w:sz w:val="20"/>
                <w:szCs w:val="20"/>
                <w:color w:val="auto"/>
              </w:rPr>
            </w:pPr>
            <w:r>
              <w:rPr>
                <w:rFonts w:ascii="Arial" w:cs="Arial" w:eastAsia="Arial" w:hAnsi="Arial"/>
                <w:sz w:val="18"/>
                <w:szCs w:val="18"/>
                <w:color w:val="auto"/>
              </w:rPr>
              <w:t>Changes in long-term liabilities, deferred taxes and</w:t>
            </w:r>
          </w:p>
        </w:tc>
        <w:tc>
          <w:tcPr>
            <w:tcW w:w="180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(12,261)</w:t>
            </w:r>
          </w:p>
        </w:tc>
        <w:tc>
          <w:tcPr>
            <w:tcW w:w="20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40" w:type="dxa"/>
            <w:vAlign w:val="bottom"/>
          </w:tcPr>
          <w:p>
            <w:pPr>
              <w:ind w:left="300"/>
              <w:spacing w:after="0" w:line="181" w:lineRule="exact"/>
              <w:rPr>
                <w:sz w:val="20"/>
                <w:szCs w:val="20"/>
                <w:color w:val="auto"/>
              </w:rPr>
            </w:pPr>
            <w:r>
              <w:rPr>
                <w:rFonts w:ascii="Arial" w:cs="Arial" w:eastAsia="Arial" w:hAnsi="Arial"/>
                <w:sz w:val="18"/>
                <w:szCs w:val="18"/>
                <w:color w:val="auto"/>
              </w:rPr>
              <w:t>other credits</w:t>
            </w:r>
          </w:p>
        </w:tc>
        <w:tc>
          <w:tcPr>
            <w:tcW w:w="1800" w:type="dxa"/>
            <w:vAlign w:val="bottom"/>
            <w:vMerge w:val="continue"/>
          </w:tcPr>
          <w:p>
            <w:pPr>
              <w:spacing w:after="0"/>
              <w:rPr>
                <w:sz w:val="15"/>
                <w:szCs w:val="15"/>
                <w:color w:val="auto"/>
              </w:rPr>
            </w:pPr>
          </w:p>
        </w:tc>
        <w:tc>
          <w:tcPr>
            <w:tcW w:w="2040" w:type="dxa"/>
            <w:vAlign w:val="bottom"/>
          </w:tcPr>
          <w:p>
            <w:pPr>
              <w:jc w:val="right"/>
              <w:ind w:right="410"/>
              <w:spacing w:after="0" w:line="181" w:lineRule="exact"/>
              <w:rPr>
                <w:sz w:val="20"/>
                <w:szCs w:val="20"/>
                <w:color w:val="auto"/>
              </w:rPr>
            </w:pPr>
            <w:r>
              <w:rPr>
                <w:rFonts w:ascii="Arial" w:cs="Arial" w:eastAsia="Arial" w:hAnsi="Arial"/>
                <w:sz w:val="18"/>
                <w:szCs w:val="18"/>
                <w:color w:val="auto"/>
              </w:rPr>
              <w:t>(123,887)</w:t>
            </w:r>
          </w:p>
        </w:tc>
        <w:tc>
          <w:tcPr>
            <w:tcW w:w="1360" w:type="dxa"/>
            <w:vAlign w:val="bottom"/>
          </w:tcPr>
          <w:p>
            <w:pPr>
              <w:jc w:val="right"/>
              <w:ind w:right="10"/>
              <w:spacing w:after="0" w:line="181" w:lineRule="exact"/>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40" w:type="dxa"/>
            <w:vAlign w:val="bottom"/>
          </w:tcPr>
          <w:p>
            <w:pPr>
              <w:ind w:left="180"/>
              <w:spacing w:after="0" w:line="202" w:lineRule="exact"/>
              <w:rPr>
                <w:sz w:val="20"/>
                <w:szCs w:val="20"/>
                <w:color w:val="auto"/>
              </w:rPr>
            </w:pPr>
            <w:r>
              <w:rPr>
                <w:rFonts w:ascii="Arial" w:cs="Arial" w:eastAsia="Arial" w:hAnsi="Arial"/>
                <w:sz w:val="18"/>
                <w:szCs w:val="18"/>
                <w:color w:val="auto"/>
              </w:rPr>
              <w:t>Write-off of pension liability adjustment</w:t>
            </w:r>
          </w:p>
        </w:tc>
        <w:tc>
          <w:tcPr>
            <w:tcW w:w="180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w:t>
            </w:r>
          </w:p>
        </w:tc>
        <w:tc>
          <w:tcPr>
            <w:tcW w:w="204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118,350</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Other operating items</w:t>
            </w:r>
          </w:p>
        </w:tc>
        <w:tc>
          <w:tcPr>
            <w:tcW w:w="1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(1,281)</w:t>
            </w:r>
          </w:p>
        </w:tc>
        <w:tc>
          <w:tcPr>
            <w:tcW w:w="20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4,204</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5,817</w:t>
            </w:r>
          </w:p>
        </w:tc>
        <w:tc>
          <w:tcPr>
            <w:tcW w:w="0" w:type="dxa"/>
            <w:vAlign w:val="bottom"/>
          </w:tcPr>
          <w:p>
            <w:pPr>
              <w:spacing w:after="0"/>
              <w:rPr>
                <w:sz w:val="1"/>
                <w:szCs w:val="1"/>
                <w:color w:val="auto"/>
              </w:rPr>
            </w:pPr>
          </w:p>
        </w:tc>
      </w:tr>
      <w:tr>
        <w:trPr>
          <w:trHeight w:val="173"/>
        </w:trPr>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40" w:type="dxa"/>
            <w:vAlign w:val="bottom"/>
          </w:tcPr>
          <w:p>
            <w:pPr>
              <w:spacing w:after="0" w:line="173" w:lineRule="exact"/>
              <w:rPr>
                <w:sz w:val="20"/>
                <w:szCs w:val="20"/>
                <w:color w:val="auto"/>
              </w:rPr>
            </w:pPr>
            <w:r>
              <w:rPr>
                <w:rFonts w:ascii="Arial" w:cs="Arial" w:eastAsia="Arial" w:hAnsi="Arial"/>
                <w:sz w:val="18"/>
                <w:szCs w:val="18"/>
                <w:color w:val="auto"/>
              </w:rPr>
              <w:t>Net cash provided by operating activities</w:t>
            </w:r>
          </w:p>
        </w:tc>
        <w:tc>
          <w:tcPr>
            <w:tcW w:w="1800" w:type="dxa"/>
            <w:vAlign w:val="bottom"/>
          </w:tcPr>
          <w:p>
            <w:pPr>
              <w:jc w:val="right"/>
              <w:ind w:right="250"/>
              <w:spacing w:after="0" w:line="173" w:lineRule="exact"/>
              <w:rPr>
                <w:sz w:val="20"/>
                <w:szCs w:val="20"/>
                <w:color w:val="auto"/>
              </w:rPr>
            </w:pPr>
            <w:r>
              <w:rPr>
                <w:rFonts w:ascii="Arial" w:cs="Arial" w:eastAsia="Arial" w:hAnsi="Arial"/>
                <w:sz w:val="18"/>
                <w:szCs w:val="18"/>
                <w:b w:val="1"/>
                <w:bCs w:val="1"/>
                <w:color w:val="auto"/>
              </w:rPr>
              <w:t>62,631</w:t>
            </w:r>
          </w:p>
        </w:tc>
        <w:tc>
          <w:tcPr>
            <w:tcW w:w="2040" w:type="dxa"/>
            <w:vAlign w:val="bottom"/>
          </w:tcPr>
          <w:p>
            <w:pPr>
              <w:jc w:val="right"/>
              <w:ind w:right="470"/>
              <w:spacing w:after="0" w:line="173" w:lineRule="exact"/>
              <w:rPr>
                <w:sz w:val="20"/>
                <w:szCs w:val="20"/>
                <w:color w:val="auto"/>
              </w:rPr>
            </w:pPr>
            <w:r>
              <w:rPr>
                <w:rFonts w:ascii="Arial" w:cs="Arial" w:eastAsia="Arial" w:hAnsi="Arial"/>
                <w:sz w:val="18"/>
                <w:szCs w:val="18"/>
                <w:color w:val="auto"/>
              </w:rPr>
              <w:t>34,507</w:t>
            </w:r>
          </w:p>
        </w:tc>
        <w:tc>
          <w:tcPr>
            <w:tcW w:w="1360" w:type="dxa"/>
            <w:vAlign w:val="bottom"/>
          </w:tcPr>
          <w:p>
            <w:pPr>
              <w:jc w:val="right"/>
              <w:ind w:right="10"/>
              <w:spacing w:after="0" w:line="173" w:lineRule="exact"/>
              <w:rPr>
                <w:sz w:val="20"/>
                <w:szCs w:val="20"/>
                <w:color w:val="auto"/>
              </w:rPr>
            </w:pPr>
            <w:r>
              <w:rPr>
                <w:rFonts w:ascii="Arial" w:cs="Arial" w:eastAsia="Arial" w:hAnsi="Arial"/>
                <w:sz w:val="18"/>
                <w:szCs w:val="18"/>
                <w:color w:val="auto"/>
              </w:rPr>
              <w:t>105,269</w:t>
            </w: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4960" w:type="dxa"/>
            <w:vAlign w:val="bottom"/>
            <w:gridSpan w:val="2"/>
          </w:tcPr>
          <w:p>
            <w:pPr>
              <w:spacing w:after="0" w:line="202" w:lineRule="exact"/>
              <w:rPr>
                <w:sz w:val="20"/>
                <w:szCs w:val="20"/>
                <w:color w:val="auto"/>
              </w:rPr>
            </w:pPr>
            <w:r>
              <w:rPr>
                <w:rFonts w:ascii="Arial" w:cs="Arial" w:eastAsia="Arial" w:hAnsi="Arial"/>
                <w:sz w:val="18"/>
                <w:szCs w:val="18"/>
                <w:color w:val="auto"/>
              </w:rPr>
              <w:t>Net cash provided by/(used in) investing activities</w:t>
            </w:r>
          </w:p>
        </w:tc>
        <w:tc>
          <w:tcPr>
            <w:tcW w:w="180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(41,392)</w:t>
            </w:r>
          </w:p>
        </w:tc>
        <w:tc>
          <w:tcPr>
            <w:tcW w:w="204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113,447</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(25,820)</w:t>
            </w: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4960" w:type="dxa"/>
            <w:vAlign w:val="bottom"/>
            <w:gridSpan w:val="2"/>
          </w:tcPr>
          <w:p>
            <w:pPr>
              <w:spacing w:after="0" w:line="202" w:lineRule="exact"/>
              <w:rPr>
                <w:sz w:val="20"/>
                <w:szCs w:val="20"/>
                <w:color w:val="auto"/>
              </w:rPr>
            </w:pPr>
            <w:r>
              <w:rPr>
                <w:rFonts w:ascii="Arial" w:cs="Arial" w:eastAsia="Arial" w:hAnsi="Arial"/>
                <w:sz w:val="18"/>
                <w:szCs w:val="18"/>
                <w:color w:val="auto"/>
              </w:rPr>
              <w:t>Net cash provided by/(used in) financing activities</w:t>
            </w:r>
          </w:p>
        </w:tc>
        <w:tc>
          <w:tcPr>
            <w:tcW w:w="180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3,865</w:t>
            </w:r>
          </w:p>
        </w:tc>
        <w:tc>
          <w:tcPr>
            <w:tcW w:w="204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(76,064)</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(65,923)</w:t>
            </w:r>
          </w:p>
        </w:tc>
        <w:tc>
          <w:tcPr>
            <w:tcW w:w="0" w:type="dxa"/>
            <w:vAlign w:val="bottom"/>
          </w:tcPr>
          <w:p>
            <w:pPr>
              <w:spacing w:after="0"/>
              <w:rPr>
                <w:sz w:val="1"/>
                <w:szCs w:val="1"/>
                <w:color w:val="auto"/>
              </w:rPr>
            </w:pPr>
          </w:p>
        </w:tc>
      </w:tr>
      <w:tr>
        <w:trPr>
          <w:trHeight w:val="225"/>
        </w:trPr>
        <w:tc>
          <w:tcPr>
            <w:tcW w:w="660" w:type="dxa"/>
            <w:vAlign w:val="bottom"/>
          </w:tcPr>
          <w:p>
            <w:pPr>
              <w:spacing w:after="0"/>
              <w:rPr>
                <w:sz w:val="19"/>
                <w:szCs w:val="19"/>
                <w:color w:val="auto"/>
              </w:rPr>
            </w:pPr>
          </w:p>
        </w:tc>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Effect of exchange rate changes on cash flows</w:t>
            </w:r>
          </w:p>
        </w:tc>
        <w:tc>
          <w:tcPr>
            <w:tcW w:w="1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6,844</w:t>
            </w:r>
          </w:p>
        </w:tc>
        <w:tc>
          <w:tcPr>
            <w:tcW w:w="2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(81)</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(3,373)</w:t>
            </w:r>
          </w:p>
        </w:tc>
        <w:tc>
          <w:tcPr>
            <w:tcW w:w="0" w:type="dxa"/>
            <w:vAlign w:val="bottom"/>
          </w:tcPr>
          <w:p>
            <w:pPr>
              <w:spacing w:after="0"/>
              <w:rPr>
                <w:sz w:val="1"/>
                <w:szCs w:val="1"/>
                <w:color w:val="auto"/>
              </w:rPr>
            </w:pPr>
          </w:p>
        </w:tc>
      </w:tr>
      <w:tr>
        <w:trPr>
          <w:trHeight w:val="173"/>
        </w:trPr>
        <w:tc>
          <w:tcPr>
            <w:tcW w:w="660" w:type="dxa"/>
            <w:vAlign w:val="bottom"/>
          </w:tcPr>
          <w:p>
            <w:pPr>
              <w:spacing w:after="0"/>
              <w:rPr>
                <w:sz w:val="15"/>
                <w:szCs w:val="15"/>
                <w:color w:val="auto"/>
              </w:rPr>
            </w:pPr>
          </w:p>
        </w:tc>
        <w:tc>
          <w:tcPr>
            <w:tcW w:w="4960" w:type="dxa"/>
            <w:vAlign w:val="bottom"/>
            <w:gridSpan w:val="2"/>
          </w:tcPr>
          <w:p>
            <w:pPr>
              <w:spacing w:after="0" w:line="173" w:lineRule="exact"/>
              <w:rPr>
                <w:sz w:val="20"/>
                <w:szCs w:val="20"/>
                <w:color w:val="auto"/>
              </w:rPr>
            </w:pPr>
            <w:r>
              <w:rPr>
                <w:rFonts w:ascii="Arial" w:cs="Arial" w:eastAsia="Arial" w:hAnsi="Arial"/>
                <w:sz w:val="18"/>
                <w:szCs w:val="18"/>
                <w:color w:val="auto"/>
              </w:rPr>
              <w:t>Increase in cash and cash equivalents</w:t>
            </w:r>
          </w:p>
        </w:tc>
        <w:tc>
          <w:tcPr>
            <w:tcW w:w="1800" w:type="dxa"/>
            <w:vAlign w:val="bottom"/>
          </w:tcPr>
          <w:p>
            <w:pPr>
              <w:jc w:val="right"/>
              <w:ind w:right="250"/>
              <w:spacing w:after="0" w:line="173" w:lineRule="exact"/>
              <w:rPr>
                <w:sz w:val="20"/>
                <w:szCs w:val="20"/>
                <w:color w:val="auto"/>
              </w:rPr>
            </w:pPr>
            <w:r>
              <w:rPr>
                <w:rFonts w:ascii="Arial" w:cs="Arial" w:eastAsia="Arial" w:hAnsi="Arial"/>
                <w:sz w:val="18"/>
                <w:szCs w:val="18"/>
                <w:b w:val="1"/>
                <w:bCs w:val="1"/>
                <w:color w:val="auto"/>
              </w:rPr>
              <w:t>31,948</w:t>
            </w:r>
          </w:p>
        </w:tc>
        <w:tc>
          <w:tcPr>
            <w:tcW w:w="2040" w:type="dxa"/>
            <w:vAlign w:val="bottom"/>
          </w:tcPr>
          <w:p>
            <w:pPr>
              <w:jc w:val="right"/>
              <w:ind w:right="470"/>
              <w:spacing w:after="0" w:line="173" w:lineRule="exact"/>
              <w:rPr>
                <w:sz w:val="20"/>
                <w:szCs w:val="20"/>
                <w:color w:val="auto"/>
              </w:rPr>
            </w:pPr>
            <w:r>
              <w:rPr>
                <w:rFonts w:ascii="Arial" w:cs="Arial" w:eastAsia="Arial" w:hAnsi="Arial"/>
                <w:sz w:val="18"/>
                <w:szCs w:val="18"/>
                <w:color w:val="auto"/>
              </w:rPr>
              <w:t>71,809</w:t>
            </w:r>
          </w:p>
        </w:tc>
        <w:tc>
          <w:tcPr>
            <w:tcW w:w="1360" w:type="dxa"/>
            <w:vAlign w:val="bottom"/>
          </w:tcPr>
          <w:p>
            <w:pPr>
              <w:jc w:val="right"/>
              <w:ind w:right="10"/>
              <w:spacing w:after="0" w:line="173" w:lineRule="exact"/>
              <w:rPr>
                <w:sz w:val="20"/>
                <w:szCs w:val="20"/>
                <w:color w:val="auto"/>
              </w:rPr>
            </w:pPr>
            <w:r>
              <w:rPr>
                <w:rFonts w:ascii="Arial" w:cs="Arial" w:eastAsia="Arial" w:hAnsi="Arial"/>
                <w:sz w:val="18"/>
                <w:szCs w:val="18"/>
                <w:color w:val="auto"/>
              </w:rPr>
              <w:t>10,153</w:t>
            </w: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4960" w:type="dxa"/>
            <w:vAlign w:val="bottom"/>
            <w:gridSpan w:val="2"/>
          </w:tcPr>
          <w:p>
            <w:pPr>
              <w:spacing w:after="0" w:line="202" w:lineRule="exact"/>
              <w:rPr>
                <w:sz w:val="20"/>
                <w:szCs w:val="20"/>
                <w:color w:val="auto"/>
              </w:rPr>
            </w:pPr>
            <w:r>
              <w:rPr>
                <w:rFonts w:ascii="Arial" w:cs="Arial" w:eastAsia="Arial" w:hAnsi="Arial"/>
                <w:sz w:val="18"/>
                <w:szCs w:val="18"/>
                <w:color w:val="auto"/>
              </w:rPr>
              <w:t>Change in cash balances of discontinued operations</w:t>
            </w:r>
          </w:p>
        </w:tc>
        <w:tc>
          <w:tcPr>
            <w:tcW w:w="180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w:t>
            </w:r>
          </w:p>
        </w:tc>
        <w:tc>
          <w:tcPr>
            <w:tcW w:w="204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(9,169)</w:t>
            </w:r>
          </w:p>
        </w:tc>
        <w:tc>
          <w:tcPr>
            <w:tcW w:w="0" w:type="dxa"/>
            <w:vAlign w:val="bottom"/>
          </w:tcPr>
          <w:p>
            <w:pPr>
              <w:spacing w:after="0"/>
              <w:rPr>
                <w:sz w:val="1"/>
                <w:szCs w:val="1"/>
                <w:color w:val="auto"/>
              </w:rPr>
            </w:pPr>
          </w:p>
        </w:tc>
      </w:tr>
      <w:tr>
        <w:trPr>
          <w:trHeight w:val="225"/>
        </w:trPr>
        <w:tc>
          <w:tcPr>
            <w:tcW w:w="660" w:type="dxa"/>
            <w:vAlign w:val="bottom"/>
          </w:tcPr>
          <w:p>
            <w:pPr>
              <w:spacing w:after="0"/>
              <w:rPr>
                <w:sz w:val="19"/>
                <w:szCs w:val="19"/>
                <w:color w:val="auto"/>
              </w:rPr>
            </w:pPr>
          </w:p>
        </w:tc>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Cash and cash equivalents at beginning of year</w:t>
            </w:r>
          </w:p>
        </w:tc>
        <w:tc>
          <w:tcPr>
            <w:tcW w:w="1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190,718</w:t>
            </w:r>
          </w:p>
        </w:tc>
        <w:tc>
          <w:tcPr>
            <w:tcW w:w="20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118,909</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117,925</w:t>
            </w: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496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Cash and cash equivalents at end of year</w:t>
            </w:r>
          </w:p>
        </w:tc>
        <w:tc>
          <w:tcPr>
            <w:tcW w:w="180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$222,666</w:t>
            </w:r>
          </w:p>
        </w:tc>
        <w:tc>
          <w:tcPr>
            <w:tcW w:w="204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color w:val="auto"/>
              </w:rPr>
              <w:t>$190,718</w:t>
            </w:r>
          </w:p>
        </w:tc>
        <w:tc>
          <w:tcPr>
            <w:tcW w:w="13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$118,909</w:t>
            </w: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93" w:lineRule="exact"/>
        <w:rPr>
          <w:sz w:val="20"/>
          <w:szCs w:val="20"/>
          <w:color w:val="auto"/>
        </w:rPr>
      </w:pPr>
    </w:p>
    <w:p>
      <w:pPr>
        <w:ind w:right="140" w:firstLine="648"/>
        <w:spacing w:after="0" w:line="234" w:lineRule="auto"/>
        <w:rPr>
          <w:sz w:val="20"/>
          <w:szCs w:val="20"/>
          <w:color w:val="auto"/>
        </w:rPr>
      </w:pPr>
      <w:r>
        <w:rPr>
          <w:rFonts w:ascii="Arial" w:cs="Arial" w:eastAsia="Arial" w:hAnsi="Arial"/>
          <w:sz w:val="18"/>
          <w:szCs w:val="18"/>
          <w:color w:val="auto"/>
        </w:rPr>
        <w:t>Cash provided by operating activities was $62.6 million in 2013 compared to $34.5 million for 2012. Cash flow in 2012 was heavily influenced by contributions to pension plans, which is included in changes in long-term liabilities, deferred taxes and other credits in the above table. As part of the Company’s plan to fund or settle part of our pension liabilities in the U.S., Canada, and Sweden, $30 million of cash was used to settle Swedish pension liabilities and we contributed $68 million to pension plans in the United States and Canada as part of settling more than half of those pension liabilities. As a result of the settlement activities, we recorded total settlement expense of $119.7 million in 2012, which included the write-off of $118.4 million of deferred pension</w:t>
      </w:r>
    </w:p>
    <w:p>
      <w:pPr>
        <w:spacing w:after="0" w:line="5"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charges that were previously recorded in Other comprehensive income. Changes in working capital used cash flow of $1.5 million in 2013, compared to cash flow generation of $34.1 million in 2012, principally resulting from higher payments for income taxes offset by a decrease in Accounts receivable of $8.9 million and an increase in Inventories of $5.7 million. Cash paid for income taxes was $29.4 million, $15.1 million, and $ 13.7 million in 2013, 2012 and 2011, respectively. Cash paid for restructuring was $22.4 million, $9.7 million, and $2.7 million in 2013, 2012 and 2011, respectively.</w:t>
      </w:r>
    </w:p>
    <w:p>
      <w:pPr>
        <w:spacing w:after="0" w:line="162" w:lineRule="exact"/>
        <w:rPr>
          <w:sz w:val="20"/>
          <w:szCs w:val="20"/>
          <w:color w:val="auto"/>
        </w:rPr>
      </w:pPr>
    </w:p>
    <w:p>
      <w:pPr>
        <w:ind w:right="100" w:firstLine="648"/>
        <w:spacing w:after="0" w:line="236" w:lineRule="auto"/>
        <w:rPr>
          <w:sz w:val="20"/>
          <w:szCs w:val="20"/>
          <w:color w:val="auto"/>
        </w:rPr>
      </w:pPr>
      <w:r>
        <w:rPr>
          <w:rFonts w:ascii="Arial" w:cs="Arial" w:eastAsia="Arial" w:hAnsi="Arial"/>
          <w:sz w:val="18"/>
          <w:szCs w:val="18"/>
          <w:color w:val="auto"/>
        </w:rPr>
        <w:t>At December 31, 2013, the Company had $222.7 million of cash and cash equivalents, of which $177.7 million was held by subsidiaries outside of the United States. As disclosed in Note 8 of the Notes to Consolidated Financial Statements in Item 8, which is incorporated herein by reference, we determined that all but $11.8 million of this amount (which represents the amount of cumulative earnings expected to be repatriated to the United States at some point in the future) is intended to be utilized by these non-U.S. operations for an indefinite period of time. Our current plans do not anticipate that we will need funds generated from foreign operations to fund our domestic operations or satisfy debt obligations in the United States. In the event that such funds were to be needed to fund operations in the U.S., and if associated accruals for U.S. tax have not already been provided, we would be required to accrue and pay additional U.S. taxes to repatriate these funds.</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Investing Activities</w:t>
      </w:r>
    </w:p>
    <w:p>
      <w:pPr>
        <w:spacing w:after="0" w:line="193" w:lineRule="exact"/>
        <w:rPr>
          <w:sz w:val="20"/>
          <w:szCs w:val="20"/>
          <w:color w:val="auto"/>
        </w:rPr>
      </w:pPr>
    </w:p>
    <w:p>
      <w:pPr>
        <w:ind w:right="60" w:firstLine="648"/>
        <w:spacing w:after="0" w:line="237" w:lineRule="auto"/>
        <w:rPr>
          <w:sz w:val="20"/>
          <w:szCs w:val="20"/>
          <w:color w:val="auto"/>
        </w:rPr>
      </w:pPr>
      <w:r>
        <w:rPr>
          <w:rFonts w:ascii="Arial" w:cs="Arial" w:eastAsia="Arial" w:hAnsi="Arial"/>
          <w:sz w:val="18"/>
          <w:szCs w:val="18"/>
          <w:color w:val="auto"/>
        </w:rPr>
        <w:t>Total capital expenditures for continuing operations, including purchased software, were $64.4 million in 2013, compared to $37.2 million in 2012, and $27.4 million in 2011, respectively. The increase in 2013 reflects investments in the Engineered Composites segment, for which capital expenditures were $36.9 million in 2013, compared to $19.0 million in 2012, and $9.7 million in 2011, respectively. We currently expect average annual capital spending, for the entire Company, to be $ 60-$75 million in 2014, an average of $ 55-$65 million in 2015-2016, then growing to an average of $70 million for the balance of the decade. During 2013, the Company completed the sale of its production facility in Gosford, Australia, resulting in net proceeds of $6.3 million.</w:t>
      </w:r>
    </w:p>
    <w:p>
      <w:pPr>
        <w:spacing w:after="0" w:line="178" w:lineRule="exact"/>
        <w:rPr>
          <w:sz w:val="20"/>
          <w:szCs w:val="20"/>
          <w:color w:val="auto"/>
        </w:rPr>
      </w:pPr>
    </w:p>
    <w:p>
      <w:pPr>
        <w:ind w:right="140" w:firstLine="648"/>
        <w:spacing w:after="0" w:line="239" w:lineRule="auto"/>
        <w:rPr>
          <w:sz w:val="20"/>
          <w:szCs w:val="20"/>
          <w:color w:val="auto"/>
        </w:rPr>
      </w:pPr>
      <w:r>
        <w:rPr>
          <w:rFonts w:ascii="Arial" w:cs="Arial" w:eastAsia="Arial" w:hAnsi="Arial"/>
          <w:sz w:val="18"/>
          <w:szCs w:val="18"/>
          <w:color w:val="auto"/>
        </w:rPr>
        <w:t>In January 2012, the Company completed the sale of Albany Door Systems, and in March 2012, we finalized certain post-closing adjustments that increased the sale price by $ 5 million. As of December 31, 2012, $122 million of the total $135 million sale price had been received, and the remaining $13.0 million was received in July 2013. During Q2 2012, the Company completed the sale of PrimaLoft Products business. Of the $38 million sale price, $34 million was received in June, with the remainder received in December 2013.</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93"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Effective October 31, 2013, Safran S.A. (Safran) acquired a 10 percent equity interest in a new Albany subsidiary, Albany Safran Composites, LLC (“ASC”). Under the terms of the transaction agreements, ASC is the exclusive supplier to Safran of advanced 3D-woven composite parts for use in aircraft and rocket engines, thrust reversers and nacelles, and aircraft landing and braking systems (the “Safran Applications”). AEC remains free to develop and supply parts other than advanced 3D-woven composite parts for all aerospace applications, as well as advanced 3D-woven composite parts for any aerospace applications that are not Safran Applications (such as airframe applications) and any non-aerospace applications. AEC contributed to ASC its existing assets and operations currently dedicated to the development and production of LEAP components, and Safran contributed $28 million in cash.</w:t>
      </w:r>
    </w:p>
    <w:p>
      <w:pPr>
        <w:spacing w:after="0" w:line="176" w:lineRule="exact"/>
        <w:rPr>
          <w:sz w:val="20"/>
          <w:szCs w:val="20"/>
          <w:color w:val="auto"/>
        </w:rPr>
      </w:pPr>
    </w:p>
    <w:p>
      <w:pPr>
        <w:ind w:right="80" w:firstLine="648"/>
        <w:spacing w:after="0" w:line="237" w:lineRule="auto"/>
        <w:rPr>
          <w:sz w:val="20"/>
          <w:szCs w:val="20"/>
          <w:color w:val="auto"/>
        </w:rPr>
      </w:pPr>
      <w:r>
        <w:rPr>
          <w:rFonts w:ascii="Arial" w:cs="Arial" w:eastAsia="Arial" w:hAnsi="Arial"/>
          <w:sz w:val="18"/>
          <w:szCs w:val="18"/>
          <w:color w:val="auto"/>
        </w:rPr>
        <w:t>Dividends have been declared each quarter since the fourth quarter of 2001. Decisions with respect to whether a dividend will be paid, and the amount of the dividend, are made by the Board of Directors each quarter. The dividend declared in the fourth quarter of 2012 was also paid during that quarter which resulted in five dividend payments during 2012 and three dividend payments in 2013. Cash dividends paid were $13.9 million, $21.3 million, and $15.6 million, in 2013, 2012, and 2011, respectively. To the extent the Board declares cash dividends in the future, we expect to pay such dividends out of operating cash flows. Future cash dividends will also depend on debt covenants and on the Board’s assessment of our ability to generate sufficient cash flows.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193" w:lineRule="exact"/>
        <w:rPr>
          <w:sz w:val="20"/>
          <w:szCs w:val="20"/>
          <w:color w:val="auto"/>
        </w:rPr>
      </w:pPr>
    </w:p>
    <w:p>
      <w:pPr>
        <w:ind w:right="220" w:firstLine="648"/>
        <w:spacing w:after="0" w:line="238" w:lineRule="auto"/>
        <w:rPr>
          <w:sz w:val="20"/>
          <w:szCs w:val="20"/>
          <w:color w:val="auto"/>
        </w:rPr>
      </w:pPr>
      <w:r>
        <w:rPr>
          <w:rFonts w:ascii="Arial" w:cs="Arial" w:eastAsia="Arial" w:hAnsi="Arial"/>
          <w:sz w:val="18"/>
          <w:szCs w:val="18"/>
          <w:color w:val="auto"/>
        </w:rPr>
        <w:t>We finance our business activities primarily with cash generated from operations and borrowings, largely through our revolving credit agreement as discussed below. Our subsidiaries outside of the United States may also maintain working capital lines with local banks, but borrowings under such local facilities tend not to be significant. Substantially all of our cash balance at December 31, 2013 was held by non-U.S. subsidiaries. Based on cash on hand and credit facilities, we anticipate that the Company has sufficient capital resources to operate for the foreseeable future. We were in compliance with all debt covenants as of December 31, 2013.</w:t>
      </w:r>
    </w:p>
    <w:p>
      <w:pPr>
        <w:spacing w:after="0" w:line="176" w:lineRule="exact"/>
        <w:rPr>
          <w:sz w:val="20"/>
          <w:szCs w:val="20"/>
          <w:color w:val="auto"/>
        </w:rPr>
      </w:pPr>
    </w:p>
    <w:p>
      <w:pPr>
        <w:ind w:right="120" w:firstLine="648"/>
        <w:spacing w:after="0" w:line="237" w:lineRule="auto"/>
        <w:rPr>
          <w:sz w:val="20"/>
          <w:szCs w:val="20"/>
          <w:color w:val="auto"/>
        </w:rPr>
      </w:pPr>
      <w:r>
        <w:rPr>
          <w:rFonts w:ascii="Arial" w:cs="Arial" w:eastAsia="Arial" w:hAnsi="Arial"/>
          <w:sz w:val="18"/>
          <w:szCs w:val="18"/>
          <w:color w:val="auto"/>
        </w:rPr>
        <w:t>On March 26, 2013, we entered into a $330 million, unsecured Five-Year Revolving Credit Facility Agreement (“Credit Agreement”), under which $200 million of borrowings were outstanding as of December 31, 2013. The Credit Agreement replaced the previous $390 million five-year Credit Agreement made in 2010. The applicable interest rate for borrowings under the Credit Agreement, as well as under the former agreement, is LIBOR plus a spread, based on our leverage ratio at the time of borrowing. At the time of the last borrowing on December 23, 2013, the spread was 1.375%. The spread is based on a pricing grid, which ranges from 1.25% to 1.875%, based on our leverage ratio. The Company also amended its note agreement with Prudential to</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34" w:name="page35"/>
    <w:bookmarkEnd w:id="34"/>
    <w:p>
      <w:pPr>
        <w:ind w:right="80"/>
        <w:spacing w:after="0" w:line="246" w:lineRule="auto"/>
        <w:rPr>
          <w:sz w:val="20"/>
          <w:szCs w:val="20"/>
          <w:color w:val="auto"/>
        </w:rPr>
      </w:pPr>
      <w:r>
        <w:rPr>
          <w:rFonts w:ascii="Arial" w:cs="Arial" w:eastAsia="Arial" w:hAnsi="Arial"/>
          <w:sz w:val="18"/>
          <w:szCs w:val="18"/>
          <w:color w:val="auto"/>
        </w:rPr>
        <w:t>substantially conform the financial and other covenants to the Credit Agreement. The total cost for the amendments was $1.6 million. For more information on our borrowings, see Note 14 to the Consolidated Financial Statements in Item 8, which is incorporated herein by reference.</w:t>
      </w:r>
    </w:p>
    <w:p>
      <w:pPr>
        <w:spacing w:after="0" w:line="156"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On July 16, 2010, we entered into interest rate hedging transactions that have the effect of fixing the LIBOR portion of the effective interest rate (before addition of the spread) on $105 million of the indebtedness drawn under the Credit Agreement at the rate of 2.04% until July 16, 2015. Under the terms of these transactions, we pay the fixed rate of 2.04% and the counterparties pay a floating rate based on the three-month LIBOR rate at each quarterly calculation date, which on October 16, 2013 was 0.25%. The net effect is to fix the effective interest rate on $105 million of indebtedness at 2.04%, plus the applicable spread, until these swap agreements expire. On December 31, 2013, the all-in rate on the $105 million of debt was 3.415%.</w:t>
      </w:r>
    </w:p>
    <w:p>
      <w:pPr>
        <w:spacing w:after="0" w:line="178"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auto"/>
        </w:rPr>
        <w:t>On May 20, 2013, we entered into interest rate hedging transactions for the period July 16, 2015 through March 16, 2018. These transactions have the effect of fixing the LIBOR portion of the effective interest rate (before addition of the spread) on $110 million of indebtedness drawn under the Credit Agreement at the rate of 1.414% during this period. Under the terms of these transactions, we pay the fixed rate of 1.414% and the counterparties pay a floating rate based on the one-month LIBOR rate at each monthly calculation date, which on December 31, 2013 was 0.17%. The net effect is to fix the effective interest rate on $110 million of indebtedness at 1.414%, plus the applicable spread, during the swap period. As of December 31, 2013, our leverage ratio was 1.78 to 1.00 and our interest coverage ratio was 8.85 to 1.00. We may purchase our Common Stock or pay dividends to the extent our leverage ratio remains at or below 3.50 to 1.00, and may make acquisitions with cash provided our leverage ratio would not exceed 3.50 to 1.00 after giving pro forma effect to the acquisition.</w:t>
      </w:r>
    </w:p>
    <w:p>
      <w:pPr>
        <w:spacing w:after="0" w:line="168" w:lineRule="exact"/>
        <w:rPr>
          <w:sz w:val="20"/>
          <w:szCs w:val="20"/>
          <w:color w:val="auto"/>
        </w:rPr>
      </w:pPr>
    </w:p>
    <w:p>
      <w:pPr>
        <w:ind w:right="60" w:firstLine="648"/>
        <w:spacing w:after="0" w:line="246" w:lineRule="auto"/>
        <w:rPr>
          <w:sz w:val="20"/>
          <w:szCs w:val="20"/>
          <w:color w:val="auto"/>
        </w:rPr>
      </w:pPr>
      <w:r>
        <w:rPr>
          <w:rFonts w:ascii="Arial" w:cs="Arial" w:eastAsia="Arial" w:hAnsi="Arial"/>
          <w:sz w:val="18"/>
          <w:szCs w:val="18"/>
          <w:color w:val="auto"/>
        </w:rPr>
        <w:t>These interest rate swaps are accounted for as hedges of future cash flows. For more information on our interest rate swaps, see Note 14 to the Consolidated Financial Statements in item 8, which is incorporated herein by reference.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07" w:lineRule="exact"/>
        <w:rPr>
          <w:sz w:val="20"/>
          <w:szCs w:val="20"/>
          <w:color w:val="auto"/>
        </w:rPr>
      </w:pPr>
    </w:p>
    <w:p>
      <w:pPr>
        <w:ind w:right="820" w:firstLine="648"/>
        <w:spacing w:after="0" w:line="246" w:lineRule="auto"/>
        <w:rPr>
          <w:sz w:val="20"/>
          <w:szCs w:val="20"/>
          <w:color w:val="auto"/>
        </w:rPr>
      </w:pPr>
      <w:r>
        <w:rPr>
          <w:rFonts w:ascii="Arial" w:cs="Arial" w:eastAsia="Arial" w:hAnsi="Arial"/>
          <w:sz w:val="18"/>
          <w:szCs w:val="18"/>
          <w:color w:val="auto"/>
        </w:rPr>
        <w:t>As of December 31, 2013, we have no off-balance sheet arrangements required to be disclosed pursuant to Item 303(a)(4) of Regulation S-K.</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2013, we have the following cash flow obligations: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80" w:type="dxa"/>
            <w:vAlign w:val="bottom"/>
            <w:tcBorders>
              <w:top w:val="single" w:sz="8" w:color="auto"/>
              <w:bottom w:val="single" w:sz="8" w:color="auto"/>
            </w:tcBorders>
          </w:tcPr>
          <w:p>
            <w:pPr>
              <w:spacing w:after="0"/>
              <w:rPr>
                <w:sz w:val="18"/>
                <w:szCs w:val="18"/>
                <w:color w:val="auto"/>
              </w:rPr>
            </w:pPr>
          </w:p>
        </w:tc>
        <w:tc>
          <w:tcPr>
            <w:tcW w:w="3040" w:type="dxa"/>
            <w:vAlign w:val="bottom"/>
            <w:tcBorders>
              <w:top w:val="single" w:sz="8" w:color="auto"/>
              <w:bottom w:val="single" w:sz="8" w:color="auto"/>
            </w:tcBorders>
            <w:gridSpan w:val="2"/>
          </w:tcPr>
          <w:p>
            <w:pPr>
              <w:jc w:val="right"/>
              <w:ind w:right="450"/>
              <w:spacing w:after="0"/>
              <w:rPr>
                <w:sz w:val="20"/>
                <w:szCs w:val="20"/>
                <w:color w:val="auto"/>
              </w:rPr>
            </w:pPr>
            <w:r>
              <w:rPr>
                <w:rFonts w:ascii="Arial" w:cs="Arial" w:eastAsia="Arial" w:hAnsi="Arial"/>
                <w:sz w:val="18"/>
                <w:szCs w:val="18"/>
                <w:b w:val="1"/>
                <w:bCs w:val="1"/>
                <w:color w:val="auto"/>
              </w:rPr>
              <w:t>Payments Due by Period</w:t>
            </w:r>
          </w:p>
        </w:tc>
        <w:tc>
          <w:tcPr>
            <w:tcW w:w="128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73"/>
        </w:trPr>
        <w:tc>
          <w:tcPr>
            <w:tcW w:w="37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480" w:type="dxa"/>
            <w:vAlign w:val="bottom"/>
          </w:tcPr>
          <w:p>
            <w:pPr>
              <w:jc w:val="right"/>
              <w:ind w:right="310"/>
              <w:spacing w:after="0" w:line="173" w:lineRule="exact"/>
              <w:rPr>
                <w:sz w:val="20"/>
                <w:szCs w:val="20"/>
                <w:color w:val="auto"/>
              </w:rPr>
            </w:pPr>
            <w:r>
              <w:rPr>
                <w:rFonts w:ascii="Arial" w:cs="Arial" w:eastAsia="Arial" w:hAnsi="Arial"/>
                <w:sz w:val="18"/>
                <w:szCs w:val="18"/>
                <w:b w:val="1"/>
                <w:bCs w:val="1"/>
                <w:color w:val="auto"/>
              </w:rPr>
              <w:t>Less than</w:t>
            </w:r>
          </w:p>
        </w:tc>
        <w:tc>
          <w:tcPr>
            <w:tcW w:w="1660" w:type="dxa"/>
            <w:vAlign w:val="bottom"/>
          </w:tcPr>
          <w:p>
            <w:pPr>
              <w:jc w:val="right"/>
              <w:ind w:right="330"/>
              <w:spacing w:after="0" w:line="173" w:lineRule="exact"/>
              <w:rPr>
                <w:sz w:val="20"/>
                <w:szCs w:val="20"/>
                <w:color w:val="auto"/>
              </w:rPr>
            </w:pPr>
            <w:r>
              <w:rPr>
                <w:rFonts w:ascii="Arial" w:cs="Arial" w:eastAsia="Arial" w:hAnsi="Arial"/>
                <w:sz w:val="18"/>
                <w:szCs w:val="18"/>
                <w:b w:val="1"/>
                <w:bCs w:val="1"/>
                <w:color w:val="auto"/>
              </w:rPr>
              <w:t>One to three</w:t>
            </w:r>
          </w:p>
        </w:tc>
        <w:tc>
          <w:tcPr>
            <w:tcW w:w="1380" w:type="dxa"/>
            <w:vAlign w:val="bottom"/>
          </w:tcPr>
          <w:p>
            <w:pPr>
              <w:jc w:val="right"/>
              <w:ind w:right="350"/>
              <w:spacing w:after="0" w:line="173" w:lineRule="exact"/>
              <w:rPr>
                <w:sz w:val="20"/>
                <w:szCs w:val="20"/>
                <w:color w:val="auto"/>
              </w:rPr>
            </w:pPr>
            <w:r>
              <w:rPr>
                <w:rFonts w:ascii="Arial" w:cs="Arial" w:eastAsia="Arial" w:hAnsi="Arial"/>
                <w:sz w:val="18"/>
                <w:szCs w:val="18"/>
                <w:b w:val="1"/>
                <w:bCs w:val="1"/>
                <w:color w:val="auto"/>
              </w:rPr>
              <w:t>Three to</w:t>
            </w:r>
          </w:p>
        </w:tc>
        <w:tc>
          <w:tcPr>
            <w:tcW w:w="1280" w:type="dxa"/>
            <w:vAlign w:val="bottom"/>
          </w:tcPr>
          <w:p>
            <w:pPr>
              <w:jc w:val="center"/>
              <w:ind w:right="50"/>
              <w:spacing w:after="0" w:line="173" w:lineRule="exact"/>
              <w:rPr>
                <w:sz w:val="20"/>
                <w:szCs w:val="20"/>
                <w:color w:val="auto"/>
              </w:rPr>
            </w:pPr>
            <w:r>
              <w:rPr>
                <w:rFonts w:ascii="Arial" w:cs="Arial" w:eastAsia="Arial" w:hAnsi="Arial"/>
                <w:sz w:val="18"/>
                <w:szCs w:val="18"/>
                <w:b w:val="1"/>
                <w:bCs w:val="1"/>
                <w:color w:val="auto"/>
                <w:w w:val="99"/>
              </w:rPr>
              <w:t>After</w:t>
            </w:r>
          </w:p>
        </w:tc>
        <w:tc>
          <w:tcPr>
            <w:tcW w:w="20" w:type="dxa"/>
            <w:vAlign w:val="bottom"/>
          </w:tcPr>
          <w:p>
            <w:pPr>
              <w:spacing w:after="0"/>
              <w:rPr>
                <w:sz w:val="15"/>
                <w:szCs w:val="15"/>
                <w:color w:val="auto"/>
              </w:rPr>
            </w:pPr>
          </w:p>
        </w:tc>
      </w:tr>
      <w:tr>
        <w:trPr>
          <w:trHeight w:val="225"/>
        </w:trPr>
        <w:tc>
          <w:tcPr>
            <w:tcW w:w="3720" w:type="dxa"/>
            <w:vAlign w:val="bottom"/>
          </w:tcPr>
          <w:p>
            <w:pPr>
              <w:ind w:left="60"/>
              <w:spacing w:after="0"/>
              <w:rPr>
                <w:sz w:val="20"/>
                <w:szCs w:val="20"/>
                <w:color w:val="auto"/>
              </w:rPr>
            </w:pPr>
            <w:r>
              <w:rPr>
                <w:rFonts w:ascii="Arial" w:cs="Arial" w:eastAsia="Arial" w:hAnsi="Arial"/>
                <w:sz w:val="18"/>
                <w:szCs w:val="18"/>
                <w:b w:val="1"/>
                <w:bCs w:val="1"/>
                <w:color w:val="auto"/>
              </w:rPr>
              <w:t>(in millions)</w:t>
            </w:r>
          </w:p>
        </w:tc>
        <w:tc>
          <w:tcPr>
            <w:tcW w:w="1900" w:type="dxa"/>
            <w:vAlign w:val="bottom"/>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1480" w:type="dxa"/>
            <w:vAlign w:val="bottom"/>
          </w:tcPr>
          <w:p>
            <w:pPr>
              <w:jc w:val="right"/>
              <w:ind w:right="370"/>
              <w:spacing w:after="0"/>
              <w:rPr>
                <w:sz w:val="20"/>
                <w:szCs w:val="20"/>
                <w:color w:val="auto"/>
              </w:rPr>
            </w:pPr>
            <w:r>
              <w:rPr>
                <w:rFonts w:ascii="Arial" w:cs="Arial" w:eastAsia="Arial" w:hAnsi="Arial"/>
                <w:sz w:val="18"/>
                <w:szCs w:val="18"/>
                <w:b w:val="1"/>
                <w:bCs w:val="1"/>
                <w:color w:val="auto"/>
              </w:rPr>
              <w:t>one year</w:t>
            </w:r>
          </w:p>
        </w:tc>
        <w:tc>
          <w:tcPr>
            <w:tcW w:w="1660" w:type="dxa"/>
            <w:vAlign w:val="bottom"/>
          </w:tcPr>
          <w:p>
            <w:pPr>
              <w:jc w:val="right"/>
              <w:ind w:right="610"/>
              <w:spacing w:after="0"/>
              <w:rPr>
                <w:sz w:val="20"/>
                <w:szCs w:val="20"/>
                <w:color w:val="auto"/>
              </w:rPr>
            </w:pPr>
            <w:r>
              <w:rPr>
                <w:rFonts w:ascii="Arial" w:cs="Arial" w:eastAsia="Arial" w:hAnsi="Arial"/>
                <w:sz w:val="18"/>
                <w:szCs w:val="18"/>
                <w:b w:val="1"/>
                <w:bCs w:val="1"/>
                <w:color w:val="auto"/>
              </w:rPr>
              <w:t>years</w:t>
            </w:r>
          </w:p>
        </w:tc>
        <w:tc>
          <w:tcPr>
            <w:tcW w:w="1380" w:type="dxa"/>
            <w:vAlign w:val="bottom"/>
          </w:tcPr>
          <w:p>
            <w:pPr>
              <w:jc w:val="right"/>
              <w:ind w:right="290"/>
              <w:spacing w:after="0"/>
              <w:rPr>
                <w:sz w:val="20"/>
                <w:szCs w:val="20"/>
                <w:color w:val="auto"/>
              </w:rPr>
            </w:pPr>
            <w:r>
              <w:rPr>
                <w:rFonts w:ascii="Arial" w:cs="Arial" w:eastAsia="Arial" w:hAnsi="Arial"/>
                <w:sz w:val="18"/>
                <w:szCs w:val="18"/>
                <w:b w:val="1"/>
                <w:bCs w:val="1"/>
                <w:color w:val="auto"/>
              </w:rPr>
              <w:t>five years</w:t>
            </w: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8"/>
              </w:rPr>
              <w:t>five years</w:t>
            </w:r>
          </w:p>
        </w:tc>
      </w:tr>
      <w:tr>
        <w:trPr>
          <w:trHeight w:val="195"/>
        </w:trPr>
        <w:tc>
          <w:tcPr>
            <w:tcW w:w="372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Total debt</w:t>
            </w:r>
          </w:p>
        </w:tc>
        <w:tc>
          <w:tcPr>
            <w:tcW w:w="190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$304.5</w:t>
            </w:r>
          </w:p>
        </w:tc>
        <w:tc>
          <w:tcPr>
            <w:tcW w:w="1480" w:type="dxa"/>
            <w:vAlign w:val="bottom"/>
            <w:tcBorders>
              <w:top w:val="single" w:sz="8" w:color="auto"/>
            </w:tcBorders>
          </w:tcPr>
          <w:p>
            <w:pPr>
              <w:jc w:val="right"/>
              <w:ind w:right="110"/>
              <w:spacing w:after="0" w:line="195" w:lineRule="exact"/>
              <w:rPr>
                <w:sz w:val="20"/>
                <w:szCs w:val="20"/>
                <w:color w:val="auto"/>
              </w:rPr>
            </w:pPr>
            <w:r>
              <w:rPr>
                <w:rFonts w:ascii="Arial" w:cs="Arial" w:eastAsia="Arial" w:hAnsi="Arial"/>
                <w:sz w:val="18"/>
                <w:szCs w:val="18"/>
                <w:color w:val="auto"/>
              </w:rPr>
              <w:t>$4.5</w:t>
            </w:r>
          </w:p>
        </w:tc>
        <w:tc>
          <w:tcPr>
            <w:tcW w:w="1660" w:type="dxa"/>
            <w:vAlign w:val="bottom"/>
            <w:tcBorders>
              <w:top w:val="single" w:sz="8" w:color="auto"/>
            </w:tcBorders>
          </w:tcPr>
          <w:p>
            <w:pPr>
              <w:jc w:val="right"/>
              <w:ind w:right="70"/>
              <w:spacing w:after="0" w:line="195" w:lineRule="exact"/>
              <w:rPr>
                <w:sz w:val="20"/>
                <w:szCs w:val="20"/>
                <w:color w:val="auto"/>
              </w:rPr>
            </w:pPr>
            <w:r>
              <w:rPr>
                <w:rFonts w:ascii="Arial" w:cs="Arial" w:eastAsia="Arial" w:hAnsi="Arial"/>
                <w:sz w:val="18"/>
                <w:szCs w:val="18"/>
                <w:color w:val="auto"/>
              </w:rPr>
              <w:t>$50.0</w:t>
            </w:r>
          </w:p>
        </w:tc>
        <w:tc>
          <w:tcPr>
            <w:tcW w:w="1380" w:type="dxa"/>
            <w:vAlign w:val="bottom"/>
            <w:tcBorders>
              <w:top w:val="single" w:sz="8" w:color="auto"/>
            </w:tcBorders>
          </w:tcPr>
          <w:p>
            <w:pPr>
              <w:jc w:val="right"/>
              <w:ind w:right="90"/>
              <w:spacing w:after="0" w:line="195" w:lineRule="exact"/>
              <w:rPr>
                <w:sz w:val="20"/>
                <w:szCs w:val="20"/>
                <w:color w:val="auto"/>
              </w:rPr>
            </w:pPr>
            <w:r>
              <w:rPr>
                <w:rFonts w:ascii="Arial" w:cs="Arial" w:eastAsia="Arial" w:hAnsi="Arial"/>
                <w:sz w:val="18"/>
                <w:szCs w:val="18"/>
                <w:color w:val="auto"/>
              </w:rPr>
              <w:t>$250.0</w:t>
            </w:r>
          </w:p>
        </w:tc>
        <w:tc>
          <w:tcPr>
            <w:tcW w:w="12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r>
      <w:tr>
        <w:trPr>
          <w:trHeight w:val="203"/>
        </w:trPr>
        <w:tc>
          <w:tcPr>
            <w:tcW w:w="3720" w:type="dxa"/>
            <w:vAlign w:val="bottom"/>
          </w:tcPr>
          <w:p>
            <w:pPr>
              <w:ind w:left="60"/>
              <w:spacing w:after="0" w:line="202" w:lineRule="exact"/>
              <w:rPr>
                <w:sz w:val="20"/>
                <w:szCs w:val="20"/>
                <w:color w:val="auto"/>
              </w:rPr>
            </w:pPr>
            <w:r>
              <w:rPr>
                <w:rFonts w:ascii="Arial" w:cs="Arial" w:eastAsia="Arial" w:hAnsi="Arial"/>
                <w:sz w:val="18"/>
                <w:szCs w:val="18"/>
                <w:color w:val="auto"/>
              </w:rPr>
              <w:t>Interest payments (a)</w:t>
            </w:r>
          </w:p>
        </w:tc>
        <w:tc>
          <w:tcPr>
            <w:tcW w:w="1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39.5</w:t>
            </w:r>
          </w:p>
        </w:tc>
        <w:tc>
          <w:tcPr>
            <w:tcW w:w="14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12.1</w:t>
            </w:r>
          </w:p>
        </w:tc>
        <w:tc>
          <w:tcPr>
            <w:tcW w:w="16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19.0</w:t>
            </w:r>
          </w:p>
        </w:tc>
        <w:tc>
          <w:tcPr>
            <w:tcW w:w="1380" w:type="dxa"/>
            <w:vAlign w:val="bottom"/>
          </w:tcPr>
          <w:p>
            <w:pPr>
              <w:jc w:val="right"/>
              <w:ind w:right="90"/>
              <w:spacing w:after="0" w:line="202" w:lineRule="exact"/>
              <w:rPr>
                <w:sz w:val="20"/>
                <w:szCs w:val="20"/>
                <w:color w:val="auto"/>
              </w:rPr>
            </w:pPr>
            <w:r>
              <w:rPr>
                <w:rFonts w:ascii="Arial" w:cs="Arial" w:eastAsia="Arial" w:hAnsi="Arial"/>
                <w:sz w:val="18"/>
                <w:szCs w:val="18"/>
                <w:color w:val="auto"/>
              </w:rPr>
              <w:t>8.4</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03"/>
        </w:trPr>
        <w:tc>
          <w:tcPr>
            <w:tcW w:w="3720" w:type="dxa"/>
            <w:vAlign w:val="bottom"/>
          </w:tcPr>
          <w:p>
            <w:pPr>
              <w:ind w:left="60"/>
              <w:spacing w:after="0" w:line="202" w:lineRule="exact"/>
              <w:rPr>
                <w:sz w:val="20"/>
                <w:szCs w:val="20"/>
                <w:color w:val="auto"/>
              </w:rPr>
            </w:pPr>
            <w:r>
              <w:rPr>
                <w:rFonts w:ascii="Arial" w:cs="Arial" w:eastAsia="Arial" w:hAnsi="Arial"/>
                <w:sz w:val="18"/>
                <w:szCs w:val="18"/>
                <w:color w:val="auto"/>
              </w:rPr>
              <w:t>Pension plan contributions (b)</w:t>
            </w:r>
          </w:p>
        </w:tc>
        <w:tc>
          <w:tcPr>
            <w:tcW w:w="1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6.4</w:t>
            </w:r>
          </w:p>
        </w:tc>
        <w:tc>
          <w:tcPr>
            <w:tcW w:w="14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6.4</w:t>
            </w:r>
          </w:p>
        </w:tc>
        <w:tc>
          <w:tcPr>
            <w:tcW w:w="16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03"/>
        </w:trPr>
        <w:tc>
          <w:tcPr>
            <w:tcW w:w="3720" w:type="dxa"/>
            <w:vAlign w:val="bottom"/>
          </w:tcPr>
          <w:p>
            <w:pPr>
              <w:ind w:left="60"/>
              <w:spacing w:after="0" w:line="202" w:lineRule="exact"/>
              <w:rPr>
                <w:sz w:val="20"/>
                <w:szCs w:val="20"/>
                <w:color w:val="auto"/>
              </w:rPr>
            </w:pPr>
            <w:r>
              <w:rPr>
                <w:rFonts w:ascii="Arial" w:cs="Arial" w:eastAsia="Arial" w:hAnsi="Arial"/>
                <w:sz w:val="18"/>
                <w:szCs w:val="18"/>
                <w:color w:val="auto"/>
              </w:rPr>
              <w:t>Other postretirement benefits (c)</w:t>
            </w:r>
          </w:p>
        </w:tc>
        <w:tc>
          <w:tcPr>
            <w:tcW w:w="1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61.1</w:t>
            </w:r>
          </w:p>
        </w:tc>
        <w:tc>
          <w:tcPr>
            <w:tcW w:w="14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5.1</w:t>
            </w:r>
          </w:p>
        </w:tc>
        <w:tc>
          <w:tcPr>
            <w:tcW w:w="16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9.5</w:t>
            </w:r>
          </w:p>
        </w:tc>
        <w:tc>
          <w:tcPr>
            <w:tcW w:w="1380" w:type="dxa"/>
            <w:vAlign w:val="bottom"/>
          </w:tcPr>
          <w:p>
            <w:pPr>
              <w:jc w:val="right"/>
              <w:ind w:right="90"/>
              <w:spacing w:after="0" w:line="202" w:lineRule="exact"/>
              <w:rPr>
                <w:sz w:val="20"/>
                <w:szCs w:val="20"/>
                <w:color w:val="auto"/>
              </w:rPr>
            </w:pPr>
            <w:r>
              <w:rPr>
                <w:rFonts w:ascii="Arial" w:cs="Arial" w:eastAsia="Arial" w:hAnsi="Arial"/>
                <w:sz w:val="18"/>
                <w:szCs w:val="18"/>
                <w:color w:val="auto"/>
              </w:rPr>
              <w:t>8.8</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37.7</w:t>
            </w:r>
          </w:p>
        </w:tc>
        <w:tc>
          <w:tcPr>
            <w:tcW w:w="20" w:type="dxa"/>
            <w:vAlign w:val="bottom"/>
          </w:tcPr>
          <w:p>
            <w:pPr>
              <w:spacing w:after="0"/>
              <w:rPr>
                <w:sz w:val="17"/>
                <w:szCs w:val="17"/>
                <w:color w:val="auto"/>
              </w:rPr>
            </w:pPr>
          </w:p>
        </w:tc>
      </w:tr>
      <w:tr>
        <w:trPr>
          <w:trHeight w:val="203"/>
        </w:trPr>
        <w:tc>
          <w:tcPr>
            <w:tcW w:w="3720" w:type="dxa"/>
            <w:vAlign w:val="bottom"/>
          </w:tcPr>
          <w:p>
            <w:pPr>
              <w:ind w:left="60"/>
              <w:spacing w:after="0" w:line="202" w:lineRule="exact"/>
              <w:rPr>
                <w:sz w:val="20"/>
                <w:szCs w:val="20"/>
                <w:color w:val="auto"/>
              </w:rPr>
            </w:pPr>
            <w:r>
              <w:rPr>
                <w:rFonts w:ascii="Arial" w:cs="Arial" w:eastAsia="Arial" w:hAnsi="Arial"/>
                <w:sz w:val="18"/>
                <w:szCs w:val="18"/>
                <w:color w:val="auto"/>
              </w:rPr>
              <w:t>Restructuring accruals</w:t>
            </w:r>
          </w:p>
        </w:tc>
        <w:tc>
          <w:tcPr>
            <w:tcW w:w="1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9.7</w:t>
            </w:r>
          </w:p>
        </w:tc>
        <w:tc>
          <w:tcPr>
            <w:tcW w:w="14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9.7</w:t>
            </w:r>
          </w:p>
        </w:tc>
        <w:tc>
          <w:tcPr>
            <w:tcW w:w="16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03"/>
        </w:trPr>
        <w:tc>
          <w:tcPr>
            <w:tcW w:w="3720" w:type="dxa"/>
            <w:vAlign w:val="bottom"/>
          </w:tcPr>
          <w:p>
            <w:pPr>
              <w:ind w:left="60"/>
              <w:spacing w:after="0" w:line="202" w:lineRule="exact"/>
              <w:rPr>
                <w:sz w:val="20"/>
                <w:szCs w:val="20"/>
                <w:color w:val="auto"/>
              </w:rPr>
            </w:pPr>
            <w:r>
              <w:rPr>
                <w:rFonts w:ascii="Arial" w:cs="Arial" w:eastAsia="Arial" w:hAnsi="Arial"/>
                <w:sz w:val="18"/>
                <w:szCs w:val="18"/>
                <w:color w:val="auto"/>
              </w:rPr>
              <w:t>Other noncurrent liabilities (d)</w:t>
            </w:r>
          </w:p>
        </w:tc>
        <w:tc>
          <w:tcPr>
            <w:tcW w:w="1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6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03"/>
        </w:trPr>
        <w:tc>
          <w:tcPr>
            <w:tcW w:w="3720" w:type="dxa"/>
            <w:vAlign w:val="bottom"/>
            <w:tcBorders>
              <w:bottom w:val="single" w:sz="8" w:color="auto"/>
            </w:tcBorders>
          </w:tcPr>
          <w:p>
            <w:pPr>
              <w:ind w:left="60"/>
              <w:spacing w:after="0" w:line="203" w:lineRule="exact"/>
              <w:rPr>
                <w:sz w:val="20"/>
                <w:szCs w:val="20"/>
                <w:color w:val="auto"/>
              </w:rPr>
            </w:pPr>
            <w:r>
              <w:rPr>
                <w:rFonts w:ascii="Arial" w:cs="Arial" w:eastAsia="Arial" w:hAnsi="Arial"/>
                <w:sz w:val="18"/>
                <w:szCs w:val="18"/>
                <w:color w:val="auto"/>
              </w:rPr>
              <w:t>Operating leases</w:t>
            </w:r>
          </w:p>
        </w:tc>
        <w:tc>
          <w:tcPr>
            <w:tcW w:w="19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10.5</w:t>
            </w:r>
          </w:p>
        </w:tc>
        <w:tc>
          <w:tcPr>
            <w:tcW w:w="148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4.4</w:t>
            </w:r>
          </w:p>
        </w:tc>
        <w:tc>
          <w:tcPr>
            <w:tcW w:w="166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rPr>
              <w:t>4.1</w:t>
            </w:r>
          </w:p>
        </w:tc>
        <w:tc>
          <w:tcPr>
            <w:tcW w:w="13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0.6</w:t>
            </w:r>
          </w:p>
        </w:tc>
        <w:tc>
          <w:tcPr>
            <w:tcW w:w="12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w:t>
            </w:r>
          </w:p>
        </w:tc>
        <w:tc>
          <w:tcPr>
            <w:tcW w:w="20" w:type="dxa"/>
            <w:vAlign w:val="bottom"/>
          </w:tcPr>
          <w:p>
            <w:pPr>
              <w:spacing w:after="0"/>
              <w:rPr>
                <w:sz w:val="17"/>
                <w:szCs w:val="17"/>
                <w:color w:val="auto"/>
              </w:rPr>
            </w:pPr>
          </w:p>
        </w:tc>
      </w:tr>
      <w:tr>
        <w:trPr>
          <w:trHeight w:val="196"/>
        </w:trPr>
        <w:tc>
          <w:tcPr>
            <w:tcW w:w="372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Totals</w:t>
            </w:r>
          </w:p>
        </w:tc>
        <w:tc>
          <w:tcPr>
            <w:tcW w:w="19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$431.7</w:t>
            </w:r>
          </w:p>
        </w:tc>
        <w:tc>
          <w:tcPr>
            <w:tcW w:w="148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$42.2</w:t>
            </w:r>
          </w:p>
        </w:tc>
        <w:tc>
          <w:tcPr>
            <w:tcW w:w="16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$82.6</w:t>
            </w:r>
          </w:p>
        </w:tc>
        <w:tc>
          <w:tcPr>
            <w:tcW w:w="13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$267.8</w:t>
            </w: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$39.1</w:t>
            </w:r>
          </w:p>
        </w:tc>
        <w:tc>
          <w:tcPr>
            <w:tcW w:w="20" w:type="dxa"/>
            <w:vAlign w:val="bottom"/>
          </w:tcPr>
          <w:p>
            <w:pPr>
              <w:spacing w:after="0"/>
              <w:rPr>
                <w:sz w:val="17"/>
                <w:szCs w:val="17"/>
                <w:color w:val="auto"/>
              </w:rPr>
            </w:pPr>
          </w:p>
        </w:tc>
      </w:tr>
      <w:tr>
        <w:trPr>
          <w:trHeight w:val="426"/>
        </w:trPr>
        <w:tc>
          <w:tcPr>
            <w:tcW w:w="37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r>
      <w:tr>
        <w:trPr>
          <w:trHeight w:val="75"/>
        </w:trPr>
        <w:tc>
          <w:tcPr>
            <w:tcW w:w="3720" w:type="dxa"/>
            <w:vAlign w:val="bottom"/>
            <w:tcBorders>
              <w:bottom w:val="single" w:sz="8" w:color="auto"/>
            </w:tcBorders>
          </w:tcPr>
          <w:p>
            <w:pPr>
              <w:spacing w:after="0"/>
              <w:rPr>
                <w:sz w:val="6"/>
                <w:szCs w:val="6"/>
                <w:color w:val="auto"/>
              </w:rPr>
            </w:pPr>
          </w:p>
        </w:tc>
        <w:tc>
          <w:tcPr>
            <w:tcW w:w="190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166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r>
    </w:tbl>
    <w:p>
      <w:pPr>
        <w:sectPr>
          <w:pgSz w:w="11900" w:h="16838" w:orient="portrait"/>
          <w:cols w:equalWidth="0" w:num="1">
            <w:col w:w="11420"/>
          </w:cols>
          <w:pgMar w:left="240" w:top="598" w:right="239" w:bottom="1440" w:gutter="0" w:footer="0" w:header="0"/>
        </w:sectPr>
      </w:pPr>
    </w:p>
    <w:bookmarkStart w:id="35" w:name="page36"/>
    <w:bookmarkEnd w:id="35"/>
    <w:p>
      <w:pPr>
        <w:ind w:left="1060" w:right="500" w:hanging="404"/>
        <w:spacing w:after="0" w:line="234"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terms of variable-rate debt arrangements, including interest rates and maturities, are included in Note 14 of Notes to Consolidated Financial Statements. The interest payments are based on the assumption that we maintain $200.0 million of variable rate debt until the March 2013 credit agreement matures on March 26, 2018, and the rate as of December 31, 2013</w:t>
      </w:r>
    </w:p>
    <w:p>
      <w:pPr>
        <w:spacing w:after="0" w:line="2" w:lineRule="exact"/>
        <w:rPr>
          <w:rFonts w:ascii="Arial" w:cs="Arial" w:eastAsia="Arial" w:hAnsi="Arial"/>
          <w:sz w:val="18"/>
          <w:szCs w:val="18"/>
          <w:color w:val="auto"/>
        </w:rPr>
      </w:pPr>
    </w:p>
    <w:p>
      <w:pPr>
        <w:ind w:left="1060"/>
        <w:spacing w:after="0" w:line="234" w:lineRule="auto"/>
        <w:rPr>
          <w:rFonts w:ascii="Arial" w:cs="Arial" w:eastAsia="Arial" w:hAnsi="Arial"/>
          <w:sz w:val="18"/>
          <w:szCs w:val="18"/>
          <w:color w:val="auto"/>
        </w:rPr>
      </w:pPr>
      <w:r>
        <w:rPr>
          <w:rFonts w:ascii="Arial" w:cs="Arial" w:eastAsia="Arial" w:hAnsi="Arial"/>
          <w:sz w:val="18"/>
          <w:szCs w:val="18"/>
          <w:color w:val="auto"/>
        </w:rPr>
        <w:t>(2.53%) continues until July 16, 2015, then continues at 2.23% until maturity. Both rates include the effects of interest rate hedging transactions.</w:t>
      </w:r>
    </w:p>
    <w:p>
      <w:pPr>
        <w:spacing w:after="0" w:line="1" w:lineRule="exact"/>
        <w:rPr>
          <w:rFonts w:ascii="Arial" w:cs="Arial" w:eastAsia="Arial" w:hAnsi="Arial"/>
          <w:sz w:val="18"/>
          <w:szCs w:val="18"/>
          <w:color w:val="auto"/>
        </w:rPr>
      </w:pPr>
    </w:p>
    <w:p>
      <w:pPr>
        <w:jc w:val="both"/>
        <w:ind w:left="1060" w:right="100" w:hanging="404"/>
        <w:spacing w:after="0" w:line="234"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estimate that our 2014 contributions to defined benefit pension plans and pension benefits to be paid directly by the company to be $6.4 million. However, that estimate is subject to revision based on many factors. The amount of contributions after 2014 is subject to many variables, including return of pension plan assets, interest rates, and tax and employee benefit laws. Therefore, contributions beyond 2014 are not included in this schedule.</w:t>
      </w:r>
    </w:p>
    <w:p>
      <w:pPr>
        <w:spacing w:after="0" w:line="3" w:lineRule="exact"/>
        <w:rPr>
          <w:rFonts w:ascii="Arial" w:cs="Arial" w:eastAsia="Arial" w:hAnsi="Arial"/>
          <w:sz w:val="18"/>
          <w:szCs w:val="18"/>
          <w:color w:val="auto"/>
        </w:rPr>
      </w:pPr>
    </w:p>
    <w:p>
      <w:pPr>
        <w:ind w:left="1060" w:right="140" w:hanging="404"/>
        <w:spacing w:after="0" w:line="234"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Estimated cash outflow for other postretirement benefits is consistent with the expected benefit payments as presented in Note 5 of Notes to Consolidated Financial Statements in Item 8.</w:t>
      </w:r>
    </w:p>
    <w:p>
      <w:pPr>
        <w:spacing w:after="0" w:line="1" w:lineRule="exact"/>
        <w:rPr>
          <w:rFonts w:ascii="Arial" w:cs="Arial" w:eastAsia="Arial" w:hAnsi="Arial"/>
          <w:sz w:val="18"/>
          <w:szCs w:val="18"/>
          <w:color w:val="auto"/>
        </w:rPr>
      </w:pPr>
    </w:p>
    <w:p>
      <w:pPr>
        <w:ind w:left="1060" w:right="220" w:hanging="404"/>
        <w:spacing w:after="0" w:line="239"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Estimated payments for deferred compensation, taxes, and other noncurrent liabilities are not included in this table due to the uncertain timing of the ultimate cash settlement. Also, this table does not reflect unrecognized tax benefits of $12.5 million, the timing of which is uncertain. Refer to Note 8 of the Consolidated Financial Statements in Item 8, which is incorporated herein by reference, for additional discussion on unrecognized tax benefits.</w:t>
      </w:r>
    </w:p>
    <w:p>
      <w:pPr>
        <w:spacing w:after="0" w:line="161"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The foregoing table should not be deemed to represent all of our future cash requirements, which will vary based on our future needs. While the cash required to satisfy the obligations set forth in the table is reasonably determinable in advance, many other cash needs, such as raw materials costs, payroll, and taxes, are dependent on future events and are harder to predict. In addition, while the contingencies described in Note 17 of Notes to Consolidated Financial Statements are not currently anticipated to have a material adverse effect on our Company, there can be no assurance that this may not change. Subject to the foregoing, we currently expect that cash from operations and the other sources of liquidity described above will be sufficient to enable us to meet the foregoing cash obligations, as well as to meet our other cash requirements.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4" w:lineRule="exact"/>
        <w:rPr>
          <w:sz w:val="20"/>
          <w:szCs w:val="20"/>
          <w:color w:val="auto"/>
        </w:rPr>
      </w:pPr>
    </w:p>
    <w:p>
      <w:pPr>
        <w:ind w:right="880" w:firstLine="648"/>
        <w:spacing w:after="0" w:line="246" w:lineRule="auto"/>
        <w:rPr>
          <w:sz w:val="20"/>
          <w:szCs w:val="20"/>
          <w:color w:val="auto"/>
        </w:rPr>
      </w:pPr>
      <w:r>
        <w:rPr>
          <w:rFonts w:ascii="Arial" w:cs="Arial" w:eastAsia="Arial" w:hAnsi="Arial"/>
          <w:sz w:val="18"/>
          <w:szCs w:val="18"/>
          <w:color w:val="auto"/>
        </w:rPr>
        <w:t>The information set forth above may be found under Item 8. Financial Statements and Supplementary Data, Note 1, which is incorporated herein by reference.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Estimates</w:t>
      </w:r>
    </w:p>
    <w:p>
      <w:pPr>
        <w:spacing w:after="0" w:line="193"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For the discussion on our accounting policies, see Item 8. Financial Statements and Supplementary Data, Note 1, which is incorporated herein by reference. The preparation of financial statements in conformity with accounting principles generally accepted in the United States of America requires management to make assumptions and estimates that directly affect the amounts reported in the Consolidated Financial Statements. Each of these assumptions is subject to uncertainties and changes in those assumptions or judgments can affect our results of operations. In addition to the accounting policies stated in Item 8. Financial Statements and Supplementary Data, Note 1, financial statement amounts and disclosures are significantly influenced by market factors, judgments and estimates as described below.</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93" w:lineRule="exact"/>
        <w:rPr>
          <w:sz w:val="20"/>
          <w:szCs w:val="20"/>
          <w:color w:val="auto"/>
        </w:rPr>
      </w:pPr>
    </w:p>
    <w:p>
      <w:pPr>
        <w:ind w:right="220" w:firstLine="648"/>
        <w:spacing w:after="0" w:line="239" w:lineRule="auto"/>
        <w:rPr>
          <w:sz w:val="20"/>
          <w:szCs w:val="20"/>
          <w:color w:val="auto"/>
        </w:rPr>
      </w:pPr>
      <w:r>
        <w:rPr>
          <w:rFonts w:ascii="Arial" w:cs="Arial" w:eastAsia="Arial" w:hAnsi="Arial"/>
          <w:sz w:val="18"/>
          <w:szCs w:val="18"/>
          <w:color w:val="auto"/>
        </w:rPr>
        <w:t>A significant portion of AEC’s revenue is derived from fixed price contracts that are accounted for using the percentage of completion method. For these contracts, we estimate the profit margin expected at the completion of the contract and recognize a pro-rata share of that profit during the course of the contract using a cost-to-cost or units of delivery approach, depending on the type of contract. Changes in estimated contract profitability will affect revenue and gross profit when</w:t>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36" w:name="page37"/>
    <w:bookmarkEnd w:id="36"/>
    <w:p>
      <w:pPr>
        <w:ind w:right="100"/>
        <w:spacing w:after="0" w:line="237" w:lineRule="auto"/>
        <w:rPr>
          <w:sz w:val="20"/>
          <w:szCs w:val="20"/>
          <w:color w:val="auto"/>
        </w:rPr>
      </w:pPr>
      <w:r>
        <w:rPr>
          <w:rFonts w:ascii="Arial" w:cs="Arial" w:eastAsia="Arial" w:hAnsi="Arial"/>
          <w:sz w:val="18"/>
          <w:szCs w:val="18"/>
          <w:color w:val="auto"/>
        </w:rPr>
        <w:t xml:space="preserve">the change occurs, which could have a significant favorable or unfavorable effect on revenue and gross profit in any reporting period. The Engineered Composites segment has some long-term aerospace contracts under which there are two phases: a phase during which the production part is designed and tested, and a phase of supplying production parts. Certain costs are capitalized during the first phase, such as costs for engineering, equipment, and inventory, where recovery is probable. Revenue will be recognized during the second phase using a percentage of completion method. Accumulated capitalized costs are written-off when those costs are determined to be unrecoverable. Also, refer to information under </w:t>
      </w:r>
      <w:r>
        <w:rPr>
          <w:rFonts w:ascii="Arial" w:cs="Arial" w:eastAsia="Arial" w:hAnsi="Arial"/>
          <w:sz w:val="18"/>
          <w:szCs w:val="18"/>
          <w:i w:val="1"/>
          <w:iCs w:val="1"/>
          <w:color w:val="auto"/>
        </w:rPr>
        <w:t>Long-term Contracts</w:t>
      </w:r>
      <w:r>
        <w:rPr>
          <w:rFonts w:ascii="Arial" w:cs="Arial" w:eastAsia="Arial" w:hAnsi="Arial"/>
          <w:sz w:val="18"/>
          <w:szCs w:val="18"/>
          <w:color w:val="auto"/>
        </w:rPr>
        <w:t xml:space="preserve"> in Item 7 </w:t>
      </w:r>
      <w:r>
        <w:rPr>
          <w:rFonts w:ascii="Arial" w:cs="Arial" w:eastAsia="Arial" w:hAnsi="Arial"/>
          <w:sz w:val="18"/>
          <w:szCs w:val="18"/>
          <w:i w:val="1"/>
          <w:iCs w:val="1"/>
          <w:color w:val="auto"/>
        </w:rPr>
        <w:t>Management’s Discussion and Analysis</w:t>
      </w:r>
      <w:r>
        <w:rPr>
          <w:rFonts w:ascii="Arial" w:cs="Arial" w:eastAsia="Arial" w:hAnsi="Arial"/>
          <w:sz w:val="18"/>
          <w:szCs w:val="18"/>
          <w:color w:val="auto"/>
        </w:rPr>
        <w:t xml:space="preserve"> of this Form 10-K, which is incorporated herein by reference.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 Care Liabilities</w:t>
      </w:r>
    </w:p>
    <w:p>
      <w:pPr>
        <w:spacing w:after="0" w:line="207" w:lineRule="exact"/>
        <w:rPr>
          <w:sz w:val="20"/>
          <w:szCs w:val="20"/>
          <w:color w:val="auto"/>
        </w:rPr>
      </w:pPr>
    </w:p>
    <w:p>
      <w:pPr>
        <w:ind w:right="60" w:firstLine="648"/>
        <w:spacing w:after="0" w:line="237" w:lineRule="auto"/>
        <w:rPr>
          <w:sz w:val="20"/>
          <w:szCs w:val="20"/>
          <w:color w:val="auto"/>
        </w:rPr>
      </w:pPr>
      <w:r>
        <w:rPr>
          <w:rFonts w:ascii="Arial" w:cs="Arial" w:eastAsia="Arial" w:hAnsi="Arial"/>
          <w:sz w:val="18"/>
          <w:szCs w:val="18"/>
          <w:color w:val="auto"/>
        </w:rPr>
        <w:t>The Company is self-insured for some employee and business risks, including health care and workers’ compensation programs in the United States. Losses under all of these programs are accrued based on estimates of the ultimate liability for claims reported and an estimate of claims incurred but not reported, with assistance from third-party actuaries and service providers. However, these liabilities are difficult to assess and estimate due to unknown factors, including the severity of an illness or injury and the number of incidents not reported. The accruals are based upon known facts and historical trends, and management believes such accruals to be adequate. If actual results significantly differ from estimates used to calculate the liability, the Company’s financial condition, results of operations and cash flows could be materially impacted by losses under these programs, as well as higher stop-loss premiums in future periods.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and Postretirement Liabilities</w:t>
      </w:r>
    </w:p>
    <w:p>
      <w:pPr>
        <w:spacing w:after="0" w:line="193" w:lineRule="exact"/>
        <w:rPr>
          <w:sz w:val="20"/>
          <w:szCs w:val="20"/>
          <w:color w:val="auto"/>
        </w:rPr>
      </w:pPr>
    </w:p>
    <w:p>
      <w:pPr>
        <w:ind w:right="60" w:firstLine="648"/>
        <w:spacing w:after="0" w:line="237" w:lineRule="auto"/>
        <w:rPr>
          <w:sz w:val="20"/>
          <w:szCs w:val="20"/>
          <w:color w:val="auto"/>
        </w:rPr>
      </w:pPr>
      <w:r>
        <w:rPr>
          <w:rFonts w:ascii="Arial" w:cs="Arial" w:eastAsia="Arial" w:hAnsi="Arial"/>
          <w:sz w:val="18"/>
          <w:szCs w:val="18"/>
          <w:color w:val="auto"/>
        </w:rPr>
        <w:t>The Company has pension and postretirement benefit costs and liabilities that are developed from actuarial valuations. Inherent in these valuations are key assumptions, including discount rates and expected return on plan assets, which are updated on an annual basis. As of December 31, 2013, net liabilities under our defined benefit pension plans exceeded plan assets by $35.9 million, of which $24.5 million was for plans outside of the U.S. Additionally, at December 31, 2013 postretirement liabilities totaled $61.1 million, substantially all of which related to our U.S plan. As of December 31, 2013, we have unrecognized net losses of $74.8 million for pension plans, and an unrecognized net gain of $3.2 million for postretirement benefit plans that will be amortized in future periods. The unrecognized net loss in pension plans is primarily attributable to past changes in interest rates and unfavorable investment returns in 2008.</w:t>
      </w:r>
    </w:p>
    <w:p>
      <w:pPr>
        <w:spacing w:after="0" w:line="176"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We are required to consider current market conditions, including changes in interest rates, in making these assumptions. We anticipate 2014 employer contributions and direct employment payments of $6.4 million for pension plans and $5.1 million for postretirement benefit plans. Changes in the related pension and postretirement benefit costs or credits may occur in the future due to changes in the assumptions. The amount of annual pension plan funding and annual expense is subject to many variables, including the investment return on pension plan assets and interest rates, and actual contributions could vary significantly. Assumptions used for determining pension plan liabilities and expenses are evaluated and updated at least annually.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93"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We have contingent liabilities for litigation, claims, and assessments that result from the ordinary course of business. These matters are more fully described in Note 17 of the Consolidated Financial Statements in Item 8.</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Financial Assets and Liabilities</w:t>
      </w:r>
    </w:p>
    <w:p>
      <w:pPr>
        <w:spacing w:after="0" w:line="193" w:lineRule="exact"/>
        <w:rPr>
          <w:sz w:val="20"/>
          <w:szCs w:val="20"/>
          <w:color w:val="auto"/>
        </w:rPr>
      </w:pPr>
    </w:p>
    <w:p>
      <w:pPr>
        <w:ind w:right="60" w:firstLine="648"/>
        <w:spacing w:after="0" w:line="238" w:lineRule="auto"/>
        <w:rPr>
          <w:sz w:val="20"/>
          <w:szCs w:val="20"/>
          <w:color w:val="auto"/>
        </w:rPr>
      </w:pPr>
      <w:r>
        <w:rPr>
          <w:rFonts w:ascii="Arial" w:cs="Arial" w:eastAsia="Arial" w:hAnsi="Arial"/>
          <w:sz w:val="18"/>
          <w:szCs w:val="18"/>
          <w:color w:val="auto"/>
        </w:rPr>
        <w:t>We have certain financial assets and liabilities that are measured at fair value on a recurring basis, in accordance with the applicable accounting guidance. Fair values are based on assumptions that market participants would use in pricing an asset or liability, which include review of observable inputs, market quotes, and assumptions of expected cash flows. In certain cases this determination of value may require some level of valuation analysis, interpretation of information, and judgment. As these key observable inputs and assumptions change in future periods, the Company will update its valuation to reflect market conditions.</w:t>
      </w:r>
    </w:p>
    <w:p>
      <w:pPr>
        <w:spacing w:after="0" w:line="176"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We may enter into hedging transactions from time to time in order to mitigate volatility in cash flows, which can be caused by changes in currency exchange rates. To qualify for hedge accounting under the applicable accounting guidance, the hedging relationship between the hedging instrument and the hedged item must be effective in achieving the offset of changes that are attributable to the hedged risk, both at the inception of the hedge and on a continuing basis until maturity or settlement of the hedging instrument. Hedge effectiveness, which would be tested by the Company periodically, is dependent upon market factors and changes in currency exchange rates, which are unpredictable. In the event that the hedged item falls below the hedging instrument, any gains or losses related to the ineffective portion of the hedge will be recognized in the current period in earnings.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93" w:lineRule="exact"/>
        <w:rPr>
          <w:sz w:val="20"/>
          <w:szCs w:val="20"/>
          <w:color w:val="auto"/>
        </w:rPr>
      </w:pPr>
    </w:p>
    <w:p>
      <w:pPr>
        <w:ind w:right="60" w:firstLine="648"/>
        <w:spacing w:after="0" w:line="236" w:lineRule="auto"/>
        <w:rPr>
          <w:sz w:val="20"/>
          <w:szCs w:val="20"/>
          <w:color w:val="auto"/>
        </w:rPr>
      </w:pPr>
      <w:r>
        <w:rPr>
          <w:rFonts w:ascii="Arial" w:cs="Arial" w:eastAsia="Arial" w:hAnsi="Arial"/>
          <w:sz w:val="18"/>
          <w:szCs w:val="18"/>
          <w:color w:val="auto"/>
        </w:rPr>
        <w:t>This Form 10-K contains certain items, such as earnings before interest, taxes, depreciation and amortization (EBITDA), Adjusted EBITDA, sales excluding currency effects, income tax rate exclusive of income tax adjustments, net debt, and certain income and expense items on a per share basis that could be considered non-GAAP financial measures. Such items are provided because management believes that, when presented together with the GAAP items to which they relate, they provide additional useful information to investors regarding the Company’s operational performance. Presenting increases or decreases in sales, after currency effects are excluded, can give management and investors insight into underlying sales trends. An understanding of the impact in a particular quarter of specific restructuring costs, or other gains and losses, on operating income or EBITDA can give management and investors additional insight into quarterly performance, especially when compared to quarters in which such items had a greater or lesser effect, or no effect. All non-GAAP financial measures in this release relate to the Company’s continuing operations.</w:t>
      </w:r>
    </w:p>
    <w:p>
      <w:pPr>
        <w:spacing w:after="0" w:line="180" w:lineRule="exact"/>
        <w:rPr>
          <w:sz w:val="20"/>
          <w:szCs w:val="20"/>
          <w:color w:val="auto"/>
        </w:rPr>
      </w:pPr>
    </w:p>
    <w:p>
      <w:pPr>
        <w:ind w:right="100" w:firstLine="648"/>
        <w:spacing w:after="0" w:line="236" w:lineRule="auto"/>
        <w:rPr>
          <w:sz w:val="20"/>
          <w:szCs w:val="20"/>
          <w:color w:val="auto"/>
        </w:rPr>
      </w:pPr>
      <w:r>
        <w:rPr>
          <w:rFonts w:ascii="Arial" w:cs="Arial" w:eastAsia="Arial" w:hAnsi="Arial"/>
          <w:sz w:val="18"/>
          <w:szCs w:val="18"/>
          <w:color w:val="auto"/>
        </w:rPr>
        <w:t>The effect of changes in currency translation rates is calculated by converting amounts reported in local currencies into U.S. dollars at the exchange rate of a prior period. That amount is then compared to the U.S. dollar amount reported in the current period. The Company calculates Income tax adjustments by adding discrete tax items to the effect of a change in tax rate for the reporting period. The Company calculates its Income tax rate, exclusive of Income tax adjustments, by removing Income tax adjustments from total Income tax expense, then dividing that result by Income before tax. The Company calculates EBITDA by removing the following from Net income: Interest expense net, Income taxes, Depreciation and Amortization, and Income or loss from Discontinued Operations. Adjusted EBITDA is calculated by adding to EBITDA, costs associated with restructuring and pension settlement charges, adding or subtracting revaluation losses or gains, subtracting building sale gains, and subtracting Income attributable to the noncontrolling interest. The Company believes that EBITDA and Adjusted EBITDA provide useful information to investors because they provide an indication of the strength and performance of the Company’s ongoing business operations, including its ability to fund discretionary spending such as capital expenditures and strategic investments, as well as its ability to incur and service debt. While depreciation and amortization are operating costs under GAAP, they are non-cash expenses equal to current period allocation of costs associated with capital and other long-lived investments made in prior periods. While restructuring expenses, foreign currency revaluation losses or gains, pension settlement charges, and building sale gains have an impact on the Company’s net income, removing</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38" w:name="page39"/>
    <w:bookmarkEnd w:id="38"/>
    <w:p>
      <w:pPr>
        <w:ind w:right="340"/>
        <w:spacing w:after="0" w:line="238" w:lineRule="auto"/>
        <w:rPr>
          <w:sz w:val="20"/>
          <w:szCs w:val="20"/>
          <w:color w:val="auto"/>
        </w:rPr>
      </w:pPr>
      <w:r>
        <w:rPr>
          <w:rFonts w:ascii="Arial" w:cs="Arial" w:eastAsia="Arial" w:hAnsi="Arial"/>
          <w:sz w:val="18"/>
          <w:szCs w:val="18"/>
          <w:color w:val="auto"/>
        </w:rPr>
        <w:t>them from EBITDA can provide, in the opinion of the Company, a better measure of operating performance. EBITDA is also a calculation commonly used by investors and analysts to evaluate and compare the periodic and future operating performance and value of companies. EBITDA, as defined by the Company, may not be similar to EBITDA measures of other companies. Such EBITDA measures may not be considered measurements under GAAP, and should be considered in addition to, but not as substitutes for, the information contained in the Company’s statements of income.</w:t>
      </w:r>
    </w:p>
    <w:p>
      <w:pPr>
        <w:spacing w:after="0" w:line="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show the calculation of EBITDA and Adjusted EBITDA:</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18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2"/>
          </w:tcPr>
          <w:p>
            <w:pPr>
              <w:jc w:val="right"/>
              <w:ind w:right="430"/>
              <w:spacing w:after="0"/>
              <w:rPr>
                <w:sz w:val="20"/>
                <w:szCs w:val="20"/>
                <w:color w:val="auto"/>
              </w:rPr>
            </w:pPr>
            <w:r>
              <w:rPr>
                <w:rFonts w:ascii="Arial" w:cs="Arial" w:eastAsia="Arial" w:hAnsi="Arial"/>
                <w:sz w:val="18"/>
                <w:szCs w:val="18"/>
                <w:b w:val="1"/>
                <w:bCs w:val="1"/>
                <w:color w:val="auto"/>
              </w:rPr>
              <w:t>(in thousands)</w:t>
            </w:r>
          </w:p>
        </w:tc>
        <w:tc>
          <w:tcPr>
            <w:tcW w:w="12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99"/>
        </w:trPr>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Years ended December 31,</w:t>
            </w:r>
          </w:p>
        </w:tc>
        <w:tc>
          <w:tcPr>
            <w:tcW w:w="3500" w:type="dxa"/>
            <w:vAlign w:val="bottom"/>
            <w:tcBorders>
              <w:bottom w:val="single" w:sz="8" w:color="auto"/>
            </w:tcBorders>
            <w:gridSpan w:val="2"/>
          </w:tcPr>
          <w:p>
            <w:pPr>
              <w:jc w:val="right"/>
              <w:ind w:right="1050"/>
              <w:spacing w:after="0"/>
              <w:rPr>
                <w:sz w:val="20"/>
                <w:szCs w:val="20"/>
                <w:color w:val="auto"/>
              </w:rPr>
            </w:pPr>
            <w:r>
              <w:rPr>
                <w:rFonts w:ascii="Arial" w:cs="Arial" w:eastAsia="Arial" w:hAnsi="Arial"/>
                <w:sz w:val="18"/>
                <w:szCs w:val="18"/>
                <w:b w:val="1"/>
                <w:bCs w:val="1"/>
                <w:color w:val="auto"/>
              </w:rPr>
              <w:t>2013</w:t>
            </w:r>
          </w:p>
        </w:tc>
        <w:tc>
          <w:tcPr>
            <w:tcW w:w="148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b w:val="1"/>
                <w:bCs w:val="1"/>
                <w:color w:val="auto"/>
              </w:rPr>
              <w:t>2012</w:t>
            </w:r>
          </w:p>
        </w:tc>
        <w:tc>
          <w:tcPr>
            <w:tcW w:w="12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173"/>
        </w:trPr>
        <w:tc>
          <w:tcPr>
            <w:tcW w:w="5180" w:type="dxa"/>
            <w:vAlign w:val="bottom"/>
          </w:tcPr>
          <w:p>
            <w:pPr>
              <w:spacing w:after="0" w:line="173" w:lineRule="exact"/>
              <w:rPr>
                <w:sz w:val="20"/>
                <w:szCs w:val="20"/>
                <w:color w:val="auto"/>
              </w:rPr>
            </w:pPr>
            <w:r>
              <w:rPr>
                <w:rFonts w:ascii="Arial" w:cs="Arial" w:eastAsia="Arial" w:hAnsi="Arial"/>
                <w:sz w:val="18"/>
                <w:szCs w:val="18"/>
                <w:color w:val="auto"/>
              </w:rPr>
              <w:t>Net income</w:t>
            </w:r>
          </w:p>
        </w:tc>
        <w:tc>
          <w:tcPr>
            <w:tcW w:w="2080" w:type="dxa"/>
            <w:vAlign w:val="bottom"/>
          </w:tcPr>
          <w:p>
            <w:pPr>
              <w:spacing w:after="0"/>
              <w:rPr>
                <w:sz w:val="15"/>
                <w:szCs w:val="15"/>
                <w:color w:val="auto"/>
              </w:rPr>
            </w:pPr>
          </w:p>
        </w:tc>
        <w:tc>
          <w:tcPr>
            <w:tcW w:w="1420" w:type="dxa"/>
            <w:vAlign w:val="bottom"/>
          </w:tcPr>
          <w:p>
            <w:pPr>
              <w:jc w:val="right"/>
              <w:ind w:right="510"/>
              <w:spacing w:after="0" w:line="173" w:lineRule="exact"/>
              <w:rPr>
                <w:sz w:val="20"/>
                <w:szCs w:val="20"/>
                <w:color w:val="auto"/>
              </w:rPr>
            </w:pPr>
            <w:r>
              <w:rPr>
                <w:rFonts w:ascii="Arial" w:cs="Arial" w:eastAsia="Arial" w:hAnsi="Arial"/>
                <w:sz w:val="18"/>
                <w:szCs w:val="18"/>
                <w:b w:val="1"/>
                <w:bCs w:val="1"/>
                <w:color w:val="auto"/>
              </w:rPr>
              <w:t>$17,658</w:t>
            </w:r>
          </w:p>
        </w:tc>
        <w:tc>
          <w:tcPr>
            <w:tcW w:w="1480" w:type="dxa"/>
            <w:vAlign w:val="bottom"/>
          </w:tcPr>
          <w:p>
            <w:pPr>
              <w:jc w:val="right"/>
              <w:ind w:right="410"/>
              <w:spacing w:after="0" w:line="173" w:lineRule="exact"/>
              <w:rPr>
                <w:sz w:val="20"/>
                <w:szCs w:val="20"/>
                <w:color w:val="auto"/>
              </w:rPr>
            </w:pPr>
            <w:r>
              <w:rPr>
                <w:rFonts w:ascii="Arial" w:cs="Arial" w:eastAsia="Arial" w:hAnsi="Arial"/>
                <w:sz w:val="18"/>
                <w:szCs w:val="18"/>
                <w:color w:val="auto"/>
              </w:rPr>
              <w:t>$30,977</w:t>
            </w:r>
          </w:p>
        </w:tc>
        <w:tc>
          <w:tcPr>
            <w:tcW w:w="1260" w:type="dxa"/>
            <w:vAlign w:val="bottom"/>
          </w:tcPr>
          <w:p>
            <w:pPr>
              <w:jc w:val="right"/>
              <w:ind w:right="50"/>
              <w:spacing w:after="0" w:line="173" w:lineRule="exact"/>
              <w:rPr>
                <w:sz w:val="20"/>
                <w:szCs w:val="20"/>
                <w:color w:val="auto"/>
              </w:rPr>
            </w:pPr>
            <w:r>
              <w:rPr>
                <w:rFonts w:ascii="Arial" w:cs="Arial" w:eastAsia="Arial" w:hAnsi="Arial"/>
                <w:sz w:val="18"/>
                <w:szCs w:val="18"/>
                <w:color w:val="auto"/>
              </w:rPr>
              <w:t>$34,938</w:t>
            </w:r>
          </w:p>
        </w:tc>
        <w:tc>
          <w:tcPr>
            <w:tcW w:w="0" w:type="dxa"/>
            <w:vAlign w:val="bottom"/>
          </w:tcPr>
          <w:p>
            <w:pPr>
              <w:spacing w:after="0"/>
              <w:rPr>
                <w:sz w:val="1"/>
                <w:szCs w:val="1"/>
                <w:color w:val="auto"/>
              </w:rPr>
            </w:pPr>
          </w:p>
        </w:tc>
      </w:tr>
      <w:tr>
        <w:trPr>
          <w:trHeight w:val="203"/>
        </w:trPr>
        <w:tc>
          <w:tcPr>
            <w:tcW w:w="5180" w:type="dxa"/>
            <w:vAlign w:val="bottom"/>
          </w:tcPr>
          <w:p>
            <w:pPr>
              <w:spacing w:after="0" w:line="202" w:lineRule="exact"/>
              <w:rPr>
                <w:sz w:val="20"/>
                <w:szCs w:val="20"/>
                <w:color w:val="auto"/>
              </w:rPr>
            </w:pPr>
            <w:r>
              <w:rPr>
                <w:rFonts w:ascii="Arial" w:cs="Arial" w:eastAsia="Arial" w:hAnsi="Arial"/>
                <w:sz w:val="18"/>
                <w:szCs w:val="18"/>
                <w:color w:val="auto"/>
              </w:rPr>
              <w:t>Loss/(income) from discontinued operations</w:t>
            </w:r>
          </w:p>
        </w:tc>
        <w:tc>
          <w:tcPr>
            <w:tcW w:w="2080" w:type="dxa"/>
            <w:vAlign w:val="bottom"/>
          </w:tcPr>
          <w:p>
            <w:pPr>
              <w:spacing w:after="0"/>
              <w:rPr>
                <w:sz w:val="17"/>
                <w:szCs w:val="17"/>
                <w:color w:val="auto"/>
              </w:rPr>
            </w:pPr>
          </w:p>
        </w:tc>
        <w:tc>
          <w:tcPr>
            <w:tcW w:w="1420" w:type="dxa"/>
            <w:vAlign w:val="bottom"/>
          </w:tcPr>
          <w:p>
            <w:pPr>
              <w:jc w:val="right"/>
              <w:ind w:right="510"/>
              <w:spacing w:after="0" w:line="202" w:lineRule="exact"/>
              <w:rPr>
                <w:sz w:val="20"/>
                <w:szCs w:val="20"/>
                <w:color w:val="auto"/>
              </w:rPr>
            </w:pPr>
            <w:r>
              <w:rPr>
                <w:rFonts w:ascii="Arial" w:cs="Arial" w:eastAsia="Arial" w:hAnsi="Arial"/>
                <w:sz w:val="18"/>
                <w:szCs w:val="18"/>
                <w:b w:val="1"/>
                <w:bCs w:val="1"/>
                <w:color w:val="auto"/>
              </w:rPr>
              <w:t>46</w:t>
            </w:r>
          </w:p>
        </w:tc>
        <w:tc>
          <w:tcPr>
            <w:tcW w:w="148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(71,820)</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(13,672)</w:t>
            </w:r>
          </w:p>
        </w:tc>
        <w:tc>
          <w:tcPr>
            <w:tcW w:w="0" w:type="dxa"/>
            <w:vAlign w:val="bottom"/>
          </w:tcPr>
          <w:p>
            <w:pPr>
              <w:spacing w:after="0"/>
              <w:rPr>
                <w:sz w:val="1"/>
                <w:szCs w:val="1"/>
                <w:color w:val="auto"/>
              </w:rPr>
            </w:pPr>
          </w:p>
        </w:tc>
      </w:tr>
      <w:tr>
        <w:trPr>
          <w:trHeight w:val="203"/>
        </w:trPr>
        <w:tc>
          <w:tcPr>
            <w:tcW w:w="5180" w:type="dxa"/>
            <w:vAlign w:val="bottom"/>
          </w:tcPr>
          <w:p>
            <w:pPr>
              <w:spacing w:after="0" w:line="202" w:lineRule="exact"/>
              <w:rPr>
                <w:sz w:val="20"/>
                <w:szCs w:val="20"/>
                <w:color w:val="auto"/>
              </w:rPr>
            </w:pPr>
            <w:r>
              <w:rPr>
                <w:rFonts w:ascii="Arial" w:cs="Arial" w:eastAsia="Arial" w:hAnsi="Arial"/>
                <w:sz w:val="18"/>
                <w:szCs w:val="18"/>
                <w:color w:val="auto"/>
              </w:rPr>
              <w:t>Interest expense, net</w:t>
            </w:r>
          </w:p>
        </w:tc>
        <w:tc>
          <w:tcPr>
            <w:tcW w:w="2080" w:type="dxa"/>
            <w:vAlign w:val="bottom"/>
          </w:tcPr>
          <w:p>
            <w:pPr>
              <w:spacing w:after="0"/>
              <w:rPr>
                <w:sz w:val="17"/>
                <w:szCs w:val="17"/>
                <w:color w:val="auto"/>
              </w:rPr>
            </w:pPr>
          </w:p>
        </w:tc>
        <w:tc>
          <w:tcPr>
            <w:tcW w:w="1420" w:type="dxa"/>
            <w:vAlign w:val="bottom"/>
          </w:tcPr>
          <w:p>
            <w:pPr>
              <w:jc w:val="right"/>
              <w:ind w:right="510"/>
              <w:spacing w:after="0" w:line="202" w:lineRule="exact"/>
              <w:rPr>
                <w:sz w:val="20"/>
                <w:szCs w:val="20"/>
                <w:color w:val="auto"/>
              </w:rPr>
            </w:pPr>
            <w:r>
              <w:rPr>
                <w:rFonts w:ascii="Arial" w:cs="Arial" w:eastAsia="Arial" w:hAnsi="Arial"/>
                <w:sz w:val="18"/>
                <w:szCs w:val="18"/>
                <w:b w:val="1"/>
                <w:bCs w:val="1"/>
                <w:color w:val="auto"/>
              </w:rPr>
              <w:t>13,759</w:t>
            </w:r>
          </w:p>
        </w:tc>
        <w:tc>
          <w:tcPr>
            <w:tcW w:w="148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16,601</w:t>
            </w:r>
          </w:p>
        </w:tc>
        <w:tc>
          <w:tcPr>
            <w:tcW w:w="12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18,121</w:t>
            </w:r>
          </w:p>
        </w:tc>
        <w:tc>
          <w:tcPr>
            <w:tcW w:w="0" w:type="dxa"/>
            <w:vAlign w:val="bottom"/>
          </w:tcPr>
          <w:p>
            <w:pPr>
              <w:spacing w:after="0"/>
              <w:rPr>
                <w:sz w:val="1"/>
                <w:szCs w:val="1"/>
                <w:color w:val="auto"/>
              </w:rPr>
            </w:pPr>
          </w:p>
        </w:tc>
      </w:tr>
      <w:tr>
        <w:trPr>
          <w:trHeight w:val="203"/>
        </w:trPr>
        <w:tc>
          <w:tcPr>
            <w:tcW w:w="5180" w:type="dxa"/>
            <w:vAlign w:val="bottom"/>
          </w:tcPr>
          <w:p>
            <w:pPr>
              <w:spacing w:after="0" w:line="202" w:lineRule="exact"/>
              <w:rPr>
                <w:sz w:val="20"/>
                <w:szCs w:val="20"/>
                <w:color w:val="auto"/>
              </w:rPr>
            </w:pPr>
            <w:r>
              <w:rPr>
                <w:rFonts w:ascii="Arial" w:cs="Arial" w:eastAsia="Arial" w:hAnsi="Arial"/>
                <w:sz w:val="18"/>
                <w:szCs w:val="18"/>
                <w:color w:val="auto"/>
              </w:rPr>
              <w:t>Income tax expense/(benefit)</w:t>
            </w:r>
          </w:p>
        </w:tc>
        <w:tc>
          <w:tcPr>
            <w:tcW w:w="2080" w:type="dxa"/>
            <w:vAlign w:val="bottom"/>
          </w:tcPr>
          <w:p>
            <w:pPr>
              <w:spacing w:after="0"/>
              <w:rPr>
                <w:sz w:val="17"/>
                <w:szCs w:val="17"/>
                <w:color w:val="auto"/>
              </w:rPr>
            </w:pPr>
          </w:p>
        </w:tc>
        <w:tc>
          <w:tcPr>
            <w:tcW w:w="1420" w:type="dxa"/>
            <w:vAlign w:val="bottom"/>
          </w:tcPr>
          <w:p>
            <w:pPr>
              <w:jc w:val="right"/>
              <w:ind w:right="510"/>
              <w:spacing w:after="0" w:line="202" w:lineRule="exact"/>
              <w:rPr>
                <w:sz w:val="20"/>
                <w:szCs w:val="20"/>
                <w:color w:val="auto"/>
              </w:rPr>
            </w:pPr>
            <w:r>
              <w:rPr>
                <w:rFonts w:ascii="Arial" w:cs="Arial" w:eastAsia="Arial" w:hAnsi="Arial"/>
                <w:sz w:val="18"/>
                <w:szCs w:val="18"/>
                <w:b w:val="1"/>
                <w:bCs w:val="1"/>
                <w:color w:val="auto"/>
              </w:rPr>
              <w:t>13,372</w:t>
            </w:r>
          </w:p>
        </w:tc>
        <w:tc>
          <w:tcPr>
            <w:tcW w:w="148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(27,523)</w:t>
            </w:r>
          </w:p>
        </w:tc>
        <w:tc>
          <w:tcPr>
            <w:tcW w:w="12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32,582</w:t>
            </w:r>
          </w:p>
        </w:tc>
        <w:tc>
          <w:tcPr>
            <w:tcW w:w="0" w:type="dxa"/>
            <w:vAlign w:val="bottom"/>
          </w:tcPr>
          <w:p>
            <w:pPr>
              <w:spacing w:after="0"/>
              <w:rPr>
                <w:sz w:val="1"/>
                <w:szCs w:val="1"/>
                <w:color w:val="auto"/>
              </w:rPr>
            </w:pPr>
          </w:p>
        </w:tc>
      </w:tr>
      <w:tr>
        <w:trPr>
          <w:trHeight w:val="225"/>
        </w:trPr>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Depreciation and amortization</w:t>
            </w:r>
          </w:p>
        </w:tc>
        <w:tc>
          <w:tcPr>
            <w:tcW w:w="20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63,789</w:t>
            </w:r>
          </w:p>
        </w:tc>
        <w:tc>
          <w:tcPr>
            <w:tcW w:w="14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63,067</w:t>
            </w: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63,812</w:t>
            </w:r>
          </w:p>
        </w:tc>
        <w:tc>
          <w:tcPr>
            <w:tcW w:w="0" w:type="dxa"/>
            <w:vAlign w:val="bottom"/>
          </w:tcPr>
          <w:p>
            <w:pPr>
              <w:spacing w:after="0"/>
              <w:rPr>
                <w:sz w:val="1"/>
                <w:szCs w:val="1"/>
                <w:color w:val="auto"/>
              </w:rPr>
            </w:pPr>
          </w:p>
        </w:tc>
      </w:tr>
      <w:tr>
        <w:trPr>
          <w:trHeight w:val="173"/>
        </w:trPr>
        <w:tc>
          <w:tcPr>
            <w:tcW w:w="5180" w:type="dxa"/>
            <w:vAlign w:val="bottom"/>
          </w:tcPr>
          <w:p>
            <w:pPr>
              <w:spacing w:after="0" w:line="173" w:lineRule="exact"/>
              <w:rPr>
                <w:sz w:val="20"/>
                <w:szCs w:val="20"/>
                <w:color w:val="auto"/>
              </w:rPr>
            </w:pPr>
            <w:r>
              <w:rPr>
                <w:rFonts w:ascii="Arial" w:cs="Arial" w:eastAsia="Arial" w:hAnsi="Arial"/>
                <w:sz w:val="18"/>
                <w:szCs w:val="18"/>
                <w:color w:val="auto"/>
              </w:rPr>
              <w:t>EBITDA</w:t>
            </w:r>
          </w:p>
        </w:tc>
        <w:tc>
          <w:tcPr>
            <w:tcW w:w="2080" w:type="dxa"/>
            <w:vAlign w:val="bottom"/>
          </w:tcPr>
          <w:p>
            <w:pPr>
              <w:spacing w:after="0"/>
              <w:rPr>
                <w:sz w:val="15"/>
                <w:szCs w:val="15"/>
                <w:color w:val="auto"/>
              </w:rPr>
            </w:pPr>
          </w:p>
        </w:tc>
        <w:tc>
          <w:tcPr>
            <w:tcW w:w="1420" w:type="dxa"/>
            <w:vAlign w:val="bottom"/>
          </w:tcPr>
          <w:p>
            <w:pPr>
              <w:jc w:val="right"/>
              <w:ind w:right="510"/>
              <w:spacing w:after="0" w:line="173" w:lineRule="exact"/>
              <w:rPr>
                <w:sz w:val="20"/>
                <w:szCs w:val="20"/>
                <w:color w:val="auto"/>
              </w:rPr>
            </w:pPr>
            <w:r>
              <w:rPr>
                <w:rFonts w:ascii="Arial" w:cs="Arial" w:eastAsia="Arial" w:hAnsi="Arial"/>
                <w:sz w:val="18"/>
                <w:szCs w:val="18"/>
                <w:b w:val="1"/>
                <w:bCs w:val="1"/>
                <w:color w:val="auto"/>
              </w:rPr>
              <w:t>108,624</w:t>
            </w:r>
          </w:p>
        </w:tc>
        <w:tc>
          <w:tcPr>
            <w:tcW w:w="1480" w:type="dxa"/>
            <w:vAlign w:val="bottom"/>
          </w:tcPr>
          <w:p>
            <w:pPr>
              <w:jc w:val="right"/>
              <w:ind w:right="410"/>
              <w:spacing w:after="0" w:line="173" w:lineRule="exact"/>
              <w:rPr>
                <w:sz w:val="20"/>
                <w:szCs w:val="20"/>
                <w:color w:val="auto"/>
              </w:rPr>
            </w:pPr>
            <w:r>
              <w:rPr>
                <w:rFonts w:ascii="Arial" w:cs="Arial" w:eastAsia="Arial" w:hAnsi="Arial"/>
                <w:sz w:val="18"/>
                <w:szCs w:val="18"/>
                <w:color w:val="auto"/>
              </w:rPr>
              <w:t>11,302</w:t>
            </w:r>
          </w:p>
        </w:tc>
        <w:tc>
          <w:tcPr>
            <w:tcW w:w="1260" w:type="dxa"/>
            <w:vAlign w:val="bottom"/>
          </w:tcPr>
          <w:p>
            <w:pPr>
              <w:jc w:val="right"/>
              <w:ind w:right="50"/>
              <w:spacing w:after="0" w:line="173" w:lineRule="exact"/>
              <w:rPr>
                <w:sz w:val="20"/>
                <w:szCs w:val="20"/>
                <w:color w:val="auto"/>
              </w:rPr>
            </w:pPr>
            <w:r>
              <w:rPr>
                <w:rFonts w:ascii="Arial" w:cs="Arial" w:eastAsia="Arial" w:hAnsi="Arial"/>
                <w:sz w:val="18"/>
                <w:szCs w:val="18"/>
                <w:color w:val="auto"/>
              </w:rPr>
              <w:t>135,781</w:t>
            </w:r>
          </w:p>
        </w:tc>
        <w:tc>
          <w:tcPr>
            <w:tcW w:w="0" w:type="dxa"/>
            <w:vAlign w:val="bottom"/>
          </w:tcPr>
          <w:p>
            <w:pPr>
              <w:spacing w:after="0"/>
              <w:rPr>
                <w:sz w:val="1"/>
                <w:szCs w:val="1"/>
                <w:color w:val="auto"/>
              </w:rPr>
            </w:pPr>
          </w:p>
        </w:tc>
      </w:tr>
      <w:tr>
        <w:trPr>
          <w:trHeight w:val="203"/>
        </w:trPr>
        <w:tc>
          <w:tcPr>
            <w:tcW w:w="5180" w:type="dxa"/>
            <w:vAlign w:val="bottom"/>
          </w:tcPr>
          <w:p>
            <w:pPr>
              <w:spacing w:after="0" w:line="202" w:lineRule="exact"/>
              <w:rPr>
                <w:sz w:val="20"/>
                <w:szCs w:val="20"/>
                <w:color w:val="auto"/>
              </w:rPr>
            </w:pPr>
            <w:r>
              <w:rPr>
                <w:rFonts w:ascii="Arial" w:cs="Arial" w:eastAsia="Arial" w:hAnsi="Arial"/>
                <w:sz w:val="18"/>
                <w:szCs w:val="18"/>
                <w:color w:val="auto"/>
              </w:rPr>
              <w:t>Restructuring and other, net</w:t>
            </w:r>
          </w:p>
        </w:tc>
        <w:tc>
          <w:tcPr>
            <w:tcW w:w="2080" w:type="dxa"/>
            <w:vAlign w:val="bottom"/>
          </w:tcPr>
          <w:p>
            <w:pPr>
              <w:spacing w:after="0"/>
              <w:rPr>
                <w:sz w:val="17"/>
                <w:szCs w:val="17"/>
                <w:color w:val="auto"/>
              </w:rPr>
            </w:pPr>
          </w:p>
        </w:tc>
        <w:tc>
          <w:tcPr>
            <w:tcW w:w="1420" w:type="dxa"/>
            <w:vAlign w:val="bottom"/>
          </w:tcPr>
          <w:p>
            <w:pPr>
              <w:jc w:val="right"/>
              <w:ind w:right="510"/>
              <w:spacing w:after="0" w:line="202" w:lineRule="exact"/>
              <w:rPr>
                <w:sz w:val="20"/>
                <w:szCs w:val="20"/>
                <w:color w:val="auto"/>
              </w:rPr>
            </w:pPr>
            <w:r>
              <w:rPr>
                <w:rFonts w:ascii="Arial" w:cs="Arial" w:eastAsia="Arial" w:hAnsi="Arial"/>
                <w:sz w:val="18"/>
                <w:szCs w:val="18"/>
                <w:b w:val="1"/>
                <w:bCs w:val="1"/>
                <w:color w:val="auto"/>
              </w:rPr>
              <w:t>25,108</w:t>
            </w:r>
          </w:p>
        </w:tc>
        <w:tc>
          <w:tcPr>
            <w:tcW w:w="148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7,061</w:t>
            </w:r>
          </w:p>
        </w:tc>
        <w:tc>
          <w:tcPr>
            <w:tcW w:w="12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9,317</w:t>
            </w:r>
          </w:p>
        </w:tc>
        <w:tc>
          <w:tcPr>
            <w:tcW w:w="0" w:type="dxa"/>
            <w:vAlign w:val="bottom"/>
          </w:tcPr>
          <w:p>
            <w:pPr>
              <w:spacing w:after="0"/>
              <w:rPr>
                <w:sz w:val="1"/>
                <w:szCs w:val="1"/>
                <w:color w:val="auto"/>
              </w:rPr>
            </w:pPr>
          </w:p>
        </w:tc>
      </w:tr>
      <w:tr>
        <w:trPr>
          <w:trHeight w:val="203"/>
        </w:trPr>
        <w:tc>
          <w:tcPr>
            <w:tcW w:w="5180" w:type="dxa"/>
            <w:vAlign w:val="bottom"/>
          </w:tcPr>
          <w:p>
            <w:pPr>
              <w:spacing w:after="0" w:line="202" w:lineRule="exact"/>
              <w:rPr>
                <w:sz w:val="20"/>
                <w:szCs w:val="20"/>
                <w:color w:val="auto"/>
              </w:rPr>
            </w:pPr>
            <w:r>
              <w:rPr>
                <w:rFonts w:ascii="Arial" w:cs="Arial" w:eastAsia="Arial" w:hAnsi="Arial"/>
                <w:sz w:val="18"/>
                <w:szCs w:val="18"/>
                <w:color w:val="auto"/>
              </w:rPr>
              <w:t>Foreign currency revaluation losses/(gains)</w:t>
            </w:r>
          </w:p>
        </w:tc>
        <w:tc>
          <w:tcPr>
            <w:tcW w:w="2080" w:type="dxa"/>
            <w:vAlign w:val="bottom"/>
          </w:tcPr>
          <w:p>
            <w:pPr>
              <w:spacing w:after="0"/>
              <w:rPr>
                <w:sz w:val="17"/>
                <w:szCs w:val="17"/>
                <w:color w:val="auto"/>
              </w:rPr>
            </w:pPr>
          </w:p>
        </w:tc>
        <w:tc>
          <w:tcPr>
            <w:tcW w:w="1420" w:type="dxa"/>
            <w:vAlign w:val="bottom"/>
          </w:tcPr>
          <w:p>
            <w:pPr>
              <w:jc w:val="right"/>
              <w:ind w:right="510"/>
              <w:spacing w:after="0" w:line="202" w:lineRule="exact"/>
              <w:rPr>
                <w:sz w:val="20"/>
                <w:szCs w:val="20"/>
                <w:color w:val="auto"/>
              </w:rPr>
            </w:pPr>
            <w:r>
              <w:rPr>
                <w:rFonts w:ascii="Arial" w:cs="Arial" w:eastAsia="Arial" w:hAnsi="Arial"/>
                <w:sz w:val="18"/>
                <w:szCs w:val="18"/>
                <w:b w:val="1"/>
                <w:bCs w:val="1"/>
                <w:color w:val="auto"/>
              </w:rPr>
              <w:t>5,567</w:t>
            </w:r>
          </w:p>
        </w:tc>
        <w:tc>
          <w:tcPr>
            <w:tcW w:w="148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7,350</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(2,761)</w:t>
            </w:r>
          </w:p>
        </w:tc>
        <w:tc>
          <w:tcPr>
            <w:tcW w:w="0" w:type="dxa"/>
            <w:vAlign w:val="bottom"/>
          </w:tcPr>
          <w:p>
            <w:pPr>
              <w:spacing w:after="0"/>
              <w:rPr>
                <w:sz w:val="1"/>
                <w:szCs w:val="1"/>
                <w:color w:val="auto"/>
              </w:rPr>
            </w:pPr>
          </w:p>
        </w:tc>
      </w:tr>
      <w:tr>
        <w:trPr>
          <w:trHeight w:val="225"/>
        </w:trPr>
        <w:tc>
          <w:tcPr>
            <w:tcW w:w="5180" w:type="dxa"/>
            <w:vAlign w:val="bottom"/>
          </w:tcPr>
          <w:p>
            <w:pPr>
              <w:spacing w:after="0"/>
              <w:rPr>
                <w:sz w:val="20"/>
                <w:szCs w:val="20"/>
                <w:color w:val="auto"/>
              </w:rPr>
            </w:pPr>
            <w:r>
              <w:rPr>
                <w:rFonts w:ascii="Arial" w:cs="Arial" w:eastAsia="Arial" w:hAnsi="Arial"/>
                <w:sz w:val="18"/>
                <w:szCs w:val="18"/>
                <w:color w:val="auto"/>
              </w:rPr>
              <w:t>Gain on sale of former manufacturing facilities</w:t>
            </w:r>
          </w:p>
        </w:tc>
        <w:tc>
          <w:tcPr>
            <w:tcW w:w="2080" w:type="dxa"/>
            <w:vAlign w:val="bottom"/>
          </w:tcPr>
          <w:p>
            <w:pPr>
              <w:spacing w:after="0"/>
              <w:rPr>
                <w:sz w:val="19"/>
                <w:szCs w:val="19"/>
                <w:color w:val="auto"/>
              </w:rPr>
            </w:pPr>
          </w:p>
        </w:tc>
        <w:tc>
          <w:tcPr>
            <w:tcW w:w="1420" w:type="dxa"/>
            <w:vAlign w:val="bottom"/>
          </w:tcPr>
          <w:p>
            <w:pPr>
              <w:jc w:val="right"/>
              <w:ind w:right="450"/>
              <w:spacing w:after="0"/>
              <w:rPr>
                <w:sz w:val="20"/>
                <w:szCs w:val="20"/>
                <w:color w:val="auto"/>
              </w:rPr>
            </w:pPr>
            <w:r>
              <w:rPr>
                <w:rFonts w:ascii="Arial" w:cs="Arial" w:eastAsia="Arial" w:hAnsi="Arial"/>
                <w:sz w:val="18"/>
                <w:szCs w:val="18"/>
                <w:b w:val="1"/>
                <w:bCs w:val="1"/>
                <w:color w:val="auto"/>
              </w:rPr>
              <w:t>(3,763)</w:t>
            </w:r>
          </w:p>
        </w:tc>
        <w:tc>
          <w:tcPr>
            <w:tcW w:w="14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03"/>
        </w:trPr>
        <w:tc>
          <w:tcPr>
            <w:tcW w:w="5180" w:type="dxa"/>
            <w:vAlign w:val="bottom"/>
          </w:tcPr>
          <w:p>
            <w:pPr>
              <w:spacing w:after="0" w:line="202" w:lineRule="exact"/>
              <w:rPr>
                <w:sz w:val="20"/>
                <w:szCs w:val="20"/>
                <w:color w:val="auto"/>
              </w:rPr>
            </w:pPr>
            <w:r>
              <w:rPr>
                <w:rFonts w:ascii="Arial" w:cs="Arial" w:eastAsia="Arial" w:hAnsi="Arial"/>
                <w:sz w:val="18"/>
                <w:szCs w:val="18"/>
                <w:color w:val="auto"/>
              </w:rPr>
              <w:t>Pension settlement expense</w:t>
            </w:r>
          </w:p>
        </w:tc>
        <w:tc>
          <w:tcPr>
            <w:tcW w:w="2080" w:type="dxa"/>
            <w:vAlign w:val="bottom"/>
          </w:tcPr>
          <w:p>
            <w:pPr>
              <w:spacing w:after="0"/>
              <w:rPr>
                <w:sz w:val="17"/>
                <w:szCs w:val="17"/>
                <w:color w:val="auto"/>
              </w:rPr>
            </w:pPr>
          </w:p>
        </w:tc>
        <w:tc>
          <w:tcPr>
            <w:tcW w:w="142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(141)</w:t>
            </w:r>
          </w:p>
        </w:tc>
        <w:tc>
          <w:tcPr>
            <w:tcW w:w="148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119,735</w:t>
            </w:r>
          </w:p>
        </w:tc>
        <w:tc>
          <w:tcPr>
            <w:tcW w:w="12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18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Income attibutable to noncontrolling interest in ASC</w:t>
            </w:r>
          </w:p>
        </w:tc>
        <w:tc>
          <w:tcPr>
            <w:tcW w:w="20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vMerge w:val="continue"/>
          </w:tcPr>
          <w:p>
            <w:pPr>
              <w:spacing w:after="0"/>
              <w:rPr>
                <w:sz w:val="17"/>
                <w:szCs w:val="17"/>
                <w:color w:val="auto"/>
              </w:rPr>
            </w:pPr>
          </w:p>
        </w:tc>
        <w:tc>
          <w:tcPr>
            <w:tcW w:w="1480" w:type="dxa"/>
            <w:vAlign w:val="bottom"/>
            <w:tcBorders>
              <w:bottom w:val="single" w:sz="8" w:color="auto"/>
            </w:tcBorders>
          </w:tcPr>
          <w:p>
            <w:pPr>
              <w:jc w:val="right"/>
              <w:ind w:right="410"/>
              <w:spacing w:after="0" w:line="203"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51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Adjusted EBITDA</w:t>
            </w:r>
          </w:p>
        </w:tc>
        <w:tc>
          <w:tcPr>
            <w:tcW w:w="20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$135,395</w:t>
            </w:r>
          </w:p>
        </w:tc>
        <w:tc>
          <w:tcPr>
            <w:tcW w:w="148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color w:val="auto"/>
              </w:rPr>
              <w:t>$145,448</w:t>
            </w:r>
          </w:p>
        </w:tc>
        <w:tc>
          <w:tcPr>
            <w:tcW w:w="12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$141,329</w:t>
            </w:r>
          </w:p>
        </w:tc>
        <w:tc>
          <w:tcPr>
            <w:tcW w:w="0" w:type="dxa"/>
            <w:vAlign w:val="bottom"/>
          </w:tcPr>
          <w:p>
            <w:pPr>
              <w:spacing w:after="0"/>
              <w:rPr>
                <w:sz w:val="1"/>
                <w:szCs w:val="1"/>
                <w:color w:val="auto"/>
              </w:rPr>
            </w:pPr>
          </w:p>
        </w:tc>
      </w:tr>
      <w:tr>
        <w:trPr>
          <w:trHeight w:val="412"/>
        </w:trPr>
        <w:tc>
          <w:tcPr>
            <w:tcW w:w="51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2"/>
          </w:tcPr>
          <w:p>
            <w:pPr>
              <w:jc w:val="right"/>
              <w:ind w:right="770"/>
              <w:spacing w:after="0"/>
              <w:rPr>
                <w:sz w:val="20"/>
                <w:szCs w:val="20"/>
                <w:color w:val="auto"/>
              </w:rPr>
            </w:pPr>
            <w:r>
              <w:rPr>
                <w:rFonts w:ascii="Arial" w:cs="Arial" w:eastAsia="Arial" w:hAnsi="Arial"/>
                <w:sz w:val="18"/>
                <w:szCs w:val="18"/>
                <w:b w:val="1"/>
                <w:bCs w:val="1"/>
                <w:color w:val="auto"/>
              </w:rPr>
              <w:t>(in thousands)</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5180" w:type="dxa"/>
            <w:vAlign w:val="bottom"/>
          </w:tcPr>
          <w:p>
            <w:pPr>
              <w:spacing w:after="0"/>
              <w:rPr>
                <w:sz w:val="24"/>
                <w:szCs w:val="24"/>
                <w:color w:val="auto"/>
              </w:rPr>
            </w:pPr>
          </w:p>
        </w:tc>
        <w:tc>
          <w:tcPr>
            <w:tcW w:w="2080" w:type="dxa"/>
            <w:vAlign w:val="bottom"/>
          </w:tcPr>
          <w:p>
            <w:pPr>
              <w:jc w:val="right"/>
              <w:ind w:right="230"/>
              <w:spacing w:after="0"/>
              <w:rPr>
                <w:sz w:val="20"/>
                <w:szCs w:val="20"/>
                <w:color w:val="auto"/>
              </w:rPr>
            </w:pPr>
            <w:r>
              <w:rPr>
                <w:rFonts w:ascii="Arial" w:cs="Arial" w:eastAsia="Arial" w:hAnsi="Arial"/>
                <w:sz w:val="18"/>
                <w:szCs w:val="18"/>
                <w:b w:val="1"/>
                <w:bCs w:val="1"/>
                <w:color w:val="auto"/>
              </w:rPr>
              <w:t>Machine</w:t>
            </w:r>
          </w:p>
        </w:tc>
        <w:tc>
          <w:tcPr>
            <w:tcW w:w="1420" w:type="dxa"/>
            <w:vAlign w:val="bottom"/>
          </w:tcPr>
          <w:p>
            <w:pPr>
              <w:spacing w:after="0"/>
              <w:rPr>
                <w:sz w:val="24"/>
                <w:szCs w:val="24"/>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b w:val="1"/>
                <w:bCs w:val="1"/>
                <w:color w:val="auto"/>
              </w:rPr>
              <w:t>Research and</w:t>
            </w:r>
          </w:p>
        </w:tc>
        <w:tc>
          <w:tcPr>
            <w:tcW w:w="1260" w:type="dxa"/>
            <w:vAlign w:val="bottom"/>
          </w:tcPr>
          <w:p>
            <w:pPr>
              <w:jc w:val="right"/>
              <w:ind w:right="4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5"/>
        </w:trPr>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 ended December 31, 2013</w:t>
            </w:r>
          </w:p>
        </w:tc>
        <w:tc>
          <w:tcPr>
            <w:tcW w:w="20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Clothing</w:t>
            </w:r>
          </w:p>
        </w:tc>
        <w:tc>
          <w:tcPr>
            <w:tcW w:w="14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AEC</w:t>
            </w:r>
          </w:p>
        </w:tc>
        <w:tc>
          <w:tcPr>
            <w:tcW w:w="14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Unallocated</w:t>
            </w:r>
          </w:p>
        </w:tc>
        <w:tc>
          <w:tcPr>
            <w:tcW w:w="12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Company</w:t>
            </w:r>
          </w:p>
        </w:tc>
        <w:tc>
          <w:tcPr>
            <w:tcW w:w="0" w:type="dxa"/>
            <w:vAlign w:val="bottom"/>
          </w:tcPr>
          <w:p>
            <w:pPr>
              <w:spacing w:after="0"/>
              <w:rPr>
                <w:sz w:val="1"/>
                <w:szCs w:val="1"/>
                <w:color w:val="auto"/>
              </w:rPr>
            </w:pPr>
          </w:p>
        </w:tc>
      </w:tr>
      <w:tr>
        <w:trPr>
          <w:trHeight w:val="195"/>
        </w:trPr>
        <w:tc>
          <w:tcPr>
            <w:tcW w:w="5180" w:type="dxa"/>
            <w:vAlign w:val="bottom"/>
          </w:tcPr>
          <w:p>
            <w:pPr>
              <w:spacing w:after="0" w:line="195" w:lineRule="exact"/>
              <w:rPr>
                <w:sz w:val="20"/>
                <w:szCs w:val="20"/>
                <w:color w:val="auto"/>
              </w:rPr>
            </w:pPr>
            <w:r>
              <w:rPr>
                <w:rFonts w:ascii="Arial" w:cs="Arial" w:eastAsia="Arial" w:hAnsi="Arial"/>
                <w:sz w:val="18"/>
                <w:szCs w:val="18"/>
                <w:color w:val="auto"/>
              </w:rPr>
              <w:t>Net income</w:t>
            </w:r>
          </w:p>
        </w:tc>
        <w:tc>
          <w:tcPr>
            <w:tcW w:w="2080" w:type="dxa"/>
            <w:vAlign w:val="bottom"/>
          </w:tcPr>
          <w:p>
            <w:pPr>
              <w:jc w:val="right"/>
              <w:spacing w:after="0" w:line="195" w:lineRule="exact"/>
              <w:rPr>
                <w:sz w:val="20"/>
                <w:szCs w:val="20"/>
                <w:color w:val="auto"/>
              </w:rPr>
            </w:pPr>
            <w:r>
              <w:rPr>
                <w:rFonts w:ascii="Arial" w:cs="Arial" w:eastAsia="Arial" w:hAnsi="Arial"/>
                <w:sz w:val="18"/>
                <w:szCs w:val="18"/>
                <w:color w:val="auto"/>
              </w:rPr>
              <w:t>$136,698</w:t>
            </w:r>
          </w:p>
        </w:tc>
        <w:tc>
          <w:tcPr>
            <w:tcW w:w="1420" w:type="dxa"/>
            <w:vAlign w:val="bottom"/>
          </w:tcPr>
          <w:p>
            <w:pPr>
              <w:jc w:val="right"/>
              <w:spacing w:after="0" w:line="195" w:lineRule="exact"/>
              <w:rPr>
                <w:sz w:val="20"/>
                <w:szCs w:val="20"/>
                <w:color w:val="auto"/>
              </w:rPr>
            </w:pPr>
            <w:r>
              <w:rPr>
                <w:rFonts w:ascii="Arial" w:cs="Arial" w:eastAsia="Arial" w:hAnsi="Arial"/>
                <w:sz w:val="18"/>
                <w:szCs w:val="18"/>
                <w:color w:val="auto"/>
              </w:rPr>
              <w:t>($2,974)</w:t>
            </w:r>
          </w:p>
        </w:tc>
        <w:tc>
          <w:tcPr>
            <w:tcW w:w="1480" w:type="dxa"/>
            <w:vAlign w:val="bottom"/>
          </w:tcPr>
          <w:p>
            <w:pPr>
              <w:jc w:val="right"/>
              <w:ind w:right="50"/>
              <w:spacing w:after="0" w:line="195" w:lineRule="exact"/>
              <w:rPr>
                <w:sz w:val="20"/>
                <w:szCs w:val="20"/>
                <w:color w:val="auto"/>
              </w:rPr>
            </w:pPr>
            <w:r>
              <w:rPr>
                <w:rFonts w:ascii="Arial" w:cs="Arial" w:eastAsia="Arial" w:hAnsi="Arial"/>
                <w:sz w:val="18"/>
                <w:szCs w:val="18"/>
                <w:color w:val="auto"/>
              </w:rPr>
              <w:t>($116,066)</w:t>
            </w:r>
          </w:p>
        </w:tc>
        <w:tc>
          <w:tcPr>
            <w:tcW w:w="1260" w:type="dxa"/>
            <w:vAlign w:val="bottom"/>
          </w:tcPr>
          <w:p>
            <w:pPr>
              <w:jc w:val="right"/>
              <w:ind w:right="10"/>
              <w:spacing w:after="0" w:line="195" w:lineRule="exact"/>
              <w:rPr>
                <w:sz w:val="20"/>
                <w:szCs w:val="20"/>
                <w:color w:val="auto"/>
              </w:rPr>
            </w:pPr>
            <w:r>
              <w:rPr>
                <w:rFonts w:ascii="Arial" w:cs="Arial" w:eastAsia="Arial" w:hAnsi="Arial"/>
                <w:sz w:val="18"/>
                <w:szCs w:val="18"/>
                <w:color w:val="auto"/>
              </w:rPr>
              <w:t>$17,658</w:t>
            </w:r>
          </w:p>
        </w:tc>
        <w:tc>
          <w:tcPr>
            <w:tcW w:w="0" w:type="dxa"/>
            <w:vAlign w:val="bottom"/>
          </w:tcPr>
          <w:p>
            <w:pPr>
              <w:spacing w:after="0"/>
              <w:rPr>
                <w:sz w:val="1"/>
                <w:szCs w:val="1"/>
                <w:color w:val="auto"/>
              </w:rPr>
            </w:pPr>
          </w:p>
        </w:tc>
      </w:tr>
      <w:tr>
        <w:trPr>
          <w:trHeight w:val="203"/>
        </w:trPr>
        <w:tc>
          <w:tcPr>
            <w:tcW w:w="5180" w:type="dxa"/>
            <w:vAlign w:val="bottom"/>
          </w:tcPr>
          <w:p>
            <w:pPr>
              <w:spacing w:after="0" w:line="202" w:lineRule="exact"/>
              <w:rPr>
                <w:sz w:val="20"/>
                <w:szCs w:val="20"/>
                <w:color w:val="auto"/>
              </w:rPr>
            </w:pPr>
            <w:r>
              <w:rPr>
                <w:rFonts w:ascii="Arial" w:cs="Arial" w:eastAsia="Arial" w:hAnsi="Arial"/>
                <w:sz w:val="18"/>
                <w:szCs w:val="18"/>
                <w:color w:val="auto"/>
              </w:rPr>
              <w:t>Loss from discontinued operations</w:t>
            </w:r>
          </w:p>
        </w:tc>
        <w:tc>
          <w:tcPr>
            <w:tcW w:w="2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46</w:t>
            </w:r>
          </w:p>
        </w:tc>
        <w:tc>
          <w:tcPr>
            <w:tcW w:w="12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3"/>
        </w:trPr>
        <w:tc>
          <w:tcPr>
            <w:tcW w:w="5180" w:type="dxa"/>
            <w:vAlign w:val="bottom"/>
          </w:tcPr>
          <w:p>
            <w:pPr>
              <w:spacing w:after="0" w:line="202" w:lineRule="exact"/>
              <w:rPr>
                <w:sz w:val="20"/>
                <w:szCs w:val="20"/>
                <w:color w:val="auto"/>
              </w:rPr>
            </w:pPr>
            <w:r>
              <w:rPr>
                <w:rFonts w:ascii="Arial" w:cs="Arial" w:eastAsia="Arial" w:hAnsi="Arial"/>
                <w:sz w:val="18"/>
                <w:szCs w:val="18"/>
                <w:color w:val="auto"/>
              </w:rPr>
              <w:t>Interest expense, net</w:t>
            </w:r>
          </w:p>
        </w:tc>
        <w:tc>
          <w:tcPr>
            <w:tcW w:w="2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13,759</w:t>
            </w:r>
          </w:p>
        </w:tc>
        <w:tc>
          <w:tcPr>
            <w:tcW w:w="12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13,759</w:t>
            </w:r>
          </w:p>
        </w:tc>
        <w:tc>
          <w:tcPr>
            <w:tcW w:w="0" w:type="dxa"/>
            <w:vAlign w:val="bottom"/>
          </w:tcPr>
          <w:p>
            <w:pPr>
              <w:spacing w:after="0"/>
              <w:rPr>
                <w:sz w:val="1"/>
                <w:szCs w:val="1"/>
                <w:color w:val="auto"/>
              </w:rPr>
            </w:pPr>
          </w:p>
        </w:tc>
      </w:tr>
      <w:tr>
        <w:trPr>
          <w:trHeight w:val="203"/>
        </w:trPr>
        <w:tc>
          <w:tcPr>
            <w:tcW w:w="5180" w:type="dxa"/>
            <w:vAlign w:val="bottom"/>
          </w:tcPr>
          <w:p>
            <w:pPr>
              <w:spacing w:after="0" w:line="202" w:lineRule="exact"/>
              <w:rPr>
                <w:sz w:val="20"/>
                <w:szCs w:val="20"/>
                <w:color w:val="auto"/>
              </w:rPr>
            </w:pPr>
            <w:r>
              <w:rPr>
                <w:rFonts w:ascii="Arial" w:cs="Arial" w:eastAsia="Arial" w:hAnsi="Arial"/>
                <w:sz w:val="18"/>
                <w:szCs w:val="18"/>
                <w:color w:val="auto"/>
              </w:rPr>
              <w:t>Income tax expense</w:t>
            </w:r>
          </w:p>
        </w:tc>
        <w:tc>
          <w:tcPr>
            <w:tcW w:w="2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13,372</w:t>
            </w:r>
          </w:p>
        </w:tc>
        <w:tc>
          <w:tcPr>
            <w:tcW w:w="12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13,372</w:t>
            </w:r>
          </w:p>
        </w:tc>
        <w:tc>
          <w:tcPr>
            <w:tcW w:w="0" w:type="dxa"/>
            <w:vAlign w:val="bottom"/>
          </w:tcPr>
          <w:p>
            <w:pPr>
              <w:spacing w:after="0"/>
              <w:rPr>
                <w:sz w:val="1"/>
                <w:szCs w:val="1"/>
                <w:color w:val="auto"/>
              </w:rPr>
            </w:pPr>
          </w:p>
        </w:tc>
      </w:tr>
      <w:tr>
        <w:trPr>
          <w:trHeight w:val="203"/>
        </w:trPr>
        <w:tc>
          <w:tcPr>
            <w:tcW w:w="518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Depreciation and amortization</w:t>
            </w:r>
          </w:p>
        </w:tc>
        <w:tc>
          <w:tcPr>
            <w:tcW w:w="2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45,237</w:t>
            </w:r>
          </w:p>
        </w:tc>
        <w:tc>
          <w:tcPr>
            <w:tcW w:w="14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7,640</w:t>
            </w:r>
          </w:p>
        </w:tc>
        <w:tc>
          <w:tcPr>
            <w:tcW w:w="148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10,912</w:t>
            </w:r>
          </w:p>
        </w:tc>
        <w:tc>
          <w:tcPr>
            <w:tcW w:w="126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63,789</w:t>
            </w:r>
          </w:p>
        </w:tc>
        <w:tc>
          <w:tcPr>
            <w:tcW w:w="0" w:type="dxa"/>
            <w:vAlign w:val="bottom"/>
          </w:tcPr>
          <w:p>
            <w:pPr>
              <w:spacing w:after="0"/>
              <w:rPr>
                <w:sz w:val="1"/>
                <w:szCs w:val="1"/>
                <w:color w:val="auto"/>
              </w:rPr>
            </w:pPr>
          </w:p>
        </w:tc>
      </w:tr>
      <w:tr>
        <w:trPr>
          <w:trHeight w:val="195"/>
        </w:trPr>
        <w:tc>
          <w:tcPr>
            <w:tcW w:w="5180" w:type="dxa"/>
            <w:vAlign w:val="bottom"/>
          </w:tcPr>
          <w:p>
            <w:pPr>
              <w:spacing w:after="0" w:line="195" w:lineRule="exact"/>
              <w:rPr>
                <w:sz w:val="20"/>
                <w:szCs w:val="20"/>
                <w:color w:val="auto"/>
              </w:rPr>
            </w:pPr>
            <w:r>
              <w:rPr>
                <w:rFonts w:ascii="Arial" w:cs="Arial" w:eastAsia="Arial" w:hAnsi="Arial"/>
                <w:sz w:val="18"/>
                <w:szCs w:val="18"/>
                <w:color w:val="auto"/>
              </w:rPr>
              <w:t>EBITDA</w:t>
            </w:r>
          </w:p>
        </w:tc>
        <w:tc>
          <w:tcPr>
            <w:tcW w:w="2080" w:type="dxa"/>
            <w:vAlign w:val="bottom"/>
          </w:tcPr>
          <w:p>
            <w:pPr>
              <w:jc w:val="right"/>
              <w:spacing w:after="0" w:line="195" w:lineRule="exact"/>
              <w:rPr>
                <w:sz w:val="20"/>
                <w:szCs w:val="20"/>
                <w:color w:val="auto"/>
              </w:rPr>
            </w:pPr>
            <w:r>
              <w:rPr>
                <w:rFonts w:ascii="Arial" w:cs="Arial" w:eastAsia="Arial" w:hAnsi="Arial"/>
                <w:sz w:val="18"/>
                <w:szCs w:val="18"/>
                <w:color w:val="auto"/>
              </w:rPr>
              <w:t>181,935</w:t>
            </w:r>
          </w:p>
        </w:tc>
        <w:tc>
          <w:tcPr>
            <w:tcW w:w="1420" w:type="dxa"/>
            <w:vAlign w:val="bottom"/>
          </w:tcPr>
          <w:p>
            <w:pPr>
              <w:jc w:val="right"/>
              <w:ind w:right="10"/>
              <w:spacing w:after="0" w:line="195" w:lineRule="exact"/>
              <w:rPr>
                <w:sz w:val="20"/>
                <w:szCs w:val="20"/>
                <w:color w:val="auto"/>
              </w:rPr>
            </w:pPr>
            <w:r>
              <w:rPr>
                <w:rFonts w:ascii="Arial" w:cs="Arial" w:eastAsia="Arial" w:hAnsi="Arial"/>
                <w:sz w:val="18"/>
                <w:szCs w:val="18"/>
                <w:color w:val="auto"/>
              </w:rPr>
              <w:t>4,666</w:t>
            </w:r>
          </w:p>
        </w:tc>
        <w:tc>
          <w:tcPr>
            <w:tcW w:w="1480" w:type="dxa"/>
            <w:vAlign w:val="bottom"/>
          </w:tcPr>
          <w:p>
            <w:pPr>
              <w:jc w:val="right"/>
              <w:ind w:right="50"/>
              <w:spacing w:after="0" w:line="195" w:lineRule="exact"/>
              <w:rPr>
                <w:sz w:val="20"/>
                <w:szCs w:val="20"/>
                <w:color w:val="auto"/>
              </w:rPr>
            </w:pPr>
            <w:r>
              <w:rPr>
                <w:rFonts w:ascii="Arial" w:cs="Arial" w:eastAsia="Arial" w:hAnsi="Arial"/>
                <w:sz w:val="18"/>
                <w:szCs w:val="18"/>
                <w:color w:val="auto"/>
              </w:rPr>
              <w:t>(77,977)</w:t>
            </w:r>
          </w:p>
        </w:tc>
        <w:tc>
          <w:tcPr>
            <w:tcW w:w="1260" w:type="dxa"/>
            <w:vAlign w:val="bottom"/>
          </w:tcPr>
          <w:p>
            <w:pPr>
              <w:jc w:val="right"/>
              <w:ind w:right="10"/>
              <w:spacing w:after="0" w:line="195" w:lineRule="exact"/>
              <w:rPr>
                <w:sz w:val="20"/>
                <w:szCs w:val="20"/>
                <w:color w:val="auto"/>
              </w:rPr>
            </w:pPr>
            <w:r>
              <w:rPr>
                <w:rFonts w:ascii="Arial" w:cs="Arial" w:eastAsia="Arial" w:hAnsi="Arial"/>
                <w:sz w:val="18"/>
                <w:szCs w:val="18"/>
                <w:color w:val="auto"/>
              </w:rPr>
              <w:t>108,624</w:t>
            </w:r>
          </w:p>
        </w:tc>
        <w:tc>
          <w:tcPr>
            <w:tcW w:w="0" w:type="dxa"/>
            <w:vAlign w:val="bottom"/>
          </w:tcPr>
          <w:p>
            <w:pPr>
              <w:spacing w:after="0"/>
              <w:rPr>
                <w:sz w:val="1"/>
                <w:szCs w:val="1"/>
                <w:color w:val="auto"/>
              </w:rPr>
            </w:pPr>
          </w:p>
        </w:tc>
      </w:tr>
      <w:tr>
        <w:trPr>
          <w:trHeight w:val="203"/>
        </w:trPr>
        <w:tc>
          <w:tcPr>
            <w:tcW w:w="5180" w:type="dxa"/>
            <w:vAlign w:val="bottom"/>
          </w:tcPr>
          <w:p>
            <w:pPr>
              <w:spacing w:after="0" w:line="202" w:lineRule="exact"/>
              <w:rPr>
                <w:sz w:val="20"/>
                <w:szCs w:val="20"/>
                <w:color w:val="auto"/>
              </w:rPr>
            </w:pPr>
            <w:r>
              <w:rPr>
                <w:rFonts w:ascii="Arial" w:cs="Arial" w:eastAsia="Arial" w:hAnsi="Arial"/>
                <w:sz w:val="18"/>
                <w:szCs w:val="18"/>
                <w:color w:val="auto"/>
              </w:rPr>
              <w:t>Restructuring and other, net</w:t>
            </w:r>
          </w:p>
        </w:tc>
        <w:tc>
          <w:tcPr>
            <w:tcW w:w="2080" w:type="dxa"/>
            <w:vAlign w:val="bottom"/>
          </w:tcPr>
          <w:p>
            <w:pPr>
              <w:jc w:val="right"/>
              <w:spacing w:after="0" w:line="202" w:lineRule="exact"/>
              <w:rPr>
                <w:sz w:val="20"/>
                <w:szCs w:val="20"/>
                <w:color w:val="auto"/>
              </w:rPr>
            </w:pPr>
            <w:r>
              <w:rPr>
                <w:rFonts w:ascii="Arial" w:cs="Arial" w:eastAsia="Arial" w:hAnsi="Arial"/>
                <w:sz w:val="18"/>
                <w:szCs w:val="18"/>
                <w:color w:val="auto"/>
              </w:rPr>
              <w:t>24,568</w:t>
            </w:r>
          </w:p>
        </w:tc>
        <w:tc>
          <w:tcPr>
            <w:tcW w:w="14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540</w:t>
            </w:r>
          </w:p>
        </w:tc>
        <w:tc>
          <w:tcPr>
            <w:tcW w:w="14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25,108</w:t>
            </w:r>
          </w:p>
        </w:tc>
        <w:tc>
          <w:tcPr>
            <w:tcW w:w="0" w:type="dxa"/>
            <w:vAlign w:val="bottom"/>
          </w:tcPr>
          <w:p>
            <w:pPr>
              <w:spacing w:after="0"/>
              <w:rPr>
                <w:sz w:val="1"/>
                <w:szCs w:val="1"/>
                <w:color w:val="auto"/>
              </w:rPr>
            </w:pPr>
          </w:p>
        </w:tc>
      </w:tr>
      <w:tr>
        <w:trPr>
          <w:trHeight w:val="203"/>
        </w:trPr>
        <w:tc>
          <w:tcPr>
            <w:tcW w:w="5180" w:type="dxa"/>
            <w:vAlign w:val="bottom"/>
          </w:tcPr>
          <w:p>
            <w:pPr>
              <w:spacing w:after="0" w:line="202" w:lineRule="exact"/>
              <w:rPr>
                <w:sz w:val="20"/>
                <w:szCs w:val="20"/>
                <w:color w:val="auto"/>
              </w:rPr>
            </w:pPr>
            <w:r>
              <w:rPr>
                <w:rFonts w:ascii="Arial" w:cs="Arial" w:eastAsia="Arial" w:hAnsi="Arial"/>
                <w:sz w:val="18"/>
                <w:szCs w:val="18"/>
                <w:color w:val="auto"/>
              </w:rPr>
              <w:t>Foreign currency revaluation losses</w:t>
            </w:r>
          </w:p>
        </w:tc>
        <w:tc>
          <w:tcPr>
            <w:tcW w:w="2080" w:type="dxa"/>
            <w:vAlign w:val="bottom"/>
          </w:tcPr>
          <w:p>
            <w:pPr>
              <w:jc w:val="right"/>
              <w:spacing w:after="0" w:line="202" w:lineRule="exact"/>
              <w:rPr>
                <w:sz w:val="20"/>
                <w:szCs w:val="20"/>
                <w:color w:val="auto"/>
              </w:rPr>
            </w:pPr>
            <w:r>
              <w:rPr>
                <w:rFonts w:ascii="Arial" w:cs="Arial" w:eastAsia="Arial" w:hAnsi="Arial"/>
                <w:sz w:val="18"/>
                <w:szCs w:val="18"/>
                <w:color w:val="auto"/>
              </w:rPr>
              <w:t>295</w:t>
            </w:r>
          </w:p>
        </w:tc>
        <w:tc>
          <w:tcPr>
            <w:tcW w:w="14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41</w:t>
            </w:r>
          </w:p>
        </w:tc>
        <w:tc>
          <w:tcPr>
            <w:tcW w:w="14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5,231</w:t>
            </w:r>
          </w:p>
        </w:tc>
        <w:tc>
          <w:tcPr>
            <w:tcW w:w="12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5,567</w:t>
            </w:r>
          </w:p>
        </w:tc>
        <w:tc>
          <w:tcPr>
            <w:tcW w:w="0" w:type="dxa"/>
            <w:vAlign w:val="bottom"/>
          </w:tcPr>
          <w:p>
            <w:pPr>
              <w:spacing w:after="0"/>
              <w:rPr>
                <w:sz w:val="1"/>
                <w:szCs w:val="1"/>
                <w:color w:val="auto"/>
              </w:rPr>
            </w:pPr>
          </w:p>
        </w:tc>
      </w:tr>
      <w:tr>
        <w:trPr>
          <w:trHeight w:val="203"/>
        </w:trPr>
        <w:tc>
          <w:tcPr>
            <w:tcW w:w="5180" w:type="dxa"/>
            <w:vAlign w:val="bottom"/>
          </w:tcPr>
          <w:p>
            <w:pPr>
              <w:spacing w:after="0" w:line="202" w:lineRule="exact"/>
              <w:rPr>
                <w:sz w:val="20"/>
                <w:szCs w:val="20"/>
                <w:color w:val="auto"/>
              </w:rPr>
            </w:pPr>
            <w:r>
              <w:rPr>
                <w:rFonts w:ascii="Arial" w:cs="Arial" w:eastAsia="Arial" w:hAnsi="Arial"/>
                <w:sz w:val="18"/>
                <w:szCs w:val="18"/>
                <w:color w:val="auto"/>
              </w:rPr>
              <w:t>Gain on sale of former manufacturing facilities</w:t>
            </w:r>
          </w:p>
        </w:tc>
        <w:tc>
          <w:tcPr>
            <w:tcW w:w="2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(3,763)</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(3,763)</w:t>
            </w:r>
          </w:p>
        </w:tc>
        <w:tc>
          <w:tcPr>
            <w:tcW w:w="0" w:type="dxa"/>
            <w:vAlign w:val="bottom"/>
          </w:tcPr>
          <w:p>
            <w:pPr>
              <w:spacing w:after="0"/>
              <w:rPr>
                <w:sz w:val="1"/>
                <w:szCs w:val="1"/>
                <w:color w:val="auto"/>
              </w:rPr>
            </w:pPr>
          </w:p>
        </w:tc>
      </w:tr>
      <w:tr>
        <w:trPr>
          <w:trHeight w:val="203"/>
        </w:trPr>
        <w:tc>
          <w:tcPr>
            <w:tcW w:w="518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Income attributable to noncontrolling interest in ASC</w:t>
            </w:r>
          </w:p>
        </w:tc>
        <w:tc>
          <w:tcPr>
            <w:tcW w:w="2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(141)</w:t>
            </w:r>
          </w:p>
        </w:tc>
        <w:tc>
          <w:tcPr>
            <w:tcW w:w="148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196"/>
        </w:trPr>
        <w:tc>
          <w:tcPr>
            <w:tcW w:w="51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Adjusted EBITDA</w:t>
            </w:r>
          </w:p>
        </w:tc>
        <w:tc>
          <w:tcPr>
            <w:tcW w:w="2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$206,798</w:t>
            </w:r>
          </w:p>
        </w:tc>
        <w:tc>
          <w:tcPr>
            <w:tcW w:w="14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$5,106</w:t>
            </w:r>
          </w:p>
        </w:tc>
        <w:tc>
          <w:tcPr>
            <w:tcW w:w="148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($76,509)</w:t>
            </w:r>
          </w:p>
        </w:tc>
        <w:tc>
          <w:tcPr>
            <w:tcW w:w="12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$135,395</w:t>
            </w:r>
          </w:p>
        </w:tc>
        <w:tc>
          <w:tcPr>
            <w:tcW w:w="0" w:type="dxa"/>
            <w:vAlign w:val="bottom"/>
          </w:tcPr>
          <w:p>
            <w:pPr>
              <w:spacing w:after="0"/>
              <w:rPr>
                <w:sz w:val="1"/>
                <w:szCs w:val="1"/>
                <w:color w:val="auto"/>
              </w:rPr>
            </w:pPr>
          </w:p>
        </w:tc>
      </w:tr>
      <w:tr>
        <w:trPr>
          <w:trHeight w:val="399"/>
        </w:trPr>
        <w:tc>
          <w:tcPr>
            <w:tcW w:w="51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75"/>
        </w:trPr>
        <w:tc>
          <w:tcPr>
            <w:tcW w:w="5180" w:type="dxa"/>
            <w:vAlign w:val="bottom"/>
            <w:tcBorders>
              <w:bottom w:val="single" w:sz="8" w:color="auto"/>
            </w:tcBorders>
          </w:tcPr>
          <w:p>
            <w:pPr>
              <w:spacing w:after="0"/>
              <w:rPr>
                <w:sz w:val="6"/>
                <w:szCs w:val="6"/>
                <w:color w:val="auto"/>
              </w:rPr>
            </w:pPr>
          </w:p>
        </w:tc>
        <w:tc>
          <w:tcPr>
            <w:tcW w:w="208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98" w:right="239" w:bottom="1440" w:gutter="0" w:footer="0" w:header="0"/>
        </w:sectPr>
      </w:pPr>
    </w:p>
    <w:bookmarkStart w:id="39" w:name="page40"/>
    <w:bookmarkEnd w:id="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18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2"/>
          </w:tcPr>
          <w:p>
            <w:pPr>
              <w:jc w:val="right"/>
              <w:ind w:right="770"/>
              <w:spacing w:after="0"/>
              <w:rPr>
                <w:sz w:val="20"/>
                <w:szCs w:val="20"/>
                <w:color w:val="auto"/>
              </w:rPr>
            </w:pPr>
            <w:r>
              <w:rPr>
                <w:rFonts w:ascii="Arial" w:cs="Arial" w:eastAsia="Arial" w:hAnsi="Arial"/>
                <w:sz w:val="18"/>
                <w:szCs w:val="18"/>
                <w:b w:val="1"/>
                <w:bCs w:val="1"/>
                <w:color w:val="auto"/>
              </w:rPr>
              <w:t>(in thousands)</w:t>
            </w:r>
          </w:p>
        </w:tc>
        <w:tc>
          <w:tcPr>
            <w:tcW w:w="1260" w:type="dxa"/>
            <w:vAlign w:val="bottom"/>
            <w:tcBorders>
              <w:bottom w:val="single" w:sz="8" w:color="auto"/>
            </w:tcBorders>
          </w:tcPr>
          <w:p>
            <w:pPr>
              <w:spacing w:after="0"/>
              <w:rPr>
                <w:sz w:val="19"/>
                <w:szCs w:val="19"/>
                <w:color w:val="auto"/>
              </w:rPr>
            </w:pPr>
          </w:p>
        </w:tc>
      </w:tr>
      <w:tr>
        <w:trPr>
          <w:trHeight w:val="376"/>
        </w:trPr>
        <w:tc>
          <w:tcPr>
            <w:tcW w:w="5180" w:type="dxa"/>
            <w:vAlign w:val="bottom"/>
          </w:tcPr>
          <w:p>
            <w:pPr>
              <w:spacing w:after="0"/>
              <w:rPr>
                <w:sz w:val="24"/>
                <w:szCs w:val="24"/>
                <w:color w:val="auto"/>
              </w:rPr>
            </w:pPr>
          </w:p>
        </w:tc>
        <w:tc>
          <w:tcPr>
            <w:tcW w:w="2340" w:type="dxa"/>
            <w:vAlign w:val="bottom"/>
          </w:tcPr>
          <w:p>
            <w:pPr>
              <w:jc w:val="right"/>
              <w:ind w:right="490"/>
              <w:spacing w:after="0"/>
              <w:rPr>
                <w:sz w:val="20"/>
                <w:szCs w:val="20"/>
                <w:color w:val="auto"/>
              </w:rPr>
            </w:pPr>
            <w:r>
              <w:rPr>
                <w:rFonts w:ascii="Arial" w:cs="Arial" w:eastAsia="Arial" w:hAnsi="Arial"/>
                <w:sz w:val="18"/>
                <w:szCs w:val="18"/>
                <w:b w:val="1"/>
                <w:bCs w:val="1"/>
                <w:color w:val="auto"/>
              </w:rPr>
              <w:t>Machine</w:t>
            </w:r>
          </w:p>
        </w:tc>
        <w:tc>
          <w:tcPr>
            <w:tcW w:w="1180" w:type="dxa"/>
            <w:vAlign w:val="bottom"/>
          </w:tcPr>
          <w:p>
            <w:pPr>
              <w:spacing w:after="0"/>
              <w:rPr>
                <w:sz w:val="24"/>
                <w:szCs w:val="24"/>
                <w:color w:val="auto"/>
              </w:rPr>
            </w:pPr>
          </w:p>
        </w:tc>
        <w:tc>
          <w:tcPr>
            <w:tcW w:w="146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Research and</w:t>
            </w:r>
          </w:p>
        </w:tc>
        <w:tc>
          <w:tcPr>
            <w:tcW w:w="1260" w:type="dxa"/>
            <w:vAlign w:val="bottom"/>
          </w:tcPr>
          <w:p>
            <w:pPr>
              <w:jc w:val="center"/>
              <w:ind w:right="110"/>
              <w:spacing w:after="0"/>
              <w:rPr>
                <w:sz w:val="20"/>
                <w:szCs w:val="20"/>
                <w:color w:val="auto"/>
              </w:rPr>
            </w:pPr>
            <w:r>
              <w:rPr>
                <w:rFonts w:ascii="Arial" w:cs="Arial" w:eastAsia="Arial" w:hAnsi="Arial"/>
                <w:sz w:val="18"/>
                <w:szCs w:val="18"/>
                <w:b w:val="1"/>
                <w:bCs w:val="1"/>
                <w:color w:val="auto"/>
                <w:w w:val="97"/>
              </w:rPr>
              <w:t>Total</w:t>
            </w:r>
          </w:p>
        </w:tc>
      </w:tr>
      <w:tr>
        <w:trPr>
          <w:trHeight w:val="225"/>
        </w:trPr>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 ended December 31, 2012</w:t>
            </w:r>
          </w:p>
        </w:tc>
        <w:tc>
          <w:tcPr>
            <w:tcW w:w="2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Clothing</w:t>
            </w: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AEC</w:t>
            </w:r>
          </w:p>
        </w:tc>
        <w:tc>
          <w:tcPr>
            <w:tcW w:w="14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Unallocated</w:t>
            </w:r>
          </w:p>
        </w:tc>
        <w:tc>
          <w:tcPr>
            <w:tcW w:w="12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Company</w:t>
            </w:r>
          </w:p>
        </w:tc>
      </w:tr>
      <w:tr>
        <w:trPr>
          <w:trHeight w:val="195"/>
        </w:trPr>
        <w:tc>
          <w:tcPr>
            <w:tcW w:w="5180" w:type="dxa"/>
            <w:vAlign w:val="bottom"/>
          </w:tcPr>
          <w:p>
            <w:pPr>
              <w:spacing w:after="0" w:line="195" w:lineRule="exact"/>
              <w:rPr>
                <w:sz w:val="20"/>
                <w:szCs w:val="20"/>
                <w:color w:val="auto"/>
              </w:rPr>
            </w:pPr>
            <w:r>
              <w:rPr>
                <w:rFonts w:ascii="Arial" w:cs="Arial" w:eastAsia="Arial" w:hAnsi="Arial"/>
                <w:sz w:val="18"/>
                <w:szCs w:val="18"/>
                <w:color w:val="auto"/>
              </w:rPr>
              <w:t>Net income</w:t>
            </w:r>
          </w:p>
        </w:tc>
        <w:tc>
          <w:tcPr>
            <w:tcW w:w="2340" w:type="dxa"/>
            <w:vAlign w:val="bottom"/>
          </w:tcPr>
          <w:p>
            <w:pPr>
              <w:jc w:val="right"/>
              <w:ind w:right="230"/>
              <w:spacing w:after="0" w:line="195" w:lineRule="exact"/>
              <w:rPr>
                <w:sz w:val="20"/>
                <w:szCs w:val="20"/>
                <w:color w:val="auto"/>
              </w:rPr>
            </w:pPr>
            <w:r>
              <w:rPr>
                <w:rFonts w:ascii="Arial" w:cs="Arial" w:eastAsia="Arial" w:hAnsi="Arial"/>
                <w:sz w:val="18"/>
                <w:szCs w:val="18"/>
                <w:color w:val="auto"/>
              </w:rPr>
              <w:t>$163,873</w:t>
            </w:r>
          </w:p>
        </w:tc>
        <w:tc>
          <w:tcPr>
            <w:tcW w:w="1180" w:type="dxa"/>
            <w:vAlign w:val="bottom"/>
          </w:tcPr>
          <w:p>
            <w:pPr>
              <w:jc w:val="right"/>
              <w:spacing w:after="0" w:line="195" w:lineRule="exact"/>
              <w:rPr>
                <w:sz w:val="20"/>
                <w:szCs w:val="20"/>
                <w:color w:val="auto"/>
              </w:rPr>
            </w:pPr>
            <w:r>
              <w:rPr>
                <w:rFonts w:ascii="Arial" w:cs="Arial" w:eastAsia="Arial" w:hAnsi="Arial"/>
                <w:sz w:val="18"/>
                <w:szCs w:val="18"/>
                <w:color w:val="auto"/>
              </w:rPr>
              <w:t>($840)</w:t>
            </w:r>
          </w:p>
        </w:tc>
        <w:tc>
          <w:tcPr>
            <w:tcW w:w="1460" w:type="dxa"/>
            <w:vAlign w:val="bottom"/>
          </w:tcPr>
          <w:p>
            <w:pPr>
              <w:jc w:val="right"/>
              <w:ind w:right="50"/>
              <w:spacing w:after="0" w:line="195" w:lineRule="exact"/>
              <w:rPr>
                <w:sz w:val="20"/>
                <w:szCs w:val="20"/>
                <w:color w:val="auto"/>
              </w:rPr>
            </w:pPr>
            <w:r>
              <w:rPr>
                <w:rFonts w:ascii="Arial" w:cs="Arial" w:eastAsia="Arial" w:hAnsi="Arial"/>
                <w:sz w:val="18"/>
                <w:szCs w:val="18"/>
                <w:color w:val="auto"/>
              </w:rPr>
              <w:t>($132,056)</w:t>
            </w:r>
          </w:p>
        </w:tc>
        <w:tc>
          <w:tcPr>
            <w:tcW w:w="1260" w:type="dxa"/>
            <w:vAlign w:val="bottom"/>
          </w:tcPr>
          <w:p>
            <w:pPr>
              <w:jc w:val="right"/>
              <w:ind w:right="10"/>
              <w:spacing w:after="0" w:line="195" w:lineRule="exact"/>
              <w:rPr>
                <w:sz w:val="20"/>
                <w:szCs w:val="20"/>
                <w:color w:val="auto"/>
              </w:rPr>
            </w:pPr>
            <w:r>
              <w:rPr>
                <w:rFonts w:ascii="Arial" w:cs="Arial" w:eastAsia="Arial" w:hAnsi="Arial"/>
                <w:sz w:val="18"/>
                <w:szCs w:val="18"/>
                <w:color w:val="auto"/>
              </w:rPr>
              <w:t>$30,977</w:t>
            </w:r>
          </w:p>
        </w:tc>
      </w:tr>
      <w:tr>
        <w:trPr>
          <w:trHeight w:val="203"/>
        </w:trPr>
        <w:tc>
          <w:tcPr>
            <w:tcW w:w="5180" w:type="dxa"/>
            <w:vAlign w:val="bottom"/>
          </w:tcPr>
          <w:p>
            <w:pPr>
              <w:spacing w:after="0" w:line="202" w:lineRule="exact"/>
              <w:rPr>
                <w:sz w:val="20"/>
                <w:szCs w:val="20"/>
                <w:color w:val="auto"/>
              </w:rPr>
            </w:pPr>
            <w:r>
              <w:rPr>
                <w:rFonts w:ascii="Arial" w:cs="Arial" w:eastAsia="Arial" w:hAnsi="Arial"/>
                <w:sz w:val="18"/>
                <w:szCs w:val="18"/>
                <w:color w:val="auto"/>
              </w:rPr>
              <w:t>Income from discontinued operations</w:t>
            </w:r>
          </w:p>
        </w:tc>
        <w:tc>
          <w:tcPr>
            <w:tcW w:w="2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(71,820)</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(71,820)</w:t>
            </w:r>
          </w:p>
        </w:tc>
      </w:tr>
      <w:tr>
        <w:trPr>
          <w:trHeight w:val="203"/>
        </w:trPr>
        <w:tc>
          <w:tcPr>
            <w:tcW w:w="5180" w:type="dxa"/>
            <w:vAlign w:val="bottom"/>
          </w:tcPr>
          <w:p>
            <w:pPr>
              <w:spacing w:after="0" w:line="202" w:lineRule="exact"/>
              <w:rPr>
                <w:sz w:val="20"/>
                <w:szCs w:val="20"/>
                <w:color w:val="auto"/>
              </w:rPr>
            </w:pPr>
            <w:r>
              <w:rPr>
                <w:rFonts w:ascii="Arial" w:cs="Arial" w:eastAsia="Arial" w:hAnsi="Arial"/>
                <w:sz w:val="18"/>
                <w:szCs w:val="18"/>
                <w:color w:val="auto"/>
              </w:rPr>
              <w:t>Interest expense, net</w:t>
            </w:r>
          </w:p>
        </w:tc>
        <w:tc>
          <w:tcPr>
            <w:tcW w:w="234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4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16,601</w:t>
            </w:r>
          </w:p>
        </w:tc>
        <w:tc>
          <w:tcPr>
            <w:tcW w:w="12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16,601</w:t>
            </w:r>
          </w:p>
        </w:tc>
      </w:tr>
      <w:tr>
        <w:trPr>
          <w:trHeight w:val="203"/>
        </w:trPr>
        <w:tc>
          <w:tcPr>
            <w:tcW w:w="5180" w:type="dxa"/>
            <w:vAlign w:val="bottom"/>
          </w:tcPr>
          <w:p>
            <w:pPr>
              <w:spacing w:after="0" w:line="202" w:lineRule="exact"/>
              <w:rPr>
                <w:sz w:val="20"/>
                <w:szCs w:val="20"/>
                <w:color w:val="auto"/>
              </w:rPr>
            </w:pPr>
            <w:r>
              <w:rPr>
                <w:rFonts w:ascii="Arial" w:cs="Arial" w:eastAsia="Arial" w:hAnsi="Arial"/>
                <w:sz w:val="18"/>
                <w:szCs w:val="18"/>
                <w:color w:val="auto"/>
              </w:rPr>
              <w:t>Income tax benefit</w:t>
            </w:r>
          </w:p>
        </w:tc>
        <w:tc>
          <w:tcPr>
            <w:tcW w:w="234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4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(27,523)</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(27,523)</w:t>
            </w:r>
          </w:p>
        </w:tc>
      </w:tr>
      <w:tr>
        <w:trPr>
          <w:trHeight w:val="203"/>
        </w:trPr>
        <w:tc>
          <w:tcPr>
            <w:tcW w:w="518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Depreciation and amortization</w:t>
            </w:r>
          </w:p>
        </w:tc>
        <w:tc>
          <w:tcPr>
            <w:tcW w:w="234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rPr>
              <w:t>46,843</w:t>
            </w:r>
          </w:p>
        </w:tc>
        <w:tc>
          <w:tcPr>
            <w:tcW w:w="118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5,920</w:t>
            </w:r>
          </w:p>
        </w:tc>
        <w:tc>
          <w:tcPr>
            <w:tcW w:w="146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10,304</w:t>
            </w:r>
          </w:p>
        </w:tc>
        <w:tc>
          <w:tcPr>
            <w:tcW w:w="126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63,067</w:t>
            </w:r>
          </w:p>
        </w:tc>
      </w:tr>
      <w:tr>
        <w:trPr>
          <w:trHeight w:val="195"/>
        </w:trPr>
        <w:tc>
          <w:tcPr>
            <w:tcW w:w="5180" w:type="dxa"/>
            <w:vAlign w:val="bottom"/>
          </w:tcPr>
          <w:p>
            <w:pPr>
              <w:spacing w:after="0" w:line="195" w:lineRule="exact"/>
              <w:rPr>
                <w:sz w:val="20"/>
                <w:szCs w:val="20"/>
                <w:color w:val="auto"/>
              </w:rPr>
            </w:pPr>
            <w:r>
              <w:rPr>
                <w:rFonts w:ascii="Arial" w:cs="Arial" w:eastAsia="Arial" w:hAnsi="Arial"/>
                <w:sz w:val="18"/>
                <w:szCs w:val="18"/>
                <w:color w:val="auto"/>
              </w:rPr>
              <w:t>EBITDA</w:t>
            </w:r>
          </w:p>
        </w:tc>
        <w:tc>
          <w:tcPr>
            <w:tcW w:w="2340" w:type="dxa"/>
            <w:vAlign w:val="bottom"/>
          </w:tcPr>
          <w:p>
            <w:pPr>
              <w:jc w:val="right"/>
              <w:ind w:right="230"/>
              <w:spacing w:after="0" w:line="195" w:lineRule="exact"/>
              <w:rPr>
                <w:sz w:val="20"/>
                <w:szCs w:val="20"/>
                <w:color w:val="auto"/>
              </w:rPr>
            </w:pPr>
            <w:r>
              <w:rPr>
                <w:rFonts w:ascii="Arial" w:cs="Arial" w:eastAsia="Arial" w:hAnsi="Arial"/>
                <w:sz w:val="18"/>
                <w:szCs w:val="18"/>
                <w:color w:val="auto"/>
              </w:rPr>
              <w:t>210,716</w:t>
            </w:r>
          </w:p>
        </w:tc>
        <w:tc>
          <w:tcPr>
            <w:tcW w:w="1180" w:type="dxa"/>
            <w:vAlign w:val="bottom"/>
          </w:tcPr>
          <w:p>
            <w:pPr>
              <w:jc w:val="right"/>
              <w:ind w:right="30"/>
              <w:spacing w:after="0" w:line="195" w:lineRule="exact"/>
              <w:rPr>
                <w:sz w:val="20"/>
                <w:szCs w:val="20"/>
                <w:color w:val="auto"/>
              </w:rPr>
            </w:pPr>
            <w:r>
              <w:rPr>
                <w:rFonts w:ascii="Arial" w:cs="Arial" w:eastAsia="Arial" w:hAnsi="Arial"/>
                <w:sz w:val="18"/>
                <w:szCs w:val="18"/>
                <w:color w:val="auto"/>
              </w:rPr>
              <w:t>5,080</w:t>
            </w:r>
          </w:p>
        </w:tc>
        <w:tc>
          <w:tcPr>
            <w:tcW w:w="1460" w:type="dxa"/>
            <w:vAlign w:val="bottom"/>
          </w:tcPr>
          <w:p>
            <w:pPr>
              <w:jc w:val="right"/>
              <w:ind w:right="50"/>
              <w:spacing w:after="0" w:line="195" w:lineRule="exact"/>
              <w:rPr>
                <w:sz w:val="20"/>
                <w:szCs w:val="20"/>
                <w:color w:val="auto"/>
              </w:rPr>
            </w:pPr>
            <w:r>
              <w:rPr>
                <w:rFonts w:ascii="Arial" w:cs="Arial" w:eastAsia="Arial" w:hAnsi="Arial"/>
                <w:sz w:val="18"/>
                <w:szCs w:val="18"/>
                <w:color w:val="auto"/>
              </w:rPr>
              <w:t>(204,494)</w:t>
            </w:r>
          </w:p>
        </w:tc>
        <w:tc>
          <w:tcPr>
            <w:tcW w:w="1260" w:type="dxa"/>
            <w:vAlign w:val="bottom"/>
          </w:tcPr>
          <w:p>
            <w:pPr>
              <w:jc w:val="right"/>
              <w:ind w:right="10"/>
              <w:spacing w:after="0" w:line="195" w:lineRule="exact"/>
              <w:rPr>
                <w:sz w:val="20"/>
                <w:szCs w:val="20"/>
                <w:color w:val="auto"/>
              </w:rPr>
            </w:pPr>
            <w:r>
              <w:rPr>
                <w:rFonts w:ascii="Arial" w:cs="Arial" w:eastAsia="Arial" w:hAnsi="Arial"/>
                <w:sz w:val="18"/>
                <w:szCs w:val="18"/>
                <w:color w:val="auto"/>
              </w:rPr>
              <w:t>11,302</w:t>
            </w:r>
          </w:p>
        </w:tc>
      </w:tr>
      <w:tr>
        <w:trPr>
          <w:trHeight w:val="203"/>
        </w:trPr>
        <w:tc>
          <w:tcPr>
            <w:tcW w:w="5180" w:type="dxa"/>
            <w:vAlign w:val="bottom"/>
          </w:tcPr>
          <w:p>
            <w:pPr>
              <w:spacing w:after="0" w:line="202" w:lineRule="exact"/>
              <w:rPr>
                <w:sz w:val="20"/>
                <w:szCs w:val="20"/>
                <w:color w:val="auto"/>
              </w:rPr>
            </w:pPr>
            <w:r>
              <w:rPr>
                <w:rFonts w:ascii="Arial" w:cs="Arial" w:eastAsia="Arial" w:hAnsi="Arial"/>
                <w:sz w:val="18"/>
                <w:szCs w:val="18"/>
                <w:color w:val="auto"/>
              </w:rPr>
              <w:t>Restructuring and other, net</w:t>
            </w:r>
          </w:p>
        </w:tc>
        <w:tc>
          <w:tcPr>
            <w:tcW w:w="234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7,386</w:t>
            </w:r>
          </w:p>
        </w:tc>
        <w:tc>
          <w:tcPr>
            <w:tcW w:w="11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4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(325)</w:t>
            </w:r>
          </w:p>
        </w:tc>
        <w:tc>
          <w:tcPr>
            <w:tcW w:w="12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7,061</w:t>
            </w:r>
          </w:p>
        </w:tc>
      </w:tr>
      <w:tr>
        <w:trPr>
          <w:trHeight w:val="203"/>
        </w:trPr>
        <w:tc>
          <w:tcPr>
            <w:tcW w:w="5180" w:type="dxa"/>
            <w:vAlign w:val="bottom"/>
          </w:tcPr>
          <w:p>
            <w:pPr>
              <w:spacing w:after="0" w:line="202" w:lineRule="exact"/>
              <w:rPr>
                <w:sz w:val="20"/>
                <w:szCs w:val="20"/>
                <w:color w:val="auto"/>
              </w:rPr>
            </w:pPr>
            <w:r>
              <w:rPr>
                <w:rFonts w:ascii="Arial" w:cs="Arial" w:eastAsia="Arial" w:hAnsi="Arial"/>
                <w:sz w:val="18"/>
                <w:szCs w:val="18"/>
                <w:color w:val="auto"/>
              </w:rPr>
              <w:t>Foreign currency revaluation losses</w:t>
            </w:r>
          </w:p>
        </w:tc>
        <w:tc>
          <w:tcPr>
            <w:tcW w:w="234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1,633</w:t>
            </w:r>
          </w:p>
        </w:tc>
        <w:tc>
          <w:tcPr>
            <w:tcW w:w="11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w:t>
            </w:r>
          </w:p>
        </w:tc>
        <w:tc>
          <w:tcPr>
            <w:tcW w:w="14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5,715</w:t>
            </w:r>
          </w:p>
        </w:tc>
        <w:tc>
          <w:tcPr>
            <w:tcW w:w="12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7,350</w:t>
            </w:r>
          </w:p>
        </w:tc>
      </w:tr>
      <w:tr>
        <w:trPr>
          <w:trHeight w:val="203"/>
        </w:trPr>
        <w:tc>
          <w:tcPr>
            <w:tcW w:w="5180" w:type="dxa"/>
            <w:vAlign w:val="bottom"/>
          </w:tcPr>
          <w:p>
            <w:pPr>
              <w:spacing w:after="0" w:line="202" w:lineRule="exact"/>
              <w:rPr>
                <w:sz w:val="20"/>
                <w:szCs w:val="20"/>
                <w:color w:val="auto"/>
              </w:rPr>
            </w:pPr>
            <w:r>
              <w:rPr>
                <w:rFonts w:ascii="Arial" w:cs="Arial" w:eastAsia="Arial" w:hAnsi="Arial"/>
                <w:sz w:val="18"/>
                <w:szCs w:val="18"/>
                <w:color w:val="auto"/>
              </w:rPr>
              <w:t>Pension plan settlement charges</w:t>
            </w:r>
          </w:p>
        </w:tc>
        <w:tc>
          <w:tcPr>
            <w:tcW w:w="234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4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119,735</w:t>
            </w:r>
          </w:p>
        </w:tc>
        <w:tc>
          <w:tcPr>
            <w:tcW w:w="12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119,735</w:t>
            </w:r>
          </w:p>
        </w:tc>
      </w:tr>
      <w:tr>
        <w:trPr>
          <w:trHeight w:val="203"/>
        </w:trPr>
        <w:tc>
          <w:tcPr>
            <w:tcW w:w="518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Income attributable to noncontrolling interest in ASC</w:t>
            </w:r>
          </w:p>
        </w:tc>
        <w:tc>
          <w:tcPr>
            <w:tcW w:w="234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w:t>
            </w:r>
          </w:p>
        </w:tc>
      </w:tr>
      <w:tr>
        <w:trPr>
          <w:trHeight w:val="196"/>
        </w:trPr>
        <w:tc>
          <w:tcPr>
            <w:tcW w:w="51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Adjusted EBITDA</w:t>
            </w:r>
          </w:p>
        </w:tc>
        <w:tc>
          <w:tcPr>
            <w:tcW w:w="234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$219,735</w:t>
            </w:r>
          </w:p>
        </w:tc>
        <w:tc>
          <w:tcPr>
            <w:tcW w:w="11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$5,082</w:t>
            </w:r>
          </w:p>
        </w:tc>
        <w:tc>
          <w:tcPr>
            <w:tcW w:w="14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($79,369)</w:t>
            </w:r>
          </w:p>
        </w:tc>
        <w:tc>
          <w:tcPr>
            <w:tcW w:w="12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$145,448</w:t>
            </w:r>
          </w:p>
        </w:tc>
      </w:tr>
      <w:tr>
        <w:trPr>
          <w:trHeight w:val="385"/>
        </w:trPr>
        <w:tc>
          <w:tcPr>
            <w:tcW w:w="51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2"/>
          </w:tcPr>
          <w:p>
            <w:pPr>
              <w:jc w:val="right"/>
              <w:ind w:right="770"/>
              <w:spacing w:after="0"/>
              <w:rPr>
                <w:sz w:val="20"/>
                <w:szCs w:val="20"/>
                <w:color w:val="auto"/>
              </w:rPr>
            </w:pPr>
            <w:r>
              <w:rPr>
                <w:rFonts w:ascii="Arial" w:cs="Arial" w:eastAsia="Arial" w:hAnsi="Arial"/>
                <w:sz w:val="18"/>
                <w:szCs w:val="18"/>
                <w:b w:val="1"/>
                <w:bCs w:val="1"/>
                <w:color w:val="auto"/>
              </w:rPr>
              <w:t>(in thousands)</w:t>
            </w:r>
          </w:p>
        </w:tc>
        <w:tc>
          <w:tcPr>
            <w:tcW w:w="1260" w:type="dxa"/>
            <w:vAlign w:val="bottom"/>
            <w:tcBorders>
              <w:bottom w:val="single" w:sz="8" w:color="auto"/>
            </w:tcBorders>
          </w:tcPr>
          <w:p>
            <w:pPr>
              <w:spacing w:after="0"/>
              <w:rPr>
                <w:sz w:val="24"/>
                <w:szCs w:val="24"/>
                <w:color w:val="auto"/>
              </w:rPr>
            </w:pPr>
          </w:p>
        </w:tc>
      </w:tr>
      <w:tr>
        <w:trPr>
          <w:trHeight w:val="376"/>
        </w:trPr>
        <w:tc>
          <w:tcPr>
            <w:tcW w:w="5180" w:type="dxa"/>
            <w:vAlign w:val="bottom"/>
          </w:tcPr>
          <w:p>
            <w:pPr>
              <w:spacing w:after="0"/>
              <w:rPr>
                <w:sz w:val="24"/>
                <w:szCs w:val="24"/>
                <w:color w:val="auto"/>
              </w:rPr>
            </w:pPr>
          </w:p>
        </w:tc>
        <w:tc>
          <w:tcPr>
            <w:tcW w:w="2340" w:type="dxa"/>
            <w:vAlign w:val="bottom"/>
          </w:tcPr>
          <w:p>
            <w:pPr>
              <w:jc w:val="right"/>
              <w:ind w:right="490"/>
              <w:spacing w:after="0"/>
              <w:rPr>
                <w:sz w:val="20"/>
                <w:szCs w:val="20"/>
                <w:color w:val="auto"/>
              </w:rPr>
            </w:pPr>
            <w:r>
              <w:rPr>
                <w:rFonts w:ascii="Arial" w:cs="Arial" w:eastAsia="Arial" w:hAnsi="Arial"/>
                <w:sz w:val="18"/>
                <w:szCs w:val="18"/>
                <w:b w:val="1"/>
                <w:bCs w:val="1"/>
                <w:color w:val="auto"/>
              </w:rPr>
              <w:t>Machine</w:t>
            </w:r>
          </w:p>
        </w:tc>
        <w:tc>
          <w:tcPr>
            <w:tcW w:w="1180" w:type="dxa"/>
            <w:vAlign w:val="bottom"/>
          </w:tcPr>
          <w:p>
            <w:pPr>
              <w:spacing w:after="0"/>
              <w:rPr>
                <w:sz w:val="24"/>
                <w:szCs w:val="24"/>
                <w:color w:val="auto"/>
              </w:rPr>
            </w:pPr>
          </w:p>
        </w:tc>
        <w:tc>
          <w:tcPr>
            <w:tcW w:w="146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Research and</w:t>
            </w:r>
          </w:p>
        </w:tc>
        <w:tc>
          <w:tcPr>
            <w:tcW w:w="1260" w:type="dxa"/>
            <w:vAlign w:val="bottom"/>
          </w:tcPr>
          <w:p>
            <w:pPr>
              <w:jc w:val="center"/>
              <w:ind w:right="110"/>
              <w:spacing w:after="0"/>
              <w:rPr>
                <w:sz w:val="20"/>
                <w:szCs w:val="20"/>
                <w:color w:val="auto"/>
              </w:rPr>
            </w:pPr>
            <w:r>
              <w:rPr>
                <w:rFonts w:ascii="Arial" w:cs="Arial" w:eastAsia="Arial" w:hAnsi="Arial"/>
                <w:sz w:val="18"/>
                <w:szCs w:val="18"/>
                <w:b w:val="1"/>
                <w:bCs w:val="1"/>
                <w:color w:val="auto"/>
                <w:w w:val="97"/>
              </w:rPr>
              <w:t>Total</w:t>
            </w:r>
          </w:p>
        </w:tc>
      </w:tr>
      <w:tr>
        <w:trPr>
          <w:trHeight w:val="225"/>
        </w:trPr>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 ended December 31, 2011</w:t>
            </w:r>
          </w:p>
        </w:tc>
        <w:tc>
          <w:tcPr>
            <w:tcW w:w="2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Clothing</w:t>
            </w: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AEC</w:t>
            </w:r>
          </w:p>
        </w:tc>
        <w:tc>
          <w:tcPr>
            <w:tcW w:w="14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Unallocated</w:t>
            </w:r>
          </w:p>
        </w:tc>
        <w:tc>
          <w:tcPr>
            <w:tcW w:w="12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Company</w:t>
            </w:r>
          </w:p>
        </w:tc>
      </w:tr>
      <w:tr>
        <w:trPr>
          <w:trHeight w:val="195"/>
        </w:trPr>
        <w:tc>
          <w:tcPr>
            <w:tcW w:w="5180" w:type="dxa"/>
            <w:vAlign w:val="bottom"/>
          </w:tcPr>
          <w:p>
            <w:pPr>
              <w:spacing w:after="0" w:line="195" w:lineRule="exact"/>
              <w:rPr>
                <w:sz w:val="20"/>
                <w:szCs w:val="20"/>
                <w:color w:val="auto"/>
              </w:rPr>
            </w:pPr>
            <w:r>
              <w:rPr>
                <w:rFonts w:ascii="Arial" w:cs="Arial" w:eastAsia="Arial" w:hAnsi="Arial"/>
                <w:sz w:val="18"/>
                <w:szCs w:val="18"/>
                <w:color w:val="auto"/>
              </w:rPr>
              <w:t>Net income</w:t>
            </w:r>
          </w:p>
        </w:tc>
        <w:tc>
          <w:tcPr>
            <w:tcW w:w="2340" w:type="dxa"/>
            <w:vAlign w:val="bottom"/>
          </w:tcPr>
          <w:p>
            <w:pPr>
              <w:jc w:val="right"/>
              <w:ind w:right="230"/>
              <w:spacing w:after="0" w:line="195" w:lineRule="exact"/>
              <w:rPr>
                <w:sz w:val="20"/>
                <w:szCs w:val="20"/>
                <w:color w:val="auto"/>
              </w:rPr>
            </w:pPr>
            <w:r>
              <w:rPr>
                <w:rFonts w:ascii="Arial" w:cs="Arial" w:eastAsia="Arial" w:hAnsi="Arial"/>
                <w:sz w:val="18"/>
                <w:szCs w:val="18"/>
                <w:color w:val="auto"/>
              </w:rPr>
              <w:t>$176,759</w:t>
            </w:r>
          </w:p>
        </w:tc>
        <w:tc>
          <w:tcPr>
            <w:tcW w:w="1180" w:type="dxa"/>
            <w:vAlign w:val="bottom"/>
          </w:tcPr>
          <w:p>
            <w:pPr>
              <w:jc w:val="right"/>
              <w:spacing w:after="0" w:line="195" w:lineRule="exact"/>
              <w:rPr>
                <w:sz w:val="20"/>
                <w:szCs w:val="20"/>
                <w:color w:val="auto"/>
              </w:rPr>
            </w:pPr>
            <w:r>
              <w:rPr>
                <w:rFonts w:ascii="Arial" w:cs="Arial" w:eastAsia="Arial" w:hAnsi="Arial"/>
                <w:sz w:val="18"/>
                <w:szCs w:val="18"/>
                <w:color w:val="auto"/>
              </w:rPr>
              <w:t>($4,204)</w:t>
            </w:r>
          </w:p>
        </w:tc>
        <w:tc>
          <w:tcPr>
            <w:tcW w:w="1460" w:type="dxa"/>
            <w:vAlign w:val="bottom"/>
          </w:tcPr>
          <w:p>
            <w:pPr>
              <w:jc w:val="right"/>
              <w:ind w:right="50"/>
              <w:spacing w:after="0" w:line="195" w:lineRule="exact"/>
              <w:rPr>
                <w:sz w:val="20"/>
                <w:szCs w:val="20"/>
                <w:color w:val="auto"/>
              </w:rPr>
            </w:pPr>
            <w:r>
              <w:rPr>
                <w:rFonts w:ascii="Arial" w:cs="Arial" w:eastAsia="Arial" w:hAnsi="Arial"/>
                <w:sz w:val="18"/>
                <w:szCs w:val="18"/>
                <w:color w:val="auto"/>
              </w:rPr>
              <w:t>($137,617)</w:t>
            </w:r>
          </w:p>
        </w:tc>
        <w:tc>
          <w:tcPr>
            <w:tcW w:w="1260" w:type="dxa"/>
            <w:vAlign w:val="bottom"/>
          </w:tcPr>
          <w:p>
            <w:pPr>
              <w:jc w:val="right"/>
              <w:ind w:right="10"/>
              <w:spacing w:after="0" w:line="195" w:lineRule="exact"/>
              <w:rPr>
                <w:sz w:val="20"/>
                <w:szCs w:val="20"/>
                <w:color w:val="auto"/>
              </w:rPr>
            </w:pPr>
            <w:r>
              <w:rPr>
                <w:rFonts w:ascii="Arial" w:cs="Arial" w:eastAsia="Arial" w:hAnsi="Arial"/>
                <w:sz w:val="18"/>
                <w:szCs w:val="18"/>
                <w:color w:val="auto"/>
              </w:rPr>
              <w:t>$34,938</w:t>
            </w:r>
          </w:p>
        </w:tc>
      </w:tr>
      <w:tr>
        <w:trPr>
          <w:trHeight w:val="203"/>
        </w:trPr>
        <w:tc>
          <w:tcPr>
            <w:tcW w:w="5180" w:type="dxa"/>
            <w:vAlign w:val="bottom"/>
          </w:tcPr>
          <w:p>
            <w:pPr>
              <w:spacing w:after="0" w:line="202" w:lineRule="exact"/>
              <w:rPr>
                <w:sz w:val="20"/>
                <w:szCs w:val="20"/>
                <w:color w:val="auto"/>
              </w:rPr>
            </w:pPr>
            <w:r>
              <w:rPr>
                <w:rFonts w:ascii="Arial" w:cs="Arial" w:eastAsia="Arial" w:hAnsi="Arial"/>
                <w:sz w:val="18"/>
                <w:szCs w:val="18"/>
                <w:color w:val="auto"/>
              </w:rPr>
              <w:t>Income from discontinued operations</w:t>
            </w:r>
          </w:p>
        </w:tc>
        <w:tc>
          <w:tcPr>
            <w:tcW w:w="2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(13,672)</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(13,672)</w:t>
            </w:r>
          </w:p>
        </w:tc>
      </w:tr>
      <w:tr>
        <w:trPr>
          <w:trHeight w:val="203"/>
        </w:trPr>
        <w:tc>
          <w:tcPr>
            <w:tcW w:w="5180" w:type="dxa"/>
            <w:vAlign w:val="bottom"/>
          </w:tcPr>
          <w:p>
            <w:pPr>
              <w:spacing w:after="0" w:line="202" w:lineRule="exact"/>
              <w:rPr>
                <w:sz w:val="20"/>
                <w:szCs w:val="20"/>
                <w:color w:val="auto"/>
              </w:rPr>
            </w:pPr>
            <w:r>
              <w:rPr>
                <w:rFonts w:ascii="Arial" w:cs="Arial" w:eastAsia="Arial" w:hAnsi="Arial"/>
                <w:sz w:val="18"/>
                <w:szCs w:val="18"/>
                <w:color w:val="auto"/>
              </w:rPr>
              <w:t>Interest expense, net</w:t>
            </w:r>
          </w:p>
        </w:tc>
        <w:tc>
          <w:tcPr>
            <w:tcW w:w="234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4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18,121</w:t>
            </w:r>
          </w:p>
        </w:tc>
        <w:tc>
          <w:tcPr>
            <w:tcW w:w="12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18,121</w:t>
            </w:r>
          </w:p>
        </w:tc>
      </w:tr>
      <w:tr>
        <w:trPr>
          <w:trHeight w:val="203"/>
        </w:trPr>
        <w:tc>
          <w:tcPr>
            <w:tcW w:w="5180" w:type="dxa"/>
            <w:vAlign w:val="bottom"/>
          </w:tcPr>
          <w:p>
            <w:pPr>
              <w:spacing w:after="0" w:line="202" w:lineRule="exact"/>
              <w:rPr>
                <w:sz w:val="20"/>
                <w:szCs w:val="20"/>
                <w:color w:val="auto"/>
              </w:rPr>
            </w:pPr>
            <w:r>
              <w:rPr>
                <w:rFonts w:ascii="Arial" w:cs="Arial" w:eastAsia="Arial" w:hAnsi="Arial"/>
                <w:sz w:val="18"/>
                <w:szCs w:val="18"/>
                <w:color w:val="auto"/>
              </w:rPr>
              <w:t>Income tax expense</w:t>
            </w:r>
          </w:p>
        </w:tc>
        <w:tc>
          <w:tcPr>
            <w:tcW w:w="234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4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32,582</w:t>
            </w:r>
          </w:p>
        </w:tc>
        <w:tc>
          <w:tcPr>
            <w:tcW w:w="12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32,582</w:t>
            </w:r>
          </w:p>
        </w:tc>
      </w:tr>
      <w:tr>
        <w:trPr>
          <w:trHeight w:val="203"/>
        </w:trPr>
        <w:tc>
          <w:tcPr>
            <w:tcW w:w="518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Depreciation and amortization</w:t>
            </w:r>
          </w:p>
        </w:tc>
        <w:tc>
          <w:tcPr>
            <w:tcW w:w="234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rPr>
              <w:t>48,181</w:t>
            </w:r>
          </w:p>
        </w:tc>
        <w:tc>
          <w:tcPr>
            <w:tcW w:w="118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4,959</w:t>
            </w:r>
          </w:p>
        </w:tc>
        <w:tc>
          <w:tcPr>
            <w:tcW w:w="146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10,672</w:t>
            </w:r>
          </w:p>
        </w:tc>
        <w:tc>
          <w:tcPr>
            <w:tcW w:w="126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63,812</w:t>
            </w:r>
          </w:p>
        </w:tc>
      </w:tr>
      <w:tr>
        <w:trPr>
          <w:trHeight w:val="195"/>
        </w:trPr>
        <w:tc>
          <w:tcPr>
            <w:tcW w:w="5180" w:type="dxa"/>
            <w:vAlign w:val="bottom"/>
          </w:tcPr>
          <w:p>
            <w:pPr>
              <w:spacing w:after="0" w:line="195" w:lineRule="exact"/>
              <w:rPr>
                <w:sz w:val="20"/>
                <w:szCs w:val="20"/>
                <w:color w:val="auto"/>
              </w:rPr>
            </w:pPr>
            <w:r>
              <w:rPr>
                <w:rFonts w:ascii="Arial" w:cs="Arial" w:eastAsia="Arial" w:hAnsi="Arial"/>
                <w:sz w:val="18"/>
                <w:szCs w:val="18"/>
                <w:color w:val="auto"/>
              </w:rPr>
              <w:t>EBITDA</w:t>
            </w:r>
          </w:p>
        </w:tc>
        <w:tc>
          <w:tcPr>
            <w:tcW w:w="2340" w:type="dxa"/>
            <w:vAlign w:val="bottom"/>
          </w:tcPr>
          <w:p>
            <w:pPr>
              <w:jc w:val="right"/>
              <w:ind w:right="230"/>
              <w:spacing w:after="0" w:line="195" w:lineRule="exact"/>
              <w:rPr>
                <w:sz w:val="20"/>
                <w:szCs w:val="20"/>
                <w:color w:val="auto"/>
              </w:rPr>
            </w:pPr>
            <w:r>
              <w:rPr>
                <w:rFonts w:ascii="Arial" w:cs="Arial" w:eastAsia="Arial" w:hAnsi="Arial"/>
                <w:sz w:val="18"/>
                <w:szCs w:val="18"/>
                <w:color w:val="auto"/>
              </w:rPr>
              <w:t>224,940</w:t>
            </w:r>
          </w:p>
        </w:tc>
        <w:tc>
          <w:tcPr>
            <w:tcW w:w="1180" w:type="dxa"/>
            <w:vAlign w:val="bottom"/>
          </w:tcPr>
          <w:p>
            <w:pPr>
              <w:jc w:val="right"/>
              <w:ind w:right="30"/>
              <w:spacing w:after="0" w:line="195" w:lineRule="exact"/>
              <w:rPr>
                <w:sz w:val="20"/>
                <w:szCs w:val="20"/>
                <w:color w:val="auto"/>
              </w:rPr>
            </w:pPr>
            <w:r>
              <w:rPr>
                <w:rFonts w:ascii="Arial" w:cs="Arial" w:eastAsia="Arial" w:hAnsi="Arial"/>
                <w:sz w:val="18"/>
                <w:szCs w:val="18"/>
                <w:color w:val="auto"/>
              </w:rPr>
              <w:t>755</w:t>
            </w:r>
          </w:p>
        </w:tc>
        <w:tc>
          <w:tcPr>
            <w:tcW w:w="1460" w:type="dxa"/>
            <w:vAlign w:val="bottom"/>
          </w:tcPr>
          <w:p>
            <w:pPr>
              <w:jc w:val="right"/>
              <w:ind w:right="50"/>
              <w:spacing w:after="0" w:line="195" w:lineRule="exact"/>
              <w:rPr>
                <w:sz w:val="20"/>
                <w:szCs w:val="20"/>
                <w:color w:val="auto"/>
              </w:rPr>
            </w:pPr>
            <w:r>
              <w:rPr>
                <w:rFonts w:ascii="Arial" w:cs="Arial" w:eastAsia="Arial" w:hAnsi="Arial"/>
                <w:sz w:val="18"/>
                <w:szCs w:val="18"/>
                <w:color w:val="auto"/>
              </w:rPr>
              <w:t>(89,914)</w:t>
            </w:r>
          </w:p>
        </w:tc>
        <w:tc>
          <w:tcPr>
            <w:tcW w:w="1260" w:type="dxa"/>
            <w:vAlign w:val="bottom"/>
          </w:tcPr>
          <w:p>
            <w:pPr>
              <w:jc w:val="right"/>
              <w:ind w:right="10"/>
              <w:spacing w:after="0" w:line="195" w:lineRule="exact"/>
              <w:rPr>
                <w:sz w:val="20"/>
                <w:szCs w:val="20"/>
                <w:color w:val="auto"/>
              </w:rPr>
            </w:pPr>
            <w:r>
              <w:rPr>
                <w:rFonts w:ascii="Arial" w:cs="Arial" w:eastAsia="Arial" w:hAnsi="Arial"/>
                <w:sz w:val="18"/>
                <w:szCs w:val="18"/>
                <w:color w:val="auto"/>
              </w:rPr>
              <w:t>135,781</w:t>
            </w:r>
          </w:p>
        </w:tc>
      </w:tr>
      <w:tr>
        <w:trPr>
          <w:trHeight w:val="203"/>
        </w:trPr>
        <w:tc>
          <w:tcPr>
            <w:tcW w:w="5180" w:type="dxa"/>
            <w:vAlign w:val="bottom"/>
          </w:tcPr>
          <w:p>
            <w:pPr>
              <w:spacing w:after="0" w:line="202" w:lineRule="exact"/>
              <w:rPr>
                <w:sz w:val="20"/>
                <w:szCs w:val="20"/>
                <w:color w:val="auto"/>
              </w:rPr>
            </w:pPr>
            <w:r>
              <w:rPr>
                <w:rFonts w:ascii="Arial" w:cs="Arial" w:eastAsia="Arial" w:hAnsi="Arial"/>
                <w:sz w:val="18"/>
                <w:szCs w:val="18"/>
                <w:color w:val="auto"/>
              </w:rPr>
              <w:t>Restructuring and other, net</w:t>
            </w:r>
          </w:p>
        </w:tc>
        <w:tc>
          <w:tcPr>
            <w:tcW w:w="234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5,680</w:t>
            </w:r>
          </w:p>
        </w:tc>
        <w:tc>
          <w:tcPr>
            <w:tcW w:w="11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57</w:t>
            </w:r>
          </w:p>
        </w:tc>
        <w:tc>
          <w:tcPr>
            <w:tcW w:w="14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3,580</w:t>
            </w:r>
          </w:p>
        </w:tc>
        <w:tc>
          <w:tcPr>
            <w:tcW w:w="12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9,317</w:t>
            </w:r>
          </w:p>
        </w:tc>
      </w:tr>
      <w:tr>
        <w:trPr>
          <w:trHeight w:val="203"/>
        </w:trPr>
        <w:tc>
          <w:tcPr>
            <w:tcW w:w="5180" w:type="dxa"/>
            <w:vAlign w:val="bottom"/>
          </w:tcPr>
          <w:p>
            <w:pPr>
              <w:spacing w:after="0" w:line="202" w:lineRule="exact"/>
              <w:rPr>
                <w:sz w:val="20"/>
                <w:szCs w:val="20"/>
                <w:color w:val="auto"/>
              </w:rPr>
            </w:pPr>
            <w:r>
              <w:rPr>
                <w:rFonts w:ascii="Arial" w:cs="Arial" w:eastAsia="Arial" w:hAnsi="Arial"/>
                <w:sz w:val="18"/>
                <w:szCs w:val="18"/>
                <w:color w:val="auto"/>
              </w:rPr>
              <w:t>Foreign currency revaluation gains</w:t>
            </w:r>
          </w:p>
        </w:tc>
        <w:tc>
          <w:tcPr>
            <w:tcW w:w="234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(2,685)</w:t>
            </w:r>
          </w:p>
        </w:tc>
        <w:tc>
          <w:tcPr>
            <w:tcW w:w="11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w:t>
            </w:r>
          </w:p>
        </w:tc>
        <w:tc>
          <w:tcPr>
            <w:tcW w:w="14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(77)</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(2,761)</w:t>
            </w:r>
          </w:p>
        </w:tc>
      </w:tr>
      <w:tr>
        <w:trPr>
          <w:trHeight w:val="203"/>
        </w:trPr>
        <w:tc>
          <w:tcPr>
            <w:tcW w:w="5180" w:type="dxa"/>
            <w:vAlign w:val="bottom"/>
          </w:tcPr>
          <w:p>
            <w:pPr>
              <w:spacing w:after="0" w:line="202" w:lineRule="exact"/>
              <w:rPr>
                <w:sz w:val="20"/>
                <w:szCs w:val="20"/>
                <w:color w:val="auto"/>
              </w:rPr>
            </w:pPr>
            <w:r>
              <w:rPr>
                <w:rFonts w:ascii="Arial" w:cs="Arial" w:eastAsia="Arial" w:hAnsi="Arial"/>
                <w:sz w:val="18"/>
                <w:szCs w:val="18"/>
                <w:color w:val="auto"/>
              </w:rPr>
              <w:t>Gain on sale of former manufacturing facilities</w:t>
            </w:r>
          </w:p>
        </w:tc>
        <w:tc>
          <w:tcPr>
            <w:tcW w:w="234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4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(1,008)</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(1,008)</w:t>
            </w:r>
          </w:p>
        </w:tc>
      </w:tr>
      <w:tr>
        <w:trPr>
          <w:trHeight w:val="203"/>
        </w:trPr>
        <w:tc>
          <w:tcPr>
            <w:tcW w:w="518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Income attributable to noncontrolling interest in ASC</w:t>
            </w:r>
          </w:p>
        </w:tc>
        <w:tc>
          <w:tcPr>
            <w:tcW w:w="234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w:t>
            </w:r>
          </w:p>
        </w:tc>
      </w:tr>
      <w:tr>
        <w:trPr>
          <w:trHeight w:val="196"/>
        </w:trPr>
        <w:tc>
          <w:tcPr>
            <w:tcW w:w="51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Adjusted EBITDA</w:t>
            </w:r>
          </w:p>
        </w:tc>
        <w:tc>
          <w:tcPr>
            <w:tcW w:w="234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$227,935</w:t>
            </w:r>
          </w:p>
        </w:tc>
        <w:tc>
          <w:tcPr>
            <w:tcW w:w="11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$813</w:t>
            </w:r>
          </w:p>
        </w:tc>
        <w:tc>
          <w:tcPr>
            <w:tcW w:w="14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($87,419)</w:t>
            </w:r>
          </w:p>
        </w:tc>
        <w:tc>
          <w:tcPr>
            <w:tcW w:w="12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$141,329</w:t>
            </w:r>
          </w:p>
        </w:tc>
      </w:tr>
    </w:tbl>
    <w:p>
      <w:pPr>
        <w:spacing w:after="0" w:line="175" w:lineRule="exact"/>
        <w:rPr>
          <w:sz w:val="20"/>
          <w:szCs w:val="20"/>
          <w:color w:val="auto"/>
        </w:rPr>
      </w:pPr>
    </w:p>
    <w:p>
      <w:pPr>
        <w:ind w:right="260" w:firstLine="648"/>
        <w:spacing w:after="0" w:line="239" w:lineRule="auto"/>
        <w:rPr>
          <w:sz w:val="20"/>
          <w:szCs w:val="20"/>
          <w:color w:val="auto"/>
        </w:rPr>
      </w:pPr>
      <w:r>
        <w:rPr>
          <w:rFonts w:ascii="Arial" w:cs="Arial" w:eastAsia="Arial" w:hAnsi="Arial"/>
          <w:sz w:val="18"/>
          <w:szCs w:val="18"/>
          <w:color w:val="auto"/>
        </w:rPr>
        <w:t>We disclose certain income and expense items on a per share basis. We believe that such disclosures provide important insight into the underlying earnings and are financial performance metrics commonly used by investors. We calculate the per share amount for items included in continuing operations by using the effective tax rate utilized during the applicable reporting period and the weighted average number of shares outstanding for the period.</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show the earnings per share effect of certain income and expense items: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5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spacing w:after="0"/>
              <w:rPr>
                <w:sz w:val="19"/>
                <w:szCs w:val="19"/>
                <w:color w:val="auto"/>
              </w:rPr>
            </w:pPr>
          </w:p>
        </w:tc>
        <w:tc>
          <w:tcPr>
            <w:tcW w:w="390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(in thousands, except per share amounts)</w:t>
            </w:r>
          </w:p>
        </w:tc>
        <w:tc>
          <w:tcPr>
            <w:tcW w:w="10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73"/>
        </w:trPr>
        <w:tc>
          <w:tcPr>
            <w:tcW w:w="4520" w:type="dxa"/>
            <w:vAlign w:val="bottom"/>
          </w:tcPr>
          <w:p>
            <w:pPr>
              <w:spacing w:after="0"/>
              <w:rPr>
                <w:sz w:val="15"/>
                <w:szCs w:val="15"/>
                <w:color w:val="auto"/>
              </w:rPr>
            </w:pPr>
          </w:p>
        </w:tc>
        <w:tc>
          <w:tcPr>
            <w:tcW w:w="1940" w:type="dxa"/>
            <w:vAlign w:val="bottom"/>
          </w:tcPr>
          <w:p>
            <w:pPr>
              <w:jc w:val="right"/>
              <w:ind w:right="190"/>
              <w:spacing w:after="0" w:line="173" w:lineRule="exact"/>
              <w:rPr>
                <w:sz w:val="20"/>
                <w:szCs w:val="20"/>
                <w:color w:val="auto"/>
              </w:rPr>
            </w:pPr>
            <w:r>
              <w:rPr>
                <w:rFonts w:ascii="Arial" w:cs="Arial" w:eastAsia="Arial" w:hAnsi="Arial"/>
                <w:sz w:val="18"/>
                <w:szCs w:val="18"/>
                <w:b w:val="1"/>
                <w:bCs w:val="1"/>
                <w:color w:val="auto"/>
              </w:rPr>
              <w:t>Pre tax</w:t>
            </w:r>
          </w:p>
        </w:tc>
        <w:tc>
          <w:tcPr>
            <w:tcW w:w="1260" w:type="dxa"/>
            <w:vAlign w:val="bottom"/>
          </w:tcPr>
          <w:p>
            <w:pPr>
              <w:jc w:val="right"/>
              <w:ind w:right="390"/>
              <w:spacing w:after="0" w:line="173" w:lineRule="exact"/>
              <w:rPr>
                <w:sz w:val="20"/>
                <w:szCs w:val="20"/>
                <w:color w:val="auto"/>
              </w:rPr>
            </w:pPr>
            <w:r>
              <w:rPr>
                <w:rFonts w:ascii="Arial" w:cs="Arial" w:eastAsia="Arial" w:hAnsi="Arial"/>
                <w:sz w:val="18"/>
                <w:szCs w:val="18"/>
                <w:b w:val="1"/>
                <w:bCs w:val="1"/>
                <w:color w:val="auto"/>
              </w:rPr>
              <w:t>Tax</w:t>
            </w:r>
          </w:p>
        </w:tc>
        <w:tc>
          <w:tcPr>
            <w:tcW w:w="1240" w:type="dxa"/>
            <w:vAlign w:val="bottom"/>
          </w:tcPr>
          <w:p>
            <w:pPr>
              <w:jc w:val="right"/>
              <w:ind w:right="210"/>
              <w:spacing w:after="0" w:line="173" w:lineRule="exact"/>
              <w:rPr>
                <w:sz w:val="20"/>
                <w:szCs w:val="20"/>
                <w:color w:val="auto"/>
              </w:rPr>
            </w:pPr>
            <w:r>
              <w:rPr>
                <w:rFonts w:ascii="Arial" w:cs="Arial" w:eastAsia="Arial" w:hAnsi="Arial"/>
                <w:sz w:val="18"/>
                <w:szCs w:val="18"/>
                <w:b w:val="1"/>
                <w:bCs w:val="1"/>
                <w:color w:val="auto"/>
              </w:rPr>
              <w:t>After tax</w:t>
            </w:r>
          </w:p>
        </w:tc>
        <w:tc>
          <w:tcPr>
            <w:tcW w:w="1400" w:type="dxa"/>
            <w:vAlign w:val="bottom"/>
          </w:tcPr>
          <w:p>
            <w:pPr>
              <w:jc w:val="right"/>
              <w:ind w:right="310"/>
              <w:spacing w:after="0" w:line="173" w:lineRule="exact"/>
              <w:rPr>
                <w:sz w:val="20"/>
                <w:szCs w:val="20"/>
                <w:color w:val="auto"/>
              </w:rPr>
            </w:pPr>
            <w:r>
              <w:rPr>
                <w:rFonts w:ascii="Arial" w:cs="Arial" w:eastAsia="Arial" w:hAnsi="Arial"/>
                <w:sz w:val="18"/>
                <w:szCs w:val="18"/>
                <w:b w:val="1"/>
                <w:bCs w:val="1"/>
                <w:color w:val="auto"/>
              </w:rPr>
              <w:t>Shares</w:t>
            </w:r>
          </w:p>
        </w:tc>
        <w:tc>
          <w:tcPr>
            <w:tcW w:w="1060" w:type="dxa"/>
            <w:vAlign w:val="bottom"/>
          </w:tcPr>
          <w:p>
            <w:pPr>
              <w:jc w:val="center"/>
              <w:spacing w:after="0" w:line="173" w:lineRule="exact"/>
              <w:rPr>
                <w:sz w:val="20"/>
                <w:szCs w:val="20"/>
                <w:color w:val="auto"/>
              </w:rPr>
            </w:pPr>
            <w:r>
              <w:rPr>
                <w:rFonts w:ascii="Arial" w:cs="Arial" w:eastAsia="Arial" w:hAnsi="Arial"/>
                <w:sz w:val="18"/>
                <w:szCs w:val="18"/>
                <w:b w:val="1"/>
                <w:bCs w:val="1"/>
                <w:color w:val="auto"/>
                <w:w w:val="99"/>
              </w:rPr>
              <w:t>Per Share</w:t>
            </w:r>
          </w:p>
        </w:tc>
        <w:tc>
          <w:tcPr>
            <w:tcW w:w="20" w:type="dxa"/>
            <w:vAlign w:val="bottom"/>
          </w:tcPr>
          <w:p>
            <w:pPr>
              <w:spacing w:after="0"/>
              <w:rPr>
                <w:sz w:val="15"/>
                <w:szCs w:val="15"/>
                <w:color w:val="auto"/>
              </w:rPr>
            </w:pPr>
          </w:p>
        </w:tc>
      </w:tr>
      <w:tr>
        <w:trPr>
          <w:trHeight w:val="225"/>
        </w:trPr>
        <w:tc>
          <w:tcPr>
            <w:tcW w:w="4520" w:type="dxa"/>
            <w:vAlign w:val="bottom"/>
          </w:tcPr>
          <w:p>
            <w:pPr>
              <w:spacing w:after="0"/>
              <w:rPr>
                <w:sz w:val="20"/>
                <w:szCs w:val="20"/>
                <w:color w:val="auto"/>
              </w:rPr>
            </w:pPr>
            <w:r>
              <w:rPr>
                <w:rFonts w:ascii="Arial" w:cs="Arial" w:eastAsia="Arial" w:hAnsi="Arial"/>
                <w:sz w:val="18"/>
                <w:szCs w:val="18"/>
                <w:b w:val="1"/>
                <w:bCs w:val="1"/>
                <w:color w:val="auto"/>
              </w:rPr>
              <w:t>Year ended December 31, 2013</w:t>
            </w:r>
          </w:p>
        </w:tc>
        <w:tc>
          <w:tcPr>
            <w:tcW w:w="1940" w:type="dxa"/>
            <w:vAlign w:val="bottom"/>
          </w:tcPr>
          <w:p>
            <w:pPr>
              <w:jc w:val="right"/>
              <w:ind w:right="90"/>
              <w:spacing w:after="0"/>
              <w:rPr>
                <w:sz w:val="20"/>
                <w:szCs w:val="20"/>
                <w:color w:val="auto"/>
              </w:rPr>
            </w:pPr>
            <w:r>
              <w:rPr>
                <w:rFonts w:ascii="Arial" w:cs="Arial" w:eastAsia="Arial" w:hAnsi="Arial"/>
                <w:sz w:val="18"/>
                <w:szCs w:val="18"/>
                <w:b w:val="1"/>
                <w:bCs w:val="1"/>
                <w:color w:val="auto"/>
              </w:rPr>
              <w:t>Amounts</w:t>
            </w:r>
          </w:p>
        </w:tc>
        <w:tc>
          <w:tcPr>
            <w:tcW w:w="1260" w:type="dxa"/>
            <w:vAlign w:val="bottom"/>
          </w:tcPr>
          <w:p>
            <w:pPr>
              <w:jc w:val="right"/>
              <w:ind w:right="290"/>
              <w:spacing w:after="0"/>
              <w:rPr>
                <w:sz w:val="20"/>
                <w:szCs w:val="20"/>
                <w:color w:val="auto"/>
              </w:rPr>
            </w:pPr>
            <w:r>
              <w:rPr>
                <w:rFonts w:ascii="Arial" w:cs="Arial" w:eastAsia="Arial" w:hAnsi="Arial"/>
                <w:sz w:val="18"/>
                <w:szCs w:val="18"/>
                <w:b w:val="1"/>
                <w:bCs w:val="1"/>
                <w:color w:val="auto"/>
              </w:rPr>
              <w:t>Effect</w:t>
            </w:r>
          </w:p>
        </w:tc>
        <w:tc>
          <w:tcPr>
            <w:tcW w:w="1240" w:type="dxa"/>
            <w:vAlign w:val="bottom"/>
          </w:tcPr>
          <w:p>
            <w:pPr>
              <w:jc w:val="right"/>
              <w:ind w:right="330"/>
              <w:spacing w:after="0"/>
              <w:rPr>
                <w:sz w:val="20"/>
                <w:szCs w:val="20"/>
                <w:color w:val="auto"/>
              </w:rPr>
            </w:pPr>
            <w:r>
              <w:rPr>
                <w:rFonts w:ascii="Arial" w:cs="Arial" w:eastAsia="Arial" w:hAnsi="Arial"/>
                <w:sz w:val="18"/>
                <w:szCs w:val="18"/>
                <w:b w:val="1"/>
                <w:bCs w:val="1"/>
                <w:color w:val="auto"/>
              </w:rPr>
              <w:t>Effect</w:t>
            </w:r>
          </w:p>
        </w:tc>
        <w:tc>
          <w:tcPr>
            <w:tcW w:w="1400" w:type="dxa"/>
            <w:vAlign w:val="bottom"/>
          </w:tcPr>
          <w:p>
            <w:pPr>
              <w:jc w:val="right"/>
              <w:ind w:right="90"/>
              <w:spacing w:after="0"/>
              <w:rPr>
                <w:sz w:val="20"/>
                <w:szCs w:val="20"/>
                <w:color w:val="auto"/>
              </w:rPr>
            </w:pPr>
            <w:r>
              <w:rPr>
                <w:rFonts w:ascii="Arial" w:cs="Arial" w:eastAsia="Arial" w:hAnsi="Arial"/>
                <w:sz w:val="18"/>
                <w:szCs w:val="18"/>
                <w:b w:val="1"/>
                <w:bCs w:val="1"/>
                <w:color w:val="auto"/>
              </w:rPr>
              <w:t>Outstanding</w:t>
            </w:r>
          </w:p>
        </w:tc>
        <w:tc>
          <w:tcPr>
            <w:tcW w:w="1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Effect</w:t>
            </w:r>
          </w:p>
        </w:tc>
      </w:tr>
      <w:tr>
        <w:trPr>
          <w:trHeight w:val="173"/>
        </w:trPr>
        <w:tc>
          <w:tcPr>
            <w:tcW w:w="4520" w:type="dxa"/>
            <w:vAlign w:val="bottom"/>
            <w:tcBorders>
              <w:top w:val="single" w:sz="8" w:color="auto"/>
            </w:tcBorders>
          </w:tcPr>
          <w:p>
            <w:pPr>
              <w:spacing w:after="0" w:line="173" w:lineRule="exact"/>
              <w:rPr>
                <w:sz w:val="20"/>
                <w:szCs w:val="20"/>
                <w:color w:val="auto"/>
              </w:rPr>
            </w:pPr>
            <w:r>
              <w:rPr>
                <w:rFonts w:ascii="Arial" w:cs="Arial" w:eastAsia="Arial" w:hAnsi="Arial"/>
                <w:sz w:val="18"/>
                <w:szCs w:val="18"/>
                <w:color w:val="auto"/>
              </w:rPr>
              <w:t>Restructuring and other, net</w:t>
            </w:r>
          </w:p>
        </w:tc>
        <w:tc>
          <w:tcPr>
            <w:tcW w:w="194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b w:val="1"/>
                <w:bCs w:val="1"/>
                <w:color w:val="auto"/>
              </w:rPr>
              <w:t>$25,108</w:t>
            </w:r>
          </w:p>
        </w:tc>
        <w:tc>
          <w:tcPr>
            <w:tcW w:w="1260" w:type="dxa"/>
            <w:vAlign w:val="bottom"/>
            <w:tcBorders>
              <w:top w:val="single" w:sz="8" w:color="auto"/>
            </w:tcBorders>
          </w:tcPr>
          <w:p>
            <w:pPr>
              <w:jc w:val="right"/>
              <w:ind w:right="110"/>
              <w:spacing w:after="0" w:line="173" w:lineRule="exact"/>
              <w:rPr>
                <w:sz w:val="20"/>
                <w:szCs w:val="20"/>
                <w:color w:val="auto"/>
              </w:rPr>
            </w:pPr>
            <w:r>
              <w:rPr>
                <w:rFonts w:ascii="Arial" w:cs="Arial" w:eastAsia="Arial" w:hAnsi="Arial"/>
                <w:sz w:val="18"/>
                <w:szCs w:val="18"/>
                <w:b w:val="1"/>
                <w:bCs w:val="1"/>
                <w:color w:val="auto"/>
              </w:rPr>
              <w:t>$12,253</w:t>
            </w:r>
          </w:p>
        </w:tc>
        <w:tc>
          <w:tcPr>
            <w:tcW w:w="1240" w:type="dxa"/>
            <w:vAlign w:val="bottom"/>
            <w:tcBorders>
              <w:top w:val="single" w:sz="8" w:color="auto"/>
            </w:tcBorders>
          </w:tcPr>
          <w:p>
            <w:pPr>
              <w:jc w:val="right"/>
              <w:ind w:right="90"/>
              <w:spacing w:after="0" w:line="173" w:lineRule="exact"/>
              <w:rPr>
                <w:sz w:val="20"/>
                <w:szCs w:val="20"/>
                <w:color w:val="auto"/>
              </w:rPr>
            </w:pPr>
            <w:r>
              <w:rPr>
                <w:rFonts w:ascii="Arial" w:cs="Arial" w:eastAsia="Arial" w:hAnsi="Arial"/>
                <w:sz w:val="18"/>
                <w:szCs w:val="18"/>
                <w:b w:val="1"/>
                <w:bCs w:val="1"/>
                <w:color w:val="auto"/>
              </w:rPr>
              <w:t>$12,855</w:t>
            </w:r>
          </w:p>
        </w:tc>
        <w:tc>
          <w:tcPr>
            <w:tcW w:w="1400" w:type="dxa"/>
            <w:vAlign w:val="bottom"/>
            <w:tcBorders>
              <w:top w:val="single" w:sz="8" w:color="auto"/>
            </w:tcBorders>
          </w:tcPr>
          <w:p>
            <w:pPr>
              <w:jc w:val="right"/>
              <w:ind w:right="30"/>
              <w:spacing w:after="0" w:line="173" w:lineRule="exact"/>
              <w:rPr>
                <w:sz w:val="20"/>
                <w:szCs w:val="20"/>
                <w:color w:val="auto"/>
              </w:rPr>
            </w:pPr>
            <w:r>
              <w:rPr>
                <w:rFonts w:ascii="Arial" w:cs="Arial" w:eastAsia="Arial" w:hAnsi="Arial"/>
                <w:sz w:val="18"/>
                <w:szCs w:val="18"/>
                <w:b w:val="1"/>
                <w:bCs w:val="1"/>
                <w:color w:val="auto"/>
              </w:rPr>
              <w:t>31,649</w:t>
            </w:r>
          </w:p>
        </w:tc>
        <w:tc>
          <w:tcPr>
            <w:tcW w:w="1060" w:type="dxa"/>
            <w:vAlign w:val="bottom"/>
            <w:tcBorders>
              <w:top w:val="single" w:sz="8" w:color="auto"/>
            </w:tcBorders>
          </w:tcPr>
          <w:p>
            <w:pPr>
              <w:jc w:val="right"/>
              <w:ind w:right="50"/>
              <w:spacing w:after="0" w:line="173" w:lineRule="exact"/>
              <w:rPr>
                <w:sz w:val="20"/>
                <w:szCs w:val="20"/>
                <w:color w:val="auto"/>
              </w:rPr>
            </w:pPr>
            <w:r>
              <w:rPr>
                <w:rFonts w:ascii="Arial" w:cs="Arial" w:eastAsia="Arial" w:hAnsi="Arial"/>
                <w:sz w:val="18"/>
                <w:szCs w:val="18"/>
                <w:b w:val="1"/>
                <w:bCs w:val="1"/>
                <w:color w:val="auto"/>
              </w:rPr>
              <w:t>$0.41</w:t>
            </w:r>
          </w:p>
        </w:tc>
        <w:tc>
          <w:tcPr>
            <w:tcW w:w="20" w:type="dxa"/>
            <w:vAlign w:val="bottom"/>
          </w:tcPr>
          <w:p>
            <w:pPr>
              <w:spacing w:after="0"/>
              <w:rPr>
                <w:sz w:val="15"/>
                <w:szCs w:val="15"/>
                <w:color w:val="auto"/>
              </w:rPr>
            </w:pPr>
          </w:p>
        </w:tc>
      </w:tr>
      <w:tr>
        <w:trPr>
          <w:trHeight w:val="203"/>
        </w:trPr>
        <w:tc>
          <w:tcPr>
            <w:tcW w:w="4520" w:type="dxa"/>
            <w:vAlign w:val="bottom"/>
          </w:tcPr>
          <w:p>
            <w:pPr>
              <w:spacing w:after="0" w:line="202" w:lineRule="exact"/>
              <w:rPr>
                <w:sz w:val="20"/>
                <w:szCs w:val="20"/>
                <w:color w:val="auto"/>
              </w:rPr>
            </w:pPr>
            <w:r>
              <w:rPr>
                <w:rFonts w:ascii="Arial" w:cs="Arial" w:eastAsia="Arial" w:hAnsi="Arial"/>
                <w:sz w:val="18"/>
                <w:szCs w:val="18"/>
                <w:color w:val="auto"/>
              </w:rPr>
              <w:t>Foreign currency revaluation losses</w:t>
            </w:r>
          </w:p>
        </w:tc>
        <w:tc>
          <w:tcPr>
            <w:tcW w:w="19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5,567</w:t>
            </w:r>
          </w:p>
        </w:tc>
        <w:tc>
          <w:tcPr>
            <w:tcW w:w="126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2,717</w:t>
            </w:r>
          </w:p>
        </w:tc>
        <w:tc>
          <w:tcPr>
            <w:tcW w:w="124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2,850</w:t>
            </w:r>
          </w:p>
        </w:tc>
        <w:tc>
          <w:tcPr>
            <w:tcW w:w="140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31,649</w:t>
            </w:r>
          </w:p>
        </w:tc>
        <w:tc>
          <w:tcPr>
            <w:tcW w:w="106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0.09</w:t>
            </w:r>
          </w:p>
        </w:tc>
        <w:tc>
          <w:tcPr>
            <w:tcW w:w="20" w:type="dxa"/>
            <w:vAlign w:val="bottom"/>
          </w:tcPr>
          <w:p>
            <w:pPr>
              <w:spacing w:after="0"/>
              <w:rPr>
                <w:sz w:val="17"/>
                <w:szCs w:val="17"/>
                <w:color w:val="auto"/>
              </w:rPr>
            </w:pPr>
          </w:p>
        </w:tc>
      </w:tr>
      <w:tr>
        <w:trPr>
          <w:trHeight w:val="203"/>
        </w:trPr>
        <w:tc>
          <w:tcPr>
            <w:tcW w:w="4520" w:type="dxa"/>
            <w:vAlign w:val="bottom"/>
          </w:tcPr>
          <w:p>
            <w:pPr>
              <w:spacing w:after="0" w:line="202" w:lineRule="exact"/>
              <w:rPr>
                <w:sz w:val="20"/>
                <w:szCs w:val="20"/>
                <w:color w:val="auto"/>
              </w:rPr>
            </w:pPr>
            <w:r>
              <w:rPr>
                <w:rFonts w:ascii="Arial" w:cs="Arial" w:eastAsia="Arial" w:hAnsi="Arial"/>
                <w:sz w:val="18"/>
                <w:szCs w:val="18"/>
                <w:color w:val="auto"/>
              </w:rPr>
              <w:t>Gain on sale of former manufacturing facility</w:t>
            </w:r>
          </w:p>
        </w:tc>
        <w:tc>
          <w:tcPr>
            <w:tcW w:w="19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3,763</w:t>
            </w:r>
          </w:p>
        </w:tc>
        <w:tc>
          <w:tcPr>
            <w:tcW w:w="126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1,836</w:t>
            </w:r>
          </w:p>
        </w:tc>
        <w:tc>
          <w:tcPr>
            <w:tcW w:w="124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1,927</w:t>
            </w:r>
          </w:p>
        </w:tc>
        <w:tc>
          <w:tcPr>
            <w:tcW w:w="140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31,649</w:t>
            </w:r>
          </w:p>
        </w:tc>
        <w:tc>
          <w:tcPr>
            <w:tcW w:w="106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0.06</w:t>
            </w:r>
          </w:p>
        </w:tc>
        <w:tc>
          <w:tcPr>
            <w:tcW w:w="20" w:type="dxa"/>
            <w:vAlign w:val="bottom"/>
          </w:tcPr>
          <w:p>
            <w:pPr>
              <w:spacing w:after="0"/>
              <w:rPr>
                <w:sz w:val="17"/>
                <w:szCs w:val="17"/>
                <w:color w:val="auto"/>
              </w:rPr>
            </w:pPr>
          </w:p>
        </w:tc>
      </w:tr>
      <w:tr>
        <w:trPr>
          <w:trHeight w:val="239"/>
        </w:trPr>
        <w:tc>
          <w:tcPr>
            <w:tcW w:w="4520" w:type="dxa"/>
            <w:vAlign w:val="bottom"/>
          </w:tcPr>
          <w:p>
            <w:pPr>
              <w:spacing w:after="0"/>
              <w:rPr>
                <w:sz w:val="20"/>
                <w:szCs w:val="20"/>
                <w:color w:val="auto"/>
              </w:rPr>
            </w:pPr>
            <w:r>
              <w:rPr>
                <w:rFonts w:ascii="Arial" w:cs="Arial" w:eastAsia="Arial" w:hAnsi="Arial"/>
                <w:sz w:val="18"/>
                <w:szCs w:val="18"/>
                <w:color w:val="auto"/>
              </w:rPr>
              <w:t>Net favorable discrete tax adjustments</w:t>
            </w:r>
          </w:p>
        </w:tc>
        <w:tc>
          <w:tcPr>
            <w:tcW w:w="19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10"/>
              <w:spacing w:after="0"/>
              <w:rPr>
                <w:sz w:val="20"/>
                <w:szCs w:val="20"/>
                <w:color w:val="auto"/>
              </w:rPr>
            </w:pPr>
            <w:r>
              <w:rPr>
                <w:rFonts w:ascii="Arial" w:cs="Arial" w:eastAsia="Arial" w:hAnsi="Arial"/>
                <w:sz w:val="18"/>
                <w:szCs w:val="18"/>
                <w:b w:val="1"/>
                <w:bCs w:val="1"/>
                <w:color w:val="auto"/>
              </w:rPr>
              <w:t>1,800</w:t>
            </w:r>
          </w:p>
        </w:tc>
        <w:tc>
          <w:tcPr>
            <w:tcW w:w="1240" w:type="dxa"/>
            <w:vAlign w:val="bottom"/>
          </w:tcPr>
          <w:p>
            <w:pPr>
              <w:jc w:val="right"/>
              <w:ind w:right="90"/>
              <w:spacing w:after="0"/>
              <w:rPr>
                <w:sz w:val="20"/>
                <w:szCs w:val="20"/>
                <w:color w:val="auto"/>
              </w:rPr>
            </w:pPr>
            <w:r>
              <w:rPr>
                <w:rFonts w:ascii="Arial" w:cs="Arial" w:eastAsia="Arial" w:hAnsi="Arial"/>
                <w:sz w:val="18"/>
                <w:szCs w:val="18"/>
                <w:b w:val="1"/>
                <w:bCs w:val="1"/>
                <w:color w:val="auto"/>
              </w:rPr>
              <w:t>1,800</w:t>
            </w:r>
          </w:p>
        </w:tc>
        <w:tc>
          <w:tcPr>
            <w:tcW w:w="1400" w:type="dxa"/>
            <w:vAlign w:val="bottom"/>
          </w:tcPr>
          <w:p>
            <w:pPr>
              <w:jc w:val="right"/>
              <w:ind w:right="30"/>
              <w:spacing w:after="0"/>
              <w:rPr>
                <w:sz w:val="20"/>
                <w:szCs w:val="20"/>
                <w:color w:val="auto"/>
              </w:rPr>
            </w:pPr>
            <w:r>
              <w:rPr>
                <w:rFonts w:ascii="Arial" w:cs="Arial" w:eastAsia="Arial" w:hAnsi="Arial"/>
                <w:sz w:val="18"/>
                <w:szCs w:val="18"/>
                <w:b w:val="1"/>
                <w:bCs w:val="1"/>
                <w:color w:val="auto"/>
              </w:rPr>
              <w:t>31,649</w:t>
            </w: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0.06</w:t>
            </w:r>
          </w:p>
        </w:tc>
        <w:tc>
          <w:tcPr>
            <w:tcW w:w="20" w:type="dxa"/>
            <w:vAlign w:val="bottom"/>
          </w:tcPr>
          <w:p>
            <w:pPr>
              <w:spacing w:after="0"/>
              <w:rPr>
                <w:sz w:val="20"/>
                <w:szCs w:val="20"/>
                <w:color w:val="auto"/>
              </w:rPr>
            </w:pPr>
          </w:p>
        </w:tc>
      </w:tr>
      <w:tr>
        <w:trPr>
          <w:trHeight w:val="75"/>
        </w:trPr>
        <w:tc>
          <w:tcPr>
            <w:tcW w:w="4520" w:type="dxa"/>
            <w:vAlign w:val="bottom"/>
            <w:tcBorders>
              <w:bottom w:val="single" w:sz="8" w:color="auto"/>
            </w:tcBorders>
          </w:tcPr>
          <w:p>
            <w:pPr>
              <w:spacing w:after="0"/>
              <w:rPr>
                <w:sz w:val="6"/>
                <w:szCs w:val="6"/>
                <w:color w:val="auto"/>
              </w:rPr>
            </w:pPr>
          </w:p>
        </w:tc>
        <w:tc>
          <w:tcPr>
            <w:tcW w:w="194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432"/>
        </w:trPr>
        <w:tc>
          <w:tcPr>
            <w:tcW w:w="45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r>
      <w:tr>
        <w:trPr>
          <w:trHeight w:val="75"/>
        </w:trPr>
        <w:tc>
          <w:tcPr>
            <w:tcW w:w="4520" w:type="dxa"/>
            <w:vAlign w:val="bottom"/>
            <w:tcBorders>
              <w:bottom w:val="single" w:sz="8" w:color="auto"/>
            </w:tcBorders>
          </w:tcPr>
          <w:p>
            <w:pPr>
              <w:spacing w:after="0"/>
              <w:rPr>
                <w:sz w:val="6"/>
                <w:szCs w:val="6"/>
                <w:color w:val="auto"/>
              </w:rPr>
            </w:pPr>
          </w:p>
        </w:tc>
        <w:tc>
          <w:tcPr>
            <w:tcW w:w="194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r>
    </w:tbl>
    <w:p>
      <w:pPr>
        <w:sectPr>
          <w:pgSz w:w="11900" w:h="16838" w:orient="portrait"/>
          <w:cols w:equalWidth="0" w:num="1">
            <w:col w:w="11420"/>
          </w:cols>
          <w:pgMar w:left="240" w:top="643" w:right="239" w:bottom="1440" w:gutter="0" w:footer="0" w:header="0"/>
        </w:sectPr>
      </w:pPr>
    </w:p>
    <w:bookmarkStart w:id="40" w:name="page41"/>
    <w:bookmarkEnd w:id="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28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spacing w:after="0"/>
              <w:rPr>
                <w:sz w:val="19"/>
                <w:szCs w:val="19"/>
                <w:color w:val="auto"/>
              </w:rPr>
            </w:pPr>
          </w:p>
        </w:tc>
        <w:tc>
          <w:tcPr>
            <w:tcW w:w="390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(in thousands, except per share amounts)</w:t>
            </w:r>
          </w:p>
        </w:tc>
        <w:tc>
          <w:tcPr>
            <w:tcW w:w="1060" w:type="dxa"/>
            <w:vAlign w:val="bottom"/>
            <w:tcBorders>
              <w:bottom w:val="single" w:sz="8" w:color="auto"/>
            </w:tcBorders>
          </w:tcPr>
          <w:p>
            <w:pPr>
              <w:spacing w:after="0"/>
              <w:rPr>
                <w:sz w:val="19"/>
                <w:szCs w:val="19"/>
                <w:color w:val="auto"/>
              </w:rPr>
            </w:pPr>
          </w:p>
        </w:tc>
      </w:tr>
      <w:tr>
        <w:trPr>
          <w:trHeight w:val="173"/>
        </w:trPr>
        <w:tc>
          <w:tcPr>
            <w:tcW w:w="4280" w:type="dxa"/>
            <w:vAlign w:val="bottom"/>
          </w:tcPr>
          <w:p>
            <w:pPr>
              <w:spacing w:after="0"/>
              <w:rPr>
                <w:sz w:val="15"/>
                <w:szCs w:val="15"/>
                <w:color w:val="auto"/>
              </w:rPr>
            </w:pPr>
          </w:p>
        </w:tc>
        <w:tc>
          <w:tcPr>
            <w:tcW w:w="2180" w:type="dxa"/>
            <w:vAlign w:val="bottom"/>
          </w:tcPr>
          <w:p>
            <w:pPr>
              <w:jc w:val="right"/>
              <w:ind w:right="190"/>
              <w:spacing w:after="0" w:line="173" w:lineRule="exact"/>
              <w:rPr>
                <w:sz w:val="20"/>
                <w:szCs w:val="20"/>
                <w:color w:val="auto"/>
              </w:rPr>
            </w:pPr>
            <w:r>
              <w:rPr>
                <w:rFonts w:ascii="Arial" w:cs="Arial" w:eastAsia="Arial" w:hAnsi="Arial"/>
                <w:sz w:val="18"/>
                <w:szCs w:val="18"/>
                <w:b w:val="1"/>
                <w:bCs w:val="1"/>
                <w:color w:val="auto"/>
              </w:rPr>
              <w:t>Pre tax</w:t>
            </w:r>
          </w:p>
        </w:tc>
        <w:tc>
          <w:tcPr>
            <w:tcW w:w="1260" w:type="dxa"/>
            <w:vAlign w:val="bottom"/>
          </w:tcPr>
          <w:p>
            <w:pPr>
              <w:jc w:val="right"/>
              <w:ind w:right="390"/>
              <w:spacing w:after="0" w:line="173" w:lineRule="exact"/>
              <w:rPr>
                <w:sz w:val="20"/>
                <w:szCs w:val="20"/>
                <w:color w:val="auto"/>
              </w:rPr>
            </w:pPr>
            <w:r>
              <w:rPr>
                <w:rFonts w:ascii="Arial" w:cs="Arial" w:eastAsia="Arial" w:hAnsi="Arial"/>
                <w:sz w:val="18"/>
                <w:szCs w:val="18"/>
                <w:b w:val="1"/>
                <w:bCs w:val="1"/>
                <w:color w:val="auto"/>
              </w:rPr>
              <w:t>Tax</w:t>
            </w:r>
          </w:p>
        </w:tc>
        <w:tc>
          <w:tcPr>
            <w:tcW w:w="1240" w:type="dxa"/>
            <w:vAlign w:val="bottom"/>
          </w:tcPr>
          <w:p>
            <w:pPr>
              <w:jc w:val="right"/>
              <w:ind w:right="210"/>
              <w:spacing w:after="0" w:line="173" w:lineRule="exact"/>
              <w:rPr>
                <w:sz w:val="20"/>
                <w:szCs w:val="20"/>
                <w:color w:val="auto"/>
              </w:rPr>
            </w:pPr>
            <w:r>
              <w:rPr>
                <w:rFonts w:ascii="Arial" w:cs="Arial" w:eastAsia="Arial" w:hAnsi="Arial"/>
                <w:sz w:val="18"/>
                <w:szCs w:val="18"/>
                <w:b w:val="1"/>
                <w:bCs w:val="1"/>
                <w:color w:val="auto"/>
              </w:rPr>
              <w:t>After tax</w:t>
            </w:r>
          </w:p>
        </w:tc>
        <w:tc>
          <w:tcPr>
            <w:tcW w:w="1400" w:type="dxa"/>
            <w:vAlign w:val="bottom"/>
          </w:tcPr>
          <w:p>
            <w:pPr>
              <w:jc w:val="right"/>
              <w:ind w:right="310"/>
              <w:spacing w:after="0" w:line="173" w:lineRule="exact"/>
              <w:rPr>
                <w:sz w:val="20"/>
                <w:szCs w:val="20"/>
                <w:color w:val="auto"/>
              </w:rPr>
            </w:pPr>
            <w:r>
              <w:rPr>
                <w:rFonts w:ascii="Arial" w:cs="Arial" w:eastAsia="Arial" w:hAnsi="Arial"/>
                <w:sz w:val="18"/>
                <w:szCs w:val="18"/>
                <w:b w:val="1"/>
                <w:bCs w:val="1"/>
                <w:color w:val="auto"/>
              </w:rPr>
              <w:t>Shares</w:t>
            </w:r>
          </w:p>
        </w:tc>
        <w:tc>
          <w:tcPr>
            <w:tcW w:w="1060" w:type="dxa"/>
            <w:vAlign w:val="bottom"/>
          </w:tcPr>
          <w:p>
            <w:pPr>
              <w:jc w:val="right"/>
              <w:ind w:right="10"/>
              <w:spacing w:after="0" w:line="173" w:lineRule="exact"/>
              <w:rPr>
                <w:sz w:val="20"/>
                <w:szCs w:val="20"/>
                <w:color w:val="auto"/>
              </w:rPr>
            </w:pPr>
            <w:r>
              <w:rPr>
                <w:rFonts w:ascii="Arial" w:cs="Arial" w:eastAsia="Arial" w:hAnsi="Arial"/>
                <w:sz w:val="18"/>
                <w:szCs w:val="18"/>
                <w:b w:val="1"/>
                <w:bCs w:val="1"/>
                <w:color w:val="auto"/>
              </w:rPr>
              <w:t>Per Share</w:t>
            </w:r>
          </w:p>
        </w:tc>
      </w:tr>
      <w:tr>
        <w:trPr>
          <w:trHeight w:val="225"/>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 ended December 31, 2012</w:t>
            </w:r>
          </w:p>
        </w:tc>
        <w:tc>
          <w:tcPr>
            <w:tcW w:w="21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Amounts</w:t>
            </w:r>
          </w:p>
        </w:tc>
        <w:tc>
          <w:tcPr>
            <w:tcW w:w="12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Effect</w:t>
            </w: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Effect</w:t>
            </w:r>
          </w:p>
        </w:tc>
        <w:tc>
          <w:tcPr>
            <w:tcW w:w="1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Outstanding</w:t>
            </w: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Effect</w:t>
            </w:r>
          </w:p>
        </w:tc>
      </w:tr>
      <w:tr>
        <w:trPr>
          <w:trHeight w:val="195"/>
        </w:trPr>
        <w:tc>
          <w:tcPr>
            <w:tcW w:w="4280" w:type="dxa"/>
            <w:vAlign w:val="bottom"/>
          </w:tcPr>
          <w:p>
            <w:pPr>
              <w:spacing w:after="0" w:line="195" w:lineRule="exact"/>
              <w:rPr>
                <w:sz w:val="20"/>
                <w:szCs w:val="20"/>
                <w:color w:val="auto"/>
              </w:rPr>
            </w:pPr>
            <w:r>
              <w:rPr>
                <w:rFonts w:ascii="Arial" w:cs="Arial" w:eastAsia="Arial" w:hAnsi="Arial"/>
                <w:sz w:val="18"/>
                <w:szCs w:val="18"/>
                <w:color w:val="auto"/>
              </w:rPr>
              <w:t>Restructuring and other, net</w:t>
            </w:r>
          </w:p>
        </w:tc>
        <w:tc>
          <w:tcPr>
            <w:tcW w:w="2180" w:type="dxa"/>
            <w:vAlign w:val="bottom"/>
          </w:tcPr>
          <w:p>
            <w:pPr>
              <w:jc w:val="right"/>
              <w:spacing w:after="0" w:line="195" w:lineRule="exact"/>
              <w:rPr>
                <w:sz w:val="20"/>
                <w:szCs w:val="20"/>
                <w:color w:val="auto"/>
              </w:rPr>
            </w:pPr>
            <w:r>
              <w:rPr>
                <w:rFonts w:ascii="Arial" w:cs="Arial" w:eastAsia="Arial" w:hAnsi="Arial"/>
                <w:sz w:val="18"/>
                <w:szCs w:val="18"/>
                <w:color w:val="auto"/>
              </w:rPr>
              <w:t>$7,061</w:t>
            </w:r>
          </w:p>
        </w:tc>
        <w:tc>
          <w:tcPr>
            <w:tcW w:w="126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$2,718</w:t>
            </w:r>
          </w:p>
        </w:tc>
        <w:tc>
          <w:tcPr>
            <w:tcW w:w="1240" w:type="dxa"/>
            <w:vAlign w:val="bottom"/>
          </w:tcPr>
          <w:p>
            <w:pPr>
              <w:jc w:val="right"/>
              <w:ind w:right="90"/>
              <w:spacing w:after="0" w:line="195" w:lineRule="exact"/>
              <w:rPr>
                <w:sz w:val="20"/>
                <w:szCs w:val="20"/>
                <w:color w:val="auto"/>
              </w:rPr>
            </w:pPr>
            <w:r>
              <w:rPr>
                <w:rFonts w:ascii="Arial" w:cs="Arial" w:eastAsia="Arial" w:hAnsi="Arial"/>
                <w:sz w:val="18"/>
                <w:szCs w:val="18"/>
                <w:color w:val="auto"/>
              </w:rPr>
              <w:t>$4,343</w:t>
            </w:r>
          </w:p>
        </w:tc>
        <w:tc>
          <w:tcPr>
            <w:tcW w:w="1400" w:type="dxa"/>
            <w:vAlign w:val="bottom"/>
          </w:tcPr>
          <w:p>
            <w:pPr>
              <w:jc w:val="right"/>
              <w:ind w:right="30"/>
              <w:spacing w:after="0" w:line="195" w:lineRule="exact"/>
              <w:rPr>
                <w:sz w:val="20"/>
                <w:szCs w:val="20"/>
                <w:color w:val="auto"/>
              </w:rPr>
            </w:pPr>
            <w:r>
              <w:rPr>
                <w:rFonts w:ascii="Arial" w:cs="Arial" w:eastAsia="Arial" w:hAnsi="Arial"/>
                <w:sz w:val="18"/>
                <w:szCs w:val="18"/>
                <w:color w:val="auto"/>
              </w:rPr>
              <w:t>31,356</w:t>
            </w:r>
          </w:p>
        </w:tc>
        <w:tc>
          <w:tcPr>
            <w:tcW w:w="1060" w:type="dxa"/>
            <w:vAlign w:val="bottom"/>
          </w:tcPr>
          <w:p>
            <w:pPr>
              <w:jc w:val="right"/>
              <w:ind w:right="50"/>
              <w:spacing w:after="0" w:line="195" w:lineRule="exact"/>
              <w:rPr>
                <w:sz w:val="20"/>
                <w:szCs w:val="20"/>
                <w:color w:val="auto"/>
              </w:rPr>
            </w:pPr>
            <w:r>
              <w:rPr>
                <w:rFonts w:ascii="Arial" w:cs="Arial" w:eastAsia="Arial" w:hAnsi="Arial"/>
                <w:sz w:val="18"/>
                <w:szCs w:val="18"/>
                <w:color w:val="auto"/>
              </w:rPr>
              <w:t>$0.14</w:t>
            </w:r>
          </w:p>
        </w:tc>
      </w:tr>
      <w:tr>
        <w:trPr>
          <w:trHeight w:val="203"/>
        </w:trPr>
        <w:tc>
          <w:tcPr>
            <w:tcW w:w="4280" w:type="dxa"/>
            <w:vAlign w:val="bottom"/>
          </w:tcPr>
          <w:p>
            <w:pPr>
              <w:spacing w:after="0" w:line="202" w:lineRule="exact"/>
              <w:rPr>
                <w:sz w:val="20"/>
                <w:szCs w:val="20"/>
                <w:color w:val="auto"/>
              </w:rPr>
            </w:pPr>
            <w:r>
              <w:rPr>
                <w:rFonts w:ascii="Arial" w:cs="Arial" w:eastAsia="Arial" w:hAnsi="Arial"/>
                <w:sz w:val="18"/>
                <w:szCs w:val="18"/>
                <w:color w:val="auto"/>
              </w:rPr>
              <w:t>Foreign currency revaluation losses</w:t>
            </w:r>
          </w:p>
        </w:tc>
        <w:tc>
          <w:tcPr>
            <w:tcW w:w="2180" w:type="dxa"/>
            <w:vAlign w:val="bottom"/>
          </w:tcPr>
          <w:p>
            <w:pPr>
              <w:jc w:val="right"/>
              <w:spacing w:after="0" w:line="202" w:lineRule="exact"/>
              <w:rPr>
                <w:sz w:val="20"/>
                <w:szCs w:val="20"/>
                <w:color w:val="auto"/>
              </w:rPr>
            </w:pPr>
            <w:r>
              <w:rPr>
                <w:rFonts w:ascii="Arial" w:cs="Arial" w:eastAsia="Arial" w:hAnsi="Arial"/>
                <w:sz w:val="18"/>
                <w:szCs w:val="18"/>
                <w:color w:val="auto"/>
              </w:rPr>
              <w:t>7,350</w:t>
            </w:r>
          </w:p>
        </w:tc>
        <w:tc>
          <w:tcPr>
            <w:tcW w:w="12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2,830</w:t>
            </w:r>
          </w:p>
        </w:tc>
        <w:tc>
          <w:tcPr>
            <w:tcW w:w="12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4,520</w:t>
            </w:r>
          </w:p>
        </w:tc>
        <w:tc>
          <w:tcPr>
            <w:tcW w:w="14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31,356</w:t>
            </w:r>
          </w:p>
        </w:tc>
        <w:tc>
          <w:tcPr>
            <w:tcW w:w="10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0.14</w:t>
            </w:r>
          </w:p>
        </w:tc>
      </w:tr>
      <w:tr>
        <w:trPr>
          <w:trHeight w:val="203"/>
        </w:trPr>
        <w:tc>
          <w:tcPr>
            <w:tcW w:w="4280" w:type="dxa"/>
            <w:vAlign w:val="bottom"/>
          </w:tcPr>
          <w:p>
            <w:pPr>
              <w:spacing w:after="0" w:line="202" w:lineRule="exact"/>
              <w:rPr>
                <w:sz w:val="20"/>
                <w:szCs w:val="20"/>
                <w:color w:val="auto"/>
              </w:rPr>
            </w:pPr>
            <w:r>
              <w:rPr>
                <w:rFonts w:ascii="Arial" w:cs="Arial" w:eastAsia="Arial" w:hAnsi="Arial"/>
                <w:sz w:val="18"/>
                <w:szCs w:val="18"/>
                <w:color w:val="auto"/>
              </w:rPr>
              <w:t>Pension plan settlement charges</w:t>
            </w:r>
          </w:p>
        </w:tc>
        <w:tc>
          <w:tcPr>
            <w:tcW w:w="2180" w:type="dxa"/>
            <w:vAlign w:val="bottom"/>
          </w:tcPr>
          <w:p>
            <w:pPr>
              <w:jc w:val="right"/>
              <w:spacing w:after="0" w:line="202" w:lineRule="exact"/>
              <w:rPr>
                <w:sz w:val="20"/>
                <w:szCs w:val="20"/>
                <w:color w:val="auto"/>
              </w:rPr>
            </w:pPr>
            <w:r>
              <w:rPr>
                <w:rFonts w:ascii="Arial" w:cs="Arial" w:eastAsia="Arial" w:hAnsi="Arial"/>
                <w:sz w:val="18"/>
                <w:szCs w:val="18"/>
                <w:color w:val="auto"/>
              </w:rPr>
              <w:t>119,735</w:t>
            </w:r>
          </w:p>
        </w:tc>
        <w:tc>
          <w:tcPr>
            <w:tcW w:w="12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39,460</w:t>
            </w:r>
          </w:p>
        </w:tc>
        <w:tc>
          <w:tcPr>
            <w:tcW w:w="12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80,275</w:t>
            </w:r>
          </w:p>
        </w:tc>
        <w:tc>
          <w:tcPr>
            <w:tcW w:w="14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31,356</w:t>
            </w:r>
          </w:p>
        </w:tc>
        <w:tc>
          <w:tcPr>
            <w:tcW w:w="10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2.56</w:t>
            </w:r>
          </w:p>
        </w:tc>
      </w:tr>
      <w:tr>
        <w:trPr>
          <w:trHeight w:val="217"/>
        </w:trPr>
        <w:tc>
          <w:tcPr>
            <w:tcW w:w="4280" w:type="dxa"/>
            <w:vAlign w:val="bottom"/>
          </w:tcPr>
          <w:p>
            <w:pPr>
              <w:spacing w:after="0"/>
              <w:rPr>
                <w:sz w:val="20"/>
                <w:szCs w:val="20"/>
                <w:color w:val="auto"/>
              </w:rPr>
            </w:pPr>
            <w:r>
              <w:rPr>
                <w:rFonts w:ascii="Arial" w:cs="Arial" w:eastAsia="Arial" w:hAnsi="Arial"/>
                <w:sz w:val="18"/>
                <w:szCs w:val="18"/>
                <w:color w:val="auto"/>
              </w:rPr>
              <w:t>Net favorable discrete tax adjustments</w:t>
            </w:r>
          </w:p>
        </w:tc>
        <w:tc>
          <w:tcPr>
            <w:tcW w:w="21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7,833</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7,833</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31,356</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0.25</w:t>
            </w:r>
          </w:p>
        </w:tc>
      </w:tr>
      <w:tr>
        <w:trPr>
          <w:trHeight w:val="75"/>
        </w:trPr>
        <w:tc>
          <w:tcPr>
            <w:tcW w:w="4280" w:type="dxa"/>
            <w:vAlign w:val="bottom"/>
            <w:tcBorders>
              <w:bottom w:val="single" w:sz="8" w:color="auto"/>
            </w:tcBorders>
          </w:tcPr>
          <w:p>
            <w:pPr>
              <w:spacing w:after="0"/>
              <w:rPr>
                <w:sz w:val="6"/>
                <w:szCs w:val="6"/>
                <w:color w:val="auto"/>
              </w:rPr>
            </w:pPr>
          </w:p>
        </w:tc>
        <w:tc>
          <w:tcPr>
            <w:tcW w:w="218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r>
    </w:tbl>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200" w:type="dxa"/>
            <w:vAlign w:val="bottom"/>
            <w:tcBorders>
              <w:bottom w:val="single" w:sz="8" w:color="auto"/>
            </w:tcBorders>
          </w:tcPr>
          <w:p>
            <w:pPr>
              <w:spacing w:after="0"/>
              <w:rPr>
                <w:sz w:val="19"/>
                <w:szCs w:val="19"/>
                <w:color w:val="auto"/>
              </w:rPr>
            </w:pPr>
          </w:p>
        </w:tc>
        <w:tc>
          <w:tcPr>
            <w:tcW w:w="5160" w:type="dxa"/>
            <w:vAlign w:val="bottom"/>
            <w:tcBorders>
              <w:bottom w:val="single" w:sz="8" w:color="auto"/>
            </w:tcBorders>
            <w:gridSpan w:val="5"/>
          </w:tcPr>
          <w:p>
            <w:pPr>
              <w:jc w:val="right"/>
              <w:ind w:right="150"/>
              <w:spacing w:after="0"/>
              <w:rPr>
                <w:sz w:val="20"/>
                <w:szCs w:val="20"/>
                <w:color w:val="auto"/>
              </w:rPr>
            </w:pPr>
            <w:r>
              <w:rPr>
                <w:rFonts w:ascii="Arial" w:cs="Arial" w:eastAsia="Arial" w:hAnsi="Arial"/>
                <w:sz w:val="18"/>
                <w:szCs w:val="18"/>
                <w:b w:val="1"/>
                <w:bCs w:val="1"/>
                <w:color w:val="auto"/>
              </w:rPr>
              <w:t>(in thousands, except per share amounts)</w:t>
            </w:r>
          </w:p>
        </w:tc>
        <w:tc>
          <w:tcPr>
            <w:tcW w:w="1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5200" w:type="dxa"/>
            <w:vAlign w:val="bottom"/>
          </w:tcPr>
          <w:p>
            <w:pPr>
              <w:spacing w:after="0"/>
              <w:rPr>
                <w:sz w:val="15"/>
                <w:szCs w:val="15"/>
                <w:color w:val="auto"/>
              </w:rPr>
            </w:pPr>
          </w:p>
        </w:tc>
        <w:tc>
          <w:tcPr>
            <w:tcW w:w="1560" w:type="dxa"/>
            <w:vAlign w:val="bottom"/>
          </w:tcPr>
          <w:p>
            <w:pPr>
              <w:jc w:val="center"/>
              <w:ind w:right="111"/>
              <w:spacing w:after="0" w:line="173" w:lineRule="exact"/>
              <w:rPr>
                <w:sz w:val="20"/>
                <w:szCs w:val="20"/>
                <w:color w:val="auto"/>
              </w:rPr>
            </w:pPr>
            <w:r>
              <w:rPr>
                <w:rFonts w:ascii="Arial" w:cs="Arial" w:eastAsia="Arial" w:hAnsi="Arial"/>
                <w:sz w:val="18"/>
                <w:szCs w:val="18"/>
                <w:b w:val="1"/>
                <w:bCs w:val="1"/>
                <w:color w:val="auto"/>
                <w:w w:val="99"/>
              </w:rPr>
              <w:t>Pre tax</w:t>
            </w:r>
          </w:p>
        </w:tc>
        <w:tc>
          <w:tcPr>
            <w:tcW w:w="860" w:type="dxa"/>
            <w:vAlign w:val="bottom"/>
          </w:tcPr>
          <w:p>
            <w:pPr>
              <w:jc w:val="right"/>
              <w:ind w:right="292"/>
              <w:spacing w:after="0" w:line="173" w:lineRule="exact"/>
              <w:rPr>
                <w:sz w:val="20"/>
                <w:szCs w:val="20"/>
                <w:color w:val="auto"/>
              </w:rPr>
            </w:pPr>
            <w:r>
              <w:rPr>
                <w:rFonts w:ascii="Arial" w:cs="Arial" w:eastAsia="Arial" w:hAnsi="Arial"/>
                <w:sz w:val="18"/>
                <w:szCs w:val="18"/>
                <w:b w:val="1"/>
                <w:bCs w:val="1"/>
                <w:color w:val="auto"/>
              </w:rPr>
              <w:t>Tax</w:t>
            </w:r>
          </w:p>
        </w:tc>
        <w:tc>
          <w:tcPr>
            <w:tcW w:w="1340" w:type="dxa"/>
            <w:vAlign w:val="bottom"/>
            <w:gridSpan w:val="2"/>
          </w:tcPr>
          <w:p>
            <w:pPr>
              <w:jc w:val="right"/>
              <w:ind w:right="300"/>
              <w:spacing w:after="0" w:line="173" w:lineRule="exact"/>
              <w:rPr>
                <w:sz w:val="20"/>
                <w:szCs w:val="20"/>
                <w:color w:val="auto"/>
              </w:rPr>
            </w:pPr>
            <w:r>
              <w:rPr>
                <w:rFonts w:ascii="Arial" w:cs="Arial" w:eastAsia="Arial" w:hAnsi="Arial"/>
                <w:sz w:val="18"/>
                <w:szCs w:val="18"/>
                <w:b w:val="1"/>
                <w:bCs w:val="1"/>
                <w:color w:val="auto"/>
              </w:rPr>
              <w:t>After tax</w:t>
            </w:r>
          </w:p>
        </w:tc>
        <w:tc>
          <w:tcPr>
            <w:tcW w:w="1400" w:type="dxa"/>
            <w:vAlign w:val="bottom"/>
          </w:tcPr>
          <w:p>
            <w:pPr>
              <w:jc w:val="right"/>
              <w:ind w:right="310"/>
              <w:spacing w:after="0" w:line="173" w:lineRule="exact"/>
              <w:rPr>
                <w:sz w:val="20"/>
                <w:szCs w:val="20"/>
                <w:color w:val="auto"/>
              </w:rPr>
            </w:pPr>
            <w:r>
              <w:rPr>
                <w:rFonts w:ascii="Arial" w:cs="Arial" w:eastAsia="Arial" w:hAnsi="Arial"/>
                <w:sz w:val="18"/>
                <w:szCs w:val="18"/>
                <w:b w:val="1"/>
                <w:bCs w:val="1"/>
                <w:color w:val="auto"/>
              </w:rPr>
              <w:t>Shares</w:t>
            </w:r>
          </w:p>
        </w:tc>
        <w:tc>
          <w:tcPr>
            <w:tcW w:w="1060" w:type="dxa"/>
            <w:vAlign w:val="bottom"/>
          </w:tcPr>
          <w:p>
            <w:pPr>
              <w:jc w:val="right"/>
              <w:ind w:right="10"/>
              <w:spacing w:after="0" w:line="173" w:lineRule="exact"/>
              <w:rPr>
                <w:sz w:val="20"/>
                <w:szCs w:val="20"/>
                <w:color w:val="auto"/>
              </w:rPr>
            </w:pPr>
            <w:r>
              <w:rPr>
                <w:rFonts w:ascii="Arial" w:cs="Arial" w:eastAsia="Arial" w:hAnsi="Arial"/>
                <w:sz w:val="18"/>
                <w:szCs w:val="18"/>
                <w:b w:val="1"/>
                <w:bCs w:val="1"/>
                <w:color w:val="auto"/>
              </w:rPr>
              <w:t>Per Share</w:t>
            </w:r>
          </w:p>
        </w:tc>
        <w:tc>
          <w:tcPr>
            <w:tcW w:w="0" w:type="dxa"/>
            <w:vAlign w:val="bottom"/>
          </w:tcPr>
          <w:p>
            <w:pPr>
              <w:spacing w:after="0"/>
              <w:rPr>
                <w:sz w:val="1"/>
                <w:szCs w:val="1"/>
                <w:color w:val="auto"/>
              </w:rPr>
            </w:pPr>
          </w:p>
        </w:tc>
      </w:tr>
      <w:tr>
        <w:trPr>
          <w:trHeight w:val="225"/>
        </w:trPr>
        <w:tc>
          <w:tcPr>
            <w:tcW w:w="5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 ended December 31, 2011</w:t>
            </w:r>
          </w:p>
        </w:tc>
        <w:tc>
          <w:tcPr>
            <w:tcW w:w="156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b w:val="1"/>
                <w:bCs w:val="1"/>
                <w:color w:val="auto"/>
                <w:w w:val="99"/>
              </w:rPr>
              <w:t>Amounts</w:t>
            </w:r>
          </w:p>
        </w:tc>
        <w:tc>
          <w:tcPr>
            <w:tcW w:w="8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Effect</w:t>
            </w:r>
          </w:p>
        </w:tc>
        <w:tc>
          <w:tcPr>
            <w:tcW w:w="134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rPr>
              <w:t>Effect</w:t>
            </w:r>
          </w:p>
        </w:tc>
        <w:tc>
          <w:tcPr>
            <w:tcW w:w="1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Outstanding</w:t>
            </w: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Effect</w:t>
            </w:r>
          </w:p>
        </w:tc>
        <w:tc>
          <w:tcPr>
            <w:tcW w:w="0" w:type="dxa"/>
            <w:vAlign w:val="bottom"/>
          </w:tcPr>
          <w:p>
            <w:pPr>
              <w:spacing w:after="0"/>
              <w:rPr>
                <w:sz w:val="1"/>
                <w:szCs w:val="1"/>
                <w:color w:val="auto"/>
              </w:rPr>
            </w:pPr>
          </w:p>
        </w:tc>
      </w:tr>
      <w:tr>
        <w:trPr>
          <w:trHeight w:val="195"/>
        </w:trPr>
        <w:tc>
          <w:tcPr>
            <w:tcW w:w="5200" w:type="dxa"/>
            <w:vAlign w:val="bottom"/>
          </w:tcPr>
          <w:p>
            <w:pPr>
              <w:spacing w:after="0" w:line="195" w:lineRule="exact"/>
              <w:rPr>
                <w:sz w:val="20"/>
                <w:szCs w:val="20"/>
                <w:color w:val="auto"/>
              </w:rPr>
            </w:pPr>
            <w:r>
              <w:rPr>
                <w:rFonts w:ascii="Arial" w:cs="Arial" w:eastAsia="Arial" w:hAnsi="Arial"/>
                <w:sz w:val="18"/>
                <w:szCs w:val="18"/>
                <w:color w:val="auto"/>
              </w:rPr>
              <w:t>Restructuring and other, net</w:t>
            </w:r>
          </w:p>
        </w:tc>
        <w:tc>
          <w:tcPr>
            <w:tcW w:w="1560" w:type="dxa"/>
            <w:vAlign w:val="bottom"/>
          </w:tcPr>
          <w:p>
            <w:pPr>
              <w:jc w:val="right"/>
              <w:ind w:right="291"/>
              <w:spacing w:after="0" w:line="195" w:lineRule="exact"/>
              <w:rPr>
                <w:sz w:val="20"/>
                <w:szCs w:val="20"/>
                <w:color w:val="auto"/>
              </w:rPr>
            </w:pPr>
            <w:r>
              <w:rPr>
                <w:rFonts w:ascii="Arial" w:cs="Arial" w:eastAsia="Arial" w:hAnsi="Arial"/>
                <w:sz w:val="18"/>
                <w:szCs w:val="18"/>
                <w:color w:val="auto"/>
              </w:rPr>
              <w:t>$9,317</w:t>
            </w:r>
          </w:p>
        </w:tc>
        <w:tc>
          <w:tcPr>
            <w:tcW w:w="860" w:type="dxa"/>
            <w:vAlign w:val="bottom"/>
          </w:tcPr>
          <w:p>
            <w:pPr>
              <w:jc w:val="right"/>
              <w:ind w:right="12"/>
              <w:spacing w:after="0" w:line="195" w:lineRule="exact"/>
              <w:rPr>
                <w:sz w:val="20"/>
                <w:szCs w:val="20"/>
                <w:color w:val="auto"/>
              </w:rPr>
            </w:pPr>
            <w:r>
              <w:rPr>
                <w:rFonts w:ascii="Arial" w:cs="Arial" w:eastAsia="Arial" w:hAnsi="Arial"/>
                <w:sz w:val="18"/>
                <w:szCs w:val="18"/>
                <w:color w:val="auto"/>
              </w:rPr>
              <w:t>$3,084</w:t>
            </w:r>
          </w:p>
        </w:tc>
        <w:tc>
          <w:tcPr>
            <w:tcW w:w="1340" w:type="dxa"/>
            <w:vAlign w:val="bottom"/>
            <w:gridSpan w:val="2"/>
          </w:tcPr>
          <w:p>
            <w:pPr>
              <w:jc w:val="right"/>
              <w:ind w:right="180"/>
              <w:spacing w:after="0" w:line="195" w:lineRule="exact"/>
              <w:rPr>
                <w:sz w:val="20"/>
                <w:szCs w:val="20"/>
                <w:color w:val="auto"/>
              </w:rPr>
            </w:pPr>
            <w:r>
              <w:rPr>
                <w:rFonts w:ascii="Arial" w:cs="Arial" w:eastAsia="Arial" w:hAnsi="Arial"/>
                <w:sz w:val="18"/>
                <w:szCs w:val="18"/>
                <w:color w:val="auto"/>
              </w:rPr>
              <w:t>$6,233</w:t>
            </w:r>
          </w:p>
        </w:tc>
        <w:tc>
          <w:tcPr>
            <w:tcW w:w="1400" w:type="dxa"/>
            <w:vAlign w:val="bottom"/>
          </w:tcPr>
          <w:p>
            <w:pPr>
              <w:jc w:val="right"/>
              <w:ind w:right="30"/>
              <w:spacing w:after="0" w:line="195" w:lineRule="exact"/>
              <w:rPr>
                <w:sz w:val="20"/>
                <w:szCs w:val="20"/>
                <w:color w:val="auto"/>
              </w:rPr>
            </w:pPr>
            <w:r>
              <w:rPr>
                <w:rFonts w:ascii="Arial" w:cs="Arial" w:eastAsia="Arial" w:hAnsi="Arial"/>
                <w:sz w:val="18"/>
                <w:szCs w:val="18"/>
                <w:color w:val="auto"/>
              </w:rPr>
              <w:t>31,262</w:t>
            </w:r>
          </w:p>
        </w:tc>
        <w:tc>
          <w:tcPr>
            <w:tcW w:w="1060" w:type="dxa"/>
            <w:vAlign w:val="bottom"/>
          </w:tcPr>
          <w:p>
            <w:pPr>
              <w:jc w:val="right"/>
              <w:ind w:right="50"/>
              <w:spacing w:after="0" w:line="195" w:lineRule="exact"/>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03"/>
        </w:trPr>
        <w:tc>
          <w:tcPr>
            <w:tcW w:w="5200" w:type="dxa"/>
            <w:vAlign w:val="bottom"/>
          </w:tcPr>
          <w:p>
            <w:pPr>
              <w:spacing w:after="0" w:line="202" w:lineRule="exact"/>
              <w:rPr>
                <w:sz w:val="20"/>
                <w:szCs w:val="20"/>
                <w:color w:val="auto"/>
              </w:rPr>
            </w:pPr>
            <w:r>
              <w:rPr>
                <w:rFonts w:ascii="Arial" w:cs="Arial" w:eastAsia="Arial" w:hAnsi="Arial"/>
                <w:sz w:val="18"/>
                <w:szCs w:val="18"/>
                <w:color w:val="auto"/>
              </w:rPr>
              <w:t>Foreign currency revaluation gains</w:t>
            </w:r>
          </w:p>
        </w:tc>
        <w:tc>
          <w:tcPr>
            <w:tcW w:w="1560" w:type="dxa"/>
            <w:vAlign w:val="bottom"/>
          </w:tcPr>
          <w:p>
            <w:pPr>
              <w:jc w:val="right"/>
              <w:ind w:right="291"/>
              <w:spacing w:after="0" w:line="202" w:lineRule="exact"/>
              <w:rPr>
                <w:sz w:val="20"/>
                <w:szCs w:val="20"/>
                <w:color w:val="auto"/>
              </w:rPr>
            </w:pPr>
            <w:r>
              <w:rPr>
                <w:rFonts w:ascii="Arial" w:cs="Arial" w:eastAsia="Arial" w:hAnsi="Arial"/>
                <w:sz w:val="18"/>
                <w:szCs w:val="18"/>
                <w:color w:val="auto"/>
              </w:rPr>
              <w:t>2,761</w:t>
            </w:r>
          </w:p>
        </w:tc>
        <w:tc>
          <w:tcPr>
            <w:tcW w:w="8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914</w:t>
            </w:r>
          </w:p>
        </w:tc>
        <w:tc>
          <w:tcPr>
            <w:tcW w:w="13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1,847</w:t>
            </w:r>
          </w:p>
        </w:tc>
        <w:tc>
          <w:tcPr>
            <w:tcW w:w="14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31,262</w:t>
            </w:r>
          </w:p>
        </w:tc>
        <w:tc>
          <w:tcPr>
            <w:tcW w:w="10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3"/>
        </w:trPr>
        <w:tc>
          <w:tcPr>
            <w:tcW w:w="5200" w:type="dxa"/>
            <w:vAlign w:val="bottom"/>
          </w:tcPr>
          <w:p>
            <w:pPr>
              <w:spacing w:after="0" w:line="202" w:lineRule="exact"/>
              <w:rPr>
                <w:sz w:val="20"/>
                <w:szCs w:val="20"/>
                <w:color w:val="auto"/>
              </w:rPr>
            </w:pPr>
            <w:r>
              <w:rPr>
                <w:rFonts w:ascii="Arial" w:cs="Arial" w:eastAsia="Arial" w:hAnsi="Arial"/>
                <w:sz w:val="18"/>
                <w:szCs w:val="18"/>
                <w:color w:val="auto"/>
              </w:rPr>
              <w:t>Gain on sale of buildings</w:t>
            </w:r>
          </w:p>
        </w:tc>
        <w:tc>
          <w:tcPr>
            <w:tcW w:w="1560" w:type="dxa"/>
            <w:vAlign w:val="bottom"/>
          </w:tcPr>
          <w:p>
            <w:pPr>
              <w:jc w:val="right"/>
              <w:ind w:right="291"/>
              <w:spacing w:after="0" w:line="202" w:lineRule="exact"/>
              <w:rPr>
                <w:sz w:val="20"/>
                <w:szCs w:val="20"/>
                <w:color w:val="auto"/>
              </w:rPr>
            </w:pPr>
            <w:r>
              <w:rPr>
                <w:rFonts w:ascii="Arial" w:cs="Arial" w:eastAsia="Arial" w:hAnsi="Arial"/>
                <w:sz w:val="18"/>
                <w:szCs w:val="18"/>
                <w:color w:val="auto"/>
              </w:rPr>
              <w:t>1,008</w:t>
            </w:r>
          </w:p>
        </w:tc>
        <w:tc>
          <w:tcPr>
            <w:tcW w:w="8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334</w:t>
            </w:r>
          </w:p>
        </w:tc>
        <w:tc>
          <w:tcPr>
            <w:tcW w:w="13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674</w:t>
            </w:r>
          </w:p>
        </w:tc>
        <w:tc>
          <w:tcPr>
            <w:tcW w:w="14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31,262</w:t>
            </w:r>
          </w:p>
        </w:tc>
        <w:tc>
          <w:tcPr>
            <w:tcW w:w="10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7"/>
        </w:trPr>
        <w:tc>
          <w:tcPr>
            <w:tcW w:w="5200" w:type="dxa"/>
            <w:vAlign w:val="bottom"/>
          </w:tcPr>
          <w:p>
            <w:pPr>
              <w:spacing w:after="0"/>
              <w:rPr>
                <w:sz w:val="20"/>
                <w:szCs w:val="20"/>
                <w:color w:val="auto"/>
              </w:rPr>
            </w:pPr>
            <w:r>
              <w:rPr>
                <w:rFonts w:ascii="Arial" w:cs="Arial" w:eastAsia="Arial" w:hAnsi="Arial"/>
                <w:sz w:val="18"/>
                <w:szCs w:val="18"/>
                <w:color w:val="auto"/>
              </w:rPr>
              <w:t>Net unfavorable discrete tax adjustments</w:t>
            </w:r>
          </w:p>
        </w:tc>
        <w:tc>
          <w:tcPr>
            <w:tcW w:w="1560" w:type="dxa"/>
            <w:vAlign w:val="bottom"/>
          </w:tcPr>
          <w:p>
            <w:pPr>
              <w:jc w:val="right"/>
              <w:ind w:right="291"/>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14,768</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14,768</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31,262</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75"/>
        </w:trPr>
        <w:tc>
          <w:tcPr>
            <w:tcW w:w="520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92"/>
        </w:trPr>
        <w:tc>
          <w:tcPr>
            <w:tcW w:w="5200" w:type="dxa"/>
            <w:vAlign w:val="bottom"/>
          </w:tcPr>
          <w:p>
            <w:pPr>
              <w:ind w:left="660"/>
              <w:spacing w:after="0"/>
              <w:rPr>
                <w:sz w:val="20"/>
                <w:szCs w:val="20"/>
                <w:color w:val="auto"/>
              </w:rPr>
            </w:pPr>
            <w:r>
              <w:rPr>
                <w:rFonts w:ascii="Arial" w:cs="Arial" w:eastAsia="Arial" w:hAnsi="Arial"/>
                <w:sz w:val="18"/>
                <w:szCs w:val="18"/>
                <w:color w:val="auto"/>
              </w:rPr>
              <w:t>The following table contains the calculation of net debt:</w:t>
            </w:r>
          </w:p>
        </w:tc>
        <w:tc>
          <w:tcPr>
            <w:tcW w:w="1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2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2"/>
          </w:tcPr>
          <w:p>
            <w:pPr>
              <w:spacing w:after="0"/>
              <w:rPr>
                <w:sz w:val="14"/>
                <w:szCs w:val="14"/>
                <w:color w:val="auto"/>
              </w:rPr>
            </w:pPr>
          </w:p>
        </w:tc>
        <w:tc>
          <w:tcPr>
            <w:tcW w:w="400" w:type="dxa"/>
            <w:vAlign w:val="bottom"/>
            <w:vMerge w:val="restart"/>
          </w:tcPr>
          <w:p>
            <w:pPr>
              <w:spacing w:after="0"/>
              <w:rPr>
                <w:sz w:val="14"/>
                <w:szCs w:val="14"/>
                <w:color w:val="auto"/>
              </w:rPr>
            </w:pPr>
          </w:p>
        </w:tc>
        <w:tc>
          <w:tcPr>
            <w:tcW w:w="1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200" w:type="dxa"/>
            <w:vAlign w:val="bottom"/>
          </w:tcPr>
          <w:p>
            <w:pPr>
              <w:spacing w:after="0"/>
              <w:rPr>
                <w:sz w:val="14"/>
                <w:szCs w:val="14"/>
                <w:color w:val="auto"/>
              </w:rPr>
            </w:pPr>
          </w:p>
        </w:tc>
        <w:tc>
          <w:tcPr>
            <w:tcW w:w="1560" w:type="dxa"/>
            <w:vAlign w:val="bottom"/>
          </w:tcPr>
          <w:p>
            <w:pPr>
              <w:jc w:val="center"/>
              <w:ind w:right="71"/>
              <w:spacing w:after="0" w:line="165" w:lineRule="exact"/>
              <w:rPr>
                <w:sz w:val="20"/>
                <w:szCs w:val="20"/>
                <w:color w:val="auto"/>
              </w:rPr>
            </w:pPr>
            <w:r>
              <w:rPr>
                <w:rFonts w:ascii="Arial" w:cs="Arial" w:eastAsia="Arial" w:hAnsi="Arial"/>
                <w:sz w:val="16"/>
                <w:szCs w:val="16"/>
                <w:b w:val="1"/>
                <w:bCs w:val="1"/>
                <w:color w:val="auto"/>
                <w:w w:val="99"/>
              </w:rPr>
              <w:t>December 31,</w:t>
            </w:r>
          </w:p>
        </w:tc>
        <w:tc>
          <w:tcPr>
            <w:tcW w:w="1800" w:type="dxa"/>
            <w:vAlign w:val="bottom"/>
            <w:gridSpan w:val="2"/>
          </w:tcPr>
          <w:p>
            <w:pPr>
              <w:jc w:val="right"/>
              <w:ind w:right="290"/>
              <w:spacing w:after="0" w:line="165" w:lineRule="exact"/>
              <w:rPr>
                <w:sz w:val="20"/>
                <w:szCs w:val="20"/>
                <w:color w:val="auto"/>
              </w:rPr>
            </w:pPr>
            <w:r>
              <w:rPr>
                <w:rFonts w:ascii="Arial" w:cs="Arial" w:eastAsia="Arial" w:hAnsi="Arial"/>
                <w:sz w:val="16"/>
                <w:szCs w:val="16"/>
                <w:b w:val="1"/>
                <w:bCs w:val="1"/>
                <w:color w:val="auto"/>
              </w:rPr>
              <w:t>December 31,</w:t>
            </w:r>
          </w:p>
        </w:tc>
        <w:tc>
          <w:tcPr>
            <w:tcW w:w="400" w:type="dxa"/>
            <w:vAlign w:val="bottom"/>
            <w:vMerge w:val="continue"/>
          </w:tcPr>
          <w:p>
            <w:pPr>
              <w:spacing w:after="0"/>
              <w:rPr>
                <w:sz w:val="14"/>
                <w:szCs w:val="14"/>
                <w:color w:val="auto"/>
              </w:rPr>
            </w:pPr>
          </w:p>
        </w:tc>
        <w:tc>
          <w:tcPr>
            <w:tcW w:w="1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52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(in thousands)</w:t>
            </w:r>
          </w:p>
        </w:tc>
        <w:tc>
          <w:tcPr>
            <w:tcW w:w="1560" w:type="dxa"/>
            <w:vAlign w:val="bottom"/>
            <w:tcBorders>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2013</w:t>
            </w:r>
          </w:p>
        </w:tc>
        <w:tc>
          <w:tcPr>
            <w:tcW w:w="1800" w:type="dxa"/>
            <w:vAlign w:val="bottom"/>
            <w:tcBorders>
              <w:bottom w:val="single" w:sz="8" w:color="auto"/>
            </w:tcBorders>
            <w:gridSpan w:val="2"/>
          </w:tcPr>
          <w:p>
            <w:pPr>
              <w:jc w:val="right"/>
              <w:ind w:right="610"/>
              <w:spacing w:after="0"/>
              <w:rPr>
                <w:sz w:val="20"/>
                <w:szCs w:val="20"/>
                <w:color w:val="auto"/>
              </w:rPr>
            </w:pPr>
            <w:r>
              <w:rPr>
                <w:rFonts w:ascii="Arial" w:cs="Arial" w:eastAsia="Arial" w:hAnsi="Arial"/>
                <w:sz w:val="16"/>
                <w:szCs w:val="16"/>
                <w:b w:val="1"/>
                <w:bCs w:val="1"/>
                <w:color w:val="auto"/>
              </w:rPr>
              <w:t>2012</w:t>
            </w:r>
          </w:p>
        </w:tc>
        <w:tc>
          <w:tcPr>
            <w:tcW w:w="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Notes and loans payable</w:t>
            </w:r>
          </w:p>
        </w:tc>
        <w:tc>
          <w:tcPr>
            <w:tcW w:w="1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$625</w:t>
            </w:r>
          </w:p>
        </w:tc>
        <w:tc>
          <w:tcPr>
            <w:tcW w:w="8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$586</w:t>
            </w:r>
          </w:p>
        </w:tc>
        <w:tc>
          <w:tcPr>
            <w:tcW w:w="4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Current maturities of long-term debt</w:t>
            </w:r>
          </w:p>
        </w:tc>
        <w:tc>
          <w:tcPr>
            <w:tcW w:w="1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3,764</w:t>
            </w:r>
          </w:p>
        </w:tc>
        <w:tc>
          <w:tcPr>
            <w:tcW w:w="8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83,276</w:t>
            </w:r>
          </w:p>
        </w:tc>
        <w:tc>
          <w:tcPr>
            <w:tcW w:w="4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Long-term debt</w:t>
            </w:r>
          </w:p>
        </w:tc>
        <w:tc>
          <w:tcPr>
            <w:tcW w:w="1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300,111</w:t>
            </w:r>
          </w:p>
        </w:tc>
        <w:tc>
          <w:tcPr>
            <w:tcW w:w="8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235,877</w:t>
            </w:r>
          </w:p>
        </w:tc>
        <w:tc>
          <w:tcPr>
            <w:tcW w:w="4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Total debt</w:t>
            </w:r>
          </w:p>
        </w:tc>
        <w:tc>
          <w:tcPr>
            <w:tcW w:w="1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304,500</w:t>
            </w:r>
          </w:p>
        </w:tc>
        <w:tc>
          <w:tcPr>
            <w:tcW w:w="8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319,739</w:t>
            </w:r>
          </w:p>
        </w:tc>
        <w:tc>
          <w:tcPr>
            <w:tcW w:w="4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Cash</w:t>
            </w:r>
          </w:p>
        </w:tc>
        <w:tc>
          <w:tcPr>
            <w:tcW w:w="1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222,666</w:t>
            </w:r>
          </w:p>
        </w:tc>
        <w:tc>
          <w:tcPr>
            <w:tcW w:w="8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190,718</w:t>
            </w:r>
          </w:p>
        </w:tc>
        <w:tc>
          <w:tcPr>
            <w:tcW w:w="4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Net debt</w:t>
            </w:r>
          </w:p>
        </w:tc>
        <w:tc>
          <w:tcPr>
            <w:tcW w:w="1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$81,834</w:t>
            </w:r>
          </w:p>
        </w:tc>
        <w:tc>
          <w:tcPr>
            <w:tcW w:w="8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$129,021</w:t>
            </w:r>
          </w:p>
        </w:tc>
        <w:tc>
          <w:tcPr>
            <w:tcW w:w="4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07" w:lineRule="exact"/>
        <w:rPr>
          <w:sz w:val="20"/>
          <w:szCs w:val="20"/>
          <w:color w:val="auto"/>
        </w:rPr>
      </w:pPr>
    </w:p>
    <w:p>
      <w:pPr>
        <w:ind w:right="360" w:firstLine="648"/>
        <w:spacing w:after="0" w:line="246" w:lineRule="auto"/>
        <w:rPr>
          <w:sz w:val="20"/>
          <w:szCs w:val="20"/>
          <w:color w:val="auto"/>
        </w:rPr>
      </w:pPr>
      <w:r>
        <w:rPr>
          <w:rFonts w:ascii="Arial" w:cs="Arial" w:eastAsia="Arial" w:hAnsi="Arial"/>
          <w:sz w:val="18"/>
          <w:szCs w:val="18"/>
          <w:color w:val="auto"/>
        </w:rPr>
        <w:t>We have market risk with respect to foreign currency exchange rates and interest rates. The market risk is the potential loss arising from adverse changes in these rates as discussed below.</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193" w:lineRule="exact"/>
        <w:rPr>
          <w:sz w:val="20"/>
          <w:szCs w:val="20"/>
          <w:color w:val="auto"/>
        </w:rPr>
      </w:pPr>
    </w:p>
    <w:p>
      <w:pPr>
        <w:ind w:right="60" w:firstLine="648"/>
        <w:spacing w:after="0" w:line="236" w:lineRule="auto"/>
        <w:rPr>
          <w:sz w:val="20"/>
          <w:szCs w:val="20"/>
          <w:color w:val="auto"/>
        </w:rPr>
      </w:pPr>
      <w:r>
        <w:rPr>
          <w:rFonts w:ascii="Arial" w:cs="Arial" w:eastAsia="Arial" w:hAnsi="Arial"/>
          <w:sz w:val="18"/>
          <w:szCs w:val="18"/>
          <w:color w:val="auto"/>
        </w:rPr>
        <w:t>We have manufacturing plants and sales transactions worldwide and therefore are subject to foreign currency risk. This risk is composed of both potential losses from the translation of foreign currency financial statements and the remeasurement of foreign currency transactions. To manage this risk, we periodically enter into forward exchange contracts either to hedge the net assets of a foreign investment or to provide an economic hedge against future cash flows. The total net assets of non-U.S. operations and long-term intercompany loans denominated in nonfunctional currencies subject to potential loss amount to approximately $589.7 million. The potential loss in fair value resulting from a hypothetical 10% adverse change in quoted foreign currency exchange rates amounts to $59.0 million. Furthermore, related to foreign currency transactions, we have exposure to various nonfunctional currency balances totaling $121.6 million. This amount includes, on an absolute basis, exposures to assets and liabilities held in currencies other than our local entity’s functional currency. On a net basis, we had $52.9 million of foreign currency liabilities as of December 31, 2013. As currency rates change, these nonfunctional currency balances are revalued, and the corresponding adjustment is recorded in the income statement. A hypothetical change of 10% in currency rates could result in an adjustment to the income statement of approximately $5.3 million. Actual results may differ.</w:t>
      </w:r>
    </w:p>
    <w:p>
      <w:pPr>
        <w:spacing w:after="0" w:line="1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43"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Interest Rate Risk</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exposed to interest rate fluctuations with respect to our variable rate debt, depending on general economic conditions.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December 31, 2013, we had the following variable rate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109220</wp:posOffset>
            </wp:positionV>
            <wp:extent cx="361886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45"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(in thousands, except interest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11430</wp:posOffset>
            </wp:positionV>
            <wp:extent cx="361886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92" w:lineRule="exact"/>
        <w:rPr>
          <w:sz w:val="20"/>
          <w:szCs w:val="20"/>
          <w:color w:val="auto"/>
        </w:rPr>
      </w:pPr>
    </w:p>
    <w:tbl>
      <w:tblPr>
        <w:tblLayout w:type="fixed"/>
        <w:tblInd w:w="2860" w:type="dxa"/>
        <w:tblCellMar>
          <w:top w:w="0" w:type="dxa"/>
          <w:left w:w="0" w:type="dxa"/>
          <w:bottom w:w="0" w:type="dxa"/>
          <w:right w:w="0" w:type="dxa"/>
        </w:tblCellMar>
      </w:tblPr>
      <w:tr>
        <w:trPr>
          <w:trHeight w:val="239"/>
        </w:trPr>
        <w:tc>
          <w:tcPr>
            <w:tcW w:w="4980" w:type="dxa"/>
            <w:vAlign w:val="bottom"/>
          </w:tcPr>
          <w:p>
            <w:pPr>
              <w:spacing w:after="0"/>
              <w:rPr>
                <w:sz w:val="20"/>
                <w:szCs w:val="20"/>
                <w:color w:val="auto"/>
              </w:rPr>
            </w:pPr>
            <w:r>
              <w:rPr>
                <w:rFonts w:ascii="Arial" w:cs="Arial" w:eastAsia="Arial" w:hAnsi="Arial"/>
                <w:sz w:val="18"/>
                <w:szCs w:val="18"/>
                <w:b w:val="1"/>
                <w:bCs w:val="1"/>
                <w:color w:val="auto"/>
              </w:rPr>
              <w:t>Short-term debt</w:t>
            </w:r>
          </w:p>
        </w:tc>
        <w:tc>
          <w:tcPr>
            <w:tcW w:w="740" w:type="dxa"/>
            <w:vAlign w:val="bottom"/>
          </w:tcPr>
          <w:p>
            <w:pPr>
              <w:spacing w:after="0"/>
              <w:rPr>
                <w:sz w:val="20"/>
                <w:szCs w:val="20"/>
                <w:color w:val="auto"/>
              </w:rPr>
            </w:pPr>
          </w:p>
        </w:tc>
      </w:tr>
      <w:tr>
        <w:trPr>
          <w:trHeight w:val="405"/>
        </w:trPr>
        <w:tc>
          <w:tcPr>
            <w:tcW w:w="4980" w:type="dxa"/>
            <w:vAlign w:val="bottom"/>
          </w:tcPr>
          <w:p>
            <w:pPr>
              <w:spacing w:after="0"/>
              <w:rPr>
                <w:sz w:val="20"/>
                <w:szCs w:val="20"/>
                <w:color w:val="auto"/>
              </w:rPr>
            </w:pPr>
            <w:r>
              <w:rPr>
                <w:rFonts w:ascii="Arial" w:cs="Arial" w:eastAsia="Arial" w:hAnsi="Arial"/>
                <w:sz w:val="18"/>
                <w:szCs w:val="18"/>
                <w:color w:val="auto"/>
              </w:rPr>
              <w:t>Notes payable, end of period interest rate of 1.16%</w:t>
            </w:r>
          </w:p>
        </w:tc>
        <w:tc>
          <w:tcPr>
            <w:tcW w:w="740" w:type="dxa"/>
            <w:vAlign w:val="bottom"/>
          </w:tcPr>
          <w:p>
            <w:pPr>
              <w:jc w:val="right"/>
              <w:spacing w:after="0"/>
              <w:rPr>
                <w:sz w:val="20"/>
                <w:szCs w:val="20"/>
                <w:color w:val="auto"/>
              </w:rPr>
            </w:pPr>
            <w:r>
              <w:rPr>
                <w:rFonts w:ascii="Arial" w:cs="Arial" w:eastAsia="Arial" w:hAnsi="Arial"/>
                <w:sz w:val="18"/>
                <w:szCs w:val="18"/>
                <w:color w:val="auto"/>
              </w:rPr>
              <w:t>$625</w:t>
            </w:r>
          </w:p>
        </w:tc>
      </w:tr>
      <w:tr>
        <w:trPr>
          <w:trHeight w:val="405"/>
        </w:trPr>
        <w:tc>
          <w:tcPr>
            <w:tcW w:w="4980" w:type="dxa"/>
            <w:vAlign w:val="bottom"/>
          </w:tcPr>
          <w:p>
            <w:pPr>
              <w:spacing w:after="0"/>
              <w:rPr>
                <w:sz w:val="20"/>
                <w:szCs w:val="20"/>
                <w:color w:val="auto"/>
              </w:rPr>
            </w:pPr>
            <w:r>
              <w:rPr>
                <w:rFonts w:ascii="Arial" w:cs="Arial" w:eastAsia="Arial" w:hAnsi="Arial"/>
                <w:sz w:val="18"/>
                <w:szCs w:val="18"/>
                <w:b w:val="1"/>
                <w:bCs w:val="1"/>
                <w:color w:val="auto"/>
              </w:rPr>
              <w:t>Long-term debt</w:t>
            </w:r>
          </w:p>
        </w:tc>
        <w:tc>
          <w:tcPr>
            <w:tcW w:w="740" w:type="dxa"/>
            <w:vAlign w:val="bottom"/>
          </w:tcPr>
          <w:p>
            <w:pPr>
              <w:spacing w:after="0"/>
              <w:rPr>
                <w:sz w:val="24"/>
                <w:szCs w:val="24"/>
                <w:color w:val="auto"/>
              </w:rPr>
            </w:pPr>
          </w:p>
        </w:tc>
      </w:tr>
      <w:tr>
        <w:trPr>
          <w:trHeight w:val="391"/>
        </w:trPr>
        <w:tc>
          <w:tcPr>
            <w:tcW w:w="4980" w:type="dxa"/>
            <w:vAlign w:val="bottom"/>
          </w:tcPr>
          <w:p>
            <w:pPr>
              <w:spacing w:after="0"/>
              <w:rPr>
                <w:sz w:val="20"/>
                <w:szCs w:val="20"/>
                <w:color w:val="auto"/>
              </w:rPr>
            </w:pPr>
            <w:r>
              <w:rPr>
                <w:rFonts w:ascii="Arial" w:cs="Arial" w:eastAsia="Arial" w:hAnsi="Arial"/>
                <w:sz w:val="18"/>
                <w:szCs w:val="18"/>
                <w:color w:val="auto"/>
              </w:rPr>
              <w:t>Credit agreement with borrowings outstanding, net of $110</w:t>
            </w:r>
          </w:p>
        </w:tc>
        <w:tc>
          <w:tcPr>
            <w:tcW w:w="740" w:type="dxa"/>
            <w:vAlign w:val="bottom"/>
          </w:tcPr>
          <w:p>
            <w:pPr>
              <w:spacing w:after="0"/>
              <w:rPr>
                <w:sz w:val="24"/>
                <w:szCs w:val="24"/>
                <w:color w:val="auto"/>
              </w:rPr>
            </w:pP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million fixed rate portion, at an end of period interest rate of</w:t>
            </w:r>
          </w:p>
        </w:tc>
        <w:tc>
          <w:tcPr>
            <w:tcW w:w="740" w:type="dxa"/>
            <w:vAlign w:val="bottom"/>
          </w:tcPr>
          <w:p>
            <w:pPr>
              <w:spacing w:after="0"/>
              <w:rPr>
                <w:sz w:val="17"/>
                <w:szCs w:val="17"/>
                <w:color w:val="auto"/>
              </w:rPr>
            </w:pPr>
          </w:p>
        </w:tc>
      </w:tr>
      <w:tr>
        <w:trPr>
          <w:trHeight w:val="217"/>
        </w:trPr>
        <w:tc>
          <w:tcPr>
            <w:tcW w:w="4980" w:type="dxa"/>
            <w:vAlign w:val="bottom"/>
          </w:tcPr>
          <w:p>
            <w:pPr>
              <w:spacing w:after="0"/>
              <w:rPr>
                <w:sz w:val="20"/>
                <w:szCs w:val="20"/>
                <w:color w:val="auto"/>
              </w:rPr>
            </w:pPr>
            <w:r>
              <w:rPr>
                <w:rFonts w:ascii="Arial" w:cs="Arial" w:eastAsia="Arial" w:hAnsi="Arial"/>
                <w:sz w:val="18"/>
                <w:szCs w:val="18"/>
                <w:color w:val="auto"/>
              </w:rPr>
              <w:t>1.55% in 2013, due in 2018</w:t>
            </w:r>
          </w:p>
        </w:tc>
        <w:tc>
          <w:tcPr>
            <w:tcW w:w="740" w:type="dxa"/>
            <w:vAlign w:val="bottom"/>
          </w:tcPr>
          <w:p>
            <w:pPr>
              <w:jc w:val="right"/>
              <w:spacing w:after="0"/>
              <w:rPr>
                <w:sz w:val="20"/>
                <w:szCs w:val="20"/>
                <w:color w:val="auto"/>
              </w:rPr>
            </w:pPr>
            <w:r>
              <w:rPr>
                <w:rFonts w:ascii="Arial" w:cs="Arial" w:eastAsia="Arial" w:hAnsi="Arial"/>
                <w:sz w:val="18"/>
                <w:szCs w:val="18"/>
                <w:color w:val="auto"/>
              </w:rPr>
              <w:t>95,000</w:t>
            </w:r>
          </w:p>
        </w:tc>
      </w:tr>
      <w:tr>
        <w:trPr>
          <w:trHeight w:val="391"/>
        </w:trPr>
        <w:tc>
          <w:tcPr>
            <w:tcW w:w="4980" w:type="dxa"/>
            <w:vAlign w:val="bottom"/>
          </w:tcPr>
          <w:p>
            <w:pPr>
              <w:spacing w:after="0"/>
              <w:rPr>
                <w:sz w:val="20"/>
                <w:szCs w:val="20"/>
                <w:color w:val="auto"/>
              </w:rPr>
            </w:pPr>
            <w:r>
              <w:rPr>
                <w:rFonts w:ascii="Arial" w:cs="Arial" w:eastAsia="Arial" w:hAnsi="Arial"/>
                <w:sz w:val="18"/>
                <w:szCs w:val="18"/>
                <w:color w:val="auto"/>
              </w:rPr>
              <w:t>Various notes and mortgages relative to operations principally</w:t>
            </w:r>
          </w:p>
        </w:tc>
        <w:tc>
          <w:tcPr>
            <w:tcW w:w="740" w:type="dxa"/>
            <w:vAlign w:val="bottom"/>
          </w:tcPr>
          <w:p>
            <w:pPr>
              <w:spacing w:after="0"/>
              <w:rPr>
                <w:sz w:val="24"/>
                <w:szCs w:val="24"/>
                <w:color w:val="auto"/>
              </w:rPr>
            </w:pP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outside the United States, at an average end of period rate of</w:t>
            </w:r>
          </w:p>
        </w:tc>
        <w:tc>
          <w:tcPr>
            <w:tcW w:w="740" w:type="dxa"/>
            <w:vAlign w:val="bottom"/>
          </w:tcPr>
          <w:p>
            <w:pPr>
              <w:spacing w:after="0"/>
              <w:rPr>
                <w:sz w:val="17"/>
                <w:szCs w:val="17"/>
                <w:color w:val="auto"/>
              </w:rPr>
            </w:pPr>
          </w:p>
        </w:tc>
      </w:tr>
      <w:tr>
        <w:trPr>
          <w:trHeight w:val="203"/>
        </w:trPr>
        <w:tc>
          <w:tcPr>
            <w:tcW w:w="498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3.02% in 2013, due in varying amounts through 2014</w:t>
            </w: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3,750</w:t>
            </w:r>
          </w:p>
        </w:tc>
      </w:tr>
      <w:tr>
        <w:trPr>
          <w:trHeight w:val="399"/>
        </w:trPr>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$99,375</w:t>
            </w:r>
          </w:p>
        </w:tc>
      </w:tr>
    </w:tbl>
    <w:p>
      <w:pPr>
        <w:spacing w:after="0" w:line="215" w:lineRule="exact"/>
        <w:rPr>
          <w:sz w:val="20"/>
          <w:szCs w:val="20"/>
          <w:color w:val="auto"/>
        </w:rPr>
      </w:pPr>
    </w:p>
    <w:p>
      <w:pPr>
        <w:jc w:val="both"/>
        <w:ind w:right="140" w:firstLine="648"/>
        <w:spacing w:after="0"/>
        <w:rPr>
          <w:sz w:val="20"/>
          <w:szCs w:val="20"/>
          <w:color w:val="auto"/>
        </w:rPr>
      </w:pPr>
      <w:r>
        <w:rPr>
          <w:rFonts w:ascii="Arial" w:cs="Arial" w:eastAsia="Arial" w:hAnsi="Arial"/>
          <w:sz w:val="18"/>
          <w:szCs w:val="18"/>
          <w:color w:val="auto"/>
        </w:rPr>
        <w:t>Assuming borrowings were outstanding for an entire year, an increase/decrease of one percentage point in weighted average interest rates would increase/decrease interest expense by $1.0 million. To manage interest rate risk, we may periodically enter into interest rate swap agreements to effectively fix the interest rates on variable debt to a specific rate for a period of time.</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Income for the years ended</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December 31, 2013, 2012, and 2011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Comprehensive Income for the years ended</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December 31, 2013, 2012, and 2011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 as of December 31, 2013 and 2012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Cash Flows for the years ended</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December 31, 2013, 2012, and 2011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43" w:name="page44"/>
    <w:bookmarkEnd w:id="43"/>
    <w:p>
      <w:pPr>
        <w:ind w:right="3220" w:firstLine="3224"/>
        <w:spacing w:after="0" w:line="459"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Shareholders of Albany International Corp.:</w:t>
      </w:r>
    </w:p>
    <w:p>
      <w:pPr>
        <w:ind w:firstLine="648"/>
        <w:spacing w:after="0" w:line="235" w:lineRule="auto"/>
        <w:rPr>
          <w:sz w:val="20"/>
          <w:szCs w:val="20"/>
          <w:color w:val="auto"/>
        </w:rPr>
      </w:pPr>
      <w:r>
        <w:rPr>
          <w:rFonts w:ascii="Arial" w:cs="Arial" w:eastAsia="Arial" w:hAnsi="Arial"/>
          <w:sz w:val="18"/>
          <w:szCs w:val="18"/>
          <w:color w:val="auto"/>
        </w:rPr>
        <w:t>In our opinion, the accompanying consolidated balance sheets and consolidated statements of income, comprehensive income and cash flows present fairly, in all material respects, the financial position of Albany International Corp. and its subsidiaries at December 31, 2013 and December 31, 2012, and the results of their operations and their cash flows for each of the three years in the period ended December 31, 2013 in conformity with accounting principles generally accepted in the United States of America. In addition, in our opinion, the financial statement schedule listed in the accompanying index under item 15(a)(2) presents fairly, in all material respects, the information set forth therein when read in conjunction with the related consolidated financial statements. Also in our opinion, the Company maintained, in all material respects, effective internal control over financial reporting as of December 31, 2013, based on criteria established in Internal Control - Integrated Framework (1992) issued by the Committee of Sponsoring Organizations of the Treadway Commission (COSO). The Company’s management is responsible for these financial statements and financial statement schedule, for maintaining effective internal control over financial reporting and for its assessment of the effectiveness of internal control over financial reporting, included in Management’s Report on Internal Control over Financial Reporting. Our responsibility is to express opinions on these financial statements, on the financial statement schedule,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4" w:lineRule="exact"/>
        <w:rPr>
          <w:sz w:val="20"/>
          <w:szCs w:val="20"/>
          <w:color w:val="auto"/>
        </w:rPr>
      </w:pPr>
    </w:p>
    <w:p>
      <w:pPr>
        <w:ind w:right="120" w:firstLine="648"/>
        <w:spacing w:after="0" w:line="236"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8"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PricewaterhouseCoopers LLP</w:t>
      </w:r>
    </w:p>
    <w:p>
      <w:pPr>
        <w:spacing w:after="0" w:line="234" w:lineRule="auto"/>
        <w:rPr>
          <w:sz w:val="20"/>
          <w:szCs w:val="20"/>
          <w:color w:val="auto"/>
        </w:rPr>
      </w:pPr>
      <w:r>
        <w:rPr>
          <w:rFonts w:ascii="Arial" w:cs="Arial" w:eastAsia="Arial" w:hAnsi="Arial"/>
          <w:sz w:val="18"/>
          <w:szCs w:val="18"/>
          <w:color w:val="auto"/>
        </w:rPr>
        <w:t>Albany, New York</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2014</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080" w:type="dxa"/>
            <w:vAlign w:val="bottom"/>
            <w:tcBorders>
              <w:top w:val="single" w:sz="8" w:color="auto"/>
            </w:tcBorders>
            <w:gridSpan w:val="3"/>
          </w:tcPr>
          <w:p>
            <w:pPr>
              <w:jc w:val="right"/>
              <w:ind w:right="830"/>
              <w:spacing w:after="0" w:line="173" w:lineRule="exact"/>
              <w:rPr>
                <w:sz w:val="20"/>
                <w:szCs w:val="20"/>
                <w:color w:val="auto"/>
              </w:rPr>
            </w:pPr>
            <w:r>
              <w:rPr>
                <w:rFonts w:ascii="Arial" w:cs="Arial" w:eastAsia="Arial" w:hAnsi="Arial"/>
                <w:sz w:val="18"/>
                <w:szCs w:val="18"/>
                <w:b w:val="1"/>
                <w:bCs w:val="1"/>
                <w:color w:val="auto"/>
              </w:rPr>
              <w:t>For the years ended December 31,</w:t>
            </w:r>
          </w:p>
        </w:tc>
        <w:tc>
          <w:tcPr>
            <w:tcW w:w="188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8080" w:type="dxa"/>
            <w:vAlign w:val="bottom"/>
            <w:gridSpan w:val="3"/>
          </w:tcPr>
          <w:p>
            <w:pPr>
              <w:jc w:val="right"/>
              <w:ind w:right="510"/>
              <w:spacing w:after="0" w:line="202" w:lineRule="exact"/>
              <w:rPr>
                <w:sz w:val="20"/>
                <w:szCs w:val="20"/>
                <w:color w:val="auto"/>
              </w:rPr>
            </w:pPr>
            <w:r>
              <w:rPr>
                <w:rFonts w:ascii="Arial" w:cs="Arial" w:eastAsia="Arial" w:hAnsi="Arial"/>
                <w:sz w:val="18"/>
                <w:szCs w:val="18"/>
                <w:b w:val="1"/>
                <w:bCs w:val="1"/>
                <w:color w:val="auto"/>
              </w:rPr>
              <w:t>(in thousands, except per share amounts)</w:t>
            </w:r>
          </w:p>
        </w:tc>
        <w:tc>
          <w:tcPr>
            <w:tcW w:w="18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53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2013</w:t>
            </w:r>
          </w:p>
        </w:tc>
        <w:tc>
          <w:tcPr>
            <w:tcW w:w="188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b w:val="1"/>
                <w:bCs w:val="1"/>
                <w:color w:val="auto"/>
              </w:rPr>
              <w:t>2012</w:t>
            </w:r>
          </w:p>
        </w:tc>
        <w:tc>
          <w:tcPr>
            <w:tcW w:w="14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r>
      <w:tr>
        <w:trPr>
          <w:trHeight w:val="376"/>
        </w:trPr>
        <w:tc>
          <w:tcPr>
            <w:tcW w:w="5740" w:type="dxa"/>
            <w:vAlign w:val="bottom"/>
            <w:gridSpan w:val="3"/>
          </w:tcPr>
          <w:p>
            <w:pPr>
              <w:spacing w:after="0"/>
              <w:rPr>
                <w:sz w:val="20"/>
                <w:szCs w:val="20"/>
                <w:color w:val="auto"/>
              </w:rPr>
            </w:pPr>
            <w:r>
              <w:rPr>
                <w:rFonts w:ascii="Arial" w:cs="Arial" w:eastAsia="Arial" w:hAnsi="Arial"/>
                <w:sz w:val="18"/>
                <w:szCs w:val="18"/>
                <w:color w:val="auto"/>
              </w:rPr>
              <w:t>Net sales</w:t>
            </w:r>
          </w:p>
        </w:tc>
        <w:tc>
          <w:tcPr>
            <w:tcW w:w="2360" w:type="dxa"/>
            <w:vAlign w:val="bottom"/>
          </w:tcPr>
          <w:p>
            <w:pPr>
              <w:jc w:val="right"/>
              <w:ind w:right="430"/>
              <w:spacing w:after="0"/>
              <w:rPr>
                <w:sz w:val="20"/>
                <w:szCs w:val="20"/>
                <w:color w:val="auto"/>
              </w:rPr>
            </w:pPr>
            <w:r>
              <w:rPr>
                <w:rFonts w:ascii="Arial" w:cs="Arial" w:eastAsia="Arial" w:hAnsi="Arial"/>
                <w:sz w:val="18"/>
                <w:szCs w:val="18"/>
                <w:b w:val="1"/>
                <w:bCs w:val="1"/>
                <w:color w:val="auto"/>
              </w:rPr>
              <w:t>$757,414</w:t>
            </w:r>
          </w:p>
        </w:tc>
        <w:tc>
          <w:tcPr>
            <w:tcW w:w="1880" w:type="dxa"/>
            <w:vAlign w:val="bottom"/>
          </w:tcPr>
          <w:p>
            <w:pPr>
              <w:jc w:val="right"/>
              <w:ind w:right="470"/>
              <w:spacing w:after="0"/>
              <w:rPr>
                <w:sz w:val="20"/>
                <w:szCs w:val="20"/>
                <w:color w:val="auto"/>
              </w:rPr>
            </w:pPr>
            <w:r>
              <w:rPr>
                <w:rFonts w:ascii="Arial" w:cs="Arial" w:eastAsia="Arial" w:hAnsi="Arial"/>
                <w:sz w:val="18"/>
                <w:szCs w:val="18"/>
                <w:color w:val="auto"/>
              </w:rPr>
              <w:t>$760,941</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$787,287</w:t>
            </w:r>
          </w:p>
        </w:tc>
      </w:tr>
      <w:tr>
        <w:trPr>
          <w:trHeight w:val="225"/>
        </w:trPr>
        <w:tc>
          <w:tcPr>
            <w:tcW w:w="5740" w:type="dxa"/>
            <w:vAlign w:val="bottom"/>
            <w:gridSpan w:val="3"/>
          </w:tcPr>
          <w:p>
            <w:pPr>
              <w:spacing w:after="0"/>
              <w:rPr>
                <w:sz w:val="20"/>
                <w:szCs w:val="20"/>
                <w:color w:val="auto"/>
              </w:rPr>
            </w:pPr>
            <w:r>
              <w:rPr>
                <w:rFonts w:ascii="Arial" w:cs="Arial" w:eastAsia="Arial" w:hAnsi="Arial"/>
                <w:sz w:val="18"/>
                <w:szCs w:val="18"/>
                <w:color w:val="auto"/>
              </w:rPr>
              <w:t>Cost of goods sold</w:t>
            </w:r>
          </w:p>
        </w:tc>
        <w:tc>
          <w:tcPr>
            <w:tcW w:w="2360" w:type="dxa"/>
            <w:vAlign w:val="bottom"/>
          </w:tcPr>
          <w:p>
            <w:pPr>
              <w:jc w:val="right"/>
              <w:ind w:right="430"/>
              <w:spacing w:after="0"/>
              <w:rPr>
                <w:sz w:val="20"/>
                <w:szCs w:val="20"/>
                <w:color w:val="auto"/>
              </w:rPr>
            </w:pPr>
            <w:r>
              <w:rPr>
                <w:rFonts w:ascii="Arial" w:cs="Arial" w:eastAsia="Arial" w:hAnsi="Arial"/>
                <w:sz w:val="18"/>
                <w:szCs w:val="18"/>
                <w:b w:val="1"/>
                <w:bCs w:val="1"/>
                <w:color w:val="auto"/>
              </w:rPr>
              <w:t>466,860</w:t>
            </w:r>
          </w:p>
        </w:tc>
        <w:tc>
          <w:tcPr>
            <w:tcW w:w="1880" w:type="dxa"/>
            <w:vAlign w:val="bottom"/>
          </w:tcPr>
          <w:p>
            <w:pPr>
              <w:jc w:val="right"/>
              <w:ind w:right="470"/>
              <w:spacing w:after="0"/>
              <w:rPr>
                <w:sz w:val="20"/>
                <w:szCs w:val="20"/>
                <w:color w:val="auto"/>
              </w:rPr>
            </w:pPr>
            <w:r>
              <w:rPr>
                <w:rFonts w:ascii="Arial" w:cs="Arial" w:eastAsia="Arial" w:hAnsi="Arial"/>
                <w:sz w:val="18"/>
                <w:szCs w:val="18"/>
                <w:color w:val="auto"/>
              </w:rPr>
              <w:t>455,545</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473,121</w:t>
            </w:r>
          </w:p>
        </w:tc>
      </w:tr>
      <w:tr>
        <w:trPr>
          <w:trHeight w:val="232"/>
        </w:trPr>
        <w:tc>
          <w:tcPr>
            <w:tcW w:w="20" w:type="dxa"/>
            <w:vAlign w:val="bottom"/>
          </w:tcPr>
          <w:p>
            <w:pPr>
              <w:spacing w:after="0"/>
              <w:rPr>
                <w:sz w:val="20"/>
                <w:szCs w:val="20"/>
                <w:color w:val="auto"/>
              </w:rPr>
            </w:pPr>
          </w:p>
        </w:tc>
        <w:tc>
          <w:tcPr>
            <w:tcW w:w="5340" w:type="dxa"/>
            <w:vAlign w:val="bottom"/>
            <w:tcBorders>
              <w:top w:val="single" w:sz="8" w:color="auto"/>
            </w:tcBorders>
          </w:tcPr>
          <w:p>
            <w:pPr>
              <w:ind w:left="320"/>
              <w:spacing w:after="0"/>
              <w:rPr>
                <w:sz w:val="20"/>
                <w:szCs w:val="20"/>
                <w:color w:val="auto"/>
              </w:rPr>
            </w:pPr>
            <w:r>
              <w:rPr>
                <w:rFonts w:ascii="Arial" w:cs="Arial" w:eastAsia="Arial" w:hAnsi="Arial"/>
                <w:sz w:val="18"/>
                <w:szCs w:val="18"/>
                <w:color w:val="auto"/>
              </w:rPr>
              <w:t>Gross profit</w:t>
            </w:r>
          </w:p>
        </w:tc>
        <w:tc>
          <w:tcPr>
            <w:tcW w:w="380" w:type="dxa"/>
            <w:vAlign w:val="bottom"/>
          </w:tcPr>
          <w:p>
            <w:pPr>
              <w:spacing w:after="0"/>
              <w:rPr>
                <w:sz w:val="20"/>
                <w:szCs w:val="20"/>
                <w:color w:val="auto"/>
              </w:rPr>
            </w:pPr>
          </w:p>
        </w:tc>
        <w:tc>
          <w:tcPr>
            <w:tcW w:w="236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290,554</w:t>
            </w:r>
          </w:p>
        </w:tc>
        <w:tc>
          <w:tcPr>
            <w:tcW w:w="18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rPr>
              <w:t>305,396</w:t>
            </w:r>
          </w:p>
        </w:tc>
        <w:tc>
          <w:tcPr>
            <w:tcW w:w="1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314,166</w:t>
            </w:r>
          </w:p>
        </w:tc>
      </w:tr>
      <w:tr>
        <w:trPr>
          <w:trHeight w:val="346"/>
        </w:trPr>
        <w:tc>
          <w:tcPr>
            <w:tcW w:w="5740" w:type="dxa"/>
            <w:vAlign w:val="bottom"/>
            <w:gridSpan w:val="3"/>
          </w:tcPr>
          <w:p>
            <w:pPr>
              <w:spacing w:after="0"/>
              <w:rPr>
                <w:sz w:val="20"/>
                <w:szCs w:val="20"/>
                <w:color w:val="auto"/>
              </w:rPr>
            </w:pPr>
            <w:r>
              <w:rPr>
                <w:rFonts w:ascii="Arial" w:cs="Arial" w:eastAsia="Arial" w:hAnsi="Arial"/>
                <w:sz w:val="18"/>
                <w:szCs w:val="18"/>
                <w:color w:val="auto"/>
              </w:rPr>
              <w:t>Selling, general and administrative expenses</w:t>
            </w:r>
          </w:p>
        </w:tc>
        <w:tc>
          <w:tcPr>
            <w:tcW w:w="2360" w:type="dxa"/>
            <w:vAlign w:val="bottom"/>
          </w:tcPr>
          <w:p>
            <w:pPr>
              <w:jc w:val="right"/>
              <w:ind w:right="430"/>
              <w:spacing w:after="0"/>
              <w:rPr>
                <w:sz w:val="20"/>
                <w:szCs w:val="20"/>
                <w:color w:val="auto"/>
              </w:rPr>
            </w:pPr>
            <w:r>
              <w:rPr>
                <w:rFonts w:ascii="Arial" w:cs="Arial" w:eastAsia="Arial" w:hAnsi="Arial"/>
                <w:sz w:val="18"/>
                <w:szCs w:val="18"/>
                <w:b w:val="1"/>
                <w:bCs w:val="1"/>
                <w:color w:val="auto"/>
              </w:rPr>
              <w:t>157,688</w:t>
            </w:r>
          </w:p>
        </w:tc>
        <w:tc>
          <w:tcPr>
            <w:tcW w:w="1880" w:type="dxa"/>
            <w:vAlign w:val="bottom"/>
          </w:tcPr>
          <w:p>
            <w:pPr>
              <w:jc w:val="right"/>
              <w:ind w:right="470"/>
              <w:spacing w:after="0"/>
              <w:rPr>
                <w:sz w:val="20"/>
                <w:szCs w:val="20"/>
                <w:color w:val="auto"/>
              </w:rPr>
            </w:pPr>
            <w:r>
              <w:rPr>
                <w:rFonts w:ascii="Arial" w:cs="Arial" w:eastAsia="Arial" w:hAnsi="Arial"/>
                <w:sz w:val="18"/>
                <w:szCs w:val="18"/>
                <w:color w:val="auto"/>
              </w:rPr>
              <w:t>169,774</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174,395</w:t>
            </w:r>
          </w:p>
        </w:tc>
      </w:tr>
      <w:tr>
        <w:trPr>
          <w:trHeight w:val="203"/>
        </w:trPr>
        <w:tc>
          <w:tcPr>
            <w:tcW w:w="5740" w:type="dxa"/>
            <w:vAlign w:val="bottom"/>
            <w:gridSpan w:val="3"/>
          </w:tcPr>
          <w:p>
            <w:pPr>
              <w:spacing w:after="0" w:line="202" w:lineRule="exact"/>
              <w:rPr>
                <w:sz w:val="20"/>
                <w:szCs w:val="20"/>
                <w:color w:val="auto"/>
              </w:rPr>
            </w:pPr>
            <w:r>
              <w:rPr>
                <w:rFonts w:ascii="Arial" w:cs="Arial" w:eastAsia="Arial" w:hAnsi="Arial"/>
                <w:sz w:val="18"/>
                <w:szCs w:val="18"/>
                <w:color w:val="auto"/>
              </w:rPr>
              <w:t>Technical, product engineering, and research expenses</w:t>
            </w:r>
          </w:p>
        </w:tc>
        <w:tc>
          <w:tcPr>
            <w:tcW w:w="2360" w:type="dxa"/>
            <w:vAlign w:val="bottom"/>
          </w:tcPr>
          <w:p>
            <w:pPr>
              <w:jc w:val="right"/>
              <w:ind w:right="430"/>
              <w:spacing w:after="0" w:line="202" w:lineRule="exact"/>
              <w:rPr>
                <w:sz w:val="20"/>
                <w:szCs w:val="20"/>
                <w:color w:val="auto"/>
              </w:rPr>
            </w:pPr>
            <w:r>
              <w:rPr>
                <w:rFonts w:ascii="Arial" w:cs="Arial" w:eastAsia="Arial" w:hAnsi="Arial"/>
                <w:sz w:val="18"/>
                <w:szCs w:val="18"/>
                <w:b w:val="1"/>
                <w:bCs w:val="1"/>
                <w:color w:val="auto"/>
              </w:rPr>
              <w:t>55,667</w:t>
            </w:r>
          </w:p>
        </w:tc>
        <w:tc>
          <w:tcPr>
            <w:tcW w:w="188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52,962</w:t>
            </w:r>
          </w:p>
        </w:tc>
        <w:tc>
          <w:tcPr>
            <w:tcW w:w="14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55,846</w:t>
            </w:r>
          </w:p>
        </w:tc>
      </w:tr>
      <w:tr>
        <w:trPr>
          <w:trHeight w:val="203"/>
        </w:trPr>
        <w:tc>
          <w:tcPr>
            <w:tcW w:w="5740" w:type="dxa"/>
            <w:vAlign w:val="bottom"/>
            <w:gridSpan w:val="3"/>
          </w:tcPr>
          <w:p>
            <w:pPr>
              <w:spacing w:after="0" w:line="202" w:lineRule="exact"/>
              <w:rPr>
                <w:sz w:val="20"/>
                <w:szCs w:val="20"/>
                <w:color w:val="auto"/>
              </w:rPr>
            </w:pPr>
            <w:r>
              <w:rPr>
                <w:rFonts w:ascii="Arial" w:cs="Arial" w:eastAsia="Arial" w:hAnsi="Arial"/>
                <w:sz w:val="18"/>
                <w:szCs w:val="18"/>
                <w:color w:val="auto"/>
              </w:rPr>
              <w:t>Restructuring and other, net</w:t>
            </w:r>
          </w:p>
        </w:tc>
        <w:tc>
          <w:tcPr>
            <w:tcW w:w="2360" w:type="dxa"/>
            <w:vAlign w:val="bottom"/>
          </w:tcPr>
          <w:p>
            <w:pPr>
              <w:jc w:val="right"/>
              <w:ind w:right="430"/>
              <w:spacing w:after="0" w:line="202" w:lineRule="exact"/>
              <w:rPr>
                <w:sz w:val="20"/>
                <w:szCs w:val="20"/>
                <w:color w:val="auto"/>
              </w:rPr>
            </w:pPr>
            <w:r>
              <w:rPr>
                <w:rFonts w:ascii="Arial" w:cs="Arial" w:eastAsia="Arial" w:hAnsi="Arial"/>
                <w:sz w:val="18"/>
                <w:szCs w:val="18"/>
                <w:b w:val="1"/>
                <w:bCs w:val="1"/>
                <w:color w:val="auto"/>
              </w:rPr>
              <w:t>25,108</w:t>
            </w:r>
          </w:p>
        </w:tc>
        <w:tc>
          <w:tcPr>
            <w:tcW w:w="188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7,061</w:t>
            </w:r>
          </w:p>
        </w:tc>
        <w:tc>
          <w:tcPr>
            <w:tcW w:w="14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9,317</w:t>
            </w:r>
          </w:p>
        </w:tc>
      </w:tr>
      <w:tr>
        <w:trPr>
          <w:trHeight w:val="225"/>
        </w:trPr>
        <w:tc>
          <w:tcPr>
            <w:tcW w:w="5740" w:type="dxa"/>
            <w:vAlign w:val="bottom"/>
            <w:gridSpan w:val="3"/>
          </w:tcPr>
          <w:p>
            <w:pPr>
              <w:spacing w:after="0"/>
              <w:rPr>
                <w:sz w:val="20"/>
                <w:szCs w:val="20"/>
                <w:color w:val="auto"/>
              </w:rPr>
            </w:pPr>
            <w:r>
              <w:rPr>
                <w:rFonts w:ascii="Arial" w:cs="Arial" w:eastAsia="Arial" w:hAnsi="Arial"/>
                <w:sz w:val="18"/>
                <w:szCs w:val="18"/>
                <w:color w:val="auto"/>
              </w:rPr>
              <w:t>Pension settlement expense</w:t>
            </w:r>
          </w:p>
        </w:tc>
        <w:tc>
          <w:tcPr>
            <w:tcW w:w="236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1880" w:type="dxa"/>
            <w:vAlign w:val="bottom"/>
          </w:tcPr>
          <w:p>
            <w:pPr>
              <w:jc w:val="right"/>
              <w:ind w:right="470"/>
              <w:spacing w:after="0"/>
              <w:rPr>
                <w:sz w:val="20"/>
                <w:szCs w:val="20"/>
                <w:color w:val="auto"/>
              </w:rPr>
            </w:pPr>
            <w:r>
              <w:rPr>
                <w:rFonts w:ascii="Arial" w:cs="Arial" w:eastAsia="Arial" w:hAnsi="Arial"/>
                <w:sz w:val="18"/>
                <w:szCs w:val="18"/>
                <w:color w:val="auto"/>
              </w:rPr>
              <w:t>119,735</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2"/>
        </w:trPr>
        <w:tc>
          <w:tcPr>
            <w:tcW w:w="20" w:type="dxa"/>
            <w:vAlign w:val="bottom"/>
          </w:tcPr>
          <w:p>
            <w:pPr>
              <w:spacing w:after="0"/>
              <w:rPr>
                <w:sz w:val="20"/>
                <w:szCs w:val="20"/>
                <w:color w:val="auto"/>
              </w:rPr>
            </w:pPr>
          </w:p>
        </w:tc>
        <w:tc>
          <w:tcPr>
            <w:tcW w:w="534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Operating income/(loss)</w:t>
            </w:r>
          </w:p>
        </w:tc>
        <w:tc>
          <w:tcPr>
            <w:tcW w:w="380" w:type="dxa"/>
            <w:vAlign w:val="bottom"/>
          </w:tcPr>
          <w:p>
            <w:pPr>
              <w:spacing w:after="0"/>
              <w:rPr>
                <w:sz w:val="20"/>
                <w:szCs w:val="20"/>
                <w:color w:val="auto"/>
              </w:rPr>
            </w:pPr>
          </w:p>
        </w:tc>
        <w:tc>
          <w:tcPr>
            <w:tcW w:w="236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52,091</w:t>
            </w:r>
          </w:p>
        </w:tc>
        <w:tc>
          <w:tcPr>
            <w:tcW w:w="188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(44,136)</w:t>
            </w:r>
          </w:p>
        </w:tc>
        <w:tc>
          <w:tcPr>
            <w:tcW w:w="1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74,608</w:t>
            </w:r>
          </w:p>
        </w:tc>
      </w:tr>
      <w:tr>
        <w:trPr>
          <w:trHeight w:val="346"/>
        </w:trPr>
        <w:tc>
          <w:tcPr>
            <w:tcW w:w="5740" w:type="dxa"/>
            <w:vAlign w:val="bottom"/>
            <w:gridSpan w:val="3"/>
          </w:tcPr>
          <w:p>
            <w:pPr>
              <w:spacing w:after="0"/>
              <w:rPr>
                <w:sz w:val="20"/>
                <w:szCs w:val="20"/>
                <w:color w:val="auto"/>
              </w:rPr>
            </w:pPr>
            <w:r>
              <w:rPr>
                <w:rFonts w:ascii="Arial" w:cs="Arial" w:eastAsia="Arial" w:hAnsi="Arial"/>
                <w:sz w:val="18"/>
                <w:szCs w:val="18"/>
                <w:color w:val="auto"/>
              </w:rPr>
              <w:t>Interest income</w:t>
            </w:r>
          </w:p>
        </w:tc>
        <w:tc>
          <w:tcPr>
            <w:tcW w:w="2360" w:type="dxa"/>
            <w:vAlign w:val="bottom"/>
          </w:tcPr>
          <w:p>
            <w:pPr>
              <w:jc w:val="right"/>
              <w:ind w:right="370"/>
              <w:spacing w:after="0"/>
              <w:rPr>
                <w:sz w:val="20"/>
                <w:szCs w:val="20"/>
                <w:color w:val="auto"/>
              </w:rPr>
            </w:pPr>
            <w:r>
              <w:rPr>
                <w:rFonts w:ascii="Arial" w:cs="Arial" w:eastAsia="Arial" w:hAnsi="Arial"/>
                <w:sz w:val="18"/>
                <w:szCs w:val="18"/>
                <w:b w:val="1"/>
                <w:bCs w:val="1"/>
                <w:color w:val="auto"/>
              </w:rPr>
              <w:t>(1,468)</w:t>
            </w:r>
          </w:p>
        </w:tc>
        <w:tc>
          <w:tcPr>
            <w:tcW w:w="1880" w:type="dxa"/>
            <w:vAlign w:val="bottom"/>
          </w:tcPr>
          <w:p>
            <w:pPr>
              <w:jc w:val="right"/>
              <w:ind w:right="410"/>
              <w:spacing w:after="0"/>
              <w:rPr>
                <w:sz w:val="20"/>
                <w:szCs w:val="20"/>
                <w:color w:val="auto"/>
              </w:rPr>
            </w:pPr>
            <w:r>
              <w:rPr>
                <w:rFonts w:ascii="Arial" w:cs="Arial" w:eastAsia="Arial" w:hAnsi="Arial"/>
                <w:sz w:val="18"/>
                <w:szCs w:val="18"/>
                <w:color w:val="auto"/>
              </w:rPr>
              <w:t>(1,517)</w:t>
            </w:r>
          </w:p>
        </w:tc>
        <w:tc>
          <w:tcPr>
            <w:tcW w:w="1440" w:type="dxa"/>
            <w:vAlign w:val="bottom"/>
          </w:tcPr>
          <w:p>
            <w:pPr>
              <w:jc w:val="right"/>
              <w:spacing w:after="0"/>
              <w:rPr>
                <w:sz w:val="20"/>
                <w:szCs w:val="20"/>
                <w:color w:val="auto"/>
              </w:rPr>
            </w:pPr>
            <w:r>
              <w:rPr>
                <w:rFonts w:ascii="Arial" w:cs="Arial" w:eastAsia="Arial" w:hAnsi="Arial"/>
                <w:sz w:val="18"/>
                <w:szCs w:val="18"/>
                <w:color w:val="auto"/>
              </w:rPr>
              <w:t>(2,027)</w:t>
            </w:r>
          </w:p>
        </w:tc>
      </w:tr>
      <w:tr>
        <w:trPr>
          <w:trHeight w:val="203"/>
        </w:trPr>
        <w:tc>
          <w:tcPr>
            <w:tcW w:w="5740" w:type="dxa"/>
            <w:vAlign w:val="bottom"/>
            <w:gridSpan w:val="3"/>
          </w:tcPr>
          <w:p>
            <w:pPr>
              <w:spacing w:after="0" w:line="202" w:lineRule="exact"/>
              <w:rPr>
                <w:sz w:val="20"/>
                <w:szCs w:val="20"/>
                <w:color w:val="auto"/>
              </w:rPr>
            </w:pPr>
            <w:r>
              <w:rPr>
                <w:rFonts w:ascii="Arial" w:cs="Arial" w:eastAsia="Arial" w:hAnsi="Arial"/>
                <w:sz w:val="18"/>
                <w:szCs w:val="18"/>
                <w:color w:val="auto"/>
              </w:rPr>
              <w:t>Interest expense</w:t>
            </w:r>
          </w:p>
        </w:tc>
        <w:tc>
          <w:tcPr>
            <w:tcW w:w="2360" w:type="dxa"/>
            <w:vAlign w:val="bottom"/>
          </w:tcPr>
          <w:p>
            <w:pPr>
              <w:jc w:val="right"/>
              <w:ind w:right="430"/>
              <w:spacing w:after="0" w:line="202" w:lineRule="exact"/>
              <w:rPr>
                <w:sz w:val="20"/>
                <w:szCs w:val="20"/>
                <w:color w:val="auto"/>
              </w:rPr>
            </w:pPr>
            <w:r>
              <w:rPr>
                <w:rFonts w:ascii="Arial" w:cs="Arial" w:eastAsia="Arial" w:hAnsi="Arial"/>
                <w:sz w:val="18"/>
                <w:szCs w:val="18"/>
                <w:b w:val="1"/>
                <w:bCs w:val="1"/>
                <w:color w:val="auto"/>
              </w:rPr>
              <w:t>15,227</w:t>
            </w:r>
          </w:p>
        </w:tc>
        <w:tc>
          <w:tcPr>
            <w:tcW w:w="188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18,118</w:t>
            </w:r>
          </w:p>
        </w:tc>
        <w:tc>
          <w:tcPr>
            <w:tcW w:w="14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20,148</w:t>
            </w:r>
          </w:p>
        </w:tc>
      </w:tr>
      <w:tr>
        <w:trPr>
          <w:trHeight w:val="225"/>
        </w:trPr>
        <w:tc>
          <w:tcPr>
            <w:tcW w:w="5740" w:type="dxa"/>
            <w:vAlign w:val="bottom"/>
            <w:gridSpan w:val="3"/>
          </w:tcPr>
          <w:p>
            <w:pPr>
              <w:spacing w:after="0"/>
              <w:rPr>
                <w:sz w:val="20"/>
                <w:szCs w:val="20"/>
                <w:color w:val="auto"/>
              </w:rPr>
            </w:pPr>
            <w:r>
              <w:rPr>
                <w:rFonts w:ascii="Arial" w:cs="Arial" w:eastAsia="Arial" w:hAnsi="Arial"/>
                <w:sz w:val="18"/>
                <w:szCs w:val="18"/>
                <w:color w:val="auto"/>
              </w:rPr>
              <w:t>Other expense/(income), net</w:t>
            </w:r>
          </w:p>
        </w:tc>
        <w:tc>
          <w:tcPr>
            <w:tcW w:w="2360" w:type="dxa"/>
            <w:vAlign w:val="bottom"/>
          </w:tcPr>
          <w:p>
            <w:pPr>
              <w:jc w:val="right"/>
              <w:ind w:right="430"/>
              <w:spacing w:after="0"/>
              <w:rPr>
                <w:sz w:val="20"/>
                <w:szCs w:val="20"/>
                <w:color w:val="auto"/>
              </w:rPr>
            </w:pPr>
            <w:r>
              <w:rPr>
                <w:rFonts w:ascii="Arial" w:cs="Arial" w:eastAsia="Arial" w:hAnsi="Arial"/>
                <w:sz w:val="18"/>
                <w:szCs w:val="18"/>
                <w:b w:val="1"/>
                <w:bCs w:val="1"/>
                <w:color w:val="auto"/>
              </w:rPr>
              <w:t>7,256</w:t>
            </w:r>
          </w:p>
        </w:tc>
        <w:tc>
          <w:tcPr>
            <w:tcW w:w="1880" w:type="dxa"/>
            <w:vAlign w:val="bottom"/>
          </w:tcPr>
          <w:p>
            <w:pPr>
              <w:jc w:val="right"/>
              <w:ind w:right="470"/>
              <w:spacing w:after="0"/>
              <w:rPr>
                <w:sz w:val="20"/>
                <w:szCs w:val="20"/>
                <w:color w:val="auto"/>
              </w:rPr>
            </w:pPr>
            <w:r>
              <w:rPr>
                <w:rFonts w:ascii="Arial" w:cs="Arial" w:eastAsia="Arial" w:hAnsi="Arial"/>
                <w:sz w:val="18"/>
                <w:szCs w:val="18"/>
                <w:color w:val="auto"/>
              </w:rPr>
              <w:t>7,629</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2,639</w:t>
            </w:r>
          </w:p>
        </w:tc>
      </w:tr>
      <w:tr>
        <w:trPr>
          <w:trHeight w:val="232"/>
        </w:trPr>
        <w:tc>
          <w:tcPr>
            <w:tcW w:w="20" w:type="dxa"/>
            <w:vAlign w:val="bottom"/>
          </w:tcPr>
          <w:p>
            <w:pPr>
              <w:spacing w:after="0"/>
              <w:rPr>
                <w:sz w:val="20"/>
                <w:szCs w:val="20"/>
                <w:color w:val="auto"/>
              </w:rPr>
            </w:pPr>
          </w:p>
        </w:tc>
        <w:tc>
          <w:tcPr>
            <w:tcW w:w="534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Income/(loss) before income taxes</w:t>
            </w:r>
          </w:p>
        </w:tc>
        <w:tc>
          <w:tcPr>
            <w:tcW w:w="380" w:type="dxa"/>
            <w:vAlign w:val="bottom"/>
          </w:tcPr>
          <w:p>
            <w:pPr>
              <w:spacing w:after="0"/>
              <w:rPr>
                <w:sz w:val="20"/>
                <w:szCs w:val="20"/>
                <w:color w:val="auto"/>
              </w:rPr>
            </w:pPr>
          </w:p>
        </w:tc>
        <w:tc>
          <w:tcPr>
            <w:tcW w:w="236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31,076</w:t>
            </w:r>
          </w:p>
        </w:tc>
        <w:tc>
          <w:tcPr>
            <w:tcW w:w="188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(68,366)</w:t>
            </w:r>
          </w:p>
        </w:tc>
        <w:tc>
          <w:tcPr>
            <w:tcW w:w="1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53,848</w:t>
            </w:r>
          </w:p>
        </w:tc>
      </w:tr>
      <w:tr>
        <w:trPr>
          <w:trHeight w:val="369"/>
        </w:trPr>
        <w:tc>
          <w:tcPr>
            <w:tcW w:w="5740" w:type="dxa"/>
            <w:vAlign w:val="bottom"/>
            <w:gridSpan w:val="3"/>
          </w:tcPr>
          <w:p>
            <w:pPr>
              <w:spacing w:after="0"/>
              <w:rPr>
                <w:sz w:val="20"/>
                <w:szCs w:val="20"/>
                <w:color w:val="auto"/>
              </w:rPr>
            </w:pPr>
            <w:r>
              <w:rPr>
                <w:rFonts w:ascii="Arial" w:cs="Arial" w:eastAsia="Arial" w:hAnsi="Arial"/>
                <w:sz w:val="18"/>
                <w:szCs w:val="18"/>
                <w:color w:val="auto"/>
              </w:rPr>
              <w:t>Income tax expense/(benefit)</w:t>
            </w:r>
          </w:p>
        </w:tc>
        <w:tc>
          <w:tcPr>
            <w:tcW w:w="2360" w:type="dxa"/>
            <w:vAlign w:val="bottom"/>
          </w:tcPr>
          <w:p>
            <w:pPr>
              <w:jc w:val="right"/>
              <w:ind w:right="430"/>
              <w:spacing w:after="0"/>
              <w:rPr>
                <w:sz w:val="20"/>
                <w:szCs w:val="20"/>
                <w:color w:val="auto"/>
              </w:rPr>
            </w:pPr>
            <w:r>
              <w:rPr>
                <w:rFonts w:ascii="Arial" w:cs="Arial" w:eastAsia="Arial" w:hAnsi="Arial"/>
                <w:sz w:val="18"/>
                <w:szCs w:val="18"/>
                <w:b w:val="1"/>
                <w:bCs w:val="1"/>
                <w:color w:val="auto"/>
              </w:rPr>
              <w:t>13,372</w:t>
            </w:r>
          </w:p>
        </w:tc>
        <w:tc>
          <w:tcPr>
            <w:tcW w:w="1880" w:type="dxa"/>
            <w:vAlign w:val="bottom"/>
          </w:tcPr>
          <w:p>
            <w:pPr>
              <w:jc w:val="right"/>
              <w:ind w:right="410"/>
              <w:spacing w:after="0"/>
              <w:rPr>
                <w:sz w:val="20"/>
                <w:szCs w:val="20"/>
                <w:color w:val="auto"/>
              </w:rPr>
            </w:pPr>
            <w:r>
              <w:rPr>
                <w:rFonts w:ascii="Arial" w:cs="Arial" w:eastAsia="Arial" w:hAnsi="Arial"/>
                <w:sz w:val="18"/>
                <w:szCs w:val="18"/>
                <w:color w:val="auto"/>
              </w:rPr>
              <w:t>(27,523)</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32,582</w:t>
            </w:r>
          </w:p>
        </w:tc>
      </w:tr>
      <w:tr>
        <w:trPr>
          <w:trHeight w:val="196"/>
        </w:trPr>
        <w:tc>
          <w:tcPr>
            <w:tcW w:w="20" w:type="dxa"/>
            <w:vAlign w:val="bottom"/>
          </w:tcPr>
          <w:p>
            <w:pPr>
              <w:spacing w:after="0"/>
              <w:rPr>
                <w:sz w:val="17"/>
                <w:szCs w:val="17"/>
                <w:color w:val="auto"/>
              </w:rPr>
            </w:pPr>
          </w:p>
        </w:tc>
        <w:tc>
          <w:tcPr>
            <w:tcW w:w="5340" w:type="dxa"/>
            <w:vAlign w:val="bottom"/>
            <w:tcBorders>
              <w:top w:val="single" w:sz="8" w:color="auto"/>
              <w:bottom w:val="single" w:sz="8" w:color="auto"/>
            </w:tcBorders>
          </w:tcPr>
          <w:p>
            <w:pPr>
              <w:ind w:left="360"/>
              <w:spacing w:after="0" w:line="196" w:lineRule="exact"/>
              <w:rPr>
                <w:sz w:val="20"/>
                <w:szCs w:val="20"/>
                <w:color w:val="auto"/>
              </w:rPr>
            </w:pPr>
            <w:r>
              <w:rPr>
                <w:rFonts w:ascii="Arial" w:cs="Arial" w:eastAsia="Arial" w:hAnsi="Arial"/>
                <w:sz w:val="18"/>
                <w:szCs w:val="18"/>
                <w:color w:val="auto"/>
              </w:rPr>
              <w:t>Income/(loss) from continuing operations</w:t>
            </w:r>
          </w:p>
        </w:tc>
        <w:tc>
          <w:tcPr>
            <w:tcW w:w="380" w:type="dxa"/>
            <w:vAlign w:val="bottom"/>
          </w:tcPr>
          <w:p>
            <w:pPr>
              <w:spacing w:after="0"/>
              <w:rPr>
                <w:sz w:val="17"/>
                <w:szCs w:val="17"/>
                <w:color w:val="auto"/>
              </w:rPr>
            </w:pPr>
          </w:p>
        </w:tc>
        <w:tc>
          <w:tcPr>
            <w:tcW w:w="2360" w:type="dxa"/>
            <w:vAlign w:val="bottom"/>
            <w:tcBorders>
              <w:top w:val="single" w:sz="8" w:color="auto"/>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17,704</w:t>
            </w:r>
          </w:p>
        </w:tc>
        <w:tc>
          <w:tcPr>
            <w:tcW w:w="1880" w:type="dxa"/>
            <w:vAlign w:val="bottom"/>
            <w:tcBorders>
              <w:top w:val="single" w:sz="8" w:color="auto"/>
              <w:bottom w:val="single" w:sz="8" w:color="auto"/>
            </w:tcBorders>
          </w:tcPr>
          <w:p>
            <w:pPr>
              <w:jc w:val="right"/>
              <w:ind w:right="410"/>
              <w:spacing w:after="0" w:line="196" w:lineRule="exact"/>
              <w:rPr>
                <w:sz w:val="20"/>
                <w:szCs w:val="20"/>
                <w:color w:val="auto"/>
              </w:rPr>
            </w:pPr>
            <w:r>
              <w:rPr>
                <w:rFonts w:ascii="Arial" w:cs="Arial" w:eastAsia="Arial" w:hAnsi="Arial"/>
                <w:sz w:val="18"/>
                <w:szCs w:val="18"/>
                <w:color w:val="auto"/>
              </w:rPr>
              <w:t>(40,843)</w:t>
            </w:r>
          </w:p>
        </w:tc>
        <w:tc>
          <w:tcPr>
            <w:tcW w:w="144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21,266</w:t>
            </w:r>
          </w:p>
        </w:tc>
      </w:tr>
      <w:tr>
        <w:trPr>
          <w:trHeight w:val="578"/>
        </w:trPr>
        <w:tc>
          <w:tcPr>
            <w:tcW w:w="5740" w:type="dxa"/>
            <w:vAlign w:val="bottom"/>
            <w:gridSpan w:val="3"/>
          </w:tcPr>
          <w:p>
            <w:pPr>
              <w:spacing w:after="0"/>
              <w:rPr>
                <w:sz w:val="20"/>
                <w:szCs w:val="20"/>
                <w:color w:val="auto"/>
              </w:rPr>
            </w:pPr>
            <w:r>
              <w:rPr>
                <w:rFonts w:ascii="Arial" w:cs="Arial" w:eastAsia="Arial" w:hAnsi="Arial"/>
                <w:sz w:val="18"/>
                <w:szCs w:val="18"/>
                <w:color w:val="auto"/>
              </w:rPr>
              <w:t>(Loss)/income from operations of discontinued businesses</w:t>
            </w:r>
          </w:p>
        </w:tc>
        <w:tc>
          <w:tcPr>
            <w:tcW w:w="2360" w:type="dxa"/>
            <w:vAlign w:val="bottom"/>
          </w:tcPr>
          <w:p>
            <w:pPr>
              <w:jc w:val="right"/>
              <w:ind w:right="370"/>
              <w:spacing w:after="0"/>
              <w:rPr>
                <w:sz w:val="20"/>
                <w:szCs w:val="20"/>
                <w:color w:val="auto"/>
              </w:rPr>
            </w:pPr>
            <w:r>
              <w:rPr>
                <w:rFonts w:ascii="Arial" w:cs="Arial" w:eastAsia="Arial" w:hAnsi="Arial"/>
                <w:sz w:val="18"/>
                <w:szCs w:val="18"/>
                <w:b w:val="1"/>
                <w:bCs w:val="1"/>
                <w:color w:val="auto"/>
              </w:rPr>
              <w:t>(75)</w:t>
            </w:r>
          </w:p>
        </w:tc>
        <w:tc>
          <w:tcPr>
            <w:tcW w:w="1880" w:type="dxa"/>
            <w:vAlign w:val="bottom"/>
          </w:tcPr>
          <w:p>
            <w:pPr>
              <w:jc w:val="right"/>
              <w:ind w:right="470"/>
              <w:spacing w:after="0"/>
              <w:rPr>
                <w:sz w:val="20"/>
                <w:szCs w:val="20"/>
                <w:color w:val="auto"/>
              </w:rPr>
            </w:pPr>
            <w:r>
              <w:rPr>
                <w:rFonts w:ascii="Arial" w:cs="Arial" w:eastAsia="Arial" w:hAnsi="Arial"/>
                <w:sz w:val="18"/>
                <w:szCs w:val="18"/>
                <w:color w:val="auto"/>
              </w:rPr>
              <w:t>4,776</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24,101</w:t>
            </w:r>
          </w:p>
        </w:tc>
      </w:tr>
      <w:tr>
        <w:trPr>
          <w:trHeight w:val="203"/>
        </w:trPr>
        <w:tc>
          <w:tcPr>
            <w:tcW w:w="5740" w:type="dxa"/>
            <w:vAlign w:val="bottom"/>
            <w:gridSpan w:val="3"/>
          </w:tcPr>
          <w:p>
            <w:pPr>
              <w:spacing w:after="0" w:line="202" w:lineRule="exact"/>
              <w:rPr>
                <w:sz w:val="20"/>
                <w:szCs w:val="20"/>
                <w:color w:val="auto"/>
              </w:rPr>
            </w:pPr>
            <w:r>
              <w:rPr>
                <w:rFonts w:ascii="Arial" w:cs="Arial" w:eastAsia="Arial" w:hAnsi="Arial"/>
                <w:sz w:val="18"/>
                <w:szCs w:val="18"/>
                <w:color w:val="auto"/>
              </w:rPr>
              <w:t>Gain/(loss) on sale of discontinued businesses</w:t>
            </w:r>
          </w:p>
        </w:tc>
        <w:tc>
          <w:tcPr>
            <w:tcW w:w="2360" w:type="dxa"/>
            <w:vAlign w:val="bottom"/>
          </w:tcPr>
          <w:p>
            <w:pPr>
              <w:jc w:val="right"/>
              <w:ind w:right="430"/>
              <w:spacing w:after="0" w:line="202" w:lineRule="exact"/>
              <w:rPr>
                <w:sz w:val="20"/>
                <w:szCs w:val="20"/>
                <w:color w:val="auto"/>
              </w:rPr>
            </w:pPr>
            <w:r>
              <w:rPr>
                <w:rFonts w:ascii="Arial" w:cs="Arial" w:eastAsia="Arial" w:hAnsi="Arial"/>
                <w:sz w:val="18"/>
                <w:szCs w:val="18"/>
                <w:b w:val="1"/>
                <w:bCs w:val="1"/>
                <w:color w:val="auto"/>
              </w:rPr>
              <w:t>-</w:t>
            </w:r>
          </w:p>
        </w:tc>
        <w:tc>
          <w:tcPr>
            <w:tcW w:w="188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92,296</w:t>
            </w:r>
          </w:p>
        </w:tc>
        <w:tc>
          <w:tcPr>
            <w:tcW w:w="14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r>
      <w:tr>
        <w:trPr>
          <w:trHeight w:val="225"/>
        </w:trPr>
        <w:tc>
          <w:tcPr>
            <w:tcW w:w="5740" w:type="dxa"/>
            <w:vAlign w:val="bottom"/>
            <w:gridSpan w:val="3"/>
          </w:tcPr>
          <w:p>
            <w:pPr>
              <w:spacing w:after="0"/>
              <w:rPr>
                <w:sz w:val="20"/>
                <w:szCs w:val="20"/>
                <w:color w:val="auto"/>
              </w:rPr>
            </w:pPr>
            <w:r>
              <w:rPr>
                <w:rFonts w:ascii="Arial" w:cs="Arial" w:eastAsia="Arial" w:hAnsi="Arial"/>
                <w:sz w:val="18"/>
                <w:szCs w:val="18"/>
                <w:color w:val="auto"/>
              </w:rPr>
              <w:t>Income tax (benefit)/expense on discontinued operations</w:t>
            </w:r>
          </w:p>
        </w:tc>
        <w:tc>
          <w:tcPr>
            <w:tcW w:w="2360" w:type="dxa"/>
            <w:vAlign w:val="bottom"/>
          </w:tcPr>
          <w:p>
            <w:pPr>
              <w:jc w:val="right"/>
              <w:ind w:right="370"/>
              <w:spacing w:after="0"/>
              <w:rPr>
                <w:sz w:val="20"/>
                <w:szCs w:val="20"/>
                <w:color w:val="auto"/>
              </w:rPr>
            </w:pPr>
            <w:r>
              <w:rPr>
                <w:rFonts w:ascii="Arial" w:cs="Arial" w:eastAsia="Arial" w:hAnsi="Arial"/>
                <w:sz w:val="18"/>
                <w:szCs w:val="18"/>
                <w:b w:val="1"/>
                <w:bCs w:val="1"/>
                <w:color w:val="auto"/>
              </w:rPr>
              <w:t>(29)</w:t>
            </w:r>
          </w:p>
        </w:tc>
        <w:tc>
          <w:tcPr>
            <w:tcW w:w="1880" w:type="dxa"/>
            <w:vAlign w:val="bottom"/>
          </w:tcPr>
          <w:p>
            <w:pPr>
              <w:jc w:val="right"/>
              <w:ind w:right="470"/>
              <w:spacing w:after="0"/>
              <w:rPr>
                <w:sz w:val="20"/>
                <w:szCs w:val="20"/>
                <w:color w:val="auto"/>
              </w:rPr>
            </w:pPr>
            <w:r>
              <w:rPr>
                <w:rFonts w:ascii="Arial" w:cs="Arial" w:eastAsia="Arial" w:hAnsi="Arial"/>
                <w:sz w:val="18"/>
                <w:szCs w:val="18"/>
                <w:color w:val="auto"/>
              </w:rPr>
              <w:t>25,252</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10,429</w:t>
            </w:r>
          </w:p>
        </w:tc>
      </w:tr>
      <w:tr>
        <w:trPr>
          <w:trHeight w:val="196"/>
        </w:trPr>
        <w:tc>
          <w:tcPr>
            <w:tcW w:w="20" w:type="dxa"/>
            <w:vAlign w:val="bottom"/>
          </w:tcPr>
          <w:p>
            <w:pPr>
              <w:spacing w:after="0"/>
              <w:rPr>
                <w:sz w:val="17"/>
                <w:szCs w:val="17"/>
                <w:color w:val="auto"/>
              </w:rPr>
            </w:pPr>
          </w:p>
        </w:tc>
        <w:tc>
          <w:tcPr>
            <w:tcW w:w="5340" w:type="dxa"/>
            <w:vAlign w:val="bottom"/>
            <w:tcBorders>
              <w:top w:val="single" w:sz="8" w:color="auto"/>
              <w:bottom w:val="single" w:sz="8" w:color="auto"/>
            </w:tcBorders>
          </w:tcPr>
          <w:p>
            <w:pPr>
              <w:ind w:left="320"/>
              <w:spacing w:after="0" w:line="196" w:lineRule="exact"/>
              <w:rPr>
                <w:sz w:val="20"/>
                <w:szCs w:val="20"/>
                <w:color w:val="auto"/>
              </w:rPr>
            </w:pPr>
            <w:r>
              <w:rPr>
                <w:rFonts w:ascii="Arial" w:cs="Arial" w:eastAsia="Arial" w:hAnsi="Arial"/>
                <w:sz w:val="18"/>
                <w:szCs w:val="18"/>
                <w:color w:val="auto"/>
              </w:rPr>
              <w:t>(Loss)/income from discontinued operations</w:t>
            </w:r>
          </w:p>
        </w:tc>
        <w:tc>
          <w:tcPr>
            <w:tcW w:w="380" w:type="dxa"/>
            <w:vAlign w:val="bottom"/>
          </w:tcPr>
          <w:p>
            <w:pPr>
              <w:spacing w:after="0"/>
              <w:rPr>
                <w:sz w:val="17"/>
                <w:szCs w:val="17"/>
                <w:color w:val="auto"/>
              </w:rPr>
            </w:pPr>
          </w:p>
        </w:tc>
        <w:tc>
          <w:tcPr>
            <w:tcW w:w="2360" w:type="dxa"/>
            <w:vAlign w:val="bottom"/>
            <w:tcBorders>
              <w:top w:val="single" w:sz="8" w:color="auto"/>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(46)</w:t>
            </w:r>
          </w:p>
        </w:tc>
        <w:tc>
          <w:tcPr>
            <w:tcW w:w="1880" w:type="dxa"/>
            <w:vAlign w:val="bottom"/>
            <w:tcBorders>
              <w:top w:val="single" w:sz="8" w:color="auto"/>
              <w:bottom w:val="single" w:sz="8" w:color="auto"/>
            </w:tcBorders>
          </w:tcPr>
          <w:p>
            <w:pPr>
              <w:jc w:val="right"/>
              <w:ind w:right="470"/>
              <w:spacing w:after="0" w:line="196" w:lineRule="exact"/>
              <w:rPr>
                <w:sz w:val="20"/>
                <w:szCs w:val="20"/>
                <w:color w:val="auto"/>
              </w:rPr>
            </w:pPr>
            <w:r>
              <w:rPr>
                <w:rFonts w:ascii="Arial" w:cs="Arial" w:eastAsia="Arial" w:hAnsi="Arial"/>
                <w:sz w:val="18"/>
                <w:szCs w:val="18"/>
                <w:color w:val="auto"/>
              </w:rPr>
              <w:t>71,820</w:t>
            </w:r>
          </w:p>
        </w:tc>
        <w:tc>
          <w:tcPr>
            <w:tcW w:w="144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13,672</w:t>
            </w:r>
          </w:p>
        </w:tc>
      </w:tr>
      <w:tr>
        <w:trPr>
          <w:trHeight w:val="376"/>
        </w:trPr>
        <w:tc>
          <w:tcPr>
            <w:tcW w:w="574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2360" w:type="dxa"/>
            <w:vAlign w:val="bottom"/>
          </w:tcPr>
          <w:p>
            <w:pPr>
              <w:jc w:val="right"/>
              <w:ind w:right="430"/>
              <w:spacing w:after="0"/>
              <w:rPr>
                <w:sz w:val="20"/>
                <w:szCs w:val="20"/>
                <w:color w:val="auto"/>
              </w:rPr>
            </w:pPr>
            <w:r>
              <w:rPr>
                <w:rFonts w:ascii="Arial" w:cs="Arial" w:eastAsia="Arial" w:hAnsi="Arial"/>
                <w:sz w:val="18"/>
                <w:szCs w:val="18"/>
                <w:b w:val="1"/>
                <w:bCs w:val="1"/>
                <w:color w:val="auto"/>
              </w:rPr>
              <w:t>17,658</w:t>
            </w:r>
          </w:p>
        </w:tc>
        <w:tc>
          <w:tcPr>
            <w:tcW w:w="1880" w:type="dxa"/>
            <w:vAlign w:val="bottom"/>
          </w:tcPr>
          <w:p>
            <w:pPr>
              <w:jc w:val="right"/>
              <w:ind w:right="470"/>
              <w:spacing w:after="0"/>
              <w:rPr>
                <w:sz w:val="20"/>
                <w:szCs w:val="20"/>
                <w:color w:val="auto"/>
              </w:rPr>
            </w:pPr>
            <w:r>
              <w:rPr>
                <w:rFonts w:ascii="Arial" w:cs="Arial" w:eastAsia="Arial" w:hAnsi="Arial"/>
                <w:sz w:val="18"/>
                <w:szCs w:val="18"/>
                <w:color w:val="auto"/>
              </w:rPr>
              <w:t>30,977</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34,938</w:t>
            </w:r>
          </w:p>
        </w:tc>
      </w:tr>
      <w:tr>
        <w:trPr>
          <w:trHeight w:val="225"/>
        </w:trPr>
        <w:tc>
          <w:tcPr>
            <w:tcW w:w="5740" w:type="dxa"/>
            <w:vAlign w:val="bottom"/>
            <w:gridSpan w:val="3"/>
          </w:tcPr>
          <w:p>
            <w:pPr>
              <w:spacing w:after="0"/>
              <w:rPr>
                <w:sz w:val="20"/>
                <w:szCs w:val="20"/>
                <w:color w:val="auto"/>
              </w:rPr>
            </w:pPr>
            <w:r>
              <w:rPr>
                <w:rFonts w:ascii="Arial" w:cs="Arial" w:eastAsia="Arial" w:hAnsi="Arial"/>
                <w:sz w:val="18"/>
                <w:szCs w:val="18"/>
                <w:color w:val="auto"/>
              </w:rPr>
              <w:t>Net income attributable to the noncontrolling interest</w:t>
            </w:r>
          </w:p>
        </w:tc>
        <w:tc>
          <w:tcPr>
            <w:tcW w:w="2360" w:type="dxa"/>
            <w:vAlign w:val="bottom"/>
          </w:tcPr>
          <w:p>
            <w:pPr>
              <w:jc w:val="right"/>
              <w:ind w:right="430"/>
              <w:spacing w:after="0"/>
              <w:rPr>
                <w:sz w:val="20"/>
                <w:szCs w:val="20"/>
                <w:color w:val="auto"/>
              </w:rPr>
            </w:pPr>
            <w:r>
              <w:rPr>
                <w:rFonts w:ascii="Arial" w:cs="Arial" w:eastAsia="Arial" w:hAnsi="Arial"/>
                <w:sz w:val="18"/>
                <w:szCs w:val="18"/>
                <w:b w:val="1"/>
                <w:bCs w:val="1"/>
                <w:color w:val="auto"/>
              </w:rPr>
              <w:t>141</w:t>
            </w:r>
          </w:p>
        </w:tc>
        <w:tc>
          <w:tcPr>
            <w:tcW w:w="188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196"/>
        </w:trPr>
        <w:tc>
          <w:tcPr>
            <w:tcW w:w="20" w:type="dxa"/>
            <w:vAlign w:val="bottom"/>
          </w:tcPr>
          <w:p>
            <w:pPr>
              <w:spacing w:after="0"/>
              <w:rPr>
                <w:sz w:val="17"/>
                <w:szCs w:val="17"/>
                <w:color w:val="auto"/>
              </w:rPr>
            </w:pPr>
          </w:p>
        </w:tc>
        <w:tc>
          <w:tcPr>
            <w:tcW w:w="534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Net income attributable to the Company</w:t>
            </w:r>
          </w:p>
        </w:tc>
        <w:tc>
          <w:tcPr>
            <w:tcW w:w="380" w:type="dxa"/>
            <w:vAlign w:val="bottom"/>
          </w:tcPr>
          <w:p>
            <w:pPr>
              <w:spacing w:after="0"/>
              <w:rPr>
                <w:sz w:val="17"/>
                <w:szCs w:val="17"/>
                <w:color w:val="auto"/>
              </w:rPr>
            </w:pPr>
          </w:p>
        </w:tc>
        <w:tc>
          <w:tcPr>
            <w:tcW w:w="2360" w:type="dxa"/>
            <w:vAlign w:val="bottom"/>
            <w:tcBorders>
              <w:top w:val="single" w:sz="8" w:color="auto"/>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$17,517</w:t>
            </w:r>
          </w:p>
        </w:tc>
        <w:tc>
          <w:tcPr>
            <w:tcW w:w="1880" w:type="dxa"/>
            <w:vAlign w:val="bottom"/>
            <w:tcBorders>
              <w:top w:val="single" w:sz="8" w:color="auto"/>
              <w:bottom w:val="single" w:sz="8" w:color="auto"/>
            </w:tcBorders>
          </w:tcPr>
          <w:p>
            <w:pPr>
              <w:jc w:val="right"/>
              <w:ind w:right="470"/>
              <w:spacing w:after="0" w:line="196" w:lineRule="exact"/>
              <w:rPr>
                <w:sz w:val="20"/>
                <w:szCs w:val="20"/>
                <w:color w:val="auto"/>
              </w:rPr>
            </w:pPr>
            <w:r>
              <w:rPr>
                <w:rFonts w:ascii="Arial" w:cs="Arial" w:eastAsia="Arial" w:hAnsi="Arial"/>
                <w:sz w:val="18"/>
                <w:szCs w:val="18"/>
                <w:color w:val="auto"/>
              </w:rPr>
              <w:t>$30,977</w:t>
            </w:r>
          </w:p>
        </w:tc>
        <w:tc>
          <w:tcPr>
            <w:tcW w:w="144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$34,938</w:t>
            </w:r>
          </w:p>
        </w:tc>
      </w:tr>
      <w:tr>
        <w:trPr>
          <w:trHeight w:val="20"/>
        </w:trPr>
        <w:tc>
          <w:tcPr>
            <w:tcW w:w="20" w:type="dxa"/>
            <w:vAlign w:val="bottom"/>
          </w:tcPr>
          <w:p>
            <w:pPr>
              <w:spacing w:after="0" w:line="20" w:lineRule="exact"/>
              <w:rPr>
                <w:sz w:val="1"/>
                <w:szCs w:val="1"/>
                <w:color w:val="auto"/>
              </w:rPr>
            </w:pPr>
          </w:p>
        </w:tc>
        <w:tc>
          <w:tcPr>
            <w:tcW w:w="53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84" w:right="239" w:bottom="1440" w:gutter="0" w:footer="0" w:header="0"/>
        </w:sectPr>
      </w:pPr>
    </w:p>
    <w:p>
      <w:pPr>
        <w:spacing w:after="0" w:line="218" w:lineRule="exact"/>
        <w:rPr>
          <w:sz w:val="20"/>
          <w:szCs w:val="20"/>
          <w:color w:val="auto"/>
        </w:rPr>
      </w:pPr>
    </w:p>
    <w:p>
      <w:pPr>
        <w:ind w:right="320"/>
        <w:spacing w:after="0" w:line="234" w:lineRule="auto"/>
        <w:rPr>
          <w:sz w:val="20"/>
          <w:szCs w:val="20"/>
          <w:color w:val="auto"/>
        </w:rPr>
      </w:pPr>
      <w:r>
        <w:rPr>
          <w:rFonts w:ascii="Arial" w:cs="Arial" w:eastAsia="Arial" w:hAnsi="Arial"/>
          <w:sz w:val="18"/>
          <w:szCs w:val="18"/>
          <w:color w:val="auto"/>
        </w:rPr>
        <w:t>Earnings per share attributable to Company shareholders - Basic</w:t>
      </w:r>
    </w:p>
    <w:p>
      <w:pPr>
        <w:spacing w:after="0" w:line="2" w:lineRule="exact"/>
        <w:rPr>
          <w:sz w:val="20"/>
          <w:szCs w:val="20"/>
          <w:color w:val="auto"/>
        </w:rPr>
      </w:pPr>
    </w:p>
    <w:p>
      <w:pPr>
        <w:ind w:left="340" w:right="1440"/>
        <w:spacing w:after="0" w:line="242" w:lineRule="auto"/>
        <w:rPr>
          <w:sz w:val="20"/>
          <w:szCs w:val="20"/>
          <w:color w:val="auto"/>
        </w:rPr>
      </w:pPr>
      <w:r>
        <w:rPr>
          <w:rFonts w:ascii="Arial" w:cs="Arial" w:eastAsia="Arial" w:hAnsi="Arial"/>
          <w:sz w:val="18"/>
          <w:szCs w:val="18"/>
          <w:color w:val="auto"/>
        </w:rPr>
        <w:t>Income/(loss) from continuing operations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4048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Net Income attributable to Company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34048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048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34048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500" w:type="dxa"/>
            <w:vAlign w:val="bottom"/>
          </w:tcPr>
          <w:p>
            <w:pPr>
              <w:jc w:val="right"/>
              <w:ind w:right="570"/>
              <w:spacing w:after="0"/>
              <w:rPr>
                <w:sz w:val="20"/>
                <w:szCs w:val="20"/>
                <w:color w:val="auto"/>
              </w:rPr>
            </w:pPr>
            <w:r>
              <w:rPr>
                <w:rFonts w:ascii="Arial" w:cs="Arial" w:eastAsia="Arial" w:hAnsi="Arial"/>
                <w:sz w:val="18"/>
                <w:szCs w:val="18"/>
                <w:b w:val="1"/>
                <w:bCs w:val="1"/>
                <w:color w:val="auto"/>
              </w:rPr>
              <w:t>$0.55</w:t>
            </w:r>
          </w:p>
        </w:tc>
        <w:tc>
          <w:tcPr>
            <w:tcW w:w="1920" w:type="dxa"/>
            <w:vAlign w:val="bottom"/>
          </w:tcPr>
          <w:p>
            <w:pPr>
              <w:jc w:val="right"/>
              <w:ind w:right="590"/>
              <w:spacing w:after="0"/>
              <w:rPr>
                <w:sz w:val="20"/>
                <w:szCs w:val="20"/>
                <w:color w:val="auto"/>
              </w:rPr>
            </w:pPr>
            <w:r>
              <w:rPr>
                <w:rFonts w:ascii="Arial" w:cs="Arial" w:eastAsia="Arial" w:hAnsi="Arial"/>
                <w:sz w:val="18"/>
                <w:szCs w:val="18"/>
                <w:color w:val="auto"/>
              </w:rPr>
              <w:t>($1.30)</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$0.68</w:t>
            </w:r>
          </w:p>
        </w:tc>
      </w:tr>
      <w:tr>
        <w:trPr>
          <w:trHeight w:val="225"/>
        </w:trPr>
        <w:tc>
          <w:tcPr>
            <w:tcW w:w="25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0.00</w:t>
            </w:r>
          </w:p>
        </w:tc>
        <w:tc>
          <w:tcPr>
            <w:tcW w:w="19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2.29</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0.44</w:t>
            </w:r>
          </w:p>
        </w:tc>
      </w:tr>
      <w:tr>
        <w:trPr>
          <w:trHeight w:val="196"/>
        </w:trPr>
        <w:tc>
          <w:tcPr>
            <w:tcW w:w="2500" w:type="dxa"/>
            <w:vAlign w:val="bottom"/>
            <w:tcBorders>
              <w:bottom w:val="single" w:sz="8" w:color="auto"/>
            </w:tcBorders>
          </w:tcPr>
          <w:p>
            <w:pPr>
              <w:jc w:val="right"/>
              <w:ind w:right="570"/>
              <w:spacing w:after="0" w:line="196" w:lineRule="exact"/>
              <w:rPr>
                <w:sz w:val="20"/>
                <w:szCs w:val="20"/>
                <w:color w:val="auto"/>
              </w:rPr>
            </w:pPr>
            <w:r>
              <w:rPr>
                <w:rFonts w:ascii="Arial" w:cs="Arial" w:eastAsia="Arial" w:hAnsi="Arial"/>
                <w:sz w:val="18"/>
                <w:szCs w:val="18"/>
                <w:b w:val="1"/>
                <w:bCs w:val="1"/>
                <w:color w:val="auto"/>
              </w:rPr>
              <w:t>$0.55</w:t>
            </w:r>
          </w:p>
        </w:tc>
        <w:tc>
          <w:tcPr>
            <w:tcW w:w="1920" w:type="dxa"/>
            <w:vAlign w:val="bottom"/>
            <w:tcBorders>
              <w:bottom w:val="single" w:sz="8" w:color="auto"/>
            </w:tcBorders>
          </w:tcPr>
          <w:p>
            <w:pPr>
              <w:jc w:val="right"/>
              <w:ind w:right="650"/>
              <w:spacing w:after="0" w:line="196" w:lineRule="exact"/>
              <w:rPr>
                <w:sz w:val="20"/>
                <w:szCs w:val="20"/>
                <w:color w:val="auto"/>
              </w:rPr>
            </w:pPr>
            <w:r>
              <w:rPr>
                <w:rFonts w:ascii="Arial" w:cs="Arial" w:eastAsia="Arial" w:hAnsi="Arial"/>
                <w:sz w:val="18"/>
                <w:szCs w:val="18"/>
                <w:color w:val="auto"/>
              </w:rPr>
              <w:t>$0.99</w:t>
            </w:r>
          </w:p>
        </w:tc>
        <w:tc>
          <w:tcPr>
            <w:tcW w:w="12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$1.12</w:t>
            </w:r>
          </w:p>
        </w:tc>
      </w:tr>
      <w:tr>
        <w:trPr>
          <w:trHeight w:val="20"/>
        </w:trPr>
        <w:tc>
          <w:tcPr>
            <w:tcW w:w="25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020" w:space="720"/>
            <w:col w:w="5680"/>
          </w:cols>
          <w:pgMar w:left="240" w:top="684" w:right="239" w:bottom="1440" w:gutter="0" w:footer="0" w:header="0"/>
          <w:type w:val="continuous"/>
        </w:sectPr>
      </w:pPr>
    </w:p>
    <w:p>
      <w:pPr>
        <w:spacing w:after="0" w:line="2" w:lineRule="exact"/>
        <w:rPr>
          <w:sz w:val="20"/>
          <w:szCs w:val="20"/>
          <w:color w:val="auto"/>
        </w:rPr>
      </w:pPr>
    </w:p>
    <w:p>
      <w:pPr>
        <w:ind w:right="320"/>
        <w:spacing w:after="0" w:line="234" w:lineRule="auto"/>
        <w:rPr>
          <w:sz w:val="20"/>
          <w:szCs w:val="20"/>
          <w:color w:val="auto"/>
        </w:rPr>
      </w:pPr>
      <w:r>
        <w:rPr>
          <w:rFonts w:ascii="Arial" w:cs="Arial" w:eastAsia="Arial" w:hAnsi="Arial"/>
          <w:sz w:val="18"/>
          <w:szCs w:val="18"/>
          <w:color w:val="auto"/>
        </w:rPr>
        <w:t>Earnings per share attributable to Company shareholders - Diluted</w:t>
      </w:r>
    </w:p>
    <w:p>
      <w:pPr>
        <w:spacing w:after="0" w:line="2" w:lineRule="exact"/>
        <w:rPr>
          <w:sz w:val="20"/>
          <w:szCs w:val="20"/>
          <w:color w:val="auto"/>
        </w:rPr>
      </w:pPr>
    </w:p>
    <w:p>
      <w:pPr>
        <w:ind w:left="340" w:right="1440"/>
        <w:spacing w:after="0" w:line="242" w:lineRule="auto"/>
        <w:rPr>
          <w:sz w:val="20"/>
          <w:szCs w:val="20"/>
          <w:color w:val="auto"/>
        </w:rPr>
      </w:pPr>
      <w:r>
        <w:rPr>
          <w:rFonts w:ascii="Arial" w:cs="Arial" w:eastAsia="Arial" w:hAnsi="Arial"/>
          <w:sz w:val="18"/>
          <w:szCs w:val="18"/>
          <w:color w:val="auto"/>
        </w:rPr>
        <w:t>Income/(loss) from continuing operations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4048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Net Income attributable to Company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34048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048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340487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500" w:type="dxa"/>
            <w:vAlign w:val="bottom"/>
          </w:tcPr>
          <w:p>
            <w:pPr>
              <w:jc w:val="right"/>
              <w:ind w:right="570"/>
              <w:spacing w:after="0"/>
              <w:rPr>
                <w:sz w:val="20"/>
                <w:szCs w:val="20"/>
                <w:color w:val="auto"/>
              </w:rPr>
            </w:pPr>
            <w:r>
              <w:rPr>
                <w:rFonts w:ascii="Arial" w:cs="Arial" w:eastAsia="Arial" w:hAnsi="Arial"/>
                <w:sz w:val="18"/>
                <w:szCs w:val="18"/>
                <w:b w:val="1"/>
                <w:bCs w:val="1"/>
                <w:color w:val="auto"/>
              </w:rPr>
              <w:t>$0.55</w:t>
            </w:r>
          </w:p>
        </w:tc>
        <w:tc>
          <w:tcPr>
            <w:tcW w:w="1920" w:type="dxa"/>
            <w:vAlign w:val="bottom"/>
          </w:tcPr>
          <w:p>
            <w:pPr>
              <w:jc w:val="right"/>
              <w:ind w:right="590"/>
              <w:spacing w:after="0"/>
              <w:rPr>
                <w:sz w:val="20"/>
                <w:szCs w:val="20"/>
                <w:color w:val="auto"/>
              </w:rPr>
            </w:pPr>
            <w:r>
              <w:rPr>
                <w:rFonts w:ascii="Arial" w:cs="Arial" w:eastAsia="Arial" w:hAnsi="Arial"/>
                <w:sz w:val="18"/>
                <w:szCs w:val="18"/>
                <w:color w:val="auto"/>
              </w:rPr>
              <w:t>($1.30)</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$0.67</w:t>
            </w:r>
          </w:p>
        </w:tc>
      </w:tr>
      <w:tr>
        <w:trPr>
          <w:trHeight w:val="225"/>
        </w:trPr>
        <w:tc>
          <w:tcPr>
            <w:tcW w:w="25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0.00</w:t>
            </w:r>
          </w:p>
        </w:tc>
        <w:tc>
          <w:tcPr>
            <w:tcW w:w="19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2.27</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0.44</w:t>
            </w:r>
          </w:p>
        </w:tc>
      </w:tr>
      <w:tr>
        <w:trPr>
          <w:trHeight w:val="196"/>
        </w:trPr>
        <w:tc>
          <w:tcPr>
            <w:tcW w:w="2500" w:type="dxa"/>
            <w:vAlign w:val="bottom"/>
            <w:tcBorders>
              <w:bottom w:val="single" w:sz="8" w:color="auto"/>
            </w:tcBorders>
          </w:tcPr>
          <w:p>
            <w:pPr>
              <w:jc w:val="right"/>
              <w:ind w:right="570"/>
              <w:spacing w:after="0" w:line="196" w:lineRule="exact"/>
              <w:rPr>
                <w:sz w:val="20"/>
                <w:szCs w:val="20"/>
                <w:color w:val="auto"/>
              </w:rPr>
            </w:pPr>
            <w:r>
              <w:rPr>
                <w:rFonts w:ascii="Arial" w:cs="Arial" w:eastAsia="Arial" w:hAnsi="Arial"/>
                <w:sz w:val="18"/>
                <w:szCs w:val="18"/>
                <w:b w:val="1"/>
                <w:bCs w:val="1"/>
                <w:color w:val="auto"/>
              </w:rPr>
              <w:t>$0.55</w:t>
            </w:r>
          </w:p>
        </w:tc>
        <w:tc>
          <w:tcPr>
            <w:tcW w:w="1920" w:type="dxa"/>
            <w:vAlign w:val="bottom"/>
            <w:tcBorders>
              <w:bottom w:val="single" w:sz="8" w:color="auto"/>
            </w:tcBorders>
          </w:tcPr>
          <w:p>
            <w:pPr>
              <w:jc w:val="right"/>
              <w:ind w:right="650"/>
              <w:spacing w:after="0" w:line="196" w:lineRule="exact"/>
              <w:rPr>
                <w:sz w:val="20"/>
                <w:szCs w:val="20"/>
                <w:color w:val="auto"/>
              </w:rPr>
            </w:pPr>
            <w:r>
              <w:rPr>
                <w:rFonts w:ascii="Arial" w:cs="Arial" w:eastAsia="Arial" w:hAnsi="Arial"/>
                <w:sz w:val="18"/>
                <w:szCs w:val="18"/>
                <w:color w:val="auto"/>
              </w:rPr>
              <w:t>$0.97</w:t>
            </w:r>
          </w:p>
        </w:tc>
        <w:tc>
          <w:tcPr>
            <w:tcW w:w="12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$1.11</w:t>
            </w:r>
          </w:p>
        </w:tc>
      </w:tr>
      <w:tr>
        <w:trPr>
          <w:trHeight w:val="20"/>
        </w:trPr>
        <w:tc>
          <w:tcPr>
            <w:tcW w:w="25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ectPr>
          <w:pgSz w:w="11900" w:h="16838" w:orient="portrait"/>
          <w:cols w:equalWidth="0" w:num="2">
            <w:col w:w="5020" w:space="720"/>
            <w:col w:w="5680"/>
          </w:cols>
          <w:pgMar w:left="240" w:top="684" w:right="239" w:bottom="1440" w:gutter="0" w:footer="0" w:header="0"/>
          <w:type w:val="continuous"/>
        </w:sectPr>
      </w:pPr>
    </w:p>
    <w:tbl>
      <w:tblPr>
        <w:tblLayout w:type="fixed"/>
        <w:tblInd w:w="0" w:type="dxa"/>
        <w:tblCellMar>
          <w:top w:w="0" w:type="dxa"/>
          <w:left w:w="0" w:type="dxa"/>
          <w:bottom w:w="0" w:type="dxa"/>
          <w:right w:w="0" w:type="dxa"/>
        </w:tblCellMar>
      </w:tblPr>
      <w:tr>
        <w:trPr>
          <w:trHeight w:val="239"/>
        </w:trPr>
        <w:tc>
          <w:tcPr>
            <w:tcW w:w="4740" w:type="dxa"/>
            <w:vAlign w:val="bottom"/>
          </w:tcPr>
          <w:p>
            <w:pPr>
              <w:spacing w:after="0"/>
              <w:rPr>
                <w:sz w:val="20"/>
                <w:szCs w:val="20"/>
                <w:color w:val="auto"/>
              </w:rPr>
            </w:pPr>
            <w:r>
              <w:rPr>
                <w:rFonts w:ascii="Arial" w:cs="Arial" w:eastAsia="Arial" w:hAnsi="Arial"/>
                <w:sz w:val="18"/>
                <w:szCs w:val="18"/>
                <w:color w:val="auto"/>
              </w:rPr>
              <w:t>Dividends declared per share</w:t>
            </w:r>
          </w:p>
        </w:tc>
        <w:tc>
          <w:tcPr>
            <w:tcW w:w="3540" w:type="dxa"/>
            <w:vAlign w:val="bottom"/>
          </w:tcPr>
          <w:p>
            <w:pPr>
              <w:jc w:val="right"/>
              <w:ind w:right="610"/>
              <w:spacing w:after="0"/>
              <w:rPr>
                <w:sz w:val="20"/>
                <w:szCs w:val="20"/>
                <w:color w:val="auto"/>
              </w:rPr>
            </w:pPr>
            <w:r>
              <w:rPr>
                <w:rFonts w:ascii="Arial" w:cs="Arial" w:eastAsia="Arial" w:hAnsi="Arial"/>
                <w:sz w:val="18"/>
                <w:szCs w:val="18"/>
                <w:b w:val="1"/>
                <w:bCs w:val="1"/>
                <w:color w:val="auto"/>
              </w:rPr>
              <w:t>$0.59</w:t>
            </w:r>
          </w:p>
        </w:tc>
        <w:tc>
          <w:tcPr>
            <w:tcW w:w="1860" w:type="dxa"/>
            <w:vAlign w:val="bottom"/>
          </w:tcPr>
          <w:p>
            <w:pPr>
              <w:jc w:val="right"/>
              <w:ind w:right="630"/>
              <w:spacing w:after="0"/>
              <w:rPr>
                <w:sz w:val="20"/>
                <w:szCs w:val="20"/>
                <w:color w:val="auto"/>
              </w:rPr>
            </w:pPr>
            <w:r>
              <w:rPr>
                <w:rFonts w:ascii="Arial" w:cs="Arial" w:eastAsia="Arial" w:hAnsi="Arial"/>
                <w:sz w:val="18"/>
                <w:szCs w:val="18"/>
                <w:color w:val="auto"/>
              </w:rPr>
              <w:t>$0.55</w:t>
            </w:r>
          </w:p>
        </w:tc>
        <w:tc>
          <w:tcPr>
            <w:tcW w:w="1160" w:type="dxa"/>
            <w:vAlign w:val="bottom"/>
          </w:tcPr>
          <w:p>
            <w:pPr>
              <w:jc w:val="right"/>
              <w:spacing w:after="0"/>
              <w:rPr>
                <w:sz w:val="20"/>
                <w:szCs w:val="20"/>
                <w:color w:val="auto"/>
              </w:rPr>
            </w:pPr>
            <w:r>
              <w:rPr>
                <w:rFonts w:ascii="Arial" w:cs="Arial" w:eastAsia="Arial" w:hAnsi="Arial"/>
                <w:sz w:val="18"/>
                <w:szCs w:val="18"/>
                <w:color w:val="auto"/>
              </w:rPr>
              <w:t>$0.51</w:t>
            </w:r>
          </w:p>
        </w:tc>
      </w:tr>
    </w:tbl>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342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type w:val="continuous"/>
        </w:sectPr>
      </w:pPr>
    </w:p>
    <w:bookmarkStart w:id="45" w:name="page46"/>
    <w:bookmarkEnd w:id="45"/>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8180" w:type="dxa"/>
            <w:vAlign w:val="bottom"/>
            <w:gridSpan w:val="2"/>
          </w:tcPr>
          <w:p>
            <w:pPr>
              <w:jc w:val="center"/>
              <w:ind w:left="3110"/>
              <w:spacing w:after="0"/>
              <w:rPr>
                <w:sz w:val="20"/>
                <w:szCs w:val="20"/>
                <w:color w:val="auto"/>
              </w:rPr>
            </w:pPr>
            <w:r>
              <w:rPr>
                <w:rFonts w:ascii="Arial" w:cs="Arial" w:eastAsia="Arial" w:hAnsi="Arial"/>
                <w:sz w:val="16"/>
                <w:szCs w:val="16"/>
                <w:b w:val="1"/>
                <w:bCs w:val="1"/>
                <w:color w:val="auto"/>
              </w:rPr>
              <w:t>Albany International Corp.</w:t>
            </w:r>
          </w:p>
        </w:tc>
        <w:tc>
          <w:tcPr>
            <w:tcW w:w="17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8180" w:type="dxa"/>
            <w:vAlign w:val="bottom"/>
            <w:gridSpan w:val="2"/>
          </w:tcPr>
          <w:p>
            <w:pPr>
              <w:jc w:val="center"/>
              <w:ind w:left="3110"/>
              <w:spacing w:after="0"/>
              <w:rPr>
                <w:sz w:val="20"/>
                <w:szCs w:val="20"/>
                <w:color w:val="auto"/>
              </w:rPr>
            </w:pPr>
            <w:r>
              <w:rPr>
                <w:rFonts w:ascii="Arial" w:cs="Arial" w:eastAsia="Arial" w:hAnsi="Arial"/>
                <w:sz w:val="18"/>
                <w:szCs w:val="18"/>
                <w:b w:val="1"/>
                <w:bCs w:val="1"/>
                <w:color w:val="auto"/>
                <w:w w:val="99"/>
              </w:rPr>
              <w:t>Consolidated Statements of Comprehensive Income</w:t>
            </w:r>
          </w:p>
        </w:tc>
        <w:tc>
          <w:tcPr>
            <w:tcW w:w="1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80" w:type="dxa"/>
            <w:vAlign w:val="bottom"/>
            <w:gridSpan w:val="2"/>
          </w:tcPr>
          <w:p>
            <w:pPr>
              <w:jc w:val="center"/>
              <w:ind w:left="3170"/>
              <w:spacing w:after="0" w:line="202" w:lineRule="exact"/>
              <w:rPr>
                <w:sz w:val="20"/>
                <w:szCs w:val="20"/>
                <w:color w:val="auto"/>
              </w:rPr>
            </w:pPr>
            <w:r>
              <w:rPr>
                <w:rFonts w:ascii="Arial" w:cs="Arial" w:eastAsia="Arial" w:hAnsi="Arial"/>
                <w:sz w:val="18"/>
                <w:szCs w:val="18"/>
                <w:b w:val="1"/>
                <w:bCs w:val="1"/>
                <w:color w:val="auto"/>
                <w:w w:val="99"/>
              </w:rPr>
              <w:t>For the years ended December 31,</w:t>
            </w:r>
          </w:p>
        </w:tc>
        <w:tc>
          <w:tcPr>
            <w:tcW w:w="17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360" w:type="dxa"/>
            <w:vAlign w:val="bottom"/>
          </w:tcPr>
          <w:p>
            <w:pPr>
              <w:jc w:val="center"/>
              <w:ind w:left="4950"/>
              <w:spacing w:after="0"/>
              <w:rPr>
                <w:sz w:val="20"/>
                <w:szCs w:val="20"/>
                <w:color w:val="auto"/>
              </w:rPr>
            </w:pPr>
            <w:r>
              <w:rPr>
                <w:rFonts w:ascii="Arial" w:cs="Arial" w:eastAsia="Arial" w:hAnsi="Arial"/>
                <w:sz w:val="18"/>
                <w:szCs w:val="18"/>
                <w:b w:val="1"/>
                <w:bCs w:val="1"/>
                <w:color w:val="auto"/>
                <w:w w:val="99"/>
              </w:rPr>
              <w:t>(in thousands)</w:t>
            </w:r>
          </w:p>
        </w:tc>
        <w:tc>
          <w:tcPr>
            <w:tcW w:w="1820" w:type="dxa"/>
            <w:vAlign w:val="bottom"/>
            <w:vMerge w:val="restart"/>
          </w:tcPr>
          <w:p>
            <w:pPr>
              <w:jc w:val="right"/>
              <w:ind w:right="1270"/>
              <w:spacing w:after="0"/>
              <w:rPr>
                <w:sz w:val="20"/>
                <w:szCs w:val="20"/>
                <w:color w:val="auto"/>
              </w:rPr>
            </w:pPr>
            <w:r>
              <w:rPr>
                <w:rFonts w:ascii="Arial" w:cs="Arial" w:eastAsia="Arial" w:hAnsi="Arial"/>
                <w:sz w:val="18"/>
                <w:szCs w:val="18"/>
                <w:b w:val="1"/>
                <w:bCs w:val="1"/>
                <w:color w:val="auto"/>
              </w:rPr>
              <w:t>2013</w:t>
            </w:r>
          </w:p>
        </w:tc>
        <w:tc>
          <w:tcPr>
            <w:tcW w:w="1700" w:type="dxa"/>
            <w:vAlign w:val="bottom"/>
            <w:vMerge w:val="restart"/>
          </w:tcPr>
          <w:p>
            <w:pPr>
              <w:jc w:val="right"/>
              <w:ind w:right="950"/>
              <w:spacing w:after="0"/>
              <w:rPr>
                <w:sz w:val="20"/>
                <w:szCs w:val="20"/>
                <w:color w:val="auto"/>
              </w:rPr>
            </w:pPr>
            <w:r>
              <w:rPr>
                <w:rFonts w:ascii="Arial" w:cs="Arial" w:eastAsia="Arial" w:hAnsi="Arial"/>
                <w:sz w:val="18"/>
                <w:szCs w:val="18"/>
                <w:b w:val="1"/>
                <w:bCs w:val="1"/>
                <w:color w:val="auto"/>
              </w:rPr>
              <w:t>2012</w:t>
            </w:r>
          </w:p>
        </w:tc>
        <w:tc>
          <w:tcPr>
            <w:tcW w:w="152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360" w:type="dxa"/>
            <w:vAlign w:val="bottom"/>
          </w:tcPr>
          <w:p>
            <w:pPr>
              <w:spacing w:after="0" w:line="195" w:lineRule="exact"/>
              <w:rPr>
                <w:sz w:val="20"/>
                <w:szCs w:val="20"/>
                <w:color w:val="auto"/>
              </w:rPr>
            </w:pPr>
            <w:r>
              <w:rPr>
                <w:rFonts w:ascii="Arial" w:cs="Arial" w:eastAsia="Arial" w:hAnsi="Arial"/>
                <w:sz w:val="18"/>
                <w:szCs w:val="18"/>
                <w:color w:val="auto"/>
              </w:rPr>
              <w:t>Net income</w:t>
            </w:r>
          </w:p>
        </w:tc>
        <w:tc>
          <w:tcPr>
            <w:tcW w:w="1820" w:type="dxa"/>
            <w:vAlign w:val="bottom"/>
          </w:tcPr>
          <w:p>
            <w:pPr>
              <w:jc w:val="right"/>
              <w:ind w:right="850"/>
              <w:spacing w:after="0" w:line="195" w:lineRule="exact"/>
              <w:rPr>
                <w:sz w:val="20"/>
                <w:szCs w:val="20"/>
                <w:color w:val="auto"/>
              </w:rPr>
            </w:pPr>
            <w:r>
              <w:rPr>
                <w:rFonts w:ascii="Arial" w:cs="Arial" w:eastAsia="Arial" w:hAnsi="Arial"/>
                <w:sz w:val="18"/>
                <w:szCs w:val="18"/>
                <w:b w:val="1"/>
                <w:bCs w:val="1"/>
                <w:color w:val="auto"/>
              </w:rPr>
              <w:t>$17,658</w:t>
            </w:r>
          </w:p>
        </w:tc>
        <w:tc>
          <w:tcPr>
            <w:tcW w:w="1700" w:type="dxa"/>
            <w:vAlign w:val="bottom"/>
          </w:tcPr>
          <w:p>
            <w:pPr>
              <w:jc w:val="right"/>
              <w:ind w:right="530"/>
              <w:spacing w:after="0" w:line="195" w:lineRule="exact"/>
              <w:rPr>
                <w:sz w:val="20"/>
                <w:szCs w:val="20"/>
                <w:color w:val="auto"/>
              </w:rPr>
            </w:pPr>
            <w:r>
              <w:rPr>
                <w:rFonts w:ascii="Arial" w:cs="Arial" w:eastAsia="Arial" w:hAnsi="Arial"/>
                <w:sz w:val="18"/>
                <w:szCs w:val="18"/>
                <w:color w:val="auto"/>
              </w:rPr>
              <w:t>$30,977</w:t>
            </w:r>
          </w:p>
        </w:tc>
        <w:tc>
          <w:tcPr>
            <w:tcW w:w="1520" w:type="dxa"/>
            <w:vAlign w:val="bottom"/>
          </w:tcPr>
          <w:p>
            <w:pPr>
              <w:jc w:val="right"/>
              <w:ind w:right="10"/>
              <w:spacing w:after="0" w:line="195" w:lineRule="exact"/>
              <w:rPr>
                <w:sz w:val="20"/>
                <w:szCs w:val="20"/>
                <w:color w:val="auto"/>
              </w:rPr>
            </w:pPr>
            <w:r>
              <w:rPr>
                <w:rFonts w:ascii="Arial" w:cs="Arial" w:eastAsia="Arial" w:hAnsi="Arial"/>
                <w:sz w:val="18"/>
                <w:szCs w:val="18"/>
                <w:color w:val="auto"/>
              </w:rPr>
              <w:t>$34,938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tcPr>
          <w:p>
            <w:pPr>
              <w:ind w:left="200"/>
              <w:spacing w:after="0" w:line="202" w:lineRule="exact"/>
              <w:rPr>
                <w:sz w:val="20"/>
                <w:szCs w:val="20"/>
                <w:color w:val="auto"/>
              </w:rPr>
            </w:pPr>
            <w:r>
              <w:rPr>
                <w:rFonts w:ascii="Arial" w:cs="Arial" w:eastAsia="Arial" w:hAnsi="Arial"/>
                <w:sz w:val="18"/>
                <w:szCs w:val="18"/>
                <w:color w:val="auto"/>
              </w:rPr>
              <w:t>Other comprehensive income/(loss), before tax:</w:t>
            </w:r>
          </w:p>
        </w:tc>
        <w:tc>
          <w:tcPr>
            <w:tcW w:w="1820" w:type="dxa"/>
            <w:vAlign w:val="bottom"/>
            <w:vMerge w:val="restart"/>
          </w:tcPr>
          <w:p>
            <w:pPr>
              <w:jc w:val="right"/>
              <w:ind w:right="850"/>
              <w:spacing w:after="0"/>
              <w:rPr>
                <w:sz w:val="20"/>
                <w:szCs w:val="20"/>
                <w:color w:val="auto"/>
              </w:rPr>
            </w:pPr>
            <w:r>
              <w:rPr>
                <w:rFonts w:ascii="Arial" w:cs="Arial" w:eastAsia="Arial" w:hAnsi="Arial"/>
                <w:sz w:val="18"/>
                <w:szCs w:val="18"/>
                <w:b w:val="1"/>
                <w:bCs w:val="1"/>
                <w:color w:val="auto"/>
              </w:rPr>
              <w:t>8,135</w:t>
            </w:r>
          </w:p>
        </w:tc>
        <w:tc>
          <w:tcPr>
            <w:tcW w:w="17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360" w:type="dxa"/>
            <w:vAlign w:val="bottom"/>
          </w:tcPr>
          <w:p>
            <w:pPr>
              <w:ind w:left="360"/>
              <w:spacing w:after="0" w:line="181" w:lineRule="exact"/>
              <w:rPr>
                <w:sz w:val="20"/>
                <w:szCs w:val="20"/>
                <w:color w:val="auto"/>
              </w:rPr>
            </w:pPr>
            <w:r>
              <w:rPr>
                <w:rFonts w:ascii="Arial" w:cs="Arial" w:eastAsia="Arial" w:hAnsi="Arial"/>
                <w:sz w:val="18"/>
                <w:szCs w:val="18"/>
                <w:color w:val="auto"/>
              </w:rPr>
              <w:t>Foreign currency translation adjustments</w:t>
            </w:r>
          </w:p>
        </w:tc>
        <w:tc>
          <w:tcPr>
            <w:tcW w:w="1820" w:type="dxa"/>
            <w:vAlign w:val="bottom"/>
            <w:vMerge w:val="continue"/>
          </w:tcPr>
          <w:p>
            <w:pPr>
              <w:spacing w:after="0"/>
              <w:rPr>
                <w:sz w:val="15"/>
                <w:szCs w:val="15"/>
                <w:color w:val="auto"/>
              </w:rPr>
            </w:pPr>
          </w:p>
        </w:tc>
        <w:tc>
          <w:tcPr>
            <w:tcW w:w="1700" w:type="dxa"/>
            <w:vAlign w:val="bottom"/>
          </w:tcPr>
          <w:p>
            <w:pPr>
              <w:jc w:val="right"/>
              <w:ind w:right="530"/>
              <w:spacing w:after="0" w:line="181" w:lineRule="exact"/>
              <w:rPr>
                <w:sz w:val="20"/>
                <w:szCs w:val="20"/>
                <w:color w:val="auto"/>
              </w:rPr>
            </w:pPr>
            <w:r>
              <w:rPr>
                <w:rFonts w:ascii="Arial" w:cs="Arial" w:eastAsia="Arial" w:hAnsi="Arial"/>
                <w:sz w:val="18"/>
                <w:szCs w:val="18"/>
                <w:color w:val="auto"/>
              </w:rPr>
              <w:t>11,865</w:t>
            </w:r>
          </w:p>
        </w:tc>
        <w:tc>
          <w:tcPr>
            <w:tcW w:w="1520" w:type="dxa"/>
            <w:vAlign w:val="bottom"/>
          </w:tcPr>
          <w:p>
            <w:pPr>
              <w:jc w:val="right"/>
              <w:spacing w:after="0" w:line="181" w:lineRule="exact"/>
              <w:rPr>
                <w:sz w:val="20"/>
                <w:szCs w:val="20"/>
                <w:color w:val="auto"/>
              </w:rPr>
            </w:pPr>
            <w:r>
              <w:rPr>
                <w:rFonts w:ascii="Arial" w:cs="Arial" w:eastAsia="Arial" w:hAnsi="Arial"/>
                <w:sz w:val="18"/>
                <w:szCs w:val="18"/>
                <w:color w:val="auto"/>
              </w:rPr>
              <w:t>(13,070)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tcPr>
          <w:p>
            <w:pPr>
              <w:ind w:left="360"/>
              <w:spacing w:after="0" w:line="202" w:lineRule="exact"/>
              <w:rPr>
                <w:sz w:val="20"/>
                <w:szCs w:val="20"/>
                <w:color w:val="auto"/>
              </w:rPr>
            </w:pPr>
            <w:r>
              <w:rPr>
                <w:rFonts w:ascii="Arial" w:cs="Arial" w:eastAsia="Arial" w:hAnsi="Arial"/>
                <w:sz w:val="18"/>
                <w:szCs w:val="18"/>
                <w:color w:val="auto"/>
              </w:rPr>
              <w:t>Pension and postretirement settlements and curtailments</w:t>
            </w:r>
          </w:p>
        </w:tc>
        <w:tc>
          <w:tcPr>
            <w:tcW w:w="1820" w:type="dxa"/>
            <w:vAlign w:val="bottom"/>
          </w:tcPr>
          <w:p>
            <w:pPr>
              <w:jc w:val="right"/>
              <w:ind w:right="850"/>
              <w:spacing w:after="0" w:line="202" w:lineRule="exact"/>
              <w:rPr>
                <w:sz w:val="20"/>
                <w:szCs w:val="20"/>
                <w:color w:val="auto"/>
              </w:rPr>
            </w:pPr>
            <w:r>
              <w:rPr>
                <w:rFonts w:ascii="Arial" w:cs="Arial" w:eastAsia="Arial" w:hAnsi="Arial"/>
                <w:sz w:val="18"/>
                <w:szCs w:val="18"/>
                <w:b w:val="1"/>
                <w:bCs w:val="1"/>
                <w:color w:val="auto"/>
              </w:rPr>
              <w:t>46</w:t>
            </w:r>
          </w:p>
        </w:tc>
        <w:tc>
          <w:tcPr>
            <w:tcW w:w="1700" w:type="dxa"/>
            <w:vAlign w:val="bottom"/>
          </w:tcPr>
          <w:p>
            <w:pPr>
              <w:jc w:val="right"/>
              <w:ind w:right="530"/>
              <w:spacing w:after="0" w:line="202" w:lineRule="exact"/>
              <w:rPr>
                <w:sz w:val="20"/>
                <w:szCs w:val="20"/>
                <w:color w:val="auto"/>
              </w:rPr>
            </w:pPr>
            <w:r>
              <w:rPr>
                <w:rFonts w:ascii="Arial" w:cs="Arial" w:eastAsia="Arial" w:hAnsi="Arial"/>
                <w:sz w:val="18"/>
                <w:szCs w:val="18"/>
                <w:color w:val="auto"/>
              </w:rPr>
              <w:t>118,350</w:t>
            </w: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tcPr>
          <w:p>
            <w:pPr>
              <w:ind w:left="360"/>
              <w:spacing w:after="0" w:line="202" w:lineRule="exact"/>
              <w:rPr>
                <w:sz w:val="20"/>
                <w:szCs w:val="20"/>
                <w:color w:val="auto"/>
              </w:rPr>
            </w:pPr>
            <w:r>
              <w:rPr>
                <w:rFonts w:ascii="Arial" w:cs="Arial" w:eastAsia="Arial" w:hAnsi="Arial"/>
                <w:sz w:val="18"/>
                <w:szCs w:val="18"/>
                <w:color w:val="auto"/>
              </w:rPr>
              <w:t>Pension and postretirement plan remeasurement</w:t>
            </w:r>
          </w:p>
        </w:tc>
        <w:tc>
          <w:tcPr>
            <w:tcW w:w="1820" w:type="dxa"/>
            <w:vAlign w:val="bottom"/>
          </w:tcPr>
          <w:p>
            <w:pPr>
              <w:jc w:val="right"/>
              <w:ind w:right="850"/>
              <w:spacing w:after="0" w:line="202" w:lineRule="exact"/>
              <w:rPr>
                <w:sz w:val="20"/>
                <w:szCs w:val="20"/>
                <w:color w:val="auto"/>
              </w:rPr>
            </w:pPr>
            <w:r>
              <w:rPr>
                <w:rFonts w:ascii="Arial" w:cs="Arial" w:eastAsia="Arial" w:hAnsi="Arial"/>
                <w:sz w:val="18"/>
                <w:szCs w:val="18"/>
                <w:b w:val="1"/>
                <w:bCs w:val="1"/>
                <w:color w:val="auto"/>
              </w:rPr>
              <w:t>20,500</w:t>
            </w:r>
          </w:p>
        </w:tc>
        <w:tc>
          <w:tcPr>
            <w:tcW w:w="170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(48,233)</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(28,375)</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360" w:type="dxa"/>
            <w:vAlign w:val="bottom"/>
          </w:tcPr>
          <w:p>
            <w:pPr>
              <w:ind w:left="360"/>
              <w:spacing w:after="0"/>
              <w:rPr>
                <w:sz w:val="20"/>
                <w:szCs w:val="20"/>
                <w:color w:val="auto"/>
              </w:rPr>
            </w:pPr>
            <w:r>
              <w:rPr>
                <w:rFonts w:ascii="Arial" w:cs="Arial" w:eastAsia="Arial" w:hAnsi="Arial"/>
                <w:sz w:val="18"/>
                <w:szCs w:val="18"/>
                <w:color w:val="auto"/>
              </w:rPr>
              <w:t>Pension and postretirement plan amendments</w:t>
            </w:r>
          </w:p>
        </w:tc>
        <w:tc>
          <w:tcPr>
            <w:tcW w:w="1820" w:type="dxa"/>
            <w:vAlign w:val="bottom"/>
          </w:tcPr>
          <w:p>
            <w:pPr>
              <w:jc w:val="right"/>
              <w:ind w:right="850"/>
              <w:spacing w:after="0"/>
              <w:rPr>
                <w:sz w:val="20"/>
                <w:szCs w:val="20"/>
                <w:color w:val="auto"/>
              </w:rPr>
            </w:pPr>
            <w:r>
              <w:rPr>
                <w:rFonts w:ascii="Arial" w:cs="Arial" w:eastAsia="Arial" w:hAnsi="Arial"/>
                <w:sz w:val="18"/>
                <w:szCs w:val="18"/>
                <w:b w:val="1"/>
                <w:bCs w:val="1"/>
                <w:color w:val="auto"/>
              </w:rPr>
              <w:t>7,361</w:t>
            </w:r>
          </w:p>
        </w:tc>
        <w:tc>
          <w:tcPr>
            <w:tcW w:w="170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tcPr>
          <w:p>
            <w:pPr>
              <w:ind w:left="360"/>
              <w:spacing w:after="0" w:line="202" w:lineRule="exact"/>
              <w:rPr>
                <w:sz w:val="20"/>
                <w:szCs w:val="20"/>
                <w:color w:val="auto"/>
              </w:rPr>
            </w:pPr>
            <w:r>
              <w:rPr>
                <w:rFonts w:ascii="Arial" w:cs="Arial" w:eastAsia="Arial" w:hAnsi="Arial"/>
                <w:sz w:val="18"/>
                <w:szCs w:val="18"/>
                <w:color w:val="auto"/>
              </w:rPr>
              <w:t>Amortization of pension liability adjustments:</w:t>
            </w:r>
          </w:p>
        </w:tc>
        <w:tc>
          <w:tcPr>
            <w:tcW w:w="1820" w:type="dxa"/>
            <w:vAlign w:val="bottom"/>
            <w:vMerge w:val="restart"/>
          </w:tcPr>
          <w:p>
            <w:pPr>
              <w:jc w:val="right"/>
              <w:ind w:right="850"/>
              <w:spacing w:after="0"/>
              <w:rPr>
                <w:sz w:val="20"/>
                <w:szCs w:val="20"/>
                <w:color w:val="auto"/>
              </w:rPr>
            </w:pPr>
            <w:r>
              <w:rPr>
                <w:rFonts w:ascii="Arial" w:cs="Arial" w:eastAsia="Arial" w:hAnsi="Arial"/>
                <w:sz w:val="18"/>
                <w:szCs w:val="18"/>
                <w:b w:val="1"/>
                <w:bCs w:val="1"/>
                <w:color w:val="auto"/>
              </w:rPr>
              <w:t>70</w:t>
            </w:r>
          </w:p>
        </w:tc>
        <w:tc>
          <w:tcPr>
            <w:tcW w:w="17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360" w:type="dxa"/>
            <w:vAlign w:val="bottom"/>
          </w:tcPr>
          <w:p>
            <w:pPr>
              <w:ind w:left="520"/>
              <w:spacing w:after="0" w:line="181" w:lineRule="exact"/>
              <w:rPr>
                <w:sz w:val="20"/>
                <w:szCs w:val="20"/>
                <w:color w:val="auto"/>
              </w:rPr>
            </w:pPr>
            <w:r>
              <w:rPr>
                <w:rFonts w:ascii="Arial" w:cs="Arial" w:eastAsia="Arial" w:hAnsi="Arial"/>
                <w:sz w:val="18"/>
                <w:szCs w:val="18"/>
                <w:color w:val="auto"/>
              </w:rPr>
              <w:t>Transition obligation</w:t>
            </w:r>
          </w:p>
        </w:tc>
        <w:tc>
          <w:tcPr>
            <w:tcW w:w="1820" w:type="dxa"/>
            <w:vAlign w:val="bottom"/>
            <w:vMerge w:val="continue"/>
          </w:tcPr>
          <w:p>
            <w:pPr>
              <w:spacing w:after="0"/>
              <w:rPr>
                <w:sz w:val="15"/>
                <w:szCs w:val="15"/>
                <w:color w:val="auto"/>
              </w:rPr>
            </w:pPr>
          </w:p>
        </w:tc>
        <w:tc>
          <w:tcPr>
            <w:tcW w:w="1700" w:type="dxa"/>
            <w:vAlign w:val="bottom"/>
          </w:tcPr>
          <w:p>
            <w:pPr>
              <w:jc w:val="right"/>
              <w:ind w:right="530"/>
              <w:spacing w:after="0" w:line="181" w:lineRule="exact"/>
              <w:rPr>
                <w:sz w:val="20"/>
                <w:szCs w:val="20"/>
                <w:color w:val="auto"/>
              </w:rPr>
            </w:pPr>
            <w:r>
              <w:rPr>
                <w:rFonts w:ascii="Arial" w:cs="Arial" w:eastAsia="Arial" w:hAnsi="Arial"/>
                <w:sz w:val="18"/>
                <w:szCs w:val="18"/>
                <w:color w:val="auto"/>
              </w:rPr>
              <w:t>79</w:t>
            </w:r>
          </w:p>
        </w:tc>
        <w:tc>
          <w:tcPr>
            <w:tcW w:w="1520" w:type="dxa"/>
            <w:vAlign w:val="bottom"/>
          </w:tcPr>
          <w:p>
            <w:pPr>
              <w:jc w:val="right"/>
              <w:ind w:right="10"/>
              <w:spacing w:after="0" w:line="181"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tcPr>
          <w:p>
            <w:pPr>
              <w:ind w:left="520"/>
              <w:spacing w:after="0" w:line="202" w:lineRule="exact"/>
              <w:rPr>
                <w:sz w:val="20"/>
                <w:szCs w:val="20"/>
                <w:color w:val="auto"/>
              </w:rPr>
            </w:pPr>
            <w:r>
              <w:rPr>
                <w:rFonts w:ascii="Arial" w:cs="Arial" w:eastAsia="Arial" w:hAnsi="Arial"/>
                <w:sz w:val="18"/>
                <w:szCs w:val="18"/>
                <w:color w:val="auto"/>
              </w:rPr>
              <w:t>Prior service (credit)/cost</w:t>
            </w:r>
          </w:p>
        </w:tc>
        <w:tc>
          <w:tcPr>
            <w:tcW w:w="1820" w:type="dxa"/>
            <w:vAlign w:val="bottom"/>
          </w:tcPr>
          <w:p>
            <w:pPr>
              <w:jc w:val="right"/>
              <w:ind w:right="790"/>
              <w:spacing w:after="0" w:line="202" w:lineRule="exact"/>
              <w:rPr>
                <w:sz w:val="20"/>
                <w:szCs w:val="20"/>
                <w:color w:val="auto"/>
              </w:rPr>
            </w:pPr>
            <w:r>
              <w:rPr>
                <w:rFonts w:ascii="Arial" w:cs="Arial" w:eastAsia="Arial" w:hAnsi="Arial"/>
                <w:sz w:val="18"/>
                <w:szCs w:val="18"/>
                <w:b w:val="1"/>
                <w:bCs w:val="1"/>
                <w:color w:val="auto"/>
              </w:rPr>
              <w:t>(3,905)</w:t>
            </w:r>
          </w:p>
        </w:tc>
        <w:tc>
          <w:tcPr>
            <w:tcW w:w="170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(3,631)</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(3,629)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tcPr>
          <w:p>
            <w:pPr>
              <w:ind w:left="520"/>
              <w:spacing w:after="0" w:line="202" w:lineRule="exact"/>
              <w:rPr>
                <w:sz w:val="20"/>
                <w:szCs w:val="20"/>
                <w:color w:val="auto"/>
              </w:rPr>
            </w:pPr>
            <w:r>
              <w:rPr>
                <w:rFonts w:ascii="Arial" w:cs="Arial" w:eastAsia="Arial" w:hAnsi="Arial"/>
                <w:sz w:val="18"/>
                <w:szCs w:val="18"/>
                <w:color w:val="auto"/>
              </w:rPr>
              <w:t>Net actuarial loss</w:t>
            </w:r>
          </w:p>
        </w:tc>
        <w:tc>
          <w:tcPr>
            <w:tcW w:w="1820" w:type="dxa"/>
            <w:vAlign w:val="bottom"/>
          </w:tcPr>
          <w:p>
            <w:pPr>
              <w:jc w:val="right"/>
              <w:ind w:right="850"/>
              <w:spacing w:after="0" w:line="202" w:lineRule="exact"/>
              <w:rPr>
                <w:sz w:val="20"/>
                <w:szCs w:val="20"/>
                <w:color w:val="auto"/>
              </w:rPr>
            </w:pPr>
            <w:r>
              <w:rPr>
                <w:rFonts w:ascii="Arial" w:cs="Arial" w:eastAsia="Arial" w:hAnsi="Arial"/>
                <w:sz w:val="18"/>
                <w:szCs w:val="18"/>
                <w:b w:val="1"/>
                <w:bCs w:val="1"/>
                <w:color w:val="auto"/>
              </w:rPr>
              <w:t>6,512</w:t>
            </w:r>
          </w:p>
        </w:tc>
        <w:tc>
          <w:tcPr>
            <w:tcW w:w="1700" w:type="dxa"/>
            <w:vAlign w:val="bottom"/>
          </w:tcPr>
          <w:p>
            <w:pPr>
              <w:jc w:val="right"/>
              <w:ind w:right="530"/>
              <w:spacing w:after="0" w:line="202" w:lineRule="exact"/>
              <w:rPr>
                <w:sz w:val="20"/>
                <w:szCs w:val="20"/>
                <w:color w:val="auto"/>
              </w:rPr>
            </w:pPr>
            <w:r>
              <w:rPr>
                <w:rFonts w:ascii="Arial" w:cs="Arial" w:eastAsia="Arial" w:hAnsi="Arial"/>
                <w:sz w:val="18"/>
                <w:szCs w:val="18"/>
                <w:color w:val="auto"/>
              </w:rPr>
              <w:t>7,438</w:t>
            </w: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8,694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tcPr>
          <w:p>
            <w:pPr>
              <w:ind w:left="360"/>
              <w:spacing w:after="0" w:line="202" w:lineRule="exact"/>
              <w:rPr>
                <w:sz w:val="20"/>
                <w:szCs w:val="20"/>
                <w:color w:val="auto"/>
              </w:rPr>
            </w:pPr>
            <w:r>
              <w:rPr>
                <w:rFonts w:ascii="Arial" w:cs="Arial" w:eastAsia="Arial" w:hAnsi="Arial"/>
                <w:sz w:val="18"/>
                <w:szCs w:val="18"/>
                <w:color w:val="auto"/>
              </w:rPr>
              <w:t>Payments related to derivatives included in earnings</w:t>
            </w:r>
          </w:p>
        </w:tc>
        <w:tc>
          <w:tcPr>
            <w:tcW w:w="1820" w:type="dxa"/>
            <w:vAlign w:val="bottom"/>
          </w:tcPr>
          <w:p>
            <w:pPr>
              <w:jc w:val="right"/>
              <w:ind w:right="850"/>
              <w:spacing w:after="0" w:line="202" w:lineRule="exact"/>
              <w:rPr>
                <w:sz w:val="20"/>
                <w:szCs w:val="20"/>
                <w:color w:val="auto"/>
              </w:rPr>
            </w:pPr>
            <w:r>
              <w:rPr>
                <w:rFonts w:ascii="Arial" w:cs="Arial" w:eastAsia="Arial" w:hAnsi="Arial"/>
                <w:sz w:val="18"/>
                <w:szCs w:val="18"/>
                <w:b w:val="1"/>
                <w:bCs w:val="1"/>
                <w:color w:val="auto"/>
              </w:rPr>
              <w:t>1,900</w:t>
            </w:r>
          </w:p>
        </w:tc>
        <w:tc>
          <w:tcPr>
            <w:tcW w:w="1700" w:type="dxa"/>
            <w:vAlign w:val="bottom"/>
          </w:tcPr>
          <w:p>
            <w:pPr>
              <w:jc w:val="right"/>
              <w:ind w:right="530"/>
              <w:spacing w:after="0" w:line="202" w:lineRule="exact"/>
              <w:rPr>
                <w:sz w:val="20"/>
                <w:szCs w:val="20"/>
                <w:color w:val="auto"/>
              </w:rPr>
            </w:pPr>
            <w:r>
              <w:rPr>
                <w:rFonts w:ascii="Arial" w:cs="Arial" w:eastAsia="Arial" w:hAnsi="Arial"/>
                <w:sz w:val="18"/>
                <w:szCs w:val="18"/>
                <w:color w:val="auto"/>
              </w:rPr>
              <w:t>1,700</w:t>
            </w: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360" w:type="dxa"/>
            <w:vAlign w:val="bottom"/>
          </w:tcPr>
          <w:p>
            <w:pPr>
              <w:ind w:left="360"/>
              <w:spacing w:after="0"/>
              <w:rPr>
                <w:sz w:val="20"/>
                <w:szCs w:val="20"/>
                <w:color w:val="auto"/>
              </w:rPr>
            </w:pPr>
            <w:r>
              <w:rPr>
                <w:rFonts w:ascii="Arial" w:cs="Arial" w:eastAsia="Arial" w:hAnsi="Arial"/>
                <w:sz w:val="18"/>
                <w:szCs w:val="18"/>
                <w:color w:val="auto"/>
              </w:rPr>
              <w:t>Derivative valuation adjustment, net of payments</w:t>
            </w:r>
          </w:p>
        </w:tc>
        <w:tc>
          <w:tcPr>
            <w:tcW w:w="1820" w:type="dxa"/>
            <w:vAlign w:val="bottom"/>
          </w:tcPr>
          <w:p>
            <w:pPr>
              <w:jc w:val="right"/>
              <w:ind w:right="850"/>
              <w:spacing w:after="0"/>
              <w:rPr>
                <w:sz w:val="20"/>
                <w:szCs w:val="20"/>
                <w:color w:val="auto"/>
              </w:rPr>
            </w:pPr>
            <w:r>
              <w:rPr>
                <w:rFonts w:ascii="Arial" w:cs="Arial" w:eastAsia="Arial" w:hAnsi="Arial"/>
                <w:sz w:val="18"/>
                <w:szCs w:val="18"/>
                <w:b w:val="1"/>
                <w:bCs w:val="1"/>
                <w:color w:val="auto"/>
              </w:rPr>
              <w:t>1,216</w:t>
            </w:r>
          </w:p>
        </w:tc>
        <w:tc>
          <w:tcPr>
            <w:tcW w:w="1700" w:type="dxa"/>
            <w:vAlign w:val="bottom"/>
          </w:tcPr>
          <w:p>
            <w:pPr>
              <w:jc w:val="right"/>
              <w:ind w:right="470"/>
              <w:spacing w:after="0"/>
              <w:rPr>
                <w:sz w:val="20"/>
                <w:szCs w:val="20"/>
                <w:color w:val="auto"/>
              </w:rPr>
            </w:pPr>
            <w:r>
              <w:rPr>
                <w:rFonts w:ascii="Arial" w:cs="Arial" w:eastAsia="Arial" w:hAnsi="Arial"/>
                <w:sz w:val="18"/>
                <w:szCs w:val="18"/>
                <w:color w:val="auto"/>
              </w:rPr>
              <w:t>(2,167)</w:t>
            </w:r>
          </w:p>
        </w:tc>
        <w:tc>
          <w:tcPr>
            <w:tcW w:w="1520" w:type="dxa"/>
            <w:vAlign w:val="bottom"/>
          </w:tcPr>
          <w:p>
            <w:pPr>
              <w:jc w:val="right"/>
              <w:spacing w:after="0"/>
              <w:rPr>
                <w:sz w:val="20"/>
                <w:szCs w:val="20"/>
                <w:color w:val="auto"/>
              </w:rPr>
            </w:pPr>
            <w:r>
              <w:rPr>
                <w:rFonts w:ascii="Arial" w:cs="Arial" w:eastAsia="Arial" w:hAnsi="Arial"/>
                <w:sz w:val="18"/>
                <w:szCs w:val="18"/>
                <w:color w:val="auto"/>
              </w:rPr>
              <w:t>(5,699)</w:t>
            </w:r>
          </w:p>
        </w:tc>
        <w:tc>
          <w:tcPr>
            <w:tcW w:w="0" w:type="dxa"/>
            <w:vAlign w:val="bottom"/>
          </w:tcPr>
          <w:p>
            <w:pPr>
              <w:spacing w:after="0"/>
              <w:rPr>
                <w:sz w:val="1"/>
                <w:szCs w:val="1"/>
                <w:color w:val="auto"/>
              </w:rPr>
            </w:pPr>
          </w:p>
        </w:tc>
      </w:tr>
      <w:tr>
        <w:trPr>
          <w:trHeight w:val="391"/>
        </w:trPr>
        <w:tc>
          <w:tcPr>
            <w:tcW w:w="6380" w:type="dxa"/>
            <w:vAlign w:val="bottom"/>
            <w:gridSpan w:val="2"/>
          </w:tcPr>
          <w:p>
            <w:pPr>
              <w:spacing w:after="0"/>
              <w:rPr>
                <w:sz w:val="20"/>
                <w:szCs w:val="20"/>
                <w:color w:val="auto"/>
              </w:rPr>
            </w:pPr>
            <w:r>
              <w:rPr>
                <w:rFonts w:ascii="Arial" w:cs="Arial" w:eastAsia="Arial" w:hAnsi="Arial"/>
                <w:sz w:val="18"/>
                <w:szCs w:val="18"/>
                <w:color w:val="auto"/>
              </w:rPr>
              <w:t>Income taxes related to items of other comprehensive income:</w:t>
            </w:r>
          </w:p>
        </w:tc>
        <w:tc>
          <w:tcPr>
            <w:tcW w:w="1820" w:type="dxa"/>
            <w:vAlign w:val="bottom"/>
            <w:vMerge w:val="restart"/>
          </w:tcPr>
          <w:p>
            <w:pPr>
              <w:jc w:val="right"/>
              <w:ind w:right="790"/>
              <w:spacing w:after="0"/>
              <w:rPr>
                <w:sz w:val="20"/>
                <w:szCs w:val="20"/>
                <w:color w:val="auto"/>
              </w:rPr>
            </w:pPr>
            <w:r>
              <w:rPr>
                <w:rFonts w:ascii="Arial" w:cs="Arial" w:eastAsia="Arial" w:hAnsi="Arial"/>
                <w:sz w:val="18"/>
                <w:szCs w:val="18"/>
                <w:b w:val="1"/>
                <w:bCs w:val="1"/>
                <w:color w:val="auto"/>
              </w:rPr>
              <w:t>(18)</w:t>
            </w:r>
          </w:p>
        </w:tc>
        <w:tc>
          <w:tcPr>
            <w:tcW w:w="1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360" w:type="dxa"/>
            <w:vAlign w:val="bottom"/>
          </w:tcPr>
          <w:p>
            <w:pPr>
              <w:ind w:left="360"/>
              <w:spacing w:after="0" w:line="181" w:lineRule="exact"/>
              <w:rPr>
                <w:sz w:val="20"/>
                <w:szCs w:val="20"/>
                <w:color w:val="auto"/>
              </w:rPr>
            </w:pPr>
            <w:r>
              <w:rPr>
                <w:rFonts w:ascii="Arial" w:cs="Arial" w:eastAsia="Arial" w:hAnsi="Arial"/>
                <w:sz w:val="18"/>
                <w:szCs w:val="18"/>
                <w:color w:val="auto"/>
              </w:rPr>
              <w:t>Pension and postretirement settlements and curtailments</w:t>
            </w:r>
          </w:p>
        </w:tc>
        <w:tc>
          <w:tcPr>
            <w:tcW w:w="1820" w:type="dxa"/>
            <w:vAlign w:val="bottom"/>
            <w:vMerge w:val="continue"/>
          </w:tcPr>
          <w:p>
            <w:pPr>
              <w:spacing w:after="0"/>
              <w:rPr>
                <w:sz w:val="15"/>
                <w:szCs w:val="15"/>
                <w:color w:val="auto"/>
              </w:rPr>
            </w:pPr>
          </w:p>
        </w:tc>
        <w:tc>
          <w:tcPr>
            <w:tcW w:w="1700" w:type="dxa"/>
            <w:vAlign w:val="bottom"/>
          </w:tcPr>
          <w:p>
            <w:pPr>
              <w:jc w:val="right"/>
              <w:ind w:right="470"/>
              <w:spacing w:after="0" w:line="181" w:lineRule="exact"/>
              <w:rPr>
                <w:sz w:val="20"/>
                <w:szCs w:val="20"/>
                <w:color w:val="auto"/>
              </w:rPr>
            </w:pPr>
            <w:r>
              <w:rPr>
                <w:rFonts w:ascii="Arial" w:cs="Arial" w:eastAsia="Arial" w:hAnsi="Arial"/>
                <w:sz w:val="18"/>
                <w:szCs w:val="18"/>
                <w:color w:val="auto"/>
              </w:rPr>
              <w:t>(39,146)</w:t>
            </w:r>
          </w:p>
        </w:tc>
        <w:tc>
          <w:tcPr>
            <w:tcW w:w="1520" w:type="dxa"/>
            <w:vAlign w:val="bottom"/>
          </w:tcPr>
          <w:p>
            <w:pPr>
              <w:jc w:val="right"/>
              <w:spacing w:after="0" w:line="181"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tcPr>
          <w:p>
            <w:pPr>
              <w:ind w:left="360"/>
              <w:spacing w:after="0" w:line="202" w:lineRule="exact"/>
              <w:rPr>
                <w:sz w:val="20"/>
                <w:szCs w:val="20"/>
                <w:color w:val="auto"/>
              </w:rPr>
            </w:pPr>
            <w:r>
              <w:rPr>
                <w:rFonts w:ascii="Arial" w:cs="Arial" w:eastAsia="Arial" w:hAnsi="Arial"/>
                <w:sz w:val="18"/>
                <w:szCs w:val="18"/>
                <w:color w:val="auto"/>
              </w:rPr>
              <w:t>Pension and postretirement plan remeasurement</w:t>
            </w:r>
          </w:p>
        </w:tc>
        <w:tc>
          <w:tcPr>
            <w:tcW w:w="1820" w:type="dxa"/>
            <w:vAlign w:val="bottom"/>
          </w:tcPr>
          <w:p>
            <w:pPr>
              <w:jc w:val="right"/>
              <w:ind w:right="790"/>
              <w:spacing w:after="0" w:line="202" w:lineRule="exact"/>
              <w:rPr>
                <w:sz w:val="20"/>
                <w:szCs w:val="20"/>
                <w:color w:val="auto"/>
              </w:rPr>
            </w:pPr>
            <w:r>
              <w:rPr>
                <w:rFonts w:ascii="Arial" w:cs="Arial" w:eastAsia="Arial" w:hAnsi="Arial"/>
                <w:sz w:val="18"/>
                <w:szCs w:val="18"/>
                <w:b w:val="1"/>
                <w:bCs w:val="1"/>
                <w:color w:val="auto"/>
              </w:rPr>
              <w:t>(6,757)</w:t>
            </w:r>
          </w:p>
        </w:tc>
        <w:tc>
          <w:tcPr>
            <w:tcW w:w="1700" w:type="dxa"/>
            <w:vAlign w:val="bottom"/>
          </w:tcPr>
          <w:p>
            <w:pPr>
              <w:jc w:val="right"/>
              <w:ind w:right="530"/>
              <w:spacing w:after="0" w:line="202" w:lineRule="exact"/>
              <w:rPr>
                <w:sz w:val="20"/>
                <w:szCs w:val="20"/>
                <w:color w:val="auto"/>
              </w:rPr>
            </w:pPr>
            <w:r>
              <w:rPr>
                <w:rFonts w:ascii="Arial" w:cs="Arial" w:eastAsia="Arial" w:hAnsi="Arial"/>
                <w:sz w:val="18"/>
                <w:szCs w:val="18"/>
                <w:color w:val="auto"/>
              </w:rPr>
              <w:t>14,711</w:t>
            </w: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6,382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tcPr>
          <w:p>
            <w:pPr>
              <w:ind w:left="360"/>
              <w:spacing w:after="0" w:line="202" w:lineRule="exact"/>
              <w:rPr>
                <w:sz w:val="20"/>
                <w:szCs w:val="20"/>
                <w:color w:val="auto"/>
              </w:rPr>
            </w:pPr>
            <w:r>
              <w:rPr>
                <w:rFonts w:ascii="Arial" w:cs="Arial" w:eastAsia="Arial" w:hAnsi="Arial"/>
                <w:sz w:val="18"/>
                <w:szCs w:val="18"/>
                <w:color w:val="auto"/>
              </w:rPr>
              <w:t>Pension and postretirement plan amendments</w:t>
            </w:r>
          </w:p>
        </w:tc>
        <w:tc>
          <w:tcPr>
            <w:tcW w:w="1820" w:type="dxa"/>
            <w:vAlign w:val="bottom"/>
          </w:tcPr>
          <w:p>
            <w:pPr>
              <w:jc w:val="right"/>
              <w:ind w:right="790"/>
              <w:spacing w:after="0" w:line="202" w:lineRule="exact"/>
              <w:rPr>
                <w:sz w:val="20"/>
                <w:szCs w:val="20"/>
                <w:color w:val="auto"/>
              </w:rPr>
            </w:pPr>
            <w:r>
              <w:rPr>
                <w:rFonts w:ascii="Arial" w:cs="Arial" w:eastAsia="Arial" w:hAnsi="Arial"/>
                <w:sz w:val="18"/>
                <w:szCs w:val="18"/>
                <w:b w:val="1"/>
                <w:bCs w:val="1"/>
                <w:color w:val="auto"/>
              </w:rPr>
              <w:t>(2,871)</w:t>
            </w:r>
          </w:p>
        </w:tc>
        <w:tc>
          <w:tcPr>
            <w:tcW w:w="1700" w:type="dxa"/>
            <w:vAlign w:val="bottom"/>
          </w:tcPr>
          <w:p>
            <w:pPr>
              <w:jc w:val="right"/>
              <w:ind w:right="530"/>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tcPr>
          <w:p>
            <w:pPr>
              <w:ind w:left="360"/>
              <w:spacing w:after="0" w:line="202" w:lineRule="exact"/>
              <w:rPr>
                <w:sz w:val="20"/>
                <w:szCs w:val="20"/>
                <w:color w:val="auto"/>
              </w:rPr>
            </w:pPr>
            <w:r>
              <w:rPr>
                <w:rFonts w:ascii="Arial" w:cs="Arial" w:eastAsia="Arial" w:hAnsi="Arial"/>
                <w:sz w:val="18"/>
                <w:szCs w:val="18"/>
                <w:color w:val="auto"/>
              </w:rPr>
              <w:t>Amortization of pension liability adjustment</w:t>
            </w:r>
          </w:p>
        </w:tc>
        <w:tc>
          <w:tcPr>
            <w:tcW w:w="1820" w:type="dxa"/>
            <w:vAlign w:val="bottom"/>
          </w:tcPr>
          <w:p>
            <w:pPr>
              <w:jc w:val="right"/>
              <w:ind w:right="790"/>
              <w:spacing w:after="0" w:line="202" w:lineRule="exact"/>
              <w:rPr>
                <w:sz w:val="20"/>
                <w:szCs w:val="20"/>
                <w:color w:val="auto"/>
              </w:rPr>
            </w:pPr>
            <w:r>
              <w:rPr>
                <w:rFonts w:ascii="Arial" w:cs="Arial" w:eastAsia="Arial" w:hAnsi="Arial"/>
                <w:sz w:val="18"/>
                <w:szCs w:val="18"/>
                <w:b w:val="1"/>
                <w:bCs w:val="1"/>
                <w:color w:val="auto"/>
              </w:rPr>
              <w:t>(451)</w:t>
            </w:r>
          </w:p>
        </w:tc>
        <w:tc>
          <w:tcPr>
            <w:tcW w:w="170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(1,360)</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(1,159)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tcPr>
          <w:p>
            <w:pPr>
              <w:ind w:left="360"/>
              <w:spacing w:after="0" w:line="202" w:lineRule="exact"/>
              <w:rPr>
                <w:sz w:val="20"/>
                <w:szCs w:val="20"/>
                <w:color w:val="auto"/>
              </w:rPr>
            </w:pPr>
            <w:r>
              <w:rPr>
                <w:rFonts w:ascii="Arial" w:cs="Arial" w:eastAsia="Arial" w:hAnsi="Arial"/>
                <w:sz w:val="18"/>
                <w:szCs w:val="18"/>
                <w:color w:val="auto"/>
              </w:rPr>
              <w:t>Payments related to derivatives included in earnings</w:t>
            </w:r>
          </w:p>
        </w:tc>
        <w:tc>
          <w:tcPr>
            <w:tcW w:w="1820" w:type="dxa"/>
            <w:vAlign w:val="bottom"/>
          </w:tcPr>
          <w:p>
            <w:pPr>
              <w:jc w:val="right"/>
              <w:ind w:right="790"/>
              <w:spacing w:after="0" w:line="202" w:lineRule="exact"/>
              <w:rPr>
                <w:sz w:val="20"/>
                <w:szCs w:val="20"/>
                <w:color w:val="auto"/>
              </w:rPr>
            </w:pPr>
            <w:r>
              <w:rPr>
                <w:rFonts w:ascii="Arial" w:cs="Arial" w:eastAsia="Arial" w:hAnsi="Arial"/>
                <w:sz w:val="18"/>
                <w:szCs w:val="18"/>
                <w:b w:val="1"/>
                <w:bCs w:val="1"/>
                <w:color w:val="auto"/>
              </w:rPr>
              <w:t>(741)</w:t>
            </w:r>
          </w:p>
        </w:tc>
        <w:tc>
          <w:tcPr>
            <w:tcW w:w="170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(663)</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3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Derivative valuation adjustment</w:t>
            </w:r>
          </w:p>
        </w:tc>
        <w:tc>
          <w:tcPr>
            <w:tcW w:w="182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(474)</w:t>
            </w:r>
          </w:p>
        </w:tc>
        <w:tc>
          <w:tcPr>
            <w:tcW w:w="17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845</w:t>
            </w: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2,222</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360" w:type="dxa"/>
            <w:vAlign w:val="bottom"/>
          </w:tcPr>
          <w:p>
            <w:pPr>
              <w:spacing w:after="0" w:line="173" w:lineRule="exact"/>
              <w:rPr>
                <w:sz w:val="20"/>
                <w:szCs w:val="20"/>
                <w:color w:val="auto"/>
              </w:rPr>
            </w:pPr>
            <w:r>
              <w:rPr>
                <w:rFonts w:ascii="Arial" w:cs="Arial" w:eastAsia="Arial" w:hAnsi="Arial"/>
                <w:sz w:val="18"/>
                <w:szCs w:val="18"/>
                <w:color w:val="auto"/>
              </w:rPr>
              <w:t>Comprehensive income</w:t>
            </w:r>
          </w:p>
        </w:tc>
        <w:tc>
          <w:tcPr>
            <w:tcW w:w="1820" w:type="dxa"/>
            <w:vAlign w:val="bottom"/>
          </w:tcPr>
          <w:p>
            <w:pPr>
              <w:jc w:val="right"/>
              <w:ind w:right="850"/>
              <w:spacing w:after="0" w:line="173" w:lineRule="exact"/>
              <w:rPr>
                <w:sz w:val="20"/>
                <w:szCs w:val="20"/>
                <w:color w:val="auto"/>
              </w:rPr>
            </w:pPr>
            <w:r>
              <w:rPr>
                <w:rFonts w:ascii="Arial" w:cs="Arial" w:eastAsia="Arial" w:hAnsi="Arial"/>
                <w:sz w:val="18"/>
                <w:szCs w:val="18"/>
                <w:b w:val="1"/>
                <w:bCs w:val="1"/>
                <w:color w:val="auto"/>
              </w:rPr>
              <w:t>48,181</w:t>
            </w:r>
          </w:p>
        </w:tc>
        <w:tc>
          <w:tcPr>
            <w:tcW w:w="1700" w:type="dxa"/>
            <w:vAlign w:val="bottom"/>
          </w:tcPr>
          <w:p>
            <w:pPr>
              <w:jc w:val="right"/>
              <w:ind w:right="530"/>
              <w:spacing w:after="0" w:line="173" w:lineRule="exact"/>
              <w:rPr>
                <w:sz w:val="20"/>
                <w:szCs w:val="20"/>
                <w:color w:val="auto"/>
              </w:rPr>
            </w:pPr>
            <w:r>
              <w:rPr>
                <w:rFonts w:ascii="Arial" w:cs="Arial" w:eastAsia="Arial" w:hAnsi="Arial"/>
                <w:sz w:val="18"/>
                <w:szCs w:val="18"/>
                <w:color w:val="auto"/>
              </w:rPr>
              <w:t>90,765</w:t>
            </w:r>
          </w:p>
        </w:tc>
        <w:tc>
          <w:tcPr>
            <w:tcW w:w="1520" w:type="dxa"/>
            <w:vAlign w:val="bottom"/>
          </w:tcPr>
          <w:p>
            <w:pPr>
              <w:jc w:val="right"/>
              <w:ind w:right="10"/>
              <w:spacing w:after="0" w:line="173" w:lineRule="exact"/>
              <w:rPr>
                <w:sz w:val="20"/>
                <w:szCs w:val="20"/>
                <w:color w:val="auto"/>
              </w:rPr>
            </w:pPr>
            <w:r>
              <w:rPr>
                <w:rFonts w:ascii="Arial" w:cs="Arial" w:eastAsia="Arial" w:hAnsi="Arial"/>
                <w:sz w:val="18"/>
                <w:szCs w:val="18"/>
                <w:color w:val="auto"/>
              </w:rPr>
              <w:t>1,801</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3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Comprehensive income attributable to the noncontrolling interest</w:t>
            </w:r>
          </w:p>
        </w:tc>
        <w:tc>
          <w:tcPr>
            <w:tcW w:w="182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w:t>
            </w:r>
          </w:p>
        </w:tc>
        <w:tc>
          <w:tcPr>
            <w:tcW w:w="17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63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Comprehensive income attributable to the Company</w:t>
            </w:r>
          </w:p>
        </w:tc>
        <w:tc>
          <w:tcPr>
            <w:tcW w:w="1820" w:type="dxa"/>
            <w:vAlign w:val="bottom"/>
            <w:tcBorders>
              <w:bottom w:val="single" w:sz="8" w:color="auto"/>
            </w:tcBorders>
          </w:tcPr>
          <w:p>
            <w:pPr>
              <w:jc w:val="right"/>
              <w:ind w:right="850"/>
              <w:spacing w:after="0" w:line="196" w:lineRule="exact"/>
              <w:rPr>
                <w:sz w:val="20"/>
                <w:szCs w:val="20"/>
                <w:color w:val="auto"/>
              </w:rPr>
            </w:pPr>
            <w:r>
              <w:rPr>
                <w:rFonts w:ascii="Arial" w:cs="Arial" w:eastAsia="Arial" w:hAnsi="Arial"/>
                <w:sz w:val="18"/>
                <w:szCs w:val="18"/>
                <w:b w:val="1"/>
                <w:bCs w:val="1"/>
                <w:color w:val="auto"/>
              </w:rPr>
              <w:t>$48,181</w:t>
            </w:r>
          </w:p>
        </w:tc>
        <w:tc>
          <w:tcPr>
            <w:tcW w:w="170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color w:val="auto"/>
              </w:rPr>
              <w:t>$90,765</w:t>
            </w:r>
          </w:p>
        </w:tc>
        <w:tc>
          <w:tcPr>
            <w:tcW w:w="15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$1,801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431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9"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6"/>
          <w:szCs w:val="16"/>
          <w:b w:val="1"/>
          <w:bCs w:val="1"/>
          <w:color w:val="auto"/>
        </w:rPr>
        <w:t>Albany International Corp.</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7760" w:type="dxa"/>
            <w:vAlign w:val="bottom"/>
            <w:tcBorders>
              <w:top w:val="single" w:sz="8" w:color="auto"/>
            </w:tcBorders>
          </w:tcPr>
          <w:p>
            <w:pPr>
              <w:jc w:val="center"/>
              <w:ind w:left="3579"/>
              <w:spacing w:after="0" w:line="165" w:lineRule="exact"/>
              <w:rPr>
                <w:sz w:val="20"/>
                <w:szCs w:val="20"/>
                <w:color w:val="auto"/>
              </w:rPr>
            </w:pPr>
            <w:r>
              <w:rPr>
                <w:rFonts w:ascii="Arial" w:cs="Arial" w:eastAsia="Arial" w:hAnsi="Arial"/>
                <w:sz w:val="16"/>
                <w:szCs w:val="16"/>
                <w:b w:val="1"/>
                <w:bCs w:val="1"/>
                <w:color w:val="auto"/>
              </w:rPr>
              <w:t>Consolidated Balance Sheets</w:t>
            </w:r>
          </w:p>
        </w:tc>
        <w:tc>
          <w:tcPr>
            <w:tcW w:w="1900" w:type="dxa"/>
            <w:vAlign w:val="bottom"/>
            <w:tcBorders>
              <w:top w:val="single" w:sz="8" w:color="auto"/>
            </w:tcBorders>
          </w:tcPr>
          <w:p>
            <w:pPr>
              <w:spacing w:after="0"/>
              <w:rPr>
                <w:sz w:val="14"/>
                <w:szCs w:val="14"/>
                <w:color w:val="auto"/>
              </w:rPr>
            </w:pPr>
          </w:p>
        </w:tc>
        <w:tc>
          <w:tcPr>
            <w:tcW w:w="17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760" w:type="dxa"/>
            <w:vAlign w:val="bottom"/>
          </w:tcPr>
          <w:p>
            <w:pPr>
              <w:jc w:val="center"/>
              <w:ind w:left="3579"/>
              <w:spacing w:after="0"/>
              <w:rPr>
                <w:sz w:val="20"/>
                <w:szCs w:val="20"/>
                <w:color w:val="auto"/>
              </w:rPr>
            </w:pPr>
            <w:r>
              <w:rPr>
                <w:rFonts w:ascii="Arial" w:cs="Arial" w:eastAsia="Arial" w:hAnsi="Arial"/>
                <w:sz w:val="16"/>
                <w:szCs w:val="16"/>
                <w:b w:val="1"/>
                <w:bCs w:val="1"/>
                <w:color w:val="auto"/>
              </w:rPr>
              <w:t>At December 31,</w:t>
            </w:r>
          </w:p>
        </w:tc>
        <w:tc>
          <w:tcPr>
            <w:tcW w:w="19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760" w:type="dxa"/>
            <w:vAlign w:val="bottom"/>
          </w:tcPr>
          <w:p>
            <w:pPr>
              <w:jc w:val="center"/>
              <w:ind w:left="3599"/>
              <w:spacing w:after="0"/>
              <w:rPr>
                <w:sz w:val="20"/>
                <w:szCs w:val="20"/>
                <w:color w:val="auto"/>
              </w:rPr>
            </w:pPr>
            <w:r>
              <w:rPr>
                <w:rFonts w:ascii="Arial" w:cs="Arial" w:eastAsia="Arial" w:hAnsi="Arial"/>
                <w:sz w:val="16"/>
                <w:szCs w:val="16"/>
                <w:b w:val="1"/>
                <w:bCs w:val="1"/>
                <w:color w:val="auto"/>
              </w:rPr>
              <w:t>(in thousands, except share and per share data)</w:t>
            </w:r>
          </w:p>
        </w:tc>
        <w:tc>
          <w:tcPr>
            <w:tcW w:w="1900" w:type="dxa"/>
            <w:vAlign w:val="bottom"/>
            <w:vMerge w:val="restart"/>
          </w:tcPr>
          <w:p>
            <w:pPr>
              <w:jc w:val="right"/>
              <w:ind w:right="1259"/>
              <w:spacing w:after="0"/>
              <w:rPr>
                <w:sz w:val="20"/>
                <w:szCs w:val="20"/>
                <w:color w:val="auto"/>
              </w:rPr>
            </w:pPr>
            <w:r>
              <w:rPr>
                <w:rFonts w:ascii="Arial" w:cs="Arial" w:eastAsia="Arial" w:hAnsi="Arial"/>
                <w:sz w:val="16"/>
                <w:szCs w:val="16"/>
                <w:b w:val="1"/>
                <w:bCs w:val="1"/>
                <w:color w:val="auto"/>
              </w:rPr>
              <w:t>2013</w:t>
            </w:r>
          </w:p>
        </w:tc>
        <w:tc>
          <w:tcPr>
            <w:tcW w:w="1760" w:type="dxa"/>
            <w:vAlign w:val="bottom"/>
            <w:vMerge w:val="restart"/>
          </w:tcPr>
          <w:p>
            <w:pPr>
              <w:jc w:val="right"/>
              <w:ind w:right="519"/>
              <w:spacing w:after="0"/>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182"/>
        </w:trPr>
        <w:tc>
          <w:tcPr>
            <w:tcW w:w="77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vMerge w:val="continue"/>
          </w:tcPr>
          <w:p>
            <w:pPr>
              <w:spacing w:after="0"/>
              <w:rPr>
                <w:sz w:val="15"/>
                <w:szCs w:val="15"/>
                <w:color w:val="auto"/>
              </w:rPr>
            </w:pPr>
          </w:p>
        </w:tc>
        <w:tc>
          <w:tcPr>
            <w:tcW w:w="17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74"/>
        </w:trPr>
        <w:tc>
          <w:tcPr>
            <w:tcW w:w="776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19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6"/>
                <w:szCs w:val="16"/>
                <w:color w:val="auto"/>
              </w:rPr>
              <w:t>Current assets:</w:t>
            </w:r>
          </w:p>
        </w:tc>
        <w:tc>
          <w:tcPr>
            <w:tcW w:w="1900" w:type="dxa"/>
            <w:vAlign w:val="bottom"/>
            <w:vMerge w:val="restart"/>
          </w:tcPr>
          <w:p>
            <w:pPr>
              <w:jc w:val="right"/>
              <w:ind w:right="759"/>
              <w:spacing w:after="0"/>
              <w:rPr>
                <w:sz w:val="20"/>
                <w:szCs w:val="20"/>
                <w:color w:val="auto"/>
              </w:rPr>
            </w:pPr>
            <w:r>
              <w:rPr>
                <w:rFonts w:ascii="Arial" w:cs="Arial" w:eastAsia="Arial" w:hAnsi="Arial"/>
                <w:sz w:val="16"/>
                <w:szCs w:val="16"/>
                <w:b w:val="1"/>
                <w:bCs w:val="1"/>
                <w:color w:val="auto"/>
              </w:rPr>
              <w:t>$222,666</w:t>
            </w: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760" w:type="dxa"/>
            <w:vAlign w:val="bottom"/>
          </w:tcPr>
          <w:p>
            <w:pPr>
              <w:spacing w:after="0" w:line="169" w:lineRule="exact"/>
              <w:rPr>
                <w:sz w:val="20"/>
                <w:szCs w:val="20"/>
                <w:color w:val="auto"/>
              </w:rPr>
            </w:pPr>
            <w:r>
              <w:rPr>
                <w:rFonts w:ascii="Arial" w:cs="Arial" w:eastAsia="Arial" w:hAnsi="Arial"/>
                <w:sz w:val="16"/>
                <w:szCs w:val="16"/>
                <w:color w:val="auto"/>
              </w:rPr>
              <w:t>Cash and cash equivalents</w:t>
            </w:r>
          </w:p>
        </w:tc>
        <w:tc>
          <w:tcPr>
            <w:tcW w:w="1900" w:type="dxa"/>
            <w:vAlign w:val="bottom"/>
            <w:vMerge w:val="continue"/>
          </w:tcPr>
          <w:p>
            <w:pPr>
              <w:spacing w:after="0"/>
              <w:rPr>
                <w:sz w:val="14"/>
                <w:szCs w:val="14"/>
                <w:color w:val="auto"/>
              </w:rPr>
            </w:pPr>
          </w:p>
        </w:tc>
        <w:tc>
          <w:tcPr>
            <w:tcW w:w="1760" w:type="dxa"/>
            <w:vAlign w:val="bottom"/>
          </w:tcPr>
          <w:p>
            <w:pPr>
              <w:jc w:val="right"/>
              <w:ind w:right="19"/>
              <w:spacing w:after="0" w:line="169" w:lineRule="exact"/>
              <w:rPr>
                <w:sz w:val="20"/>
                <w:szCs w:val="20"/>
                <w:color w:val="auto"/>
              </w:rPr>
            </w:pPr>
            <w:r>
              <w:rPr>
                <w:rFonts w:ascii="Arial" w:cs="Arial" w:eastAsia="Arial" w:hAnsi="Arial"/>
                <w:sz w:val="16"/>
                <w:szCs w:val="16"/>
                <w:color w:val="auto"/>
              </w:rPr>
              <w:t>$190,718</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6"/>
                <w:szCs w:val="16"/>
                <w:color w:val="auto"/>
              </w:rPr>
              <w:t>Accounts receivable, net</w:t>
            </w:r>
          </w:p>
        </w:tc>
        <w:tc>
          <w:tcPr>
            <w:tcW w:w="1900" w:type="dxa"/>
            <w:vAlign w:val="bottom"/>
          </w:tcPr>
          <w:p>
            <w:pPr>
              <w:jc w:val="right"/>
              <w:ind w:right="759"/>
              <w:spacing w:after="0"/>
              <w:rPr>
                <w:sz w:val="20"/>
                <w:szCs w:val="20"/>
                <w:color w:val="auto"/>
              </w:rPr>
            </w:pPr>
            <w:r>
              <w:rPr>
                <w:rFonts w:ascii="Arial" w:cs="Arial" w:eastAsia="Arial" w:hAnsi="Arial"/>
                <w:sz w:val="16"/>
                <w:szCs w:val="16"/>
                <w:b w:val="1"/>
                <w:bCs w:val="1"/>
                <w:color w:val="auto"/>
              </w:rPr>
              <w:t>163,547</w:t>
            </w: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171,535</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6"/>
                <w:szCs w:val="16"/>
                <w:color w:val="auto"/>
              </w:rPr>
              <w:t>Inventories</w:t>
            </w:r>
          </w:p>
        </w:tc>
        <w:tc>
          <w:tcPr>
            <w:tcW w:w="1900" w:type="dxa"/>
            <w:vAlign w:val="bottom"/>
          </w:tcPr>
          <w:p>
            <w:pPr>
              <w:jc w:val="right"/>
              <w:ind w:right="759"/>
              <w:spacing w:after="0"/>
              <w:rPr>
                <w:sz w:val="20"/>
                <w:szCs w:val="20"/>
                <w:color w:val="auto"/>
              </w:rPr>
            </w:pPr>
            <w:r>
              <w:rPr>
                <w:rFonts w:ascii="Arial" w:cs="Arial" w:eastAsia="Arial" w:hAnsi="Arial"/>
                <w:sz w:val="16"/>
                <w:szCs w:val="16"/>
                <w:b w:val="1"/>
                <w:bCs w:val="1"/>
                <w:color w:val="auto"/>
              </w:rPr>
              <w:t>112,739</w:t>
            </w: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119,183</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6"/>
                <w:szCs w:val="16"/>
                <w:color w:val="auto"/>
              </w:rPr>
              <w:t>Deferred income taxes</w:t>
            </w:r>
          </w:p>
        </w:tc>
        <w:tc>
          <w:tcPr>
            <w:tcW w:w="1900" w:type="dxa"/>
            <w:vAlign w:val="bottom"/>
          </w:tcPr>
          <w:p>
            <w:pPr>
              <w:jc w:val="right"/>
              <w:ind w:right="759"/>
              <w:spacing w:after="0"/>
              <w:rPr>
                <w:sz w:val="20"/>
                <w:szCs w:val="20"/>
                <w:color w:val="auto"/>
              </w:rPr>
            </w:pPr>
            <w:r>
              <w:rPr>
                <w:rFonts w:ascii="Arial" w:cs="Arial" w:eastAsia="Arial" w:hAnsi="Arial"/>
                <w:sz w:val="16"/>
                <w:szCs w:val="16"/>
                <w:b w:val="1"/>
                <w:bCs w:val="1"/>
                <w:color w:val="auto"/>
              </w:rPr>
              <w:t>13,873</w:t>
            </w: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20,594</w:t>
            </w:r>
          </w:p>
        </w:tc>
        <w:tc>
          <w:tcPr>
            <w:tcW w:w="0" w:type="dxa"/>
            <w:vAlign w:val="bottom"/>
          </w:tcPr>
          <w:p>
            <w:pPr>
              <w:spacing w:after="0"/>
              <w:rPr>
                <w:sz w:val="1"/>
                <w:szCs w:val="1"/>
                <w:color w:val="auto"/>
              </w:rPr>
            </w:pPr>
          </w:p>
        </w:tc>
      </w:tr>
      <w:tr>
        <w:trPr>
          <w:trHeight w:val="207"/>
        </w:trPr>
        <w:tc>
          <w:tcPr>
            <w:tcW w:w="77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Prepaid expenses and other current assets</w:t>
            </w:r>
          </w:p>
        </w:tc>
        <w:tc>
          <w:tcPr>
            <w:tcW w:w="190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9,659</w:t>
            </w:r>
          </w:p>
        </w:tc>
        <w:tc>
          <w:tcPr>
            <w:tcW w:w="1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10,435</w:t>
            </w:r>
          </w:p>
        </w:tc>
        <w:tc>
          <w:tcPr>
            <w:tcW w:w="0" w:type="dxa"/>
            <w:vAlign w:val="bottom"/>
          </w:tcPr>
          <w:p>
            <w:pPr>
              <w:spacing w:after="0"/>
              <w:rPr>
                <w:sz w:val="1"/>
                <w:szCs w:val="1"/>
                <w:color w:val="auto"/>
              </w:rPr>
            </w:pPr>
          </w:p>
        </w:tc>
      </w:tr>
      <w:tr>
        <w:trPr>
          <w:trHeight w:val="208"/>
        </w:trPr>
        <w:tc>
          <w:tcPr>
            <w:tcW w:w="7760" w:type="dxa"/>
            <w:vAlign w:val="bottom"/>
          </w:tcPr>
          <w:p>
            <w:pPr>
              <w:ind w:left="340"/>
              <w:spacing w:after="0"/>
              <w:rPr>
                <w:sz w:val="20"/>
                <w:szCs w:val="20"/>
                <w:color w:val="auto"/>
              </w:rPr>
            </w:pPr>
            <w:r>
              <w:rPr>
                <w:rFonts w:ascii="Arial" w:cs="Arial" w:eastAsia="Arial" w:hAnsi="Arial"/>
                <w:sz w:val="16"/>
                <w:szCs w:val="16"/>
                <w:color w:val="auto"/>
              </w:rPr>
              <w:t>Total current assets</w:t>
            </w:r>
          </w:p>
        </w:tc>
        <w:tc>
          <w:tcPr>
            <w:tcW w:w="1900" w:type="dxa"/>
            <w:vAlign w:val="bottom"/>
          </w:tcPr>
          <w:p>
            <w:pPr>
              <w:jc w:val="right"/>
              <w:ind w:right="759"/>
              <w:spacing w:after="0"/>
              <w:rPr>
                <w:sz w:val="20"/>
                <w:szCs w:val="20"/>
                <w:color w:val="auto"/>
              </w:rPr>
            </w:pPr>
            <w:r>
              <w:rPr>
                <w:rFonts w:ascii="Arial" w:cs="Arial" w:eastAsia="Arial" w:hAnsi="Arial"/>
                <w:sz w:val="16"/>
                <w:szCs w:val="16"/>
                <w:b w:val="1"/>
                <w:bCs w:val="1"/>
                <w:color w:val="auto"/>
              </w:rPr>
              <w:t>522,484</w:t>
            </w: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512,465</w:t>
            </w:r>
          </w:p>
        </w:tc>
        <w:tc>
          <w:tcPr>
            <w:tcW w:w="0" w:type="dxa"/>
            <w:vAlign w:val="bottom"/>
          </w:tcPr>
          <w:p>
            <w:pPr>
              <w:spacing w:after="0"/>
              <w:rPr>
                <w:sz w:val="1"/>
                <w:szCs w:val="1"/>
                <w:color w:val="auto"/>
              </w:rPr>
            </w:pPr>
          </w:p>
        </w:tc>
      </w:tr>
      <w:tr>
        <w:trPr>
          <w:trHeight w:val="334"/>
        </w:trPr>
        <w:tc>
          <w:tcPr>
            <w:tcW w:w="776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1900" w:type="dxa"/>
            <w:vAlign w:val="bottom"/>
          </w:tcPr>
          <w:p>
            <w:pPr>
              <w:jc w:val="right"/>
              <w:ind w:right="759"/>
              <w:spacing w:after="0"/>
              <w:rPr>
                <w:sz w:val="20"/>
                <w:szCs w:val="20"/>
                <w:color w:val="auto"/>
              </w:rPr>
            </w:pPr>
            <w:r>
              <w:rPr>
                <w:rFonts w:ascii="Arial" w:cs="Arial" w:eastAsia="Arial" w:hAnsi="Arial"/>
                <w:sz w:val="16"/>
                <w:szCs w:val="16"/>
                <w:b w:val="1"/>
                <w:bCs w:val="1"/>
                <w:color w:val="auto"/>
              </w:rPr>
              <w:t>418,830</w:t>
            </w: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420,154</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6"/>
                <w:szCs w:val="16"/>
                <w:color w:val="auto"/>
              </w:rPr>
              <w:t>Intangibles</w:t>
            </w:r>
          </w:p>
        </w:tc>
        <w:tc>
          <w:tcPr>
            <w:tcW w:w="1900" w:type="dxa"/>
            <w:vAlign w:val="bottom"/>
          </w:tcPr>
          <w:p>
            <w:pPr>
              <w:jc w:val="right"/>
              <w:ind w:right="759"/>
              <w:spacing w:after="0"/>
              <w:rPr>
                <w:sz w:val="20"/>
                <w:szCs w:val="20"/>
                <w:color w:val="auto"/>
              </w:rPr>
            </w:pPr>
            <w:r>
              <w:rPr>
                <w:rFonts w:ascii="Arial" w:cs="Arial" w:eastAsia="Arial" w:hAnsi="Arial"/>
                <w:sz w:val="16"/>
                <w:szCs w:val="16"/>
                <w:b w:val="1"/>
                <w:bCs w:val="1"/>
                <w:color w:val="auto"/>
              </w:rPr>
              <w:t>616</w:t>
            </w: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848</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6"/>
                <w:szCs w:val="16"/>
                <w:color w:val="auto"/>
              </w:rPr>
              <w:t>Goodwill</w:t>
            </w:r>
          </w:p>
        </w:tc>
        <w:tc>
          <w:tcPr>
            <w:tcW w:w="1900" w:type="dxa"/>
            <w:vAlign w:val="bottom"/>
          </w:tcPr>
          <w:p>
            <w:pPr>
              <w:jc w:val="right"/>
              <w:ind w:right="759"/>
              <w:spacing w:after="0"/>
              <w:rPr>
                <w:sz w:val="20"/>
                <w:szCs w:val="20"/>
                <w:color w:val="auto"/>
              </w:rPr>
            </w:pPr>
            <w:r>
              <w:rPr>
                <w:rFonts w:ascii="Arial" w:cs="Arial" w:eastAsia="Arial" w:hAnsi="Arial"/>
                <w:sz w:val="16"/>
                <w:szCs w:val="16"/>
                <w:b w:val="1"/>
                <w:bCs w:val="1"/>
                <w:color w:val="auto"/>
              </w:rPr>
              <w:t>78,890</w:t>
            </w: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76,522</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6"/>
                <w:szCs w:val="16"/>
                <w:color w:val="auto"/>
              </w:rPr>
              <w:t>Income taxes receivable and deferred</w:t>
            </w:r>
          </w:p>
        </w:tc>
        <w:tc>
          <w:tcPr>
            <w:tcW w:w="1900" w:type="dxa"/>
            <w:vAlign w:val="bottom"/>
          </w:tcPr>
          <w:p>
            <w:pPr>
              <w:jc w:val="right"/>
              <w:ind w:right="759"/>
              <w:spacing w:after="0"/>
              <w:rPr>
                <w:sz w:val="20"/>
                <w:szCs w:val="20"/>
                <w:color w:val="auto"/>
              </w:rPr>
            </w:pPr>
            <w:r>
              <w:rPr>
                <w:rFonts w:ascii="Arial" w:cs="Arial" w:eastAsia="Arial" w:hAnsi="Arial"/>
                <w:sz w:val="16"/>
                <w:szCs w:val="16"/>
                <w:b w:val="1"/>
                <w:bCs w:val="1"/>
                <w:color w:val="auto"/>
              </w:rPr>
              <w:t>119,612</w:t>
            </w: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123,886</w:t>
            </w:r>
          </w:p>
        </w:tc>
        <w:tc>
          <w:tcPr>
            <w:tcW w:w="0" w:type="dxa"/>
            <w:vAlign w:val="bottom"/>
          </w:tcPr>
          <w:p>
            <w:pPr>
              <w:spacing w:after="0"/>
              <w:rPr>
                <w:sz w:val="1"/>
                <w:szCs w:val="1"/>
                <w:color w:val="auto"/>
              </w:rPr>
            </w:pPr>
          </w:p>
        </w:tc>
      </w:tr>
      <w:tr>
        <w:trPr>
          <w:trHeight w:val="207"/>
        </w:trPr>
        <w:tc>
          <w:tcPr>
            <w:tcW w:w="77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 assets</w:t>
            </w:r>
          </w:p>
        </w:tc>
        <w:tc>
          <w:tcPr>
            <w:tcW w:w="190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26,456</w:t>
            </w:r>
          </w:p>
        </w:tc>
        <w:tc>
          <w:tcPr>
            <w:tcW w:w="1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22,822</w:t>
            </w:r>
          </w:p>
        </w:tc>
        <w:tc>
          <w:tcPr>
            <w:tcW w:w="0" w:type="dxa"/>
            <w:vAlign w:val="bottom"/>
          </w:tcPr>
          <w:p>
            <w:pPr>
              <w:spacing w:after="0"/>
              <w:rPr>
                <w:sz w:val="1"/>
                <w:szCs w:val="1"/>
                <w:color w:val="auto"/>
              </w:rPr>
            </w:pPr>
          </w:p>
        </w:tc>
      </w:tr>
      <w:tr>
        <w:trPr>
          <w:trHeight w:val="183"/>
        </w:trPr>
        <w:tc>
          <w:tcPr>
            <w:tcW w:w="7760" w:type="dxa"/>
            <w:vAlign w:val="bottom"/>
            <w:tcBorders>
              <w:bottom w:val="single" w:sz="8" w:color="auto"/>
            </w:tcBorders>
          </w:tcPr>
          <w:p>
            <w:pPr>
              <w:ind w:left="340"/>
              <w:spacing w:after="0" w:line="183" w:lineRule="exact"/>
              <w:rPr>
                <w:sz w:val="20"/>
                <w:szCs w:val="20"/>
                <w:color w:val="auto"/>
              </w:rPr>
            </w:pPr>
            <w:r>
              <w:rPr>
                <w:rFonts w:ascii="Arial" w:cs="Arial" w:eastAsia="Arial" w:hAnsi="Arial"/>
                <w:sz w:val="16"/>
                <w:szCs w:val="16"/>
                <w:color w:val="auto"/>
              </w:rPr>
              <w:t>Total assets</w:t>
            </w:r>
          </w:p>
        </w:tc>
        <w:tc>
          <w:tcPr>
            <w:tcW w:w="1900" w:type="dxa"/>
            <w:vAlign w:val="bottom"/>
            <w:tcBorders>
              <w:bottom w:val="single" w:sz="8" w:color="auto"/>
            </w:tcBorders>
          </w:tcPr>
          <w:p>
            <w:pPr>
              <w:jc w:val="right"/>
              <w:ind w:right="759"/>
              <w:spacing w:after="0" w:line="183" w:lineRule="exact"/>
              <w:rPr>
                <w:sz w:val="20"/>
                <w:szCs w:val="20"/>
                <w:color w:val="auto"/>
              </w:rPr>
            </w:pPr>
            <w:r>
              <w:rPr>
                <w:rFonts w:ascii="Arial" w:cs="Arial" w:eastAsia="Arial" w:hAnsi="Arial"/>
                <w:sz w:val="16"/>
                <w:szCs w:val="16"/>
                <w:b w:val="1"/>
                <w:bCs w:val="1"/>
                <w:color w:val="auto"/>
              </w:rPr>
              <w:t>$1,166,888</w:t>
            </w:r>
          </w:p>
        </w:tc>
        <w:tc>
          <w:tcPr>
            <w:tcW w:w="176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$1,156,697</w:t>
            </w:r>
          </w:p>
        </w:tc>
        <w:tc>
          <w:tcPr>
            <w:tcW w:w="0" w:type="dxa"/>
            <w:vAlign w:val="bottom"/>
          </w:tcPr>
          <w:p>
            <w:pPr>
              <w:spacing w:after="0"/>
              <w:rPr>
                <w:sz w:val="1"/>
                <w:szCs w:val="1"/>
                <w:color w:val="auto"/>
              </w:rPr>
            </w:pPr>
          </w:p>
        </w:tc>
      </w:tr>
      <w:tr>
        <w:trPr>
          <w:trHeight w:val="374"/>
        </w:trPr>
        <w:tc>
          <w:tcPr>
            <w:tcW w:w="7760" w:type="dxa"/>
            <w:vAlign w:val="bottom"/>
          </w:tcPr>
          <w:p>
            <w:pPr>
              <w:spacing w:after="0"/>
              <w:rPr>
                <w:sz w:val="20"/>
                <w:szCs w:val="20"/>
                <w:color w:val="auto"/>
              </w:rPr>
            </w:pPr>
            <w:r>
              <w:rPr>
                <w:rFonts w:ascii="Arial" w:cs="Arial" w:eastAsia="Arial" w:hAnsi="Arial"/>
                <w:sz w:val="16"/>
                <w:szCs w:val="16"/>
                <w:b w:val="1"/>
                <w:bCs w:val="1"/>
                <w:color w:val="auto"/>
              </w:rPr>
              <w:t>Liabilities</w:t>
            </w:r>
          </w:p>
        </w:tc>
        <w:tc>
          <w:tcPr>
            <w:tcW w:w="19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6"/>
                <w:szCs w:val="16"/>
                <w:color w:val="auto"/>
              </w:rPr>
              <w:t>Current liabilities:</w:t>
            </w:r>
          </w:p>
        </w:tc>
        <w:tc>
          <w:tcPr>
            <w:tcW w:w="1900" w:type="dxa"/>
            <w:vAlign w:val="bottom"/>
            <w:vMerge w:val="restart"/>
          </w:tcPr>
          <w:p>
            <w:pPr>
              <w:jc w:val="right"/>
              <w:ind w:right="759"/>
              <w:spacing w:after="0"/>
              <w:rPr>
                <w:sz w:val="20"/>
                <w:szCs w:val="20"/>
                <w:color w:val="auto"/>
              </w:rPr>
            </w:pPr>
            <w:r>
              <w:rPr>
                <w:rFonts w:ascii="Arial" w:cs="Arial" w:eastAsia="Arial" w:hAnsi="Arial"/>
                <w:sz w:val="16"/>
                <w:szCs w:val="16"/>
                <w:b w:val="1"/>
                <w:bCs w:val="1"/>
                <w:color w:val="auto"/>
              </w:rPr>
              <w:t>$625</w:t>
            </w: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760" w:type="dxa"/>
            <w:vAlign w:val="bottom"/>
          </w:tcPr>
          <w:p>
            <w:pPr>
              <w:spacing w:after="0" w:line="169" w:lineRule="exact"/>
              <w:rPr>
                <w:sz w:val="20"/>
                <w:szCs w:val="20"/>
                <w:color w:val="auto"/>
              </w:rPr>
            </w:pPr>
            <w:r>
              <w:rPr>
                <w:rFonts w:ascii="Arial" w:cs="Arial" w:eastAsia="Arial" w:hAnsi="Arial"/>
                <w:sz w:val="16"/>
                <w:szCs w:val="16"/>
                <w:color w:val="auto"/>
              </w:rPr>
              <w:t>Notes and loans payable</w:t>
            </w:r>
          </w:p>
        </w:tc>
        <w:tc>
          <w:tcPr>
            <w:tcW w:w="1900" w:type="dxa"/>
            <w:vAlign w:val="bottom"/>
            <w:vMerge w:val="continue"/>
          </w:tcPr>
          <w:p>
            <w:pPr>
              <w:spacing w:after="0"/>
              <w:rPr>
                <w:sz w:val="14"/>
                <w:szCs w:val="14"/>
                <w:color w:val="auto"/>
              </w:rPr>
            </w:pPr>
          </w:p>
        </w:tc>
        <w:tc>
          <w:tcPr>
            <w:tcW w:w="1760" w:type="dxa"/>
            <w:vAlign w:val="bottom"/>
          </w:tcPr>
          <w:p>
            <w:pPr>
              <w:jc w:val="right"/>
              <w:ind w:right="19"/>
              <w:spacing w:after="0" w:line="169" w:lineRule="exact"/>
              <w:rPr>
                <w:sz w:val="20"/>
                <w:szCs w:val="20"/>
                <w:color w:val="auto"/>
              </w:rPr>
            </w:pPr>
            <w:r>
              <w:rPr>
                <w:rFonts w:ascii="Arial" w:cs="Arial" w:eastAsia="Arial" w:hAnsi="Arial"/>
                <w:sz w:val="16"/>
                <w:szCs w:val="16"/>
                <w:color w:val="auto"/>
              </w:rPr>
              <w:t>$586</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6"/>
                <w:szCs w:val="16"/>
                <w:color w:val="auto"/>
              </w:rPr>
              <w:t>Accounts payable</w:t>
            </w:r>
          </w:p>
        </w:tc>
        <w:tc>
          <w:tcPr>
            <w:tcW w:w="1900" w:type="dxa"/>
            <w:vAlign w:val="bottom"/>
          </w:tcPr>
          <w:p>
            <w:pPr>
              <w:jc w:val="right"/>
              <w:ind w:right="759"/>
              <w:spacing w:after="0"/>
              <w:rPr>
                <w:sz w:val="20"/>
                <w:szCs w:val="20"/>
                <w:color w:val="auto"/>
              </w:rPr>
            </w:pPr>
            <w:r>
              <w:rPr>
                <w:rFonts w:ascii="Arial" w:cs="Arial" w:eastAsia="Arial" w:hAnsi="Arial"/>
                <w:sz w:val="16"/>
                <w:szCs w:val="16"/>
                <w:b w:val="1"/>
                <w:bCs w:val="1"/>
                <w:color w:val="auto"/>
              </w:rPr>
              <w:t>36,397</w:t>
            </w: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35,117</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6"/>
                <w:szCs w:val="16"/>
                <w:color w:val="auto"/>
              </w:rPr>
              <w:t>Accrued liabilities</w:t>
            </w:r>
          </w:p>
        </w:tc>
        <w:tc>
          <w:tcPr>
            <w:tcW w:w="1900" w:type="dxa"/>
            <w:vAlign w:val="bottom"/>
          </w:tcPr>
          <w:p>
            <w:pPr>
              <w:jc w:val="right"/>
              <w:ind w:right="759"/>
              <w:spacing w:after="0"/>
              <w:rPr>
                <w:sz w:val="20"/>
                <w:szCs w:val="20"/>
                <w:color w:val="auto"/>
              </w:rPr>
            </w:pPr>
            <w:r>
              <w:rPr>
                <w:rFonts w:ascii="Arial" w:cs="Arial" w:eastAsia="Arial" w:hAnsi="Arial"/>
                <w:sz w:val="16"/>
                <w:szCs w:val="16"/>
                <w:b w:val="1"/>
                <w:bCs w:val="1"/>
                <w:color w:val="auto"/>
              </w:rPr>
              <w:t>112,331</w:t>
            </w: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103,257</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6"/>
                <w:szCs w:val="16"/>
                <w:color w:val="auto"/>
              </w:rPr>
              <w:t>Current maturities of long-term debt</w:t>
            </w:r>
          </w:p>
        </w:tc>
        <w:tc>
          <w:tcPr>
            <w:tcW w:w="1900" w:type="dxa"/>
            <w:vAlign w:val="bottom"/>
          </w:tcPr>
          <w:p>
            <w:pPr>
              <w:jc w:val="right"/>
              <w:ind w:right="759"/>
              <w:spacing w:after="0"/>
              <w:rPr>
                <w:sz w:val="20"/>
                <w:szCs w:val="20"/>
                <w:color w:val="auto"/>
              </w:rPr>
            </w:pPr>
            <w:r>
              <w:rPr>
                <w:rFonts w:ascii="Arial" w:cs="Arial" w:eastAsia="Arial" w:hAnsi="Arial"/>
                <w:sz w:val="16"/>
                <w:szCs w:val="16"/>
                <w:b w:val="1"/>
                <w:bCs w:val="1"/>
                <w:color w:val="auto"/>
              </w:rPr>
              <w:t>3,764</w:t>
            </w: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83,276</w:t>
            </w:r>
          </w:p>
        </w:tc>
        <w:tc>
          <w:tcPr>
            <w:tcW w:w="0" w:type="dxa"/>
            <w:vAlign w:val="bottom"/>
          </w:tcPr>
          <w:p>
            <w:pPr>
              <w:spacing w:after="0"/>
              <w:rPr>
                <w:sz w:val="1"/>
                <w:szCs w:val="1"/>
                <w:color w:val="auto"/>
              </w:rPr>
            </w:pPr>
          </w:p>
        </w:tc>
      </w:tr>
      <w:tr>
        <w:trPr>
          <w:trHeight w:val="207"/>
        </w:trPr>
        <w:tc>
          <w:tcPr>
            <w:tcW w:w="77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Income taxes payable and deferred</w:t>
            </w:r>
          </w:p>
        </w:tc>
        <w:tc>
          <w:tcPr>
            <w:tcW w:w="190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5,391</w:t>
            </w:r>
          </w:p>
        </w:tc>
        <w:tc>
          <w:tcPr>
            <w:tcW w:w="1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13,552</w:t>
            </w:r>
          </w:p>
        </w:tc>
        <w:tc>
          <w:tcPr>
            <w:tcW w:w="0" w:type="dxa"/>
            <w:vAlign w:val="bottom"/>
          </w:tcPr>
          <w:p>
            <w:pPr>
              <w:spacing w:after="0"/>
              <w:rPr>
                <w:sz w:val="1"/>
                <w:szCs w:val="1"/>
                <w:color w:val="auto"/>
              </w:rPr>
            </w:pPr>
          </w:p>
        </w:tc>
      </w:tr>
      <w:tr>
        <w:trPr>
          <w:trHeight w:val="208"/>
        </w:trPr>
        <w:tc>
          <w:tcPr>
            <w:tcW w:w="7760" w:type="dxa"/>
            <w:vAlign w:val="bottom"/>
          </w:tcPr>
          <w:p>
            <w:pPr>
              <w:ind w:left="380"/>
              <w:spacing w:after="0"/>
              <w:rPr>
                <w:sz w:val="20"/>
                <w:szCs w:val="20"/>
                <w:color w:val="auto"/>
              </w:rPr>
            </w:pPr>
            <w:r>
              <w:rPr>
                <w:rFonts w:ascii="Arial" w:cs="Arial" w:eastAsia="Arial" w:hAnsi="Arial"/>
                <w:sz w:val="16"/>
                <w:szCs w:val="16"/>
                <w:color w:val="auto"/>
              </w:rPr>
              <w:t>Total current liabilities</w:t>
            </w:r>
          </w:p>
        </w:tc>
        <w:tc>
          <w:tcPr>
            <w:tcW w:w="1900" w:type="dxa"/>
            <w:vAlign w:val="bottom"/>
          </w:tcPr>
          <w:p>
            <w:pPr>
              <w:jc w:val="right"/>
              <w:ind w:right="759"/>
              <w:spacing w:after="0"/>
              <w:rPr>
                <w:sz w:val="20"/>
                <w:szCs w:val="20"/>
                <w:color w:val="auto"/>
              </w:rPr>
            </w:pPr>
            <w:r>
              <w:rPr>
                <w:rFonts w:ascii="Arial" w:cs="Arial" w:eastAsia="Arial" w:hAnsi="Arial"/>
                <w:sz w:val="16"/>
                <w:szCs w:val="16"/>
                <w:b w:val="1"/>
                <w:bCs w:val="1"/>
                <w:color w:val="auto"/>
              </w:rPr>
              <w:t>158,508</w:t>
            </w: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235,788</w:t>
            </w:r>
          </w:p>
        </w:tc>
        <w:tc>
          <w:tcPr>
            <w:tcW w:w="0" w:type="dxa"/>
            <w:vAlign w:val="bottom"/>
          </w:tcPr>
          <w:p>
            <w:pPr>
              <w:spacing w:after="0"/>
              <w:rPr>
                <w:sz w:val="1"/>
                <w:szCs w:val="1"/>
                <w:color w:val="auto"/>
              </w:rPr>
            </w:pPr>
          </w:p>
        </w:tc>
      </w:tr>
      <w:tr>
        <w:trPr>
          <w:trHeight w:val="334"/>
        </w:trPr>
        <w:tc>
          <w:tcPr>
            <w:tcW w:w="7760" w:type="dxa"/>
            <w:vAlign w:val="bottom"/>
          </w:tcPr>
          <w:p>
            <w:pPr>
              <w:spacing w:after="0"/>
              <w:rPr>
                <w:sz w:val="20"/>
                <w:szCs w:val="20"/>
                <w:color w:val="auto"/>
              </w:rPr>
            </w:pPr>
            <w:r>
              <w:rPr>
                <w:rFonts w:ascii="Arial" w:cs="Arial" w:eastAsia="Arial" w:hAnsi="Arial"/>
                <w:sz w:val="16"/>
                <w:szCs w:val="16"/>
                <w:color w:val="auto"/>
              </w:rPr>
              <w:t>Long-term debt</w:t>
            </w:r>
          </w:p>
        </w:tc>
        <w:tc>
          <w:tcPr>
            <w:tcW w:w="1900" w:type="dxa"/>
            <w:vAlign w:val="bottom"/>
          </w:tcPr>
          <w:p>
            <w:pPr>
              <w:jc w:val="right"/>
              <w:ind w:right="759"/>
              <w:spacing w:after="0"/>
              <w:rPr>
                <w:sz w:val="20"/>
                <w:szCs w:val="20"/>
                <w:color w:val="auto"/>
              </w:rPr>
            </w:pPr>
            <w:r>
              <w:rPr>
                <w:rFonts w:ascii="Arial" w:cs="Arial" w:eastAsia="Arial" w:hAnsi="Arial"/>
                <w:sz w:val="16"/>
                <w:szCs w:val="16"/>
                <w:b w:val="1"/>
                <w:bCs w:val="1"/>
                <w:color w:val="auto"/>
              </w:rPr>
              <w:t>300,111</w:t>
            </w: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235,877</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1900" w:type="dxa"/>
            <w:vAlign w:val="bottom"/>
          </w:tcPr>
          <w:p>
            <w:pPr>
              <w:jc w:val="right"/>
              <w:ind w:right="759"/>
              <w:spacing w:after="0"/>
              <w:rPr>
                <w:sz w:val="20"/>
                <w:szCs w:val="20"/>
                <w:color w:val="auto"/>
              </w:rPr>
            </w:pPr>
            <w:r>
              <w:rPr>
                <w:rFonts w:ascii="Arial" w:cs="Arial" w:eastAsia="Arial" w:hAnsi="Arial"/>
                <w:sz w:val="16"/>
                <w:szCs w:val="16"/>
                <w:b w:val="1"/>
                <w:bCs w:val="1"/>
                <w:color w:val="auto"/>
              </w:rPr>
              <w:t>106,014</w:t>
            </w: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136,012</w:t>
            </w:r>
          </w:p>
        </w:tc>
        <w:tc>
          <w:tcPr>
            <w:tcW w:w="0" w:type="dxa"/>
            <w:vAlign w:val="bottom"/>
          </w:tcPr>
          <w:p>
            <w:pPr>
              <w:spacing w:after="0"/>
              <w:rPr>
                <w:sz w:val="1"/>
                <w:szCs w:val="1"/>
                <w:color w:val="auto"/>
              </w:rPr>
            </w:pPr>
          </w:p>
        </w:tc>
      </w:tr>
      <w:tr>
        <w:trPr>
          <w:trHeight w:val="207"/>
        </w:trPr>
        <w:tc>
          <w:tcPr>
            <w:tcW w:w="77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Deferred taxes and other credits</w:t>
            </w:r>
          </w:p>
        </w:tc>
        <w:tc>
          <w:tcPr>
            <w:tcW w:w="190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54,476</w:t>
            </w:r>
          </w:p>
        </w:tc>
        <w:tc>
          <w:tcPr>
            <w:tcW w:w="1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55,509</w:t>
            </w:r>
          </w:p>
        </w:tc>
        <w:tc>
          <w:tcPr>
            <w:tcW w:w="0" w:type="dxa"/>
            <w:vAlign w:val="bottom"/>
          </w:tcPr>
          <w:p>
            <w:pPr>
              <w:spacing w:after="0"/>
              <w:rPr>
                <w:sz w:val="1"/>
                <w:szCs w:val="1"/>
                <w:color w:val="auto"/>
              </w:rPr>
            </w:pPr>
          </w:p>
        </w:tc>
      </w:tr>
      <w:tr>
        <w:trPr>
          <w:trHeight w:val="183"/>
        </w:trPr>
        <w:tc>
          <w:tcPr>
            <w:tcW w:w="7760" w:type="dxa"/>
            <w:vAlign w:val="bottom"/>
            <w:tcBorders>
              <w:bottom w:val="single" w:sz="8" w:color="auto"/>
            </w:tcBorders>
          </w:tcPr>
          <w:p>
            <w:pPr>
              <w:ind w:left="380"/>
              <w:spacing w:after="0" w:line="183" w:lineRule="exact"/>
              <w:rPr>
                <w:sz w:val="20"/>
                <w:szCs w:val="20"/>
                <w:color w:val="auto"/>
              </w:rPr>
            </w:pPr>
            <w:r>
              <w:rPr>
                <w:rFonts w:ascii="Arial" w:cs="Arial" w:eastAsia="Arial" w:hAnsi="Arial"/>
                <w:sz w:val="16"/>
                <w:szCs w:val="16"/>
                <w:color w:val="auto"/>
              </w:rPr>
              <w:t>Total liabilities</w:t>
            </w:r>
          </w:p>
        </w:tc>
        <w:tc>
          <w:tcPr>
            <w:tcW w:w="1900" w:type="dxa"/>
            <w:vAlign w:val="bottom"/>
            <w:tcBorders>
              <w:bottom w:val="single" w:sz="8" w:color="auto"/>
            </w:tcBorders>
          </w:tcPr>
          <w:p>
            <w:pPr>
              <w:jc w:val="right"/>
              <w:ind w:right="759"/>
              <w:spacing w:after="0" w:line="183" w:lineRule="exact"/>
              <w:rPr>
                <w:sz w:val="20"/>
                <w:szCs w:val="20"/>
                <w:color w:val="auto"/>
              </w:rPr>
            </w:pPr>
            <w:r>
              <w:rPr>
                <w:rFonts w:ascii="Arial" w:cs="Arial" w:eastAsia="Arial" w:hAnsi="Arial"/>
                <w:sz w:val="16"/>
                <w:szCs w:val="16"/>
                <w:b w:val="1"/>
                <w:bCs w:val="1"/>
                <w:color w:val="auto"/>
              </w:rPr>
              <w:t>619,109</w:t>
            </w:r>
          </w:p>
        </w:tc>
        <w:tc>
          <w:tcPr>
            <w:tcW w:w="176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663,186</w:t>
            </w:r>
          </w:p>
        </w:tc>
        <w:tc>
          <w:tcPr>
            <w:tcW w:w="0" w:type="dxa"/>
            <w:vAlign w:val="bottom"/>
          </w:tcPr>
          <w:p>
            <w:pPr>
              <w:spacing w:after="0"/>
              <w:rPr>
                <w:sz w:val="1"/>
                <w:szCs w:val="1"/>
                <w:color w:val="auto"/>
              </w:rPr>
            </w:pPr>
          </w:p>
        </w:tc>
      </w:tr>
      <w:tr>
        <w:trPr>
          <w:trHeight w:val="379"/>
        </w:trPr>
        <w:tc>
          <w:tcPr>
            <w:tcW w:w="7760" w:type="dxa"/>
            <w:vAlign w:val="bottom"/>
          </w:tcPr>
          <w:p>
            <w:pPr>
              <w:spacing w:after="0"/>
              <w:rPr>
                <w:sz w:val="20"/>
                <w:szCs w:val="20"/>
                <w:color w:val="auto"/>
              </w:rPr>
            </w:pPr>
            <w:r>
              <w:rPr>
                <w:rFonts w:ascii="Arial" w:cs="Arial" w:eastAsia="Arial" w:hAnsi="Arial"/>
                <w:sz w:val="16"/>
                <w:szCs w:val="16"/>
                <w:b w:val="1"/>
                <w:bCs w:val="1"/>
                <w:color w:val="auto"/>
              </w:rPr>
              <w:t>Commitments and Contingencies</w:t>
            </w:r>
          </w:p>
        </w:tc>
        <w:tc>
          <w:tcPr>
            <w:tcW w:w="1900" w:type="dxa"/>
            <w:vAlign w:val="bottom"/>
          </w:tcPr>
          <w:p>
            <w:pPr>
              <w:jc w:val="right"/>
              <w:ind w:right="759"/>
              <w:spacing w:after="0"/>
              <w:rPr>
                <w:sz w:val="20"/>
                <w:szCs w:val="20"/>
                <w:color w:val="auto"/>
              </w:rPr>
            </w:pPr>
            <w:r>
              <w:rPr>
                <w:rFonts w:ascii="Arial" w:cs="Arial" w:eastAsia="Arial" w:hAnsi="Arial"/>
                <w:sz w:val="16"/>
                <w:szCs w:val="16"/>
                <w:b w:val="1"/>
                <w:bCs w:val="1"/>
                <w:color w:val="auto"/>
              </w:rPr>
              <w:t>-</w:t>
            </w: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73"/>
        </w:trPr>
        <w:tc>
          <w:tcPr>
            <w:tcW w:w="7760" w:type="dxa"/>
            <w:vAlign w:val="bottom"/>
          </w:tcPr>
          <w:p>
            <w:pPr>
              <w:spacing w:after="0"/>
              <w:rPr>
                <w:sz w:val="20"/>
                <w:szCs w:val="20"/>
                <w:color w:val="auto"/>
              </w:rPr>
            </w:pPr>
            <w:r>
              <w:rPr>
                <w:rFonts w:ascii="Arial" w:cs="Arial" w:eastAsia="Arial" w:hAnsi="Arial"/>
                <w:sz w:val="16"/>
                <w:szCs w:val="16"/>
                <w:b w:val="1"/>
                <w:bCs w:val="1"/>
                <w:color w:val="auto"/>
              </w:rPr>
              <w:t>Shareholders' Equity</w:t>
            </w:r>
          </w:p>
        </w:tc>
        <w:tc>
          <w:tcPr>
            <w:tcW w:w="1900" w:type="dxa"/>
            <w:vAlign w:val="bottom"/>
            <w:vMerge w:val="restart"/>
          </w:tcPr>
          <w:p>
            <w:pPr>
              <w:jc w:val="right"/>
              <w:ind w:right="759"/>
              <w:spacing w:after="0"/>
              <w:rPr>
                <w:sz w:val="20"/>
                <w:szCs w:val="20"/>
                <w:color w:val="auto"/>
              </w:rPr>
            </w:pPr>
            <w:r>
              <w:rPr>
                <w:rFonts w:ascii="Arial" w:cs="Arial" w:eastAsia="Arial" w:hAnsi="Arial"/>
                <w:sz w:val="16"/>
                <w:szCs w:val="16"/>
                <w:b w:val="1"/>
                <w:bCs w:val="1"/>
                <w:color w:val="auto"/>
              </w:rPr>
              <w:t>-</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760" w:type="dxa"/>
            <w:vAlign w:val="bottom"/>
          </w:tcPr>
          <w:p>
            <w:pPr>
              <w:ind w:left="60"/>
              <w:spacing w:after="0"/>
              <w:rPr>
                <w:sz w:val="20"/>
                <w:szCs w:val="20"/>
                <w:color w:val="auto"/>
              </w:rPr>
            </w:pPr>
            <w:r>
              <w:rPr>
                <w:rFonts w:ascii="Arial" w:cs="Arial" w:eastAsia="Arial" w:hAnsi="Arial"/>
                <w:sz w:val="16"/>
                <w:szCs w:val="16"/>
                <w:color w:val="auto"/>
              </w:rPr>
              <w:t>Preferred stock, par value $5.00 per share; authorized 2,000,000 shares; none issued</w:t>
            </w:r>
          </w:p>
        </w:tc>
        <w:tc>
          <w:tcPr>
            <w:tcW w:w="1900" w:type="dxa"/>
            <w:vAlign w:val="bottom"/>
            <w:vMerge w:val="continue"/>
          </w:tcPr>
          <w:p>
            <w:pPr>
              <w:spacing w:after="0"/>
              <w:rPr>
                <w:sz w:val="16"/>
                <w:szCs w:val="16"/>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7760" w:type="dxa"/>
            <w:vAlign w:val="bottom"/>
          </w:tcPr>
          <w:p>
            <w:pPr>
              <w:ind w:left="60"/>
              <w:spacing w:after="0"/>
              <w:rPr>
                <w:sz w:val="20"/>
                <w:szCs w:val="20"/>
                <w:color w:val="auto"/>
              </w:rPr>
            </w:pPr>
            <w:r>
              <w:rPr>
                <w:rFonts w:ascii="Arial" w:cs="Arial" w:eastAsia="Arial" w:hAnsi="Arial"/>
                <w:sz w:val="16"/>
                <w:szCs w:val="16"/>
                <w:color w:val="auto"/>
              </w:rPr>
              <w:t>Class A Common Stock, par value $.001 per share; authorized 100,000,000 shares;</w:t>
            </w:r>
          </w:p>
        </w:tc>
        <w:tc>
          <w:tcPr>
            <w:tcW w:w="1900" w:type="dxa"/>
            <w:vAlign w:val="bottom"/>
            <w:vMerge w:val="restart"/>
          </w:tcPr>
          <w:p>
            <w:pPr>
              <w:jc w:val="right"/>
              <w:ind w:right="759"/>
              <w:spacing w:after="0"/>
              <w:rPr>
                <w:sz w:val="20"/>
                <w:szCs w:val="20"/>
                <w:color w:val="auto"/>
              </w:rPr>
            </w:pPr>
            <w:r>
              <w:rPr>
                <w:rFonts w:ascii="Arial" w:cs="Arial" w:eastAsia="Arial" w:hAnsi="Arial"/>
                <w:sz w:val="16"/>
                <w:szCs w:val="16"/>
                <w:b w:val="1"/>
                <w:bCs w:val="1"/>
                <w:color w:val="auto"/>
              </w:rPr>
              <w:t>37</w:t>
            </w: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60" w:type="dxa"/>
            <w:vAlign w:val="bottom"/>
          </w:tcPr>
          <w:p>
            <w:pPr>
              <w:ind w:left="180"/>
              <w:spacing w:after="0"/>
              <w:rPr>
                <w:sz w:val="20"/>
                <w:szCs w:val="20"/>
                <w:color w:val="auto"/>
              </w:rPr>
            </w:pPr>
            <w:r>
              <w:rPr>
                <w:rFonts w:ascii="Arial" w:cs="Arial" w:eastAsia="Arial" w:hAnsi="Arial"/>
                <w:sz w:val="16"/>
                <w:szCs w:val="16"/>
                <w:color w:val="auto"/>
              </w:rPr>
              <w:t>issued 36,996,227 in 2013 and 36,642,204 in 2012</w:t>
            </w:r>
          </w:p>
        </w:tc>
        <w:tc>
          <w:tcPr>
            <w:tcW w:w="1900" w:type="dxa"/>
            <w:vAlign w:val="bottom"/>
            <w:vMerge w:val="continue"/>
          </w:tcPr>
          <w:p>
            <w:pPr>
              <w:spacing w:after="0"/>
              <w:rPr>
                <w:sz w:val="16"/>
                <w:szCs w:val="16"/>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189"/>
        </w:trPr>
        <w:tc>
          <w:tcPr>
            <w:tcW w:w="7760" w:type="dxa"/>
            <w:vAlign w:val="bottom"/>
          </w:tcPr>
          <w:p>
            <w:pPr>
              <w:ind w:left="60"/>
              <w:spacing w:after="0"/>
              <w:rPr>
                <w:sz w:val="20"/>
                <w:szCs w:val="20"/>
                <w:color w:val="auto"/>
              </w:rPr>
            </w:pPr>
            <w:r>
              <w:rPr>
                <w:rFonts w:ascii="Arial" w:cs="Arial" w:eastAsia="Arial" w:hAnsi="Arial"/>
                <w:sz w:val="16"/>
                <w:szCs w:val="16"/>
                <w:color w:val="auto"/>
              </w:rPr>
              <w:t>Class B Common Stock, par value $.001 per share; authorized 25,000,000 shares;</w:t>
            </w:r>
          </w:p>
        </w:tc>
        <w:tc>
          <w:tcPr>
            <w:tcW w:w="1900" w:type="dxa"/>
            <w:vAlign w:val="bottom"/>
            <w:vMerge w:val="restart"/>
          </w:tcPr>
          <w:p>
            <w:pPr>
              <w:jc w:val="right"/>
              <w:ind w:right="759"/>
              <w:spacing w:after="0"/>
              <w:rPr>
                <w:sz w:val="20"/>
                <w:szCs w:val="20"/>
                <w:color w:val="auto"/>
              </w:rPr>
            </w:pPr>
            <w:r>
              <w:rPr>
                <w:rFonts w:ascii="Arial" w:cs="Arial" w:eastAsia="Arial" w:hAnsi="Arial"/>
                <w:sz w:val="16"/>
                <w:szCs w:val="16"/>
                <w:b w:val="1"/>
                <w:bCs w:val="1"/>
                <w:color w:val="auto"/>
              </w:rPr>
              <w:t>3</w:t>
            </w: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760" w:type="dxa"/>
            <w:vAlign w:val="bottom"/>
          </w:tcPr>
          <w:p>
            <w:pPr>
              <w:ind w:left="180"/>
              <w:spacing w:after="0" w:line="169" w:lineRule="exact"/>
              <w:rPr>
                <w:sz w:val="20"/>
                <w:szCs w:val="20"/>
                <w:color w:val="auto"/>
              </w:rPr>
            </w:pPr>
            <w:r>
              <w:rPr>
                <w:rFonts w:ascii="Arial" w:cs="Arial" w:eastAsia="Arial" w:hAnsi="Arial"/>
                <w:sz w:val="16"/>
                <w:szCs w:val="16"/>
                <w:color w:val="auto"/>
              </w:rPr>
              <w:t>issued and outstanding 3,236,098 in 2013 and 2012</w:t>
            </w:r>
          </w:p>
        </w:tc>
        <w:tc>
          <w:tcPr>
            <w:tcW w:w="1900" w:type="dxa"/>
            <w:vAlign w:val="bottom"/>
            <w:vMerge w:val="continue"/>
          </w:tcPr>
          <w:p>
            <w:pPr>
              <w:spacing w:after="0"/>
              <w:rPr>
                <w:sz w:val="14"/>
                <w:szCs w:val="14"/>
                <w:color w:val="auto"/>
              </w:rPr>
            </w:pPr>
          </w:p>
        </w:tc>
        <w:tc>
          <w:tcPr>
            <w:tcW w:w="1760" w:type="dxa"/>
            <w:vAlign w:val="bottom"/>
          </w:tcPr>
          <w:p>
            <w:pPr>
              <w:jc w:val="right"/>
              <w:ind w:right="19"/>
              <w:spacing w:after="0" w:line="169"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6"/>
                <w:szCs w:val="16"/>
                <w:color w:val="auto"/>
              </w:rPr>
              <w:t>Additional paid-in capital</w:t>
            </w:r>
          </w:p>
        </w:tc>
        <w:tc>
          <w:tcPr>
            <w:tcW w:w="1900" w:type="dxa"/>
            <w:vAlign w:val="bottom"/>
          </w:tcPr>
          <w:p>
            <w:pPr>
              <w:jc w:val="right"/>
              <w:ind w:right="759"/>
              <w:spacing w:after="0"/>
              <w:rPr>
                <w:sz w:val="20"/>
                <w:szCs w:val="20"/>
                <w:color w:val="auto"/>
              </w:rPr>
            </w:pPr>
            <w:r>
              <w:rPr>
                <w:rFonts w:ascii="Arial" w:cs="Arial" w:eastAsia="Arial" w:hAnsi="Arial"/>
                <w:sz w:val="16"/>
                <w:szCs w:val="16"/>
                <w:b w:val="1"/>
                <w:bCs w:val="1"/>
                <w:color w:val="auto"/>
              </w:rPr>
              <w:t>416,728</w:t>
            </w: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395,381</w:t>
            </w:r>
          </w:p>
        </w:tc>
        <w:tc>
          <w:tcPr>
            <w:tcW w:w="0" w:type="dxa"/>
            <w:vAlign w:val="bottom"/>
          </w:tcPr>
          <w:p>
            <w:pPr>
              <w:spacing w:after="0"/>
              <w:rPr>
                <w:sz w:val="1"/>
                <w:szCs w:val="1"/>
                <w:color w:val="auto"/>
              </w:rPr>
            </w:pPr>
          </w:p>
        </w:tc>
      </w:tr>
      <w:tr>
        <w:trPr>
          <w:trHeight w:val="209"/>
        </w:trPr>
        <w:tc>
          <w:tcPr>
            <w:tcW w:w="7760" w:type="dxa"/>
            <w:vAlign w:val="bottom"/>
          </w:tcPr>
          <w:p>
            <w:pPr>
              <w:spacing w:after="0"/>
              <w:rPr>
                <w:sz w:val="20"/>
                <w:szCs w:val="20"/>
                <w:color w:val="auto"/>
              </w:rPr>
            </w:pPr>
            <w:r>
              <w:rPr>
                <w:rFonts w:ascii="Arial" w:cs="Arial" w:eastAsia="Arial" w:hAnsi="Arial"/>
                <w:sz w:val="16"/>
                <w:szCs w:val="16"/>
                <w:color w:val="auto"/>
              </w:rPr>
              <w:t>Retained earnings</w:t>
            </w:r>
          </w:p>
        </w:tc>
        <w:tc>
          <w:tcPr>
            <w:tcW w:w="1900" w:type="dxa"/>
            <w:vAlign w:val="bottom"/>
          </w:tcPr>
          <w:p>
            <w:pPr>
              <w:jc w:val="right"/>
              <w:ind w:right="759"/>
              <w:spacing w:after="0"/>
              <w:rPr>
                <w:sz w:val="20"/>
                <w:szCs w:val="20"/>
                <w:color w:val="auto"/>
              </w:rPr>
            </w:pPr>
            <w:r>
              <w:rPr>
                <w:rFonts w:ascii="Arial" w:cs="Arial" w:eastAsia="Arial" w:hAnsi="Arial"/>
                <w:sz w:val="16"/>
                <w:szCs w:val="16"/>
                <w:b w:val="1"/>
                <w:bCs w:val="1"/>
                <w:color w:val="auto"/>
              </w:rPr>
              <w:t>434,598</w:t>
            </w: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435,775</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6"/>
                <w:szCs w:val="16"/>
                <w:color w:val="auto"/>
              </w:rPr>
              <w:t>Accumulated items of other comprehensive income:</w:t>
            </w:r>
          </w:p>
        </w:tc>
        <w:tc>
          <w:tcPr>
            <w:tcW w:w="1900" w:type="dxa"/>
            <w:vAlign w:val="bottom"/>
            <w:vMerge w:val="restart"/>
          </w:tcPr>
          <w:p>
            <w:pPr>
              <w:jc w:val="right"/>
              <w:ind w:right="719"/>
              <w:spacing w:after="0"/>
              <w:rPr>
                <w:sz w:val="20"/>
                <w:szCs w:val="20"/>
                <w:color w:val="auto"/>
              </w:rPr>
            </w:pPr>
            <w:r>
              <w:rPr>
                <w:rFonts w:ascii="Arial" w:cs="Arial" w:eastAsia="Arial" w:hAnsi="Arial"/>
                <w:sz w:val="16"/>
                <w:szCs w:val="16"/>
                <w:b w:val="1"/>
                <w:bCs w:val="1"/>
                <w:color w:val="auto"/>
              </w:rPr>
              <w:t>(138)</w:t>
            </w: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760" w:type="dxa"/>
            <w:vAlign w:val="bottom"/>
          </w:tcPr>
          <w:p>
            <w:pPr>
              <w:ind w:left="220"/>
              <w:spacing w:after="0" w:line="169" w:lineRule="exact"/>
              <w:rPr>
                <w:sz w:val="20"/>
                <w:szCs w:val="20"/>
                <w:color w:val="auto"/>
              </w:rPr>
            </w:pPr>
            <w:r>
              <w:rPr>
                <w:rFonts w:ascii="Arial" w:cs="Arial" w:eastAsia="Arial" w:hAnsi="Arial"/>
                <w:sz w:val="16"/>
                <w:szCs w:val="16"/>
                <w:color w:val="auto"/>
              </w:rPr>
              <w:t>Translation adjustments</w:t>
            </w:r>
          </w:p>
        </w:tc>
        <w:tc>
          <w:tcPr>
            <w:tcW w:w="1900" w:type="dxa"/>
            <w:vAlign w:val="bottom"/>
            <w:vMerge w:val="continue"/>
          </w:tcPr>
          <w:p>
            <w:pPr>
              <w:spacing w:after="0"/>
              <w:rPr>
                <w:sz w:val="14"/>
                <w:szCs w:val="14"/>
                <w:color w:val="auto"/>
              </w:rPr>
            </w:pPr>
          </w:p>
        </w:tc>
        <w:tc>
          <w:tcPr>
            <w:tcW w:w="1760" w:type="dxa"/>
            <w:vAlign w:val="bottom"/>
          </w:tcPr>
          <w:p>
            <w:pPr>
              <w:jc w:val="right"/>
              <w:spacing w:after="0" w:line="169" w:lineRule="exact"/>
              <w:rPr>
                <w:sz w:val="20"/>
                <w:szCs w:val="20"/>
                <w:color w:val="auto"/>
              </w:rPr>
            </w:pPr>
            <w:r>
              <w:rPr>
                <w:rFonts w:ascii="Arial" w:cs="Arial" w:eastAsia="Arial" w:hAnsi="Arial"/>
                <w:sz w:val="16"/>
                <w:szCs w:val="16"/>
                <w:color w:val="auto"/>
              </w:rPr>
              <w:t>(7,659)</w:t>
            </w:r>
          </w:p>
        </w:tc>
        <w:tc>
          <w:tcPr>
            <w:tcW w:w="0" w:type="dxa"/>
            <w:vAlign w:val="bottom"/>
          </w:tcPr>
          <w:p>
            <w:pPr>
              <w:spacing w:after="0"/>
              <w:rPr>
                <w:sz w:val="1"/>
                <w:szCs w:val="1"/>
                <w:color w:val="auto"/>
              </w:rPr>
            </w:pPr>
          </w:p>
        </w:tc>
      </w:tr>
      <w:tr>
        <w:trPr>
          <w:trHeight w:val="189"/>
        </w:trPr>
        <w:tc>
          <w:tcPr>
            <w:tcW w:w="7760" w:type="dxa"/>
            <w:vAlign w:val="bottom"/>
          </w:tcPr>
          <w:p>
            <w:pPr>
              <w:ind w:left="220"/>
              <w:spacing w:after="0"/>
              <w:rPr>
                <w:sz w:val="20"/>
                <w:szCs w:val="20"/>
                <w:color w:val="auto"/>
              </w:rPr>
            </w:pPr>
            <w:r>
              <w:rPr>
                <w:rFonts w:ascii="Arial" w:cs="Arial" w:eastAsia="Arial" w:hAnsi="Arial"/>
                <w:sz w:val="16"/>
                <w:szCs w:val="16"/>
                <w:color w:val="auto"/>
              </w:rPr>
              <w:t>Pension and postretirement liability adjustments</w:t>
            </w:r>
          </w:p>
        </w:tc>
        <w:tc>
          <w:tcPr>
            <w:tcW w:w="1900" w:type="dxa"/>
            <w:vAlign w:val="bottom"/>
          </w:tcPr>
          <w:p>
            <w:pPr>
              <w:jc w:val="right"/>
              <w:ind w:right="719"/>
              <w:spacing w:after="0"/>
              <w:rPr>
                <w:sz w:val="20"/>
                <w:szCs w:val="20"/>
                <w:color w:val="auto"/>
              </w:rPr>
            </w:pPr>
            <w:r>
              <w:rPr>
                <w:rFonts w:ascii="Arial" w:cs="Arial" w:eastAsia="Arial" w:hAnsi="Arial"/>
                <w:sz w:val="16"/>
                <w:szCs w:val="16"/>
                <w:b w:val="1"/>
                <w:bCs w:val="1"/>
                <w:color w:val="auto"/>
              </w:rPr>
              <w:t>(48,383)</w:t>
            </w:r>
          </w:p>
        </w:tc>
        <w:tc>
          <w:tcPr>
            <w:tcW w:w="1760" w:type="dxa"/>
            <w:vAlign w:val="bottom"/>
          </w:tcPr>
          <w:p>
            <w:pPr>
              <w:jc w:val="right"/>
              <w:spacing w:after="0"/>
              <w:rPr>
                <w:sz w:val="20"/>
                <w:szCs w:val="20"/>
                <w:color w:val="auto"/>
              </w:rPr>
            </w:pPr>
            <w:r>
              <w:rPr>
                <w:rFonts w:ascii="Arial" w:cs="Arial" w:eastAsia="Arial" w:hAnsi="Arial"/>
                <w:sz w:val="16"/>
                <w:szCs w:val="16"/>
                <w:color w:val="auto"/>
              </w:rPr>
              <w:t>(69,484)</w:t>
            </w:r>
          </w:p>
        </w:tc>
        <w:tc>
          <w:tcPr>
            <w:tcW w:w="0" w:type="dxa"/>
            <w:vAlign w:val="bottom"/>
          </w:tcPr>
          <w:p>
            <w:pPr>
              <w:spacing w:after="0"/>
              <w:rPr>
                <w:sz w:val="1"/>
                <w:szCs w:val="1"/>
                <w:color w:val="auto"/>
              </w:rPr>
            </w:pPr>
          </w:p>
        </w:tc>
      </w:tr>
      <w:tr>
        <w:trPr>
          <w:trHeight w:val="209"/>
        </w:trPr>
        <w:tc>
          <w:tcPr>
            <w:tcW w:w="7760" w:type="dxa"/>
            <w:vAlign w:val="bottom"/>
          </w:tcPr>
          <w:p>
            <w:pPr>
              <w:ind w:left="220"/>
              <w:spacing w:after="0"/>
              <w:rPr>
                <w:sz w:val="20"/>
                <w:szCs w:val="20"/>
                <w:color w:val="auto"/>
              </w:rPr>
            </w:pPr>
            <w:r>
              <w:rPr>
                <w:rFonts w:ascii="Arial" w:cs="Arial" w:eastAsia="Arial" w:hAnsi="Arial"/>
                <w:sz w:val="16"/>
                <w:szCs w:val="16"/>
                <w:color w:val="auto"/>
              </w:rPr>
              <w:t>Derivative valuation adjustment</w:t>
            </w:r>
          </w:p>
        </w:tc>
        <w:tc>
          <w:tcPr>
            <w:tcW w:w="1900" w:type="dxa"/>
            <w:vAlign w:val="bottom"/>
          </w:tcPr>
          <w:p>
            <w:pPr>
              <w:jc w:val="right"/>
              <w:ind w:right="719"/>
              <w:spacing w:after="0"/>
              <w:rPr>
                <w:sz w:val="20"/>
                <w:szCs w:val="20"/>
                <w:color w:val="auto"/>
              </w:rPr>
            </w:pPr>
            <w:r>
              <w:rPr>
                <w:rFonts w:ascii="Arial" w:cs="Arial" w:eastAsia="Arial" w:hAnsi="Arial"/>
                <w:sz w:val="16"/>
                <w:szCs w:val="16"/>
                <w:b w:val="1"/>
                <w:bCs w:val="1"/>
                <w:color w:val="auto"/>
              </w:rPr>
              <w:t>(977)</w:t>
            </w:r>
          </w:p>
        </w:tc>
        <w:tc>
          <w:tcPr>
            <w:tcW w:w="1760" w:type="dxa"/>
            <w:vAlign w:val="bottom"/>
          </w:tcPr>
          <w:p>
            <w:pPr>
              <w:jc w:val="right"/>
              <w:spacing w:after="0"/>
              <w:rPr>
                <w:sz w:val="20"/>
                <w:szCs w:val="20"/>
                <w:color w:val="auto"/>
              </w:rPr>
            </w:pPr>
            <w:r>
              <w:rPr>
                <w:rFonts w:ascii="Arial" w:cs="Arial" w:eastAsia="Arial" w:hAnsi="Arial"/>
                <w:sz w:val="16"/>
                <w:szCs w:val="16"/>
                <w:color w:val="auto"/>
              </w:rPr>
              <w:t>(2,878)</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6"/>
                <w:szCs w:val="16"/>
                <w:color w:val="auto"/>
              </w:rPr>
              <w:t>Treasury stock (Class A), at cost; 8,463,635 shares in 2013 and 8,467,873 shares in</w:t>
            </w:r>
          </w:p>
        </w:tc>
        <w:tc>
          <w:tcPr>
            <w:tcW w:w="1900" w:type="dxa"/>
            <w:vAlign w:val="bottom"/>
            <w:vMerge w:val="restart"/>
          </w:tcPr>
          <w:p>
            <w:pPr>
              <w:jc w:val="right"/>
              <w:ind w:right="719"/>
              <w:spacing w:after="0"/>
              <w:rPr>
                <w:sz w:val="20"/>
                <w:szCs w:val="20"/>
                <w:color w:val="auto"/>
              </w:rPr>
            </w:pPr>
            <w:r>
              <w:rPr>
                <w:rFonts w:ascii="Arial" w:cs="Arial" w:eastAsia="Arial" w:hAnsi="Arial"/>
                <w:sz w:val="16"/>
                <w:szCs w:val="16"/>
                <w:b w:val="1"/>
                <w:bCs w:val="1"/>
                <w:color w:val="auto"/>
              </w:rPr>
              <w:t>(257,571)</w:t>
            </w: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7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2012</w:t>
            </w:r>
          </w:p>
        </w:tc>
        <w:tc>
          <w:tcPr>
            <w:tcW w:w="1900" w:type="dxa"/>
            <w:vAlign w:val="bottom"/>
            <w:tcBorders>
              <w:bottom w:val="single" w:sz="8" w:color="auto"/>
            </w:tcBorders>
            <w:vMerge w:val="continue"/>
          </w:tcPr>
          <w:p>
            <w:pPr>
              <w:spacing w:after="0"/>
              <w:rPr>
                <w:sz w:val="16"/>
                <w:szCs w:val="16"/>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(257,664)</w:t>
            </w:r>
          </w:p>
        </w:tc>
        <w:tc>
          <w:tcPr>
            <w:tcW w:w="0" w:type="dxa"/>
            <w:vAlign w:val="bottom"/>
          </w:tcPr>
          <w:p>
            <w:pPr>
              <w:spacing w:after="0"/>
              <w:rPr>
                <w:sz w:val="1"/>
                <w:szCs w:val="1"/>
                <w:color w:val="auto"/>
              </w:rPr>
            </w:pPr>
          </w:p>
        </w:tc>
      </w:tr>
      <w:tr>
        <w:trPr>
          <w:trHeight w:val="164"/>
        </w:trPr>
        <w:tc>
          <w:tcPr>
            <w:tcW w:w="7760" w:type="dxa"/>
            <w:vAlign w:val="bottom"/>
          </w:tcPr>
          <w:p>
            <w:pPr>
              <w:ind w:left="540"/>
              <w:spacing w:after="0" w:line="165" w:lineRule="exact"/>
              <w:rPr>
                <w:sz w:val="20"/>
                <w:szCs w:val="20"/>
                <w:color w:val="auto"/>
              </w:rPr>
            </w:pPr>
            <w:r>
              <w:rPr>
                <w:rFonts w:ascii="Arial" w:cs="Arial" w:eastAsia="Arial" w:hAnsi="Arial"/>
                <w:sz w:val="16"/>
                <w:szCs w:val="16"/>
                <w:color w:val="auto"/>
              </w:rPr>
              <w:t>Total Company shareholders' equity</w:t>
            </w:r>
          </w:p>
        </w:tc>
        <w:tc>
          <w:tcPr>
            <w:tcW w:w="1900" w:type="dxa"/>
            <w:vAlign w:val="bottom"/>
          </w:tcPr>
          <w:p>
            <w:pPr>
              <w:jc w:val="right"/>
              <w:ind w:right="759"/>
              <w:spacing w:after="0" w:line="165" w:lineRule="exact"/>
              <w:rPr>
                <w:sz w:val="20"/>
                <w:szCs w:val="20"/>
                <w:color w:val="auto"/>
              </w:rPr>
            </w:pPr>
            <w:r>
              <w:rPr>
                <w:rFonts w:ascii="Arial" w:cs="Arial" w:eastAsia="Arial" w:hAnsi="Arial"/>
                <w:sz w:val="16"/>
                <w:szCs w:val="16"/>
                <w:b w:val="1"/>
                <w:bCs w:val="1"/>
                <w:color w:val="auto"/>
              </w:rPr>
              <w:t>544,297</w:t>
            </w:r>
          </w:p>
        </w:tc>
        <w:tc>
          <w:tcPr>
            <w:tcW w:w="1760" w:type="dxa"/>
            <w:vAlign w:val="bottom"/>
          </w:tcPr>
          <w:p>
            <w:pPr>
              <w:jc w:val="right"/>
              <w:ind w:right="19"/>
              <w:spacing w:after="0" w:line="165" w:lineRule="exact"/>
              <w:rPr>
                <w:sz w:val="20"/>
                <w:szCs w:val="20"/>
                <w:color w:val="auto"/>
              </w:rPr>
            </w:pPr>
            <w:r>
              <w:rPr>
                <w:rFonts w:ascii="Arial" w:cs="Arial" w:eastAsia="Arial" w:hAnsi="Arial"/>
                <w:sz w:val="16"/>
                <w:szCs w:val="16"/>
                <w:color w:val="auto"/>
              </w:rPr>
              <w:t>493,511</w:t>
            </w:r>
          </w:p>
        </w:tc>
        <w:tc>
          <w:tcPr>
            <w:tcW w:w="0" w:type="dxa"/>
            <w:vAlign w:val="bottom"/>
          </w:tcPr>
          <w:p>
            <w:pPr>
              <w:spacing w:after="0"/>
              <w:rPr>
                <w:sz w:val="1"/>
                <w:szCs w:val="1"/>
                <w:color w:val="auto"/>
              </w:rPr>
            </w:pPr>
          </w:p>
        </w:tc>
      </w:tr>
      <w:tr>
        <w:trPr>
          <w:trHeight w:val="207"/>
        </w:trPr>
        <w:tc>
          <w:tcPr>
            <w:tcW w:w="77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Noncontrolling interest</w:t>
            </w:r>
          </w:p>
        </w:tc>
        <w:tc>
          <w:tcPr>
            <w:tcW w:w="190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3,482</w:t>
            </w:r>
          </w:p>
        </w:tc>
        <w:tc>
          <w:tcPr>
            <w:tcW w:w="1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776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Total Equity</w:t>
            </w:r>
          </w:p>
        </w:tc>
        <w:tc>
          <w:tcPr>
            <w:tcW w:w="1900" w:type="dxa"/>
            <w:vAlign w:val="bottom"/>
            <w:tcBorders>
              <w:bottom w:val="single" w:sz="8" w:color="auto"/>
            </w:tcBorders>
          </w:tcPr>
          <w:p>
            <w:pPr>
              <w:jc w:val="right"/>
              <w:ind w:right="759"/>
              <w:spacing w:after="0" w:line="183" w:lineRule="exact"/>
              <w:rPr>
                <w:sz w:val="20"/>
                <w:szCs w:val="20"/>
                <w:color w:val="auto"/>
              </w:rPr>
            </w:pPr>
            <w:r>
              <w:rPr>
                <w:rFonts w:ascii="Arial" w:cs="Arial" w:eastAsia="Arial" w:hAnsi="Arial"/>
                <w:sz w:val="16"/>
                <w:szCs w:val="16"/>
                <w:b w:val="1"/>
                <w:bCs w:val="1"/>
                <w:color w:val="auto"/>
              </w:rPr>
              <w:t>547,779</w:t>
            </w:r>
          </w:p>
        </w:tc>
        <w:tc>
          <w:tcPr>
            <w:tcW w:w="176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493,511</w:t>
            </w:r>
          </w:p>
        </w:tc>
        <w:tc>
          <w:tcPr>
            <w:tcW w:w="0" w:type="dxa"/>
            <w:vAlign w:val="bottom"/>
          </w:tcPr>
          <w:p>
            <w:pPr>
              <w:spacing w:after="0"/>
              <w:rPr>
                <w:sz w:val="1"/>
                <w:szCs w:val="1"/>
                <w:color w:val="auto"/>
              </w:rPr>
            </w:pPr>
          </w:p>
        </w:tc>
      </w:tr>
      <w:tr>
        <w:trPr>
          <w:trHeight w:val="183"/>
        </w:trPr>
        <w:tc>
          <w:tcPr>
            <w:tcW w:w="7760" w:type="dxa"/>
            <w:vAlign w:val="bottom"/>
            <w:tcBorders>
              <w:bottom w:val="single" w:sz="8" w:color="auto"/>
            </w:tcBorders>
          </w:tcPr>
          <w:p>
            <w:pPr>
              <w:ind w:left="540"/>
              <w:spacing w:after="0" w:line="183" w:lineRule="exact"/>
              <w:rPr>
                <w:sz w:val="20"/>
                <w:szCs w:val="20"/>
                <w:color w:val="auto"/>
              </w:rPr>
            </w:pPr>
            <w:r>
              <w:rPr>
                <w:rFonts w:ascii="Arial" w:cs="Arial" w:eastAsia="Arial" w:hAnsi="Arial"/>
                <w:sz w:val="16"/>
                <w:szCs w:val="16"/>
                <w:color w:val="auto"/>
              </w:rPr>
              <w:t>Total liabilities and shareholders' equity</w:t>
            </w:r>
          </w:p>
        </w:tc>
        <w:tc>
          <w:tcPr>
            <w:tcW w:w="1900" w:type="dxa"/>
            <w:vAlign w:val="bottom"/>
            <w:tcBorders>
              <w:bottom w:val="single" w:sz="8" w:color="auto"/>
            </w:tcBorders>
          </w:tcPr>
          <w:p>
            <w:pPr>
              <w:jc w:val="right"/>
              <w:ind w:right="759"/>
              <w:spacing w:after="0" w:line="183" w:lineRule="exact"/>
              <w:rPr>
                <w:sz w:val="20"/>
                <w:szCs w:val="20"/>
                <w:color w:val="auto"/>
              </w:rPr>
            </w:pPr>
            <w:r>
              <w:rPr>
                <w:rFonts w:ascii="Arial" w:cs="Arial" w:eastAsia="Arial" w:hAnsi="Arial"/>
                <w:sz w:val="16"/>
                <w:szCs w:val="16"/>
                <w:b w:val="1"/>
                <w:bCs w:val="1"/>
                <w:color w:val="auto"/>
              </w:rPr>
              <w:t>$1,166,888</w:t>
            </w:r>
          </w:p>
        </w:tc>
        <w:tc>
          <w:tcPr>
            <w:tcW w:w="176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$1,156,697</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431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73"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840" w:type="dxa"/>
            <w:vAlign w:val="bottom"/>
            <w:tcBorders>
              <w:top w:val="single" w:sz="8" w:color="auto"/>
            </w:tcBorders>
            <w:gridSpan w:val="2"/>
          </w:tcPr>
          <w:p>
            <w:pPr>
              <w:jc w:val="right"/>
              <w:ind w:right="590"/>
              <w:spacing w:after="0" w:line="173" w:lineRule="exact"/>
              <w:rPr>
                <w:sz w:val="20"/>
                <w:szCs w:val="20"/>
                <w:color w:val="auto"/>
              </w:rPr>
            </w:pPr>
            <w:r>
              <w:rPr>
                <w:rFonts w:ascii="Arial" w:cs="Arial" w:eastAsia="Arial" w:hAnsi="Arial"/>
                <w:sz w:val="18"/>
                <w:szCs w:val="18"/>
                <w:b w:val="1"/>
                <w:bCs w:val="1"/>
                <w:color w:val="auto"/>
              </w:rPr>
              <w:t>For the years ended December 31,</w:t>
            </w:r>
          </w:p>
        </w:tc>
        <w:tc>
          <w:tcPr>
            <w:tcW w:w="204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340" w:type="dxa"/>
            <w:vAlign w:val="bottom"/>
          </w:tcPr>
          <w:p>
            <w:pPr>
              <w:ind w:left="5080"/>
              <w:spacing w:after="0"/>
              <w:rPr>
                <w:sz w:val="20"/>
                <w:szCs w:val="20"/>
                <w:color w:val="auto"/>
              </w:rPr>
            </w:pPr>
            <w:r>
              <w:rPr>
                <w:rFonts w:ascii="Arial" w:cs="Arial" w:eastAsia="Arial" w:hAnsi="Arial"/>
                <w:sz w:val="18"/>
                <w:szCs w:val="18"/>
                <w:b w:val="1"/>
                <w:bCs w:val="1"/>
                <w:color w:val="auto"/>
                <w:w w:val="99"/>
              </w:rPr>
              <w:t>(in thousands)</w:t>
            </w:r>
          </w:p>
        </w:tc>
        <w:tc>
          <w:tcPr>
            <w:tcW w:w="1500" w:type="dxa"/>
            <w:vAlign w:val="bottom"/>
            <w:vMerge w:val="restart"/>
          </w:tcPr>
          <w:p>
            <w:pPr>
              <w:jc w:val="right"/>
              <w:ind w:right="970"/>
              <w:spacing w:after="0"/>
              <w:rPr>
                <w:sz w:val="20"/>
                <w:szCs w:val="20"/>
                <w:color w:val="auto"/>
              </w:rPr>
            </w:pPr>
            <w:r>
              <w:rPr>
                <w:rFonts w:ascii="Arial" w:cs="Arial" w:eastAsia="Arial" w:hAnsi="Arial"/>
                <w:sz w:val="18"/>
                <w:szCs w:val="18"/>
                <w:b w:val="1"/>
                <w:bCs w:val="1"/>
                <w:color w:val="auto"/>
              </w:rPr>
              <w:t>2013</w:t>
            </w:r>
          </w:p>
        </w:tc>
        <w:tc>
          <w:tcPr>
            <w:tcW w:w="2040" w:type="dxa"/>
            <w:vAlign w:val="bottom"/>
            <w:vMerge w:val="restart"/>
          </w:tcPr>
          <w:p>
            <w:pPr>
              <w:jc w:val="right"/>
              <w:ind w:right="970"/>
              <w:spacing w:after="0"/>
              <w:rPr>
                <w:sz w:val="20"/>
                <w:szCs w:val="20"/>
                <w:color w:val="auto"/>
              </w:rPr>
            </w:pPr>
            <w:r>
              <w:rPr>
                <w:rFonts w:ascii="Arial" w:cs="Arial" w:eastAsia="Arial" w:hAnsi="Arial"/>
                <w:sz w:val="18"/>
                <w:szCs w:val="18"/>
                <w:b w:val="1"/>
                <w:bCs w:val="1"/>
                <w:color w:val="auto"/>
              </w:rPr>
              <w:t>2012</w:t>
            </w:r>
          </w:p>
        </w:tc>
        <w:tc>
          <w:tcPr>
            <w:tcW w:w="152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2040" w:type="dxa"/>
            <w:vAlign w:val="bottom"/>
            <w:tcBorders>
              <w:bottom w:val="single" w:sz="8" w:color="auto"/>
            </w:tcBorders>
            <w:vMerge w:val="continue"/>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12"/>
        </w:trPr>
        <w:tc>
          <w:tcPr>
            <w:tcW w:w="6360" w:type="dxa"/>
            <w:vAlign w:val="bottom"/>
            <w:gridSpan w:val="2"/>
          </w:tcPr>
          <w:p>
            <w:pPr>
              <w:spacing w:after="0"/>
              <w:rPr>
                <w:sz w:val="20"/>
                <w:szCs w:val="20"/>
                <w:color w:val="auto"/>
              </w:rPr>
            </w:pPr>
            <w:r>
              <w:rPr>
                <w:rFonts w:ascii="Arial" w:cs="Arial" w:eastAsia="Arial" w:hAnsi="Arial"/>
                <w:sz w:val="18"/>
                <w:szCs w:val="18"/>
                <w:b w:val="1"/>
                <w:bCs w:val="1"/>
                <w:color w:val="auto"/>
              </w:rPr>
              <w:t>Operating Activities</w:t>
            </w:r>
          </w:p>
        </w:tc>
        <w:tc>
          <w:tcPr>
            <w:tcW w:w="15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63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500" w:type="dxa"/>
            <w:vAlign w:val="bottom"/>
          </w:tcPr>
          <w:p>
            <w:pPr>
              <w:jc w:val="right"/>
              <w:ind w:right="550"/>
              <w:spacing w:after="0"/>
              <w:rPr>
                <w:sz w:val="20"/>
                <w:szCs w:val="20"/>
                <w:color w:val="auto"/>
              </w:rPr>
            </w:pPr>
            <w:r>
              <w:rPr>
                <w:rFonts w:ascii="Arial" w:cs="Arial" w:eastAsia="Arial" w:hAnsi="Arial"/>
                <w:sz w:val="18"/>
                <w:szCs w:val="18"/>
                <w:b w:val="1"/>
                <w:bCs w:val="1"/>
                <w:color w:val="auto"/>
              </w:rPr>
              <w:t>$17,658</w:t>
            </w:r>
          </w:p>
        </w:tc>
        <w:tc>
          <w:tcPr>
            <w:tcW w:w="2040" w:type="dxa"/>
            <w:vAlign w:val="bottom"/>
          </w:tcPr>
          <w:p>
            <w:pPr>
              <w:jc w:val="right"/>
              <w:ind w:right="530"/>
              <w:spacing w:after="0"/>
              <w:rPr>
                <w:sz w:val="20"/>
                <w:szCs w:val="20"/>
                <w:color w:val="auto"/>
              </w:rPr>
            </w:pPr>
            <w:r>
              <w:rPr>
                <w:rFonts w:ascii="Arial" w:cs="Arial" w:eastAsia="Arial" w:hAnsi="Arial"/>
                <w:sz w:val="18"/>
                <w:szCs w:val="18"/>
                <w:color w:val="auto"/>
              </w:rPr>
              <w:t>$30,977</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$34,938</w:t>
            </w:r>
          </w:p>
        </w:tc>
        <w:tc>
          <w:tcPr>
            <w:tcW w:w="0" w:type="dxa"/>
            <w:vAlign w:val="bottom"/>
          </w:tcPr>
          <w:p>
            <w:pPr>
              <w:spacing w:after="0"/>
              <w:rPr>
                <w:sz w:val="1"/>
                <w:szCs w:val="1"/>
                <w:color w:val="auto"/>
              </w:rPr>
            </w:pPr>
          </w:p>
        </w:tc>
      </w:tr>
      <w:tr>
        <w:trPr>
          <w:trHeight w:val="203"/>
        </w:trPr>
        <w:tc>
          <w:tcPr>
            <w:tcW w:w="6360" w:type="dxa"/>
            <w:vAlign w:val="bottom"/>
            <w:gridSpan w:val="2"/>
          </w:tcPr>
          <w:p>
            <w:pPr>
              <w:spacing w:after="0" w:line="202" w:lineRule="exact"/>
              <w:rPr>
                <w:sz w:val="20"/>
                <w:szCs w:val="20"/>
                <w:color w:val="auto"/>
              </w:rPr>
            </w:pPr>
            <w:r>
              <w:rPr>
                <w:rFonts w:ascii="Arial" w:cs="Arial" w:eastAsia="Arial" w:hAnsi="Arial"/>
                <w:sz w:val="18"/>
                <w:szCs w:val="18"/>
                <w:color w:val="auto"/>
              </w:rPr>
              <w:t>Adjustments to reconcile net income to net cash provided</w:t>
            </w:r>
          </w:p>
        </w:tc>
        <w:tc>
          <w:tcPr>
            <w:tcW w:w="15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gridSpan w:val="2"/>
          </w:tcPr>
          <w:p>
            <w:pPr>
              <w:spacing w:after="0" w:line="202" w:lineRule="exact"/>
              <w:rPr>
                <w:sz w:val="20"/>
                <w:szCs w:val="20"/>
                <w:color w:val="auto"/>
              </w:rPr>
            </w:pPr>
            <w:r>
              <w:rPr>
                <w:rFonts w:ascii="Arial" w:cs="Arial" w:eastAsia="Arial" w:hAnsi="Arial"/>
                <w:sz w:val="18"/>
                <w:szCs w:val="18"/>
                <w:color w:val="auto"/>
              </w:rPr>
              <w:t>by/(used in) operating activities:</w:t>
            </w:r>
          </w:p>
        </w:tc>
        <w:tc>
          <w:tcPr>
            <w:tcW w:w="1500" w:type="dxa"/>
            <w:vAlign w:val="bottom"/>
            <w:vMerge w:val="restart"/>
          </w:tcPr>
          <w:p>
            <w:pPr>
              <w:jc w:val="right"/>
              <w:ind w:right="550"/>
              <w:spacing w:after="0"/>
              <w:rPr>
                <w:sz w:val="20"/>
                <w:szCs w:val="20"/>
                <w:color w:val="auto"/>
              </w:rPr>
            </w:pPr>
            <w:r>
              <w:rPr>
                <w:rFonts w:ascii="Arial" w:cs="Arial" w:eastAsia="Arial" w:hAnsi="Arial"/>
                <w:sz w:val="18"/>
                <w:szCs w:val="18"/>
                <w:b w:val="1"/>
                <w:bCs w:val="1"/>
                <w:color w:val="auto"/>
              </w:rPr>
              <w:t>57,182</w:t>
            </w:r>
          </w:p>
        </w:tc>
        <w:tc>
          <w:tcPr>
            <w:tcW w:w="20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340" w:type="dxa"/>
            <w:vAlign w:val="bottom"/>
          </w:tcPr>
          <w:p>
            <w:pPr>
              <w:ind w:left="200"/>
              <w:spacing w:after="0" w:line="181" w:lineRule="exact"/>
              <w:rPr>
                <w:sz w:val="20"/>
                <w:szCs w:val="20"/>
                <w:color w:val="auto"/>
              </w:rPr>
            </w:pPr>
            <w:r>
              <w:rPr>
                <w:rFonts w:ascii="Arial" w:cs="Arial" w:eastAsia="Arial" w:hAnsi="Arial"/>
                <w:sz w:val="18"/>
                <w:szCs w:val="18"/>
                <w:color w:val="auto"/>
              </w:rPr>
              <w:t>Depreciation</w:t>
            </w:r>
          </w:p>
        </w:tc>
        <w:tc>
          <w:tcPr>
            <w:tcW w:w="1500" w:type="dxa"/>
            <w:vAlign w:val="bottom"/>
            <w:vMerge w:val="continue"/>
          </w:tcPr>
          <w:p>
            <w:pPr>
              <w:spacing w:after="0"/>
              <w:rPr>
                <w:sz w:val="15"/>
                <w:szCs w:val="15"/>
                <w:color w:val="auto"/>
              </w:rPr>
            </w:pPr>
          </w:p>
        </w:tc>
        <w:tc>
          <w:tcPr>
            <w:tcW w:w="2040" w:type="dxa"/>
            <w:vAlign w:val="bottom"/>
          </w:tcPr>
          <w:p>
            <w:pPr>
              <w:jc w:val="right"/>
              <w:ind w:right="530"/>
              <w:spacing w:after="0" w:line="181" w:lineRule="exact"/>
              <w:rPr>
                <w:sz w:val="20"/>
                <w:szCs w:val="20"/>
                <w:color w:val="auto"/>
              </w:rPr>
            </w:pPr>
            <w:r>
              <w:rPr>
                <w:rFonts w:ascii="Arial" w:cs="Arial" w:eastAsia="Arial" w:hAnsi="Arial"/>
                <w:sz w:val="18"/>
                <w:szCs w:val="18"/>
                <w:color w:val="auto"/>
              </w:rPr>
              <w:t>56,769</w:t>
            </w:r>
          </w:p>
        </w:tc>
        <w:tc>
          <w:tcPr>
            <w:tcW w:w="1520" w:type="dxa"/>
            <w:vAlign w:val="bottom"/>
          </w:tcPr>
          <w:p>
            <w:pPr>
              <w:jc w:val="right"/>
              <w:ind w:right="10"/>
              <w:spacing w:after="0" w:line="181" w:lineRule="exact"/>
              <w:rPr>
                <w:sz w:val="20"/>
                <w:szCs w:val="20"/>
                <w:color w:val="auto"/>
              </w:rPr>
            </w:pPr>
            <w:r>
              <w:rPr>
                <w:rFonts w:ascii="Arial" w:cs="Arial" w:eastAsia="Arial" w:hAnsi="Arial"/>
                <w:sz w:val="18"/>
                <w:szCs w:val="18"/>
                <w:color w:val="auto"/>
              </w:rPr>
              <w:t>57,502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40" w:type="dxa"/>
            <w:vAlign w:val="bottom"/>
          </w:tcPr>
          <w:p>
            <w:pPr>
              <w:ind w:left="200"/>
              <w:spacing w:after="0" w:line="202" w:lineRule="exact"/>
              <w:rPr>
                <w:sz w:val="20"/>
                <w:szCs w:val="20"/>
                <w:color w:val="auto"/>
              </w:rPr>
            </w:pPr>
            <w:r>
              <w:rPr>
                <w:rFonts w:ascii="Arial" w:cs="Arial" w:eastAsia="Arial" w:hAnsi="Arial"/>
                <w:sz w:val="18"/>
                <w:szCs w:val="18"/>
                <w:color w:val="auto"/>
              </w:rPr>
              <w:t>Amortization</w:t>
            </w:r>
          </w:p>
        </w:tc>
        <w:tc>
          <w:tcPr>
            <w:tcW w:w="1500" w:type="dxa"/>
            <w:vAlign w:val="bottom"/>
          </w:tcPr>
          <w:p>
            <w:pPr>
              <w:jc w:val="right"/>
              <w:ind w:right="550"/>
              <w:spacing w:after="0" w:line="202" w:lineRule="exact"/>
              <w:rPr>
                <w:sz w:val="20"/>
                <w:szCs w:val="20"/>
                <w:color w:val="auto"/>
              </w:rPr>
            </w:pPr>
            <w:r>
              <w:rPr>
                <w:rFonts w:ascii="Arial" w:cs="Arial" w:eastAsia="Arial" w:hAnsi="Arial"/>
                <w:sz w:val="18"/>
                <w:szCs w:val="18"/>
                <w:b w:val="1"/>
                <w:bCs w:val="1"/>
                <w:color w:val="auto"/>
              </w:rPr>
              <w:t>6,607</w:t>
            </w:r>
          </w:p>
        </w:tc>
        <w:tc>
          <w:tcPr>
            <w:tcW w:w="2040" w:type="dxa"/>
            <w:vAlign w:val="bottom"/>
          </w:tcPr>
          <w:p>
            <w:pPr>
              <w:jc w:val="right"/>
              <w:ind w:right="530"/>
              <w:spacing w:after="0" w:line="202" w:lineRule="exact"/>
              <w:rPr>
                <w:sz w:val="20"/>
                <w:szCs w:val="20"/>
                <w:color w:val="auto"/>
              </w:rPr>
            </w:pPr>
            <w:r>
              <w:rPr>
                <w:rFonts w:ascii="Arial" w:cs="Arial" w:eastAsia="Arial" w:hAnsi="Arial"/>
                <w:sz w:val="18"/>
                <w:szCs w:val="18"/>
                <w:color w:val="auto"/>
              </w:rPr>
              <w:t>6,466</w:t>
            </w: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8,883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40" w:type="dxa"/>
            <w:vAlign w:val="bottom"/>
          </w:tcPr>
          <w:p>
            <w:pPr>
              <w:ind w:left="200"/>
              <w:spacing w:after="0" w:line="202" w:lineRule="exact"/>
              <w:rPr>
                <w:sz w:val="20"/>
                <w:szCs w:val="20"/>
                <w:color w:val="auto"/>
              </w:rPr>
            </w:pPr>
            <w:r>
              <w:rPr>
                <w:rFonts w:ascii="Arial" w:cs="Arial" w:eastAsia="Arial" w:hAnsi="Arial"/>
                <w:sz w:val="18"/>
                <w:szCs w:val="18"/>
                <w:color w:val="auto"/>
              </w:rPr>
              <w:t>Noncash interest expense</w:t>
            </w:r>
          </w:p>
        </w:tc>
        <w:tc>
          <w:tcPr>
            <w:tcW w:w="1500" w:type="dxa"/>
            <w:vAlign w:val="bottom"/>
          </w:tcPr>
          <w:p>
            <w:pPr>
              <w:jc w:val="right"/>
              <w:ind w:right="550"/>
              <w:spacing w:after="0" w:line="202" w:lineRule="exact"/>
              <w:rPr>
                <w:sz w:val="20"/>
                <w:szCs w:val="20"/>
                <w:color w:val="auto"/>
              </w:rPr>
            </w:pPr>
            <w:r>
              <w:rPr>
                <w:rFonts w:ascii="Arial" w:cs="Arial" w:eastAsia="Arial" w:hAnsi="Arial"/>
                <w:sz w:val="18"/>
                <w:szCs w:val="18"/>
                <w:b w:val="1"/>
                <w:bCs w:val="1"/>
                <w:color w:val="auto"/>
              </w:rPr>
              <w:t>-</w:t>
            </w:r>
          </w:p>
        </w:tc>
        <w:tc>
          <w:tcPr>
            <w:tcW w:w="2040" w:type="dxa"/>
            <w:vAlign w:val="bottom"/>
          </w:tcPr>
          <w:p>
            <w:pPr>
              <w:jc w:val="right"/>
              <w:ind w:right="530"/>
              <w:spacing w:after="0" w:line="202" w:lineRule="exact"/>
              <w:rPr>
                <w:sz w:val="20"/>
                <w:szCs w:val="20"/>
                <w:color w:val="auto"/>
              </w:rPr>
            </w:pPr>
            <w:r>
              <w:rPr>
                <w:rFonts w:ascii="Arial" w:cs="Arial" w:eastAsia="Arial" w:hAnsi="Arial"/>
                <w:sz w:val="18"/>
                <w:szCs w:val="18"/>
                <w:color w:val="auto"/>
              </w:rPr>
              <w:t>1,027</w:t>
            </w: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40" w:type="dxa"/>
            <w:vAlign w:val="bottom"/>
          </w:tcPr>
          <w:p>
            <w:pPr>
              <w:ind w:left="200"/>
              <w:spacing w:after="0" w:line="202" w:lineRule="exact"/>
              <w:rPr>
                <w:sz w:val="20"/>
                <w:szCs w:val="20"/>
                <w:color w:val="auto"/>
              </w:rPr>
            </w:pPr>
            <w:r>
              <w:rPr>
                <w:rFonts w:ascii="Arial" w:cs="Arial" w:eastAsia="Arial" w:hAnsi="Arial"/>
                <w:sz w:val="18"/>
                <w:szCs w:val="18"/>
                <w:color w:val="auto"/>
              </w:rPr>
              <w:t>Change in long-term liabilities, deferred taxes and other credits</w:t>
            </w:r>
          </w:p>
        </w:tc>
        <w:tc>
          <w:tcPr>
            <w:tcW w:w="1500" w:type="dxa"/>
            <w:vAlign w:val="bottom"/>
          </w:tcPr>
          <w:p>
            <w:pPr>
              <w:jc w:val="right"/>
              <w:ind w:right="490"/>
              <w:spacing w:after="0" w:line="202" w:lineRule="exact"/>
              <w:rPr>
                <w:sz w:val="20"/>
                <w:szCs w:val="20"/>
                <w:color w:val="auto"/>
              </w:rPr>
            </w:pPr>
            <w:r>
              <w:rPr>
                <w:rFonts w:ascii="Arial" w:cs="Arial" w:eastAsia="Arial" w:hAnsi="Arial"/>
                <w:sz w:val="18"/>
                <w:szCs w:val="18"/>
                <w:b w:val="1"/>
                <w:bCs w:val="1"/>
                <w:color w:val="auto"/>
              </w:rPr>
              <w:t>(12,261)</w:t>
            </w:r>
          </w:p>
        </w:tc>
        <w:tc>
          <w:tcPr>
            <w:tcW w:w="204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(123,887)</w:t>
            </w: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40" w:type="dxa"/>
            <w:vAlign w:val="bottom"/>
          </w:tcPr>
          <w:p>
            <w:pPr>
              <w:ind w:left="200"/>
              <w:spacing w:after="0" w:line="202" w:lineRule="exact"/>
              <w:rPr>
                <w:sz w:val="20"/>
                <w:szCs w:val="20"/>
                <w:color w:val="auto"/>
              </w:rPr>
            </w:pPr>
            <w:r>
              <w:rPr>
                <w:rFonts w:ascii="Arial" w:cs="Arial" w:eastAsia="Arial" w:hAnsi="Arial"/>
                <w:sz w:val="18"/>
                <w:szCs w:val="18"/>
                <w:color w:val="auto"/>
              </w:rPr>
              <w:t>Provision for write-off of property, plant and equipment</w:t>
            </w:r>
          </w:p>
        </w:tc>
        <w:tc>
          <w:tcPr>
            <w:tcW w:w="1500" w:type="dxa"/>
            <w:vAlign w:val="bottom"/>
          </w:tcPr>
          <w:p>
            <w:pPr>
              <w:jc w:val="right"/>
              <w:ind w:right="550"/>
              <w:spacing w:after="0" w:line="202" w:lineRule="exact"/>
              <w:rPr>
                <w:sz w:val="20"/>
                <w:szCs w:val="20"/>
                <w:color w:val="auto"/>
              </w:rPr>
            </w:pPr>
            <w:r>
              <w:rPr>
                <w:rFonts w:ascii="Arial" w:cs="Arial" w:eastAsia="Arial" w:hAnsi="Arial"/>
                <w:sz w:val="18"/>
                <w:szCs w:val="18"/>
                <w:b w:val="1"/>
                <w:bCs w:val="1"/>
                <w:color w:val="auto"/>
              </w:rPr>
              <w:t>619</w:t>
            </w:r>
          </w:p>
        </w:tc>
        <w:tc>
          <w:tcPr>
            <w:tcW w:w="2040" w:type="dxa"/>
            <w:vAlign w:val="bottom"/>
          </w:tcPr>
          <w:p>
            <w:pPr>
              <w:jc w:val="right"/>
              <w:ind w:right="530"/>
              <w:spacing w:after="0" w:line="202" w:lineRule="exact"/>
              <w:rPr>
                <w:sz w:val="20"/>
                <w:szCs w:val="20"/>
                <w:color w:val="auto"/>
              </w:rPr>
            </w:pPr>
            <w:r>
              <w:rPr>
                <w:rFonts w:ascii="Arial" w:cs="Arial" w:eastAsia="Arial" w:hAnsi="Arial"/>
                <w:sz w:val="18"/>
                <w:szCs w:val="18"/>
                <w:color w:val="auto"/>
              </w:rPr>
              <w:t>427</w:t>
            </w: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2,345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40" w:type="dxa"/>
            <w:vAlign w:val="bottom"/>
          </w:tcPr>
          <w:p>
            <w:pPr>
              <w:ind w:left="200"/>
              <w:spacing w:after="0" w:line="202" w:lineRule="exact"/>
              <w:rPr>
                <w:sz w:val="20"/>
                <w:szCs w:val="20"/>
                <w:color w:val="auto"/>
              </w:rPr>
            </w:pPr>
            <w:r>
              <w:rPr>
                <w:rFonts w:ascii="Arial" w:cs="Arial" w:eastAsia="Arial" w:hAnsi="Arial"/>
                <w:sz w:val="18"/>
                <w:szCs w:val="18"/>
                <w:color w:val="auto"/>
              </w:rPr>
              <w:t>Write-off of pension liability adjustment due to settlement</w:t>
            </w:r>
          </w:p>
        </w:tc>
        <w:tc>
          <w:tcPr>
            <w:tcW w:w="1500" w:type="dxa"/>
            <w:vAlign w:val="bottom"/>
          </w:tcPr>
          <w:p>
            <w:pPr>
              <w:jc w:val="right"/>
              <w:ind w:right="550"/>
              <w:spacing w:after="0" w:line="202" w:lineRule="exact"/>
              <w:rPr>
                <w:sz w:val="20"/>
                <w:szCs w:val="20"/>
                <w:color w:val="auto"/>
              </w:rPr>
            </w:pPr>
            <w:r>
              <w:rPr>
                <w:rFonts w:ascii="Arial" w:cs="Arial" w:eastAsia="Arial" w:hAnsi="Arial"/>
                <w:sz w:val="18"/>
                <w:szCs w:val="18"/>
                <w:b w:val="1"/>
                <w:bCs w:val="1"/>
                <w:color w:val="auto"/>
              </w:rPr>
              <w:t>-</w:t>
            </w:r>
          </w:p>
        </w:tc>
        <w:tc>
          <w:tcPr>
            <w:tcW w:w="2040" w:type="dxa"/>
            <w:vAlign w:val="bottom"/>
          </w:tcPr>
          <w:p>
            <w:pPr>
              <w:jc w:val="right"/>
              <w:ind w:right="530"/>
              <w:spacing w:after="0" w:line="202" w:lineRule="exact"/>
              <w:rPr>
                <w:sz w:val="20"/>
                <w:szCs w:val="20"/>
                <w:color w:val="auto"/>
              </w:rPr>
            </w:pPr>
            <w:r>
              <w:rPr>
                <w:rFonts w:ascii="Arial" w:cs="Arial" w:eastAsia="Arial" w:hAnsi="Arial"/>
                <w:sz w:val="18"/>
                <w:szCs w:val="18"/>
                <w:color w:val="auto"/>
              </w:rPr>
              <w:t>118,350</w:t>
            </w: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40" w:type="dxa"/>
            <w:vAlign w:val="bottom"/>
          </w:tcPr>
          <w:p>
            <w:pPr>
              <w:ind w:left="200"/>
              <w:spacing w:after="0" w:line="202" w:lineRule="exact"/>
              <w:rPr>
                <w:sz w:val="20"/>
                <w:szCs w:val="20"/>
                <w:color w:val="auto"/>
              </w:rPr>
            </w:pPr>
            <w:r>
              <w:rPr>
                <w:rFonts w:ascii="Arial" w:cs="Arial" w:eastAsia="Arial" w:hAnsi="Arial"/>
                <w:sz w:val="18"/>
                <w:szCs w:val="18"/>
                <w:color w:val="auto"/>
              </w:rPr>
              <w:t>Loss/(gain) on disposition of assets</w:t>
            </w:r>
          </w:p>
        </w:tc>
        <w:tc>
          <w:tcPr>
            <w:tcW w:w="1500" w:type="dxa"/>
            <w:vAlign w:val="bottom"/>
          </w:tcPr>
          <w:p>
            <w:pPr>
              <w:jc w:val="right"/>
              <w:ind w:right="490"/>
              <w:spacing w:after="0" w:line="202" w:lineRule="exact"/>
              <w:rPr>
                <w:sz w:val="20"/>
                <w:szCs w:val="20"/>
                <w:color w:val="auto"/>
              </w:rPr>
            </w:pPr>
            <w:r>
              <w:rPr>
                <w:rFonts w:ascii="Arial" w:cs="Arial" w:eastAsia="Arial" w:hAnsi="Arial"/>
                <w:sz w:val="18"/>
                <w:szCs w:val="18"/>
                <w:b w:val="1"/>
                <w:bCs w:val="1"/>
                <w:color w:val="auto"/>
              </w:rPr>
              <w:t>(3,763)</w:t>
            </w:r>
          </w:p>
        </w:tc>
        <w:tc>
          <w:tcPr>
            <w:tcW w:w="204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(92,457)</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340" w:type="dxa"/>
            <w:vAlign w:val="bottom"/>
          </w:tcPr>
          <w:p>
            <w:pPr>
              <w:ind w:left="200"/>
              <w:spacing w:after="0"/>
              <w:rPr>
                <w:sz w:val="20"/>
                <w:szCs w:val="20"/>
                <w:color w:val="auto"/>
              </w:rPr>
            </w:pPr>
            <w:r>
              <w:rPr>
                <w:rFonts w:ascii="Arial" w:cs="Arial" w:eastAsia="Arial" w:hAnsi="Arial"/>
                <w:sz w:val="18"/>
                <w:szCs w:val="18"/>
                <w:color w:val="auto"/>
              </w:rPr>
              <w:t>Excess tax benefit of options exercised</w:t>
            </w:r>
          </w:p>
        </w:tc>
        <w:tc>
          <w:tcPr>
            <w:tcW w:w="1500" w:type="dxa"/>
            <w:vAlign w:val="bottom"/>
          </w:tcPr>
          <w:p>
            <w:pPr>
              <w:jc w:val="right"/>
              <w:ind w:right="490"/>
              <w:spacing w:after="0"/>
              <w:rPr>
                <w:sz w:val="20"/>
                <w:szCs w:val="20"/>
                <w:color w:val="auto"/>
              </w:rPr>
            </w:pPr>
            <w:r>
              <w:rPr>
                <w:rFonts w:ascii="Arial" w:cs="Arial" w:eastAsia="Arial" w:hAnsi="Arial"/>
                <w:sz w:val="18"/>
                <w:szCs w:val="18"/>
                <w:b w:val="1"/>
                <w:bCs w:val="1"/>
                <w:color w:val="auto"/>
              </w:rPr>
              <w:t>(1,134)</w:t>
            </w:r>
          </w:p>
        </w:tc>
        <w:tc>
          <w:tcPr>
            <w:tcW w:w="2040" w:type="dxa"/>
            <w:vAlign w:val="bottom"/>
          </w:tcPr>
          <w:p>
            <w:pPr>
              <w:jc w:val="right"/>
              <w:ind w:right="470"/>
              <w:spacing w:after="0"/>
              <w:rPr>
                <w:sz w:val="20"/>
                <w:szCs w:val="20"/>
                <w:color w:val="auto"/>
              </w:rPr>
            </w:pPr>
            <w:r>
              <w:rPr>
                <w:rFonts w:ascii="Arial" w:cs="Arial" w:eastAsia="Arial" w:hAnsi="Arial"/>
                <w:sz w:val="18"/>
                <w:szCs w:val="18"/>
                <w:color w:val="auto"/>
              </w:rPr>
              <w:t>(40)</w:t>
            </w:r>
          </w:p>
        </w:tc>
        <w:tc>
          <w:tcPr>
            <w:tcW w:w="152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40" w:type="dxa"/>
            <w:vAlign w:val="bottom"/>
          </w:tcPr>
          <w:p>
            <w:pPr>
              <w:ind w:left="200"/>
              <w:spacing w:after="0" w:line="202" w:lineRule="exact"/>
              <w:rPr>
                <w:sz w:val="20"/>
                <w:szCs w:val="20"/>
                <w:color w:val="auto"/>
              </w:rPr>
            </w:pPr>
            <w:r>
              <w:rPr>
                <w:rFonts w:ascii="Arial" w:cs="Arial" w:eastAsia="Arial" w:hAnsi="Arial"/>
                <w:sz w:val="18"/>
                <w:szCs w:val="18"/>
                <w:color w:val="auto"/>
              </w:rPr>
              <w:t>Compensation and benefits paid or payable in Class A</w:t>
            </w:r>
          </w:p>
        </w:tc>
        <w:tc>
          <w:tcPr>
            <w:tcW w:w="150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(766)</w:t>
            </w:r>
          </w:p>
        </w:tc>
        <w:tc>
          <w:tcPr>
            <w:tcW w:w="20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40" w:type="dxa"/>
            <w:vAlign w:val="bottom"/>
          </w:tcPr>
          <w:p>
            <w:pPr>
              <w:ind w:left="320"/>
              <w:spacing w:after="0" w:line="202" w:lineRule="exact"/>
              <w:rPr>
                <w:sz w:val="20"/>
                <w:szCs w:val="20"/>
                <w:color w:val="auto"/>
              </w:rPr>
            </w:pPr>
            <w:r>
              <w:rPr>
                <w:rFonts w:ascii="Arial" w:cs="Arial" w:eastAsia="Arial" w:hAnsi="Arial"/>
                <w:sz w:val="18"/>
                <w:szCs w:val="18"/>
                <w:color w:val="auto"/>
              </w:rPr>
              <w:t>Common Stock</w:t>
            </w:r>
          </w:p>
        </w:tc>
        <w:tc>
          <w:tcPr>
            <w:tcW w:w="1500" w:type="dxa"/>
            <w:vAlign w:val="bottom"/>
            <w:vMerge w:val="continue"/>
          </w:tcPr>
          <w:p>
            <w:pPr>
              <w:spacing w:after="0"/>
              <w:rPr>
                <w:sz w:val="17"/>
                <w:szCs w:val="17"/>
                <w:color w:val="auto"/>
              </w:rPr>
            </w:pPr>
          </w:p>
        </w:tc>
        <w:tc>
          <w:tcPr>
            <w:tcW w:w="2040" w:type="dxa"/>
            <w:vAlign w:val="bottom"/>
          </w:tcPr>
          <w:p>
            <w:pPr>
              <w:jc w:val="right"/>
              <w:ind w:right="530"/>
              <w:spacing w:after="0" w:line="202" w:lineRule="exact"/>
              <w:rPr>
                <w:sz w:val="20"/>
                <w:szCs w:val="20"/>
                <w:color w:val="auto"/>
              </w:rPr>
            </w:pPr>
            <w:r>
              <w:rPr>
                <w:rFonts w:ascii="Arial" w:cs="Arial" w:eastAsia="Arial" w:hAnsi="Arial"/>
                <w:sz w:val="18"/>
                <w:szCs w:val="18"/>
                <w:color w:val="auto"/>
              </w:rPr>
              <w:t>2,790</w:t>
            </w: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2,812</w:t>
            </w:r>
          </w:p>
        </w:tc>
        <w:tc>
          <w:tcPr>
            <w:tcW w:w="0" w:type="dxa"/>
            <w:vAlign w:val="bottom"/>
          </w:tcPr>
          <w:p>
            <w:pPr>
              <w:spacing w:after="0"/>
              <w:rPr>
                <w:sz w:val="1"/>
                <w:szCs w:val="1"/>
                <w:color w:val="auto"/>
              </w:rPr>
            </w:pPr>
          </w:p>
        </w:tc>
      </w:tr>
      <w:tr>
        <w:trPr>
          <w:trHeight w:val="203"/>
        </w:trPr>
        <w:tc>
          <w:tcPr>
            <w:tcW w:w="6360" w:type="dxa"/>
            <w:vAlign w:val="bottom"/>
            <w:gridSpan w:val="2"/>
          </w:tcPr>
          <w:p>
            <w:pPr>
              <w:spacing w:after="0" w:line="202" w:lineRule="exact"/>
              <w:rPr>
                <w:sz w:val="20"/>
                <w:szCs w:val="20"/>
                <w:color w:val="auto"/>
              </w:rPr>
            </w:pPr>
            <w:r>
              <w:rPr>
                <w:rFonts w:ascii="Arial" w:cs="Arial" w:eastAsia="Arial" w:hAnsi="Arial"/>
                <w:sz w:val="18"/>
                <w:szCs w:val="18"/>
                <w:color w:val="auto"/>
              </w:rPr>
              <w:t>Changes in operating assets and liabilities, net of business</w:t>
            </w:r>
          </w:p>
        </w:tc>
        <w:tc>
          <w:tcPr>
            <w:tcW w:w="15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40" w:type="dxa"/>
            <w:vAlign w:val="bottom"/>
          </w:tcPr>
          <w:p>
            <w:pPr>
              <w:ind w:left="160"/>
              <w:spacing w:after="0" w:line="202" w:lineRule="exact"/>
              <w:rPr>
                <w:sz w:val="20"/>
                <w:szCs w:val="20"/>
                <w:color w:val="auto"/>
              </w:rPr>
            </w:pPr>
            <w:r>
              <w:rPr>
                <w:rFonts w:ascii="Arial" w:cs="Arial" w:eastAsia="Arial" w:hAnsi="Arial"/>
                <w:sz w:val="18"/>
                <w:szCs w:val="18"/>
                <w:color w:val="auto"/>
              </w:rPr>
              <w:t>divestitures:</w:t>
            </w:r>
          </w:p>
        </w:tc>
        <w:tc>
          <w:tcPr>
            <w:tcW w:w="150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(8,878)</w:t>
            </w:r>
          </w:p>
        </w:tc>
        <w:tc>
          <w:tcPr>
            <w:tcW w:w="20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340" w:type="dxa"/>
            <w:vAlign w:val="bottom"/>
          </w:tcPr>
          <w:p>
            <w:pPr>
              <w:ind w:left="200"/>
              <w:spacing w:after="0" w:line="181" w:lineRule="exact"/>
              <w:rPr>
                <w:sz w:val="20"/>
                <w:szCs w:val="20"/>
                <w:color w:val="auto"/>
              </w:rPr>
            </w:pPr>
            <w:r>
              <w:rPr>
                <w:rFonts w:ascii="Arial" w:cs="Arial" w:eastAsia="Arial" w:hAnsi="Arial"/>
                <w:sz w:val="18"/>
                <w:szCs w:val="18"/>
                <w:color w:val="auto"/>
              </w:rPr>
              <w:t>Accounts receivable</w:t>
            </w:r>
          </w:p>
        </w:tc>
        <w:tc>
          <w:tcPr>
            <w:tcW w:w="1500" w:type="dxa"/>
            <w:vAlign w:val="bottom"/>
            <w:vMerge w:val="continue"/>
          </w:tcPr>
          <w:p>
            <w:pPr>
              <w:spacing w:after="0"/>
              <w:rPr>
                <w:sz w:val="15"/>
                <w:szCs w:val="15"/>
                <w:color w:val="auto"/>
              </w:rPr>
            </w:pPr>
          </w:p>
        </w:tc>
        <w:tc>
          <w:tcPr>
            <w:tcW w:w="2040" w:type="dxa"/>
            <w:vAlign w:val="bottom"/>
          </w:tcPr>
          <w:p>
            <w:pPr>
              <w:jc w:val="right"/>
              <w:ind w:right="470"/>
              <w:spacing w:after="0" w:line="181" w:lineRule="exact"/>
              <w:rPr>
                <w:sz w:val="20"/>
                <w:szCs w:val="20"/>
                <w:color w:val="auto"/>
              </w:rPr>
            </w:pPr>
            <w:r>
              <w:rPr>
                <w:rFonts w:ascii="Arial" w:cs="Arial" w:eastAsia="Arial" w:hAnsi="Arial"/>
                <w:sz w:val="18"/>
                <w:szCs w:val="18"/>
                <w:color w:val="auto"/>
              </w:rPr>
              <w:t>(4,990)</w:t>
            </w:r>
          </w:p>
        </w:tc>
        <w:tc>
          <w:tcPr>
            <w:tcW w:w="1520" w:type="dxa"/>
            <w:vAlign w:val="bottom"/>
          </w:tcPr>
          <w:p>
            <w:pPr>
              <w:jc w:val="right"/>
              <w:spacing w:after="0" w:line="181" w:lineRule="exact"/>
              <w:rPr>
                <w:sz w:val="20"/>
                <w:szCs w:val="20"/>
                <w:color w:val="auto"/>
              </w:rPr>
            </w:pPr>
            <w:r>
              <w:rPr>
                <w:rFonts w:ascii="Arial" w:cs="Arial" w:eastAsia="Arial" w:hAnsi="Arial"/>
                <w:sz w:val="18"/>
                <w:szCs w:val="18"/>
                <w:color w:val="auto"/>
              </w:rPr>
              <w:t>(12,082)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40" w:type="dxa"/>
            <w:vAlign w:val="bottom"/>
          </w:tcPr>
          <w:p>
            <w:pPr>
              <w:ind w:left="200"/>
              <w:spacing w:after="0" w:line="202" w:lineRule="exact"/>
              <w:rPr>
                <w:sz w:val="20"/>
                <w:szCs w:val="20"/>
                <w:color w:val="auto"/>
              </w:rPr>
            </w:pPr>
            <w:r>
              <w:rPr>
                <w:rFonts w:ascii="Arial" w:cs="Arial" w:eastAsia="Arial" w:hAnsi="Arial"/>
                <w:sz w:val="18"/>
                <w:szCs w:val="18"/>
                <w:color w:val="auto"/>
              </w:rPr>
              <w:t>Inventories</w:t>
            </w:r>
          </w:p>
        </w:tc>
        <w:tc>
          <w:tcPr>
            <w:tcW w:w="1500" w:type="dxa"/>
            <w:vAlign w:val="bottom"/>
          </w:tcPr>
          <w:p>
            <w:pPr>
              <w:jc w:val="right"/>
              <w:ind w:right="550"/>
              <w:spacing w:after="0" w:line="202" w:lineRule="exact"/>
              <w:rPr>
                <w:sz w:val="20"/>
                <w:szCs w:val="20"/>
                <w:color w:val="auto"/>
              </w:rPr>
            </w:pPr>
            <w:r>
              <w:rPr>
                <w:rFonts w:ascii="Arial" w:cs="Arial" w:eastAsia="Arial" w:hAnsi="Arial"/>
                <w:sz w:val="18"/>
                <w:szCs w:val="18"/>
                <w:b w:val="1"/>
                <w:bCs w:val="1"/>
                <w:color w:val="auto"/>
              </w:rPr>
              <w:t>5,739</w:t>
            </w:r>
          </w:p>
        </w:tc>
        <w:tc>
          <w:tcPr>
            <w:tcW w:w="2040" w:type="dxa"/>
            <w:vAlign w:val="bottom"/>
          </w:tcPr>
          <w:p>
            <w:pPr>
              <w:jc w:val="right"/>
              <w:ind w:right="530"/>
              <w:spacing w:after="0" w:line="202" w:lineRule="exact"/>
              <w:rPr>
                <w:sz w:val="20"/>
                <w:szCs w:val="20"/>
                <w:color w:val="auto"/>
              </w:rPr>
            </w:pPr>
            <w:r>
              <w:rPr>
                <w:rFonts w:ascii="Arial" w:cs="Arial" w:eastAsia="Arial" w:hAnsi="Arial"/>
                <w:sz w:val="18"/>
                <w:szCs w:val="18"/>
                <w:color w:val="auto"/>
              </w:rPr>
              <w:t>11,565</w:t>
            </w: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7,105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40" w:type="dxa"/>
            <w:vAlign w:val="bottom"/>
          </w:tcPr>
          <w:p>
            <w:pPr>
              <w:ind w:left="2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500" w:type="dxa"/>
            <w:vAlign w:val="bottom"/>
          </w:tcPr>
          <w:p>
            <w:pPr>
              <w:jc w:val="right"/>
              <w:ind w:right="550"/>
              <w:spacing w:after="0" w:line="202" w:lineRule="exact"/>
              <w:rPr>
                <w:sz w:val="20"/>
                <w:szCs w:val="20"/>
                <w:color w:val="auto"/>
              </w:rPr>
            </w:pPr>
            <w:r>
              <w:rPr>
                <w:rFonts w:ascii="Arial" w:cs="Arial" w:eastAsia="Arial" w:hAnsi="Arial"/>
                <w:sz w:val="18"/>
                <w:szCs w:val="18"/>
                <w:b w:val="1"/>
                <w:bCs w:val="1"/>
                <w:color w:val="auto"/>
              </w:rPr>
              <w:t>545</w:t>
            </w:r>
          </w:p>
        </w:tc>
        <w:tc>
          <w:tcPr>
            <w:tcW w:w="2040" w:type="dxa"/>
            <w:vAlign w:val="bottom"/>
          </w:tcPr>
          <w:p>
            <w:pPr>
              <w:jc w:val="right"/>
              <w:ind w:right="530"/>
              <w:spacing w:after="0" w:line="202" w:lineRule="exact"/>
              <w:rPr>
                <w:sz w:val="20"/>
                <w:szCs w:val="20"/>
                <w:color w:val="auto"/>
              </w:rPr>
            </w:pPr>
            <w:r>
              <w:rPr>
                <w:rFonts w:ascii="Arial" w:cs="Arial" w:eastAsia="Arial" w:hAnsi="Arial"/>
                <w:sz w:val="18"/>
                <w:szCs w:val="18"/>
                <w:color w:val="auto"/>
              </w:rPr>
              <w:t>592</w:t>
            </w: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40" w:type="dxa"/>
            <w:vAlign w:val="bottom"/>
          </w:tcPr>
          <w:p>
            <w:pPr>
              <w:ind w:left="200"/>
              <w:spacing w:after="0" w:line="202" w:lineRule="exact"/>
              <w:rPr>
                <w:sz w:val="20"/>
                <w:szCs w:val="20"/>
                <w:color w:val="auto"/>
              </w:rPr>
            </w:pPr>
            <w:r>
              <w:rPr>
                <w:rFonts w:ascii="Arial" w:cs="Arial" w:eastAsia="Arial" w:hAnsi="Arial"/>
                <w:sz w:val="18"/>
                <w:szCs w:val="18"/>
                <w:color w:val="auto"/>
              </w:rPr>
              <w:t>Income taxes prepaid and receivable</w:t>
            </w:r>
          </w:p>
        </w:tc>
        <w:tc>
          <w:tcPr>
            <w:tcW w:w="1500" w:type="dxa"/>
            <w:vAlign w:val="bottom"/>
          </w:tcPr>
          <w:p>
            <w:pPr>
              <w:jc w:val="right"/>
              <w:ind w:right="550"/>
              <w:spacing w:after="0" w:line="202" w:lineRule="exact"/>
              <w:rPr>
                <w:sz w:val="20"/>
                <w:szCs w:val="20"/>
                <w:color w:val="auto"/>
              </w:rPr>
            </w:pPr>
            <w:r>
              <w:rPr>
                <w:rFonts w:ascii="Arial" w:cs="Arial" w:eastAsia="Arial" w:hAnsi="Arial"/>
                <w:sz w:val="18"/>
                <w:szCs w:val="18"/>
                <w:b w:val="1"/>
                <w:bCs w:val="1"/>
                <w:color w:val="auto"/>
              </w:rPr>
              <w:t>5,731</w:t>
            </w:r>
          </w:p>
        </w:tc>
        <w:tc>
          <w:tcPr>
            <w:tcW w:w="2040" w:type="dxa"/>
            <w:vAlign w:val="bottom"/>
          </w:tcPr>
          <w:p>
            <w:pPr>
              <w:jc w:val="right"/>
              <w:ind w:right="530"/>
              <w:spacing w:after="0" w:line="202" w:lineRule="exact"/>
              <w:rPr>
                <w:sz w:val="20"/>
                <w:szCs w:val="20"/>
                <w:color w:val="auto"/>
              </w:rPr>
            </w:pPr>
            <w:r>
              <w:rPr>
                <w:rFonts w:ascii="Arial" w:cs="Arial" w:eastAsia="Arial" w:hAnsi="Arial"/>
                <w:sz w:val="18"/>
                <w:szCs w:val="18"/>
                <w:color w:val="auto"/>
              </w:rPr>
              <w:t>9,472</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(3,747)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40" w:type="dxa"/>
            <w:vAlign w:val="bottom"/>
          </w:tcPr>
          <w:p>
            <w:pPr>
              <w:ind w:left="200"/>
              <w:spacing w:after="0" w:line="202" w:lineRule="exact"/>
              <w:rPr>
                <w:sz w:val="20"/>
                <w:szCs w:val="20"/>
                <w:color w:val="auto"/>
              </w:rPr>
            </w:pPr>
            <w:r>
              <w:rPr>
                <w:rFonts w:ascii="Arial" w:cs="Arial" w:eastAsia="Arial" w:hAnsi="Arial"/>
                <w:sz w:val="18"/>
                <w:szCs w:val="18"/>
                <w:color w:val="auto"/>
              </w:rPr>
              <w:t>Accounts payable</w:t>
            </w:r>
          </w:p>
        </w:tc>
        <w:tc>
          <w:tcPr>
            <w:tcW w:w="1500" w:type="dxa"/>
            <w:vAlign w:val="bottom"/>
          </w:tcPr>
          <w:p>
            <w:pPr>
              <w:jc w:val="right"/>
              <w:ind w:right="550"/>
              <w:spacing w:after="0" w:line="202" w:lineRule="exact"/>
              <w:rPr>
                <w:sz w:val="20"/>
                <w:szCs w:val="20"/>
                <w:color w:val="auto"/>
              </w:rPr>
            </w:pPr>
            <w:r>
              <w:rPr>
                <w:rFonts w:ascii="Arial" w:cs="Arial" w:eastAsia="Arial" w:hAnsi="Arial"/>
                <w:sz w:val="18"/>
                <w:szCs w:val="18"/>
                <w:b w:val="1"/>
                <w:bCs w:val="1"/>
                <w:color w:val="auto"/>
              </w:rPr>
              <w:t>955</w:t>
            </w:r>
          </w:p>
        </w:tc>
        <w:tc>
          <w:tcPr>
            <w:tcW w:w="2040" w:type="dxa"/>
            <w:vAlign w:val="bottom"/>
          </w:tcPr>
          <w:p>
            <w:pPr>
              <w:jc w:val="right"/>
              <w:ind w:right="530"/>
              <w:spacing w:after="0" w:line="202" w:lineRule="exact"/>
              <w:rPr>
                <w:sz w:val="20"/>
                <w:szCs w:val="20"/>
                <w:color w:val="auto"/>
              </w:rPr>
            </w:pPr>
            <w:r>
              <w:rPr>
                <w:rFonts w:ascii="Arial" w:cs="Arial" w:eastAsia="Arial" w:hAnsi="Arial"/>
                <w:sz w:val="18"/>
                <w:szCs w:val="18"/>
                <w:color w:val="auto"/>
              </w:rPr>
              <w:t>3,298</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(1,677)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40" w:type="dxa"/>
            <w:vAlign w:val="bottom"/>
          </w:tcPr>
          <w:p>
            <w:pPr>
              <w:ind w:left="200"/>
              <w:spacing w:after="0" w:line="202" w:lineRule="exact"/>
              <w:rPr>
                <w:sz w:val="20"/>
                <w:szCs w:val="20"/>
                <w:color w:val="auto"/>
              </w:rPr>
            </w:pPr>
            <w:r>
              <w:rPr>
                <w:rFonts w:ascii="Arial" w:cs="Arial" w:eastAsia="Arial" w:hAnsi="Arial"/>
                <w:sz w:val="18"/>
                <w:szCs w:val="18"/>
                <w:color w:val="auto"/>
              </w:rPr>
              <w:t>Accrued liabilities</w:t>
            </w:r>
          </w:p>
        </w:tc>
        <w:tc>
          <w:tcPr>
            <w:tcW w:w="1500" w:type="dxa"/>
            <w:vAlign w:val="bottom"/>
          </w:tcPr>
          <w:p>
            <w:pPr>
              <w:jc w:val="right"/>
              <w:ind w:right="550"/>
              <w:spacing w:after="0" w:line="202" w:lineRule="exact"/>
              <w:rPr>
                <w:sz w:val="20"/>
                <w:szCs w:val="20"/>
                <w:color w:val="auto"/>
              </w:rPr>
            </w:pPr>
            <w:r>
              <w:rPr>
                <w:rFonts w:ascii="Arial" w:cs="Arial" w:eastAsia="Arial" w:hAnsi="Arial"/>
                <w:sz w:val="18"/>
                <w:szCs w:val="18"/>
                <w:b w:val="1"/>
                <w:bCs w:val="1"/>
                <w:color w:val="auto"/>
              </w:rPr>
              <w:t>4,628</w:t>
            </w:r>
          </w:p>
        </w:tc>
        <w:tc>
          <w:tcPr>
            <w:tcW w:w="2040" w:type="dxa"/>
            <w:vAlign w:val="bottom"/>
          </w:tcPr>
          <w:p>
            <w:pPr>
              <w:jc w:val="right"/>
              <w:ind w:right="530"/>
              <w:spacing w:after="0" w:line="202" w:lineRule="exact"/>
              <w:rPr>
                <w:sz w:val="20"/>
                <w:szCs w:val="20"/>
                <w:color w:val="auto"/>
              </w:rPr>
            </w:pPr>
            <w:r>
              <w:rPr>
                <w:rFonts w:ascii="Arial" w:cs="Arial" w:eastAsia="Arial" w:hAnsi="Arial"/>
                <w:sz w:val="18"/>
                <w:szCs w:val="18"/>
                <w:color w:val="auto"/>
              </w:rPr>
              <w:t>7,616</w:t>
            </w: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6,124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40" w:type="dxa"/>
            <w:vAlign w:val="bottom"/>
          </w:tcPr>
          <w:p>
            <w:pPr>
              <w:ind w:left="200"/>
              <w:spacing w:after="0" w:line="202" w:lineRule="exact"/>
              <w:rPr>
                <w:sz w:val="20"/>
                <w:szCs w:val="20"/>
                <w:color w:val="auto"/>
              </w:rPr>
            </w:pPr>
            <w:r>
              <w:rPr>
                <w:rFonts w:ascii="Arial" w:cs="Arial" w:eastAsia="Arial" w:hAnsi="Arial"/>
                <w:sz w:val="18"/>
                <w:szCs w:val="18"/>
                <w:color w:val="auto"/>
              </w:rPr>
              <w:t>Income taxes payable</w:t>
            </w:r>
          </w:p>
        </w:tc>
        <w:tc>
          <w:tcPr>
            <w:tcW w:w="1500" w:type="dxa"/>
            <w:vAlign w:val="bottom"/>
          </w:tcPr>
          <w:p>
            <w:pPr>
              <w:jc w:val="right"/>
              <w:ind w:right="490"/>
              <w:spacing w:after="0" w:line="202" w:lineRule="exact"/>
              <w:rPr>
                <w:sz w:val="20"/>
                <w:szCs w:val="20"/>
                <w:color w:val="auto"/>
              </w:rPr>
            </w:pPr>
            <w:r>
              <w:rPr>
                <w:rFonts w:ascii="Arial" w:cs="Arial" w:eastAsia="Arial" w:hAnsi="Arial"/>
                <w:sz w:val="18"/>
                <w:szCs w:val="18"/>
                <w:b w:val="1"/>
                <w:bCs w:val="1"/>
                <w:color w:val="auto"/>
              </w:rPr>
              <w:t>(7,348)</w:t>
            </w:r>
          </w:p>
        </w:tc>
        <w:tc>
          <w:tcPr>
            <w:tcW w:w="2040" w:type="dxa"/>
            <w:vAlign w:val="bottom"/>
          </w:tcPr>
          <w:p>
            <w:pPr>
              <w:jc w:val="right"/>
              <w:ind w:right="530"/>
              <w:spacing w:after="0" w:line="202" w:lineRule="exact"/>
              <w:rPr>
                <w:sz w:val="20"/>
                <w:szCs w:val="20"/>
                <w:color w:val="auto"/>
              </w:rPr>
            </w:pPr>
            <w:r>
              <w:rPr>
                <w:rFonts w:ascii="Arial" w:cs="Arial" w:eastAsia="Arial" w:hAnsi="Arial"/>
                <w:sz w:val="18"/>
                <w:szCs w:val="18"/>
                <w:color w:val="auto"/>
              </w:rPr>
              <w:t>7,308</w:t>
            </w: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2,422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3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net</w:t>
            </w:r>
          </w:p>
        </w:tc>
        <w:tc>
          <w:tcPr>
            <w:tcW w:w="15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(2,883)</w:t>
            </w:r>
          </w:p>
        </w:tc>
        <w:tc>
          <w:tcPr>
            <w:tcW w:w="20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(776)</w:t>
            </w: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40" w:type="dxa"/>
            <w:vAlign w:val="bottom"/>
            <w:tcBorders>
              <w:bottom w:val="single" w:sz="8" w:color="auto"/>
            </w:tcBorders>
          </w:tcPr>
          <w:p>
            <w:pPr>
              <w:ind w:left="200"/>
              <w:spacing w:after="0" w:line="196" w:lineRule="exact"/>
              <w:rPr>
                <w:sz w:val="20"/>
                <w:szCs w:val="20"/>
                <w:color w:val="auto"/>
              </w:rPr>
            </w:pPr>
            <w:r>
              <w:rPr>
                <w:rFonts w:ascii="Arial" w:cs="Arial" w:eastAsia="Arial" w:hAnsi="Arial"/>
                <w:sz w:val="18"/>
                <w:szCs w:val="18"/>
                <w:color w:val="auto"/>
              </w:rPr>
              <w:t>Net cash provided by operating activities</w:t>
            </w:r>
          </w:p>
        </w:tc>
        <w:tc>
          <w:tcPr>
            <w:tcW w:w="1500" w:type="dxa"/>
            <w:vAlign w:val="bottom"/>
            <w:tcBorders>
              <w:bottom w:val="single" w:sz="8" w:color="auto"/>
            </w:tcBorders>
          </w:tcPr>
          <w:p>
            <w:pPr>
              <w:jc w:val="right"/>
              <w:ind w:right="550"/>
              <w:spacing w:after="0" w:line="196" w:lineRule="exact"/>
              <w:rPr>
                <w:sz w:val="20"/>
                <w:szCs w:val="20"/>
                <w:color w:val="auto"/>
              </w:rPr>
            </w:pPr>
            <w:r>
              <w:rPr>
                <w:rFonts w:ascii="Arial" w:cs="Arial" w:eastAsia="Arial" w:hAnsi="Arial"/>
                <w:sz w:val="18"/>
                <w:szCs w:val="18"/>
                <w:b w:val="1"/>
                <w:bCs w:val="1"/>
                <w:color w:val="auto"/>
              </w:rPr>
              <w:t>62,631</w:t>
            </w:r>
          </w:p>
        </w:tc>
        <w:tc>
          <w:tcPr>
            <w:tcW w:w="204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color w:val="auto"/>
              </w:rPr>
              <w:t>34,507</w:t>
            </w:r>
          </w:p>
        </w:tc>
        <w:tc>
          <w:tcPr>
            <w:tcW w:w="15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105,269</w:t>
            </w:r>
          </w:p>
        </w:tc>
        <w:tc>
          <w:tcPr>
            <w:tcW w:w="0" w:type="dxa"/>
            <w:vAlign w:val="bottom"/>
          </w:tcPr>
          <w:p>
            <w:pPr>
              <w:spacing w:after="0"/>
              <w:rPr>
                <w:sz w:val="1"/>
                <w:szCs w:val="1"/>
                <w:color w:val="auto"/>
              </w:rPr>
            </w:pPr>
          </w:p>
        </w:tc>
      </w:tr>
      <w:tr>
        <w:trPr>
          <w:trHeight w:val="398"/>
        </w:trPr>
        <w:tc>
          <w:tcPr>
            <w:tcW w:w="636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150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(61,844)</w:t>
            </w:r>
          </w:p>
        </w:tc>
        <w:tc>
          <w:tcPr>
            <w:tcW w:w="20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340" w:type="dxa"/>
            <w:vAlign w:val="bottom"/>
          </w:tcPr>
          <w:p>
            <w:pPr>
              <w:ind w:left="200"/>
              <w:spacing w:after="0" w:line="181" w:lineRule="exact"/>
              <w:rPr>
                <w:sz w:val="20"/>
                <w:szCs w:val="20"/>
                <w:color w:val="auto"/>
              </w:rPr>
            </w:pPr>
            <w:r>
              <w:rPr>
                <w:rFonts w:ascii="Arial" w:cs="Arial" w:eastAsia="Arial" w:hAnsi="Arial"/>
                <w:sz w:val="18"/>
                <w:szCs w:val="18"/>
                <w:color w:val="auto"/>
              </w:rPr>
              <w:t>Purchases of property, plant and equipment</w:t>
            </w:r>
          </w:p>
        </w:tc>
        <w:tc>
          <w:tcPr>
            <w:tcW w:w="1500" w:type="dxa"/>
            <w:vAlign w:val="bottom"/>
            <w:vMerge w:val="continue"/>
          </w:tcPr>
          <w:p>
            <w:pPr>
              <w:spacing w:after="0"/>
              <w:rPr>
                <w:sz w:val="15"/>
                <w:szCs w:val="15"/>
                <w:color w:val="auto"/>
              </w:rPr>
            </w:pPr>
          </w:p>
        </w:tc>
        <w:tc>
          <w:tcPr>
            <w:tcW w:w="2040" w:type="dxa"/>
            <w:vAlign w:val="bottom"/>
          </w:tcPr>
          <w:p>
            <w:pPr>
              <w:jc w:val="right"/>
              <w:ind w:right="470"/>
              <w:spacing w:after="0" w:line="181" w:lineRule="exact"/>
              <w:rPr>
                <w:sz w:val="20"/>
                <w:szCs w:val="20"/>
                <w:color w:val="auto"/>
              </w:rPr>
            </w:pPr>
            <w:r>
              <w:rPr>
                <w:rFonts w:ascii="Arial" w:cs="Arial" w:eastAsia="Arial" w:hAnsi="Arial"/>
                <w:sz w:val="18"/>
                <w:szCs w:val="18"/>
                <w:color w:val="auto"/>
              </w:rPr>
              <w:t>(37,046)</w:t>
            </w:r>
          </w:p>
        </w:tc>
        <w:tc>
          <w:tcPr>
            <w:tcW w:w="1520" w:type="dxa"/>
            <w:vAlign w:val="bottom"/>
          </w:tcPr>
          <w:p>
            <w:pPr>
              <w:jc w:val="right"/>
              <w:spacing w:after="0" w:line="181" w:lineRule="exact"/>
              <w:rPr>
                <w:sz w:val="20"/>
                <w:szCs w:val="20"/>
                <w:color w:val="auto"/>
              </w:rPr>
            </w:pPr>
            <w:r>
              <w:rPr>
                <w:rFonts w:ascii="Arial" w:cs="Arial" w:eastAsia="Arial" w:hAnsi="Arial"/>
                <w:sz w:val="18"/>
                <w:szCs w:val="18"/>
                <w:color w:val="auto"/>
              </w:rPr>
              <w:t>(24,988)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40" w:type="dxa"/>
            <w:vAlign w:val="bottom"/>
          </w:tcPr>
          <w:p>
            <w:pPr>
              <w:ind w:left="200"/>
              <w:spacing w:after="0" w:line="202" w:lineRule="exact"/>
              <w:rPr>
                <w:sz w:val="20"/>
                <w:szCs w:val="20"/>
                <w:color w:val="auto"/>
              </w:rPr>
            </w:pPr>
            <w:r>
              <w:rPr>
                <w:rFonts w:ascii="Arial" w:cs="Arial" w:eastAsia="Arial" w:hAnsi="Arial"/>
                <w:sz w:val="18"/>
                <w:szCs w:val="18"/>
                <w:color w:val="auto"/>
              </w:rPr>
              <w:t>Purchased software</w:t>
            </w:r>
          </w:p>
        </w:tc>
        <w:tc>
          <w:tcPr>
            <w:tcW w:w="1500" w:type="dxa"/>
            <w:vAlign w:val="bottom"/>
          </w:tcPr>
          <w:p>
            <w:pPr>
              <w:jc w:val="right"/>
              <w:ind w:right="490"/>
              <w:spacing w:after="0" w:line="202" w:lineRule="exact"/>
              <w:rPr>
                <w:sz w:val="20"/>
                <w:szCs w:val="20"/>
                <w:color w:val="auto"/>
              </w:rPr>
            </w:pPr>
            <w:r>
              <w:rPr>
                <w:rFonts w:ascii="Arial" w:cs="Arial" w:eastAsia="Arial" w:hAnsi="Arial"/>
                <w:sz w:val="18"/>
                <w:szCs w:val="18"/>
                <w:b w:val="1"/>
                <w:bCs w:val="1"/>
                <w:color w:val="auto"/>
              </w:rPr>
              <w:t>(2,613)</w:t>
            </w:r>
          </w:p>
        </w:tc>
        <w:tc>
          <w:tcPr>
            <w:tcW w:w="204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(161)</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(3,692)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340" w:type="dxa"/>
            <w:vAlign w:val="bottom"/>
          </w:tcPr>
          <w:p>
            <w:pPr>
              <w:ind w:left="200"/>
              <w:spacing w:after="0"/>
              <w:rPr>
                <w:sz w:val="20"/>
                <w:szCs w:val="20"/>
                <w:color w:val="auto"/>
              </w:rPr>
            </w:pPr>
            <w:r>
              <w:rPr>
                <w:rFonts w:ascii="Arial" w:cs="Arial" w:eastAsia="Arial" w:hAnsi="Arial"/>
                <w:sz w:val="18"/>
                <w:szCs w:val="18"/>
                <w:color w:val="auto"/>
              </w:rPr>
              <w:t>Proceeds from sale of assets</w:t>
            </w:r>
          </w:p>
        </w:tc>
        <w:tc>
          <w:tcPr>
            <w:tcW w:w="1500" w:type="dxa"/>
            <w:vAlign w:val="bottom"/>
          </w:tcPr>
          <w:p>
            <w:pPr>
              <w:jc w:val="right"/>
              <w:ind w:right="550"/>
              <w:spacing w:after="0"/>
              <w:rPr>
                <w:sz w:val="20"/>
                <w:szCs w:val="20"/>
                <w:color w:val="auto"/>
              </w:rPr>
            </w:pPr>
            <w:r>
              <w:rPr>
                <w:rFonts w:ascii="Arial" w:cs="Arial" w:eastAsia="Arial" w:hAnsi="Arial"/>
                <w:sz w:val="18"/>
                <w:szCs w:val="18"/>
                <w:b w:val="1"/>
                <w:bCs w:val="1"/>
                <w:color w:val="auto"/>
              </w:rPr>
              <w:t>6,268</w:t>
            </w:r>
          </w:p>
        </w:tc>
        <w:tc>
          <w:tcPr>
            <w:tcW w:w="204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2,860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40" w:type="dxa"/>
            <w:vAlign w:val="bottom"/>
          </w:tcPr>
          <w:p>
            <w:pPr>
              <w:ind w:left="200"/>
              <w:spacing w:after="0" w:line="202" w:lineRule="exact"/>
              <w:rPr>
                <w:sz w:val="20"/>
                <w:szCs w:val="20"/>
                <w:color w:val="auto"/>
              </w:rPr>
            </w:pPr>
            <w:r>
              <w:rPr>
                <w:rFonts w:ascii="Arial" w:cs="Arial" w:eastAsia="Arial" w:hAnsi="Arial"/>
                <w:sz w:val="18"/>
                <w:szCs w:val="18"/>
                <w:color w:val="auto"/>
              </w:rPr>
              <w:t>Proceeds from sale of discontinued operations, net of</w:t>
            </w:r>
          </w:p>
        </w:tc>
        <w:tc>
          <w:tcPr>
            <w:tcW w:w="1500" w:type="dxa"/>
            <w:vAlign w:val="bottom"/>
            <w:vMerge w:val="restart"/>
          </w:tcPr>
          <w:p>
            <w:pPr>
              <w:jc w:val="right"/>
              <w:ind w:right="550"/>
              <w:spacing w:after="0"/>
              <w:rPr>
                <w:sz w:val="20"/>
                <w:szCs w:val="20"/>
                <w:color w:val="auto"/>
              </w:rPr>
            </w:pPr>
            <w:r>
              <w:rPr>
                <w:rFonts w:ascii="Arial" w:cs="Arial" w:eastAsia="Arial" w:hAnsi="Arial"/>
                <w:sz w:val="18"/>
                <w:szCs w:val="18"/>
                <w:b w:val="1"/>
                <w:bCs w:val="1"/>
                <w:color w:val="auto"/>
              </w:rPr>
              <w:t>16,797</w:t>
            </w:r>
          </w:p>
        </w:tc>
        <w:tc>
          <w:tcPr>
            <w:tcW w:w="20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40" w:type="dxa"/>
            <w:vAlign w:val="bottom"/>
            <w:tcBorders>
              <w:bottom w:val="single" w:sz="8" w:color="auto"/>
            </w:tcBorders>
          </w:tcPr>
          <w:p>
            <w:pPr>
              <w:ind w:left="320"/>
              <w:spacing w:after="0" w:line="203" w:lineRule="exact"/>
              <w:rPr>
                <w:sz w:val="20"/>
                <w:szCs w:val="20"/>
                <w:color w:val="auto"/>
              </w:rPr>
            </w:pPr>
            <w:r>
              <w:rPr>
                <w:rFonts w:ascii="Arial" w:cs="Arial" w:eastAsia="Arial" w:hAnsi="Arial"/>
                <w:sz w:val="18"/>
                <w:szCs w:val="18"/>
                <w:color w:val="auto"/>
              </w:rPr>
              <w:t>expenses</w:t>
            </w:r>
          </w:p>
        </w:tc>
        <w:tc>
          <w:tcPr>
            <w:tcW w:w="1500" w:type="dxa"/>
            <w:vAlign w:val="bottom"/>
            <w:tcBorders>
              <w:bottom w:val="single" w:sz="8" w:color="auto"/>
            </w:tcBorders>
            <w:vMerge w:val="continue"/>
          </w:tcPr>
          <w:p>
            <w:pPr>
              <w:spacing w:after="0"/>
              <w:rPr>
                <w:sz w:val="17"/>
                <w:szCs w:val="17"/>
                <w:color w:val="auto"/>
              </w:rPr>
            </w:pPr>
          </w:p>
        </w:tc>
        <w:tc>
          <w:tcPr>
            <w:tcW w:w="2040" w:type="dxa"/>
            <w:vAlign w:val="bottom"/>
            <w:tcBorders>
              <w:bottom w:val="single" w:sz="8" w:color="auto"/>
            </w:tcBorders>
          </w:tcPr>
          <w:p>
            <w:pPr>
              <w:jc w:val="right"/>
              <w:ind w:right="530"/>
              <w:spacing w:after="0" w:line="203" w:lineRule="exact"/>
              <w:rPr>
                <w:sz w:val="20"/>
                <w:szCs w:val="20"/>
                <w:color w:val="auto"/>
              </w:rPr>
            </w:pPr>
            <w:r>
              <w:rPr>
                <w:rFonts w:ascii="Arial" w:cs="Arial" w:eastAsia="Arial" w:hAnsi="Arial"/>
                <w:sz w:val="18"/>
                <w:szCs w:val="18"/>
                <w:color w:val="auto"/>
              </w:rPr>
              <w:t>150,654</w:t>
            </w:r>
          </w:p>
        </w:tc>
        <w:tc>
          <w:tcPr>
            <w:tcW w:w="15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40" w:type="dxa"/>
            <w:vAlign w:val="bottom"/>
            <w:tcBorders>
              <w:bottom w:val="single" w:sz="8" w:color="auto"/>
            </w:tcBorders>
          </w:tcPr>
          <w:p>
            <w:pPr>
              <w:ind w:left="200"/>
              <w:spacing w:after="0" w:line="196" w:lineRule="exact"/>
              <w:rPr>
                <w:sz w:val="20"/>
                <w:szCs w:val="20"/>
                <w:color w:val="auto"/>
              </w:rPr>
            </w:pPr>
            <w:r>
              <w:rPr>
                <w:rFonts w:ascii="Arial" w:cs="Arial" w:eastAsia="Arial" w:hAnsi="Arial"/>
                <w:sz w:val="18"/>
                <w:szCs w:val="18"/>
                <w:color w:val="auto"/>
              </w:rPr>
              <w:t>Net cash (used in)/provided by investing activities</w:t>
            </w:r>
          </w:p>
        </w:tc>
        <w:tc>
          <w:tcPr>
            <w:tcW w:w="1500" w:type="dxa"/>
            <w:vAlign w:val="bottom"/>
            <w:tcBorders>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(41,392)</w:t>
            </w:r>
          </w:p>
        </w:tc>
        <w:tc>
          <w:tcPr>
            <w:tcW w:w="204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color w:val="auto"/>
              </w:rPr>
              <w:t>113,447</w:t>
            </w:r>
          </w:p>
        </w:tc>
        <w:tc>
          <w:tcPr>
            <w:tcW w:w="1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(25,820)</w:t>
            </w:r>
          </w:p>
        </w:tc>
        <w:tc>
          <w:tcPr>
            <w:tcW w:w="0" w:type="dxa"/>
            <w:vAlign w:val="bottom"/>
          </w:tcPr>
          <w:p>
            <w:pPr>
              <w:spacing w:after="0"/>
              <w:rPr>
                <w:sz w:val="1"/>
                <w:szCs w:val="1"/>
                <w:color w:val="auto"/>
              </w:rPr>
            </w:pPr>
          </w:p>
        </w:tc>
      </w:tr>
      <w:tr>
        <w:trPr>
          <w:trHeight w:val="398"/>
        </w:trPr>
        <w:tc>
          <w:tcPr>
            <w:tcW w:w="636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1500" w:type="dxa"/>
            <w:vAlign w:val="bottom"/>
            <w:vMerge w:val="restart"/>
          </w:tcPr>
          <w:p>
            <w:pPr>
              <w:jc w:val="right"/>
              <w:ind w:right="550"/>
              <w:spacing w:after="0"/>
              <w:rPr>
                <w:sz w:val="20"/>
                <w:szCs w:val="20"/>
                <w:color w:val="auto"/>
              </w:rPr>
            </w:pPr>
            <w:r>
              <w:rPr>
                <w:rFonts w:ascii="Arial" w:cs="Arial" w:eastAsia="Arial" w:hAnsi="Arial"/>
                <w:sz w:val="18"/>
                <w:szCs w:val="18"/>
                <w:b w:val="1"/>
                <w:bCs w:val="1"/>
                <w:color w:val="auto"/>
              </w:rPr>
              <w:t>117,452</w:t>
            </w:r>
          </w:p>
        </w:tc>
        <w:tc>
          <w:tcPr>
            <w:tcW w:w="20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340" w:type="dxa"/>
            <w:vAlign w:val="bottom"/>
          </w:tcPr>
          <w:p>
            <w:pPr>
              <w:ind w:left="200"/>
              <w:spacing w:after="0" w:line="181" w:lineRule="exact"/>
              <w:rPr>
                <w:sz w:val="20"/>
                <w:szCs w:val="20"/>
                <w:color w:val="auto"/>
              </w:rPr>
            </w:pPr>
            <w:r>
              <w:rPr>
                <w:rFonts w:ascii="Arial" w:cs="Arial" w:eastAsia="Arial" w:hAnsi="Arial"/>
                <w:sz w:val="18"/>
                <w:szCs w:val="18"/>
                <w:color w:val="auto"/>
              </w:rPr>
              <w:t>Proceeds from borrowings</w:t>
            </w:r>
          </w:p>
        </w:tc>
        <w:tc>
          <w:tcPr>
            <w:tcW w:w="1500" w:type="dxa"/>
            <w:vAlign w:val="bottom"/>
            <w:vMerge w:val="continue"/>
          </w:tcPr>
          <w:p>
            <w:pPr>
              <w:spacing w:after="0"/>
              <w:rPr>
                <w:sz w:val="15"/>
                <w:szCs w:val="15"/>
                <w:color w:val="auto"/>
              </w:rPr>
            </w:pPr>
          </w:p>
        </w:tc>
        <w:tc>
          <w:tcPr>
            <w:tcW w:w="2040" w:type="dxa"/>
            <w:vAlign w:val="bottom"/>
          </w:tcPr>
          <w:p>
            <w:pPr>
              <w:jc w:val="right"/>
              <w:ind w:right="530"/>
              <w:spacing w:after="0" w:line="181" w:lineRule="exact"/>
              <w:rPr>
                <w:sz w:val="20"/>
                <w:szCs w:val="20"/>
                <w:color w:val="auto"/>
              </w:rPr>
            </w:pPr>
            <w:r>
              <w:rPr>
                <w:rFonts w:ascii="Arial" w:cs="Arial" w:eastAsia="Arial" w:hAnsi="Arial"/>
                <w:sz w:val="18"/>
                <w:szCs w:val="18"/>
                <w:color w:val="auto"/>
              </w:rPr>
              <w:t>46,028</w:t>
            </w:r>
          </w:p>
        </w:tc>
        <w:tc>
          <w:tcPr>
            <w:tcW w:w="1520" w:type="dxa"/>
            <w:vAlign w:val="bottom"/>
          </w:tcPr>
          <w:p>
            <w:pPr>
              <w:jc w:val="right"/>
              <w:ind w:right="10"/>
              <w:spacing w:after="0" w:line="181" w:lineRule="exact"/>
              <w:rPr>
                <w:sz w:val="20"/>
                <w:szCs w:val="20"/>
                <w:color w:val="auto"/>
              </w:rPr>
            </w:pPr>
            <w:r>
              <w:rPr>
                <w:rFonts w:ascii="Arial" w:cs="Arial" w:eastAsia="Arial" w:hAnsi="Arial"/>
                <w:sz w:val="18"/>
                <w:szCs w:val="18"/>
                <w:color w:val="auto"/>
              </w:rPr>
              <w:t>14,386</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340" w:type="dxa"/>
            <w:vAlign w:val="bottom"/>
          </w:tcPr>
          <w:p>
            <w:pPr>
              <w:ind w:left="200"/>
              <w:spacing w:after="0"/>
              <w:rPr>
                <w:sz w:val="20"/>
                <w:szCs w:val="20"/>
                <w:color w:val="auto"/>
              </w:rPr>
            </w:pPr>
            <w:r>
              <w:rPr>
                <w:rFonts w:ascii="Arial" w:cs="Arial" w:eastAsia="Arial" w:hAnsi="Arial"/>
                <w:sz w:val="18"/>
                <w:szCs w:val="18"/>
                <w:color w:val="auto"/>
              </w:rPr>
              <w:t>Principal payments on debt</w:t>
            </w:r>
          </w:p>
        </w:tc>
        <w:tc>
          <w:tcPr>
            <w:tcW w:w="1500" w:type="dxa"/>
            <w:vAlign w:val="bottom"/>
          </w:tcPr>
          <w:p>
            <w:pPr>
              <w:jc w:val="right"/>
              <w:ind w:right="490"/>
              <w:spacing w:after="0"/>
              <w:rPr>
                <w:sz w:val="20"/>
                <w:szCs w:val="20"/>
                <w:color w:val="auto"/>
              </w:rPr>
            </w:pPr>
            <w:r>
              <w:rPr>
                <w:rFonts w:ascii="Arial" w:cs="Arial" w:eastAsia="Arial" w:hAnsi="Arial"/>
                <w:sz w:val="18"/>
                <w:szCs w:val="18"/>
                <w:b w:val="1"/>
                <w:bCs w:val="1"/>
                <w:color w:val="auto"/>
              </w:rPr>
              <w:t>(132,691)</w:t>
            </w:r>
          </w:p>
        </w:tc>
        <w:tc>
          <w:tcPr>
            <w:tcW w:w="2040" w:type="dxa"/>
            <w:vAlign w:val="bottom"/>
          </w:tcPr>
          <w:p>
            <w:pPr>
              <w:jc w:val="right"/>
              <w:ind w:right="470"/>
              <w:spacing w:after="0"/>
              <w:rPr>
                <w:sz w:val="20"/>
                <w:szCs w:val="20"/>
                <w:color w:val="auto"/>
              </w:rPr>
            </w:pPr>
            <w:r>
              <w:rPr>
                <w:rFonts w:ascii="Arial" w:cs="Arial" w:eastAsia="Arial" w:hAnsi="Arial"/>
                <w:sz w:val="18"/>
                <w:szCs w:val="18"/>
                <w:color w:val="auto"/>
              </w:rPr>
              <w:t>(102,128)</w:t>
            </w:r>
          </w:p>
        </w:tc>
        <w:tc>
          <w:tcPr>
            <w:tcW w:w="1520" w:type="dxa"/>
            <w:vAlign w:val="bottom"/>
          </w:tcPr>
          <w:p>
            <w:pPr>
              <w:jc w:val="right"/>
              <w:spacing w:after="0"/>
              <w:rPr>
                <w:sz w:val="20"/>
                <w:szCs w:val="20"/>
                <w:color w:val="auto"/>
              </w:rPr>
            </w:pPr>
            <w:r>
              <w:rPr>
                <w:rFonts w:ascii="Arial" w:cs="Arial" w:eastAsia="Arial" w:hAnsi="Arial"/>
                <w:sz w:val="18"/>
                <w:szCs w:val="18"/>
                <w:color w:val="auto"/>
              </w:rPr>
              <w:t>(65,575)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40" w:type="dxa"/>
            <w:vAlign w:val="bottom"/>
          </w:tcPr>
          <w:p>
            <w:pPr>
              <w:ind w:left="200"/>
              <w:spacing w:after="0" w:line="202" w:lineRule="exact"/>
              <w:rPr>
                <w:sz w:val="20"/>
                <w:szCs w:val="20"/>
                <w:color w:val="auto"/>
              </w:rPr>
            </w:pPr>
            <w:r>
              <w:rPr>
                <w:rFonts w:ascii="Arial" w:cs="Arial" w:eastAsia="Arial" w:hAnsi="Arial"/>
                <w:sz w:val="18"/>
                <w:szCs w:val="18"/>
                <w:color w:val="auto"/>
              </w:rPr>
              <w:t>Cash received for noncontrolling interest in Albany Safran</w:t>
            </w:r>
          </w:p>
        </w:tc>
        <w:tc>
          <w:tcPr>
            <w:tcW w:w="1500" w:type="dxa"/>
            <w:vAlign w:val="bottom"/>
            <w:vMerge w:val="restart"/>
          </w:tcPr>
          <w:p>
            <w:pPr>
              <w:jc w:val="right"/>
              <w:ind w:right="550"/>
              <w:spacing w:after="0"/>
              <w:rPr>
                <w:sz w:val="20"/>
                <w:szCs w:val="20"/>
                <w:color w:val="auto"/>
              </w:rPr>
            </w:pPr>
            <w:r>
              <w:rPr>
                <w:rFonts w:ascii="Arial" w:cs="Arial" w:eastAsia="Arial" w:hAnsi="Arial"/>
                <w:sz w:val="18"/>
                <w:szCs w:val="18"/>
                <w:b w:val="1"/>
                <w:bCs w:val="1"/>
                <w:color w:val="auto"/>
              </w:rPr>
              <w:t>28,000</w:t>
            </w:r>
          </w:p>
        </w:tc>
        <w:tc>
          <w:tcPr>
            <w:tcW w:w="20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340" w:type="dxa"/>
            <w:vAlign w:val="bottom"/>
          </w:tcPr>
          <w:p>
            <w:pPr>
              <w:ind w:left="320"/>
              <w:spacing w:after="0" w:line="181" w:lineRule="exact"/>
              <w:rPr>
                <w:sz w:val="20"/>
                <w:szCs w:val="20"/>
                <w:color w:val="auto"/>
              </w:rPr>
            </w:pPr>
            <w:r>
              <w:rPr>
                <w:rFonts w:ascii="Arial" w:cs="Arial" w:eastAsia="Arial" w:hAnsi="Arial"/>
                <w:sz w:val="18"/>
                <w:szCs w:val="18"/>
                <w:color w:val="auto"/>
              </w:rPr>
              <w:t>Composites</w:t>
            </w:r>
          </w:p>
        </w:tc>
        <w:tc>
          <w:tcPr>
            <w:tcW w:w="1500" w:type="dxa"/>
            <w:vAlign w:val="bottom"/>
            <w:vMerge w:val="continue"/>
          </w:tcPr>
          <w:p>
            <w:pPr>
              <w:spacing w:after="0"/>
              <w:rPr>
                <w:sz w:val="15"/>
                <w:szCs w:val="15"/>
                <w:color w:val="auto"/>
              </w:rPr>
            </w:pPr>
          </w:p>
        </w:tc>
        <w:tc>
          <w:tcPr>
            <w:tcW w:w="2040" w:type="dxa"/>
            <w:vAlign w:val="bottom"/>
          </w:tcPr>
          <w:p>
            <w:pPr>
              <w:jc w:val="right"/>
              <w:ind w:right="530"/>
              <w:spacing w:after="0" w:line="181" w:lineRule="exact"/>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line="18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40" w:type="dxa"/>
            <w:vAlign w:val="bottom"/>
          </w:tcPr>
          <w:p>
            <w:pPr>
              <w:ind w:left="200"/>
              <w:spacing w:after="0" w:line="202" w:lineRule="exact"/>
              <w:rPr>
                <w:sz w:val="20"/>
                <w:szCs w:val="20"/>
                <w:color w:val="auto"/>
              </w:rPr>
            </w:pPr>
            <w:r>
              <w:rPr>
                <w:rFonts w:ascii="Arial" w:cs="Arial" w:eastAsia="Arial" w:hAnsi="Arial"/>
                <w:sz w:val="18"/>
                <w:szCs w:val="18"/>
                <w:color w:val="auto"/>
              </w:rPr>
              <w:t>Proceeds from options exercised</w:t>
            </w:r>
          </w:p>
        </w:tc>
        <w:tc>
          <w:tcPr>
            <w:tcW w:w="1500" w:type="dxa"/>
            <w:vAlign w:val="bottom"/>
          </w:tcPr>
          <w:p>
            <w:pPr>
              <w:jc w:val="right"/>
              <w:ind w:right="550"/>
              <w:spacing w:after="0" w:line="202" w:lineRule="exact"/>
              <w:rPr>
                <w:sz w:val="20"/>
                <w:szCs w:val="20"/>
                <w:color w:val="auto"/>
              </w:rPr>
            </w:pPr>
            <w:r>
              <w:rPr>
                <w:rFonts w:ascii="Arial" w:cs="Arial" w:eastAsia="Arial" w:hAnsi="Arial"/>
                <w:sz w:val="18"/>
                <w:szCs w:val="18"/>
                <w:b w:val="1"/>
                <w:bCs w:val="1"/>
                <w:color w:val="auto"/>
              </w:rPr>
              <w:t>5,538</w:t>
            </w:r>
          </w:p>
        </w:tc>
        <w:tc>
          <w:tcPr>
            <w:tcW w:w="2040" w:type="dxa"/>
            <w:vAlign w:val="bottom"/>
          </w:tcPr>
          <w:p>
            <w:pPr>
              <w:jc w:val="right"/>
              <w:ind w:right="530"/>
              <w:spacing w:after="0" w:line="202" w:lineRule="exact"/>
              <w:rPr>
                <w:sz w:val="20"/>
                <w:szCs w:val="20"/>
                <w:color w:val="auto"/>
              </w:rPr>
            </w:pPr>
            <w:r>
              <w:rPr>
                <w:rFonts w:ascii="Arial" w:cs="Arial" w:eastAsia="Arial" w:hAnsi="Arial"/>
                <w:sz w:val="18"/>
                <w:szCs w:val="18"/>
                <w:color w:val="auto"/>
              </w:rPr>
              <w:t>1,311</w:t>
            </w: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40" w:type="dxa"/>
            <w:vAlign w:val="bottom"/>
          </w:tcPr>
          <w:p>
            <w:pPr>
              <w:ind w:left="200"/>
              <w:spacing w:after="0" w:line="202" w:lineRule="exact"/>
              <w:rPr>
                <w:sz w:val="20"/>
                <w:szCs w:val="20"/>
                <w:color w:val="auto"/>
              </w:rPr>
            </w:pPr>
            <w:r>
              <w:rPr>
                <w:rFonts w:ascii="Arial" w:cs="Arial" w:eastAsia="Arial" w:hAnsi="Arial"/>
                <w:sz w:val="18"/>
                <w:szCs w:val="18"/>
                <w:color w:val="auto"/>
              </w:rPr>
              <w:t>Excess tax benefit of options exercised</w:t>
            </w:r>
          </w:p>
        </w:tc>
        <w:tc>
          <w:tcPr>
            <w:tcW w:w="1500" w:type="dxa"/>
            <w:vAlign w:val="bottom"/>
          </w:tcPr>
          <w:p>
            <w:pPr>
              <w:jc w:val="right"/>
              <w:ind w:right="550"/>
              <w:spacing w:after="0" w:line="202" w:lineRule="exact"/>
              <w:rPr>
                <w:sz w:val="20"/>
                <w:szCs w:val="20"/>
                <w:color w:val="auto"/>
              </w:rPr>
            </w:pPr>
            <w:r>
              <w:rPr>
                <w:rFonts w:ascii="Arial" w:cs="Arial" w:eastAsia="Arial" w:hAnsi="Arial"/>
                <w:sz w:val="18"/>
                <w:szCs w:val="18"/>
                <w:b w:val="1"/>
                <w:bCs w:val="1"/>
                <w:color w:val="auto"/>
              </w:rPr>
              <w:t>1,134</w:t>
            </w:r>
          </w:p>
        </w:tc>
        <w:tc>
          <w:tcPr>
            <w:tcW w:w="2040" w:type="dxa"/>
            <w:vAlign w:val="bottom"/>
          </w:tcPr>
          <w:p>
            <w:pPr>
              <w:jc w:val="right"/>
              <w:ind w:right="530"/>
              <w:spacing w:after="0" w:line="202" w:lineRule="exact"/>
              <w:rPr>
                <w:sz w:val="20"/>
                <w:szCs w:val="20"/>
                <w:color w:val="auto"/>
              </w:rPr>
            </w:pPr>
            <w:r>
              <w:rPr>
                <w:rFonts w:ascii="Arial" w:cs="Arial" w:eastAsia="Arial" w:hAnsi="Arial"/>
                <w:sz w:val="18"/>
                <w:szCs w:val="18"/>
                <w:color w:val="auto"/>
              </w:rPr>
              <w:t>40</w:t>
            </w: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40" w:type="dxa"/>
            <w:vAlign w:val="bottom"/>
          </w:tcPr>
          <w:p>
            <w:pPr>
              <w:ind w:left="200"/>
              <w:spacing w:after="0" w:line="202" w:lineRule="exact"/>
              <w:rPr>
                <w:sz w:val="20"/>
                <w:szCs w:val="20"/>
                <w:color w:val="auto"/>
              </w:rPr>
            </w:pPr>
            <w:r>
              <w:rPr>
                <w:rFonts w:ascii="Arial" w:cs="Arial" w:eastAsia="Arial" w:hAnsi="Arial"/>
                <w:sz w:val="18"/>
                <w:szCs w:val="18"/>
                <w:color w:val="auto"/>
              </w:rPr>
              <w:t>Debt acquisition costs</w:t>
            </w:r>
          </w:p>
        </w:tc>
        <w:tc>
          <w:tcPr>
            <w:tcW w:w="1500" w:type="dxa"/>
            <w:vAlign w:val="bottom"/>
          </w:tcPr>
          <w:p>
            <w:pPr>
              <w:jc w:val="right"/>
              <w:ind w:right="490"/>
              <w:spacing w:after="0" w:line="202" w:lineRule="exact"/>
              <w:rPr>
                <w:sz w:val="20"/>
                <w:szCs w:val="20"/>
                <w:color w:val="auto"/>
              </w:rPr>
            </w:pPr>
            <w:r>
              <w:rPr>
                <w:rFonts w:ascii="Arial" w:cs="Arial" w:eastAsia="Arial" w:hAnsi="Arial"/>
                <w:sz w:val="18"/>
                <w:szCs w:val="18"/>
                <w:b w:val="1"/>
                <w:bCs w:val="1"/>
                <w:color w:val="auto"/>
              </w:rPr>
              <w:t>(1,639)</w:t>
            </w:r>
          </w:p>
        </w:tc>
        <w:tc>
          <w:tcPr>
            <w:tcW w:w="2040" w:type="dxa"/>
            <w:vAlign w:val="bottom"/>
          </w:tcPr>
          <w:p>
            <w:pPr>
              <w:jc w:val="right"/>
              <w:ind w:right="530"/>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3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Dividends paid</w:t>
            </w:r>
          </w:p>
        </w:tc>
        <w:tc>
          <w:tcPr>
            <w:tcW w:w="15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(13,929)</w:t>
            </w:r>
          </w:p>
        </w:tc>
        <w:tc>
          <w:tcPr>
            <w:tcW w:w="20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(21,315)</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(15,616)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40" w:type="dxa"/>
            <w:vAlign w:val="bottom"/>
            <w:tcBorders>
              <w:bottom w:val="single" w:sz="8" w:color="auto"/>
            </w:tcBorders>
          </w:tcPr>
          <w:p>
            <w:pPr>
              <w:ind w:left="200"/>
              <w:spacing w:after="0" w:line="196" w:lineRule="exact"/>
              <w:rPr>
                <w:sz w:val="20"/>
                <w:szCs w:val="20"/>
                <w:color w:val="auto"/>
              </w:rPr>
            </w:pPr>
            <w:r>
              <w:rPr>
                <w:rFonts w:ascii="Arial" w:cs="Arial" w:eastAsia="Arial" w:hAnsi="Arial"/>
                <w:sz w:val="18"/>
                <w:szCs w:val="18"/>
                <w:color w:val="auto"/>
              </w:rPr>
              <w:t>Net cash provided by/(used in) financing activities</w:t>
            </w:r>
          </w:p>
        </w:tc>
        <w:tc>
          <w:tcPr>
            <w:tcW w:w="1500" w:type="dxa"/>
            <w:vAlign w:val="bottom"/>
            <w:tcBorders>
              <w:bottom w:val="single" w:sz="8" w:color="auto"/>
            </w:tcBorders>
          </w:tcPr>
          <w:p>
            <w:pPr>
              <w:jc w:val="right"/>
              <w:ind w:right="550"/>
              <w:spacing w:after="0" w:line="196" w:lineRule="exact"/>
              <w:rPr>
                <w:sz w:val="20"/>
                <w:szCs w:val="20"/>
                <w:color w:val="auto"/>
              </w:rPr>
            </w:pPr>
            <w:r>
              <w:rPr>
                <w:rFonts w:ascii="Arial" w:cs="Arial" w:eastAsia="Arial" w:hAnsi="Arial"/>
                <w:sz w:val="18"/>
                <w:szCs w:val="18"/>
                <w:b w:val="1"/>
                <w:bCs w:val="1"/>
                <w:color w:val="auto"/>
              </w:rPr>
              <w:t>3,865</w:t>
            </w:r>
          </w:p>
        </w:tc>
        <w:tc>
          <w:tcPr>
            <w:tcW w:w="204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color w:val="auto"/>
              </w:rPr>
              <w:t>(76,064)</w:t>
            </w:r>
          </w:p>
        </w:tc>
        <w:tc>
          <w:tcPr>
            <w:tcW w:w="1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(65,923)</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63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Effect of exchange rate changes on cash and cash equivalents</w:t>
            </w:r>
          </w:p>
        </w:tc>
        <w:tc>
          <w:tcPr>
            <w:tcW w:w="1500" w:type="dxa"/>
            <w:vAlign w:val="bottom"/>
            <w:tcBorders>
              <w:bottom w:val="single" w:sz="8" w:color="auto"/>
            </w:tcBorders>
          </w:tcPr>
          <w:p>
            <w:pPr>
              <w:jc w:val="right"/>
              <w:ind w:right="550"/>
              <w:spacing w:after="0" w:line="196" w:lineRule="exact"/>
              <w:rPr>
                <w:sz w:val="20"/>
                <w:szCs w:val="20"/>
                <w:color w:val="auto"/>
              </w:rPr>
            </w:pPr>
            <w:r>
              <w:rPr>
                <w:rFonts w:ascii="Arial" w:cs="Arial" w:eastAsia="Arial" w:hAnsi="Arial"/>
                <w:sz w:val="18"/>
                <w:szCs w:val="18"/>
                <w:b w:val="1"/>
                <w:bCs w:val="1"/>
                <w:color w:val="auto"/>
              </w:rPr>
              <w:t>6,844</w:t>
            </w:r>
          </w:p>
        </w:tc>
        <w:tc>
          <w:tcPr>
            <w:tcW w:w="204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color w:val="auto"/>
              </w:rPr>
              <w:t>(81)</w:t>
            </w:r>
          </w:p>
        </w:tc>
        <w:tc>
          <w:tcPr>
            <w:tcW w:w="1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(3,373)</w:t>
            </w:r>
          </w:p>
        </w:tc>
        <w:tc>
          <w:tcPr>
            <w:tcW w:w="0" w:type="dxa"/>
            <w:vAlign w:val="bottom"/>
          </w:tcPr>
          <w:p>
            <w:pPr>
              <w:spacing w:after="0"/>
              <w:rPr>
                <w:sz w:val="1"/>
                <w:szCs w:val="1"/>
                <w:color w:val="auto"/>
              </w:rPr>
            </w:pPr>
          </w:p>
        </w:tc>
      </w:tr>
      <w:tr>
        <w:trPr>
          <w:trHeight w:val="173"/>
        </w:trPr>
        <w:tc>
          <w:tcPr>
            <w:tcW w:w="6360" w:type="dxa"/>
            <w:vAlign w:val="bottom"/>
            <w:gridSpan w:val="2"/>
          </w:tcPr>
          <w:p>
            <w:pPr>
              <w:spacing w:after="0" w:line="173" w:lineRule="exact"/>
              <w:rPr>
                <w:sz w:val="20"/>
                <w:szCs w:val="20"/>
                <w:color w:val="auto"/>
              </w:rPr>
            </w:pPr>
            <w:r>
              <w:rPr>
                <w:rFonts w:ascii="Arial" w:cs="Arial" w:eastAsia="Arial" w:hAnsi="Arial"/>
                <w:sz w:val="18"/>
                <w:szCs w:val="18"/>
                <w:color w:val="auto"/>
              </w:rPr>
              <w:t>Increase in cash and cash equivalents</w:t>
            </w:r>
          </w:p>
        </w:tc>
        <w:tc>
          <w:tcPr>
            <w:tcW w:w="1500" w:type="dxa"/>
            <w:vAlign w:val="bottom"/>
          </w:tcPr>
          <w:p>
            <w:pPr>
              <w:jc w:val="right"/>
              <w:ind w:right="550"/>
              <w:spacing w:after="0" w:line="173" w:lineRule="exact"/>
              <w:rPr>
                <w:sz w:val="20"/>
                <w:szCs w:val="20"/>
                <w:color w:val="auto"/>
              </w:rPr>
            </w:pPr>
            <w:r>
              <w:rPr>
                <w:rFonts w:ascii="Arial" w:cs="Arial" w:eastAsia="Arial" w:hAnsi="Arial"/>
                <w:sz w:val="18"/>
                <w:szCs w:val="18"/>
                <w:b w:val="1"/>
                <w:bCs w:val="1"/>
                <w:color w:val="auto"/>
              </w:rPr>
              <w:t>31,948</w:t>
            </w:r>
          </w:p>
        </w:tc>
        <w:tc>
          <w:tcPr>
            <w:tcW w:w="2040" w:type="dxa"/>
            <w:vAlign w:val="bottom"/>
          </w:tcPr>
          <w:p>
            <w:pPr>
              <w:jc w:val="right"/>
              <w:ind w:right="530"/>
              <w:spacing w:after="0" w:line="173" w:lineRule="exact"/>
              <w:rPr>
                <w:sz w:val="20"/>
                <w:szCs w:val="20"/>
                <w:color w:val="auto"/>
              </w:rPr>
            </w:pPr>
            <w:r>
              <w:rPr>
                <w:rFonts w:ascii="Arial" w:cs="Arial" w:eastAsia="Arial" w:hAnsi="Arial"/>
                <w:sz w:val="18"/>
                <w:szCs w:val="18"/>
                <w:color w:val="auto"/>
              </w:rPr>
              <w:t>71,809</w:t>
            </w:r>
          </w:p>
        </w:tc>
        <w:tc>
          <w:tcPr>
            <w:tcW w:w="1520" w:type="dxa"/>
            <w:vAlign w:val="bottom"/>
          </w:tcPr>
          <w:p>
            <w:pPr>
              <w:jc w:val="right"/>
              <w:ind w:right="10"/>
              <w:spacing w:after="0" w:line="173" w:lineRule="exact"/>
              <w:rPr>
                <w:sz w:val="20"/>
                <w:szCs w:val="20"/>
                <w:color w:val="auto"/>
              </w:rPr>
            </w:pPr>
            <w:r>
              <w:rPr>
                <w:rFonts w:ascii="Arial" w:cs="Arial" w:eastAsia="Arial" w:hAnsi="Arial"/>
                <w:sz w:val="18"/>
                <w:szCs w:val="18"/>
                <w:color w:val="auto"/>
              </w:rPr>
              <w:t>10,153</w:t>
            </w:r>
          </w:p>
        </w:tc>
        <w:tc>
          <w:tcPr>
            <w:tcW w:w="0" w:type="dxa"/>
            <w:vAlign w:val="bottom"/>
          </w:tcPr>
          <w:p>
            <w:pPr>
              <w:spacing w:after="0"/>
              <w:rPr>
                <w:sz w:val="1"/>
                <w:szCs w:val="1"/>
                <w:color w:val="auto"/>
              </w:rPr>
            </w:pPr>
          </w:p>
        </w:tc>
      </w:tr>
      <w:tr>
        <w:trPr>
          <w:trHeight w:val="203"/>
        </w:trPr>
        <w:tc>
          <w:tcPr>
            <w:tcW w:w="6360" w:type="dxa"/>
            <w:vAlign w:val="bottom"/>
            <w:gridSpan w:val="2"/>
          </w:tcPr>
          <w:p>
            <w:pPr>
              <w:spacing w:after="0" w:line="202" w:lineRule="exact"/>
              <w:rPr>
                <w:sz w:val="20"/>
                <w:szCs w:val="20"/>
                <w:color w:val="auto"/>
              </w:rPr>
            </w:pPr>
            <w:r>
              <w:rPr>
                <w:rFonts w:ascii="Arial" w:cs="Arial" w:eastAsia="Arial" w:hAnsi="Arial"/>
                <w:sz w:val="18"/>
                <w:szCs w:val="18"/>
                <w:color w:val="auto"/>
              </w:rPr>
              <w:t>Change in cash balances of discontinued operations</w:t>
            </w:r>
          </w:p>
        </w:tc>
        <w:tc>
          <w:tcPr>
            <w:tcW w:w="1500" w:type="dxa"/>
            <w:vAlign w:val="bottom"/>
          </w:tcPr>
          <w:p>
            <w:pPr>
              <w:jc w:val="right"/>
              <w:ind w:right="550"/>
              <w:spacing w:after="0" w:line="202" w:lineRule="exact"/>
              <w:rPr>
                <w:sz w:val="20"/>
                <w:szCs w:val="20"/>
                <w:color w:val="auto"/>
              </w:rPr>
            </w:pPr>
            <w:r>
              <w:rPr>
                <w:rFonts w:ascii="Arial" w:cs="Arial" w:eastAsia="Arial" w:hAnsi="Arial"/>
                <w:sz w:val="18"/>
                <w:szCs w:val="18"/>
                <w:b w:val="1"/>
                <w:bCs w:val="1"/>
                <w:color w:val="auto"/>
              </w:rPr>
              <w:t>-</w:t>
            </w:r>
          </w:p>
        </w:tc>
        <w:tc>
          <w:tcPr>
            <w:tcW w:w="2040" w:type="dxa"/>
            <w:vAlign w:val="bottom"/>
          </w:tcPr>
          <w:p>
            <w:pPr>
              <w:jc w:val="right"/>
              <w:ind w:right="530"/>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(9,169)</w:t>
            </w:r>
          </w:p>
        </w:tc>
        <w:tc>
          <w:tcPr>
            <w:tcW w:w="0" w:type="dxa"/>
            <w:vAlign w:val="bottom"/>
          </w:tcPr>
          <w:p>
            <w:pPr>
              <w:spacing w:after="0"/>
              <w:rPr>
                <w:sz w:val="1"/>
                <w:szCs w:val="1"/>
                <w:color w:val="auto"/>
              </w:rPr>
            </w:pPr>
          </w:p>
        </w:tc>
      </w:tr>
      <w:tr>
        <w:trPr>
          <w:trHeight w:val="225"/>
        </w:trPr>
        <w:tc>
          <w:tcPr>
            <w:tcW w:w="6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Cash and cash equivalents at beginning of year</w:t>
            </w:r>
          </w:p>
        </w:tc>
        <w:tc>
          <w:tcPr>
            <w:tcW w:w="15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190,718</w:t>
            </w:r>
          </w:p>
        </w:tc>
        <w:tc>
          <w:tcPr>
            <w:tcW w:w="20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118,909</w:t>
            </w: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117,925</w:t>
            </w:r>
          </w:p>
        </w:tc>
        <w:tc>
          <w:tcPr>
            <w:tcW w:w="0" w:type="dxa"/>
            <w:vAlign w:val="bottom"/>
          </w:tcPr>
          <w:p>
            <w:pPr>
              <w:spacing w:after="0"/>
              <w:rPr>
                <w:sz w:val="1"/>
                <w:szCs w:val="1"/>
                <w:color w:val="auto"/>
              </w:rPr>
            </w:pPr>
          </w:p>
        </w:tc>
      </w:tr>
      <w:tr>
        <w:trPr>
          <w:trHeight w:val="196"/>
        </w:trPr>
        <w:tc>
          <w:tcPr>
            <w:tcW w:w="636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Cash and cash equivalents at end of year</w:t>
            </w:r>
          </w:p>
        </w:tc>
        <w:tc>
          <w:tcPr>
            <w:tcW w:w="1500" w:type="dxa"/>
            <w:vAlign w:val="bottom"/>
            <w:tcBorders>
              <w:bottom w:val="single" w:sz="8" w:color="auto"/>
            </w:tcBorders>
          </w:tcPr>
          <w:p>
            <w:pPr>
              <w:jc w:val="right"/>
              <w:ind w:right="550"/>
              <w:spacing w:after="0" w:line="196" w:lineRule="exact"/>
              <w:rPr>
                <w:sz w:val="20"/>
                <w:szCs w:val="20"/>
                <w:color w:val="auto"/>
              </w:rPr>
            </w:pPr>
            <w:r>
              <w:rPr>
                <w:rFonts w:ascii="Arial" w:cs="Arial" w:eastAsia="Arial" w:hAnsi="Arial"/>
                <w:sz w:val="18"/>
                <w:szCs w:val="18"/>
                <w:b w:val="1"/>
                <w:bCs w:val="1"/>
                <w:color w:val="auto"/>
              </w:rPr>
              <w:t>$222,666</w:t>
            </w:r>
          </w:p>
        </w:tc>
        <w:tc>
          <w:tcPr>
            <w:tcW w:w="204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color w:val="auto"/>
              </w:rPr>
              <w:t>$190,718</w:t>
            </w:r>
          </w:p>
        </w:tc>
        <w:tc>
          <w:tcPr>
            <w:tcW w:w="15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$118,909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431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48" w:name="page49"/>
    <w:bookmarkEnd w:id="48"/>
    <w:p>
      <w:pPr>
        <w:jc w:val="both"/>
        <w:ind w:right="9460" w:firstLine="8"/>
        <w:spacing w:after="0" w:line="459" w:lineRule="auto"/>
        <w:tabs>
          <w:tab w:leader="none" w:pos="2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Policies Basis of Consolidation</w:t>
      </w:r>
    </w:p>
    <w:p>
      <w:pPr>
        <w:ind w:right="100" w:firstLine="648"/>
        <w:spacing w:after="0"/>
        <w:rPr>
          <w:sz w:val="20"/>
          <w:szCs w:val="20"/>
          <w:color w:val="auto"/>
        </w:rPr>
      </w:pPr>
      <w:r>
        <w:rPr>
          <w:rFonts w:ascii="Arial" w:cs="Arial" w:eastAsia="Arial" w:hAnsi="Arial"/>
          <w:sz w:val="18"/>
          <w:szCs w:val="18"/>
          <w:color w:val="auto"/>
        </w:rPr>
        <w:t>The consolidated financial statements include the accounts of Albany International Corp. and its subsidiaries (the Company, we, us, or our) after elimination of intercompany transactions. We have a 50% interest in an entity in Russia. The consolidated financial statements include our original investment in the entity, plus our share of undistributed earnings or losses, in the account “Other Assets.”</w:t>
      </w:r>
    </w:p>
    <w:p>
      <w:pPr>
        <w:spacing w:after="0" w:line="162" w:lineRule="exact"/>
        <w:rPr>
          <w:sz w:val="20"/>
          <w:szCs w:val="20"/>
          <w:color w:val="auto"/>
        </w:rPr>
      </w:pPr>
    </w:p>
    <w:p>
      <w:pPr>
        <w:ind w:right="100" w:firstLine="648"/>
        <w:spacing w:after="0" w:line="246" w:lineRule="auto"/>
        <w:rPr>
          <w:sz w:val="20"/>
          <w:szCs w:val="20"/>
          <w:color w:val="auto"/>
        </w:rPr>
      </w:pPr>
      <w:r>
        <w:rPr>
          <w:rFonts w:ascii="Arial" w:cs="Arial" w:eastAsia="Arial" w:hAnsi="Arial"/>
          <w:sz w:val="18"/>
          <w:szCs w:val="18"/>
          <w:color w:val="auto"/>
        </w:rPr>
        <w:t>The Company owns 90 percent of the common equity of Albany Safran Composites (ASC). Additional information regarding that entity is included in Note 3, which is incorporated herein by reference.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Estimates</w:t>
      </w:r>
    </w:p>
    <w:p>
      <w:pPr>
        <w:spacing w:after="0" w:line="207" w:lineRule="exact"/>
        <w:rPr>
          <w:sz w:val="20"/>
          <w:szCs w:val="20"/>
          <w:color w:val="auto"/>
        </w:rPr>
      </w:pPr>
    </w:p>
    <w:p>
      <w:pPr>
        <w:ind w:right="180" w:firstLine="648"/>
        <w:spacing w:after="0" w:line="236" w:lineRule="auto"/>
        <w:rPr>
          <w:sz w:val="20"/>
          <w:szCs w:val="20"/>
          <w:color w:val="auto"/>
        </w:rPr>
      </w:pPr>
      <w:r>
        <w:rPr>
          <w:rFonts w:ascii="Arial" w:cs="Arial" w:eastAsia="Arial" w:hAnsi="Arial"/>
          <w:sz w:val="18"/>
          <w:szCs w:val="18"/>
          <w:color w:val="auto"/>
        </w:rPr>
        <w:t>The preparation of the consolidated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Estimates are used in accounting for, among other things, revenue recognition, allowances for doubtful accounts, rebates and sales allowances, inventory allowances, pension benefits, goodwill and intangible assets, contingencies and other accruals. Our estimates are based on historical experience and on various other assumptions, which are believed to be reasonable under the circumstances. Due to the inherent uncertainty involved in making estimates, actual results reported in future periods may differ from those estimates. Estimates and assumptions are reviewed periodically, and the effects of any revisions are reflected in the consolidated financial statements in the period they are determined to be necessary.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93"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We record sales when persuasive evidence of an arrangement exists, delivery has occurred, title has been transferred, the selling price is fixed, and collectability is reasonably assured. We include in revenue any amounts invoiced for shipping and handling. The timing of revenue recognition is dependent upon the contractual arrangement with customers. These arrangements, which may include provisions for transfer of title and guarantees of workmanship, are specific to each customer. Some of these contracts provide for a transfer of title upon delivery, or upon reaching a specific date, while other contracts provide for title transfer to occur upon consumption of the product.</w:t>
      </w:r>
    </w:p>
    <w:p>
      <w:pPr>
        <w:spacing w:after="0" w:line="176" w:lineRule="exact"/>
        <w:rPr>
          <w:sz w:val="20"/>
          <w:szCs w:val="20"/>
          <w:color w:val="auto"/>
        </w:rPr>
      </w:pPr>
    </w:p>
    <w:p>
      <w:pPr>
        <w:ind w:right="120" w:firstLine="648"/>
        <w:spacing w:after="0" w:line="238" w:lineRule="auto"/>
        <w:rPr>
          <w:sz w:val="20"/>
          <w:szCs w:val="20"/>
          <w:color w:val="auto"/>
        </w:rPr>
      </w:pPr>
      <w:r>
        <w:rPr>
          <w:rFonts w:ascii="Arial" w:cs="Arial" w:eastAsia="Arial" w:hAnsi="Arial"/>
          <w:sz w:val="18"/>
          <w:szCs w:val="18"/>
          <w:color w:val="auto"/>
        </w:rPr>
        <w:t>Products and services provided under long-term contracts represent a significant portion of sales in the Engineered Composites segment. We have a contract with a major customer for which revenue is recognized under a cost plus fixed fee arrangement. We use the percentage of completion (actual cost to estimated cost) method for accounting for other long-term contracts. That method requires significant judgment and estimation, which could be considerably different if the underlying circumstances were to change. When adjustments in estimated contract revenues or costs are required, any changes from prior estimates are included in earnings in the period the change occurs.</w:t>
      </w:r>
    </w:p>
    <w:p>
      <w:pPr>
        <w:spacing w:after="0" w:line="162"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The Engineered Composites segment also has long-term aerospace contracts under which there are two phases: a phase during which the production part is designed and tested, and a phase of supplying production parts. Certain costs are capitalized during the first phase, such as costs for engineering, equipment, and inventory, where recovery is probable. Revenue will be recognized during the second phase using a percentage of completion method. Accumulated capitalized costs are written off when those costs are determined to be unrecoverable. Depending on the type of contract, we determine our percentage of completion using either the cost-to-cost method, or the units of delivery method. Included in Others assets is capitalized cost of $ 4.1 million as of December 31, 2013 and $2.5 million as of December 31, 2012, principally for engineering services, that will be amortized into expense as deliveries are made in the future. Capitalized costs as of December 31, 2013</w:t>
      </w:r>
    </w:p>
    <w:p>
      <w:pPr>
        <w:spacing w:after="0" w:line="1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431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49" w:name="page50"/>
    <w:bookmarkEnd w:id="49"/>
    <w:p>
      <w:pPr>
        <w:ind w:right="260"/>
        <w:spacing w:after="0" w:line="246" w:lineRule="auto"/>
        <w:rPr>
          <w:sz w:val="20"/>
          <w:szCs w:val="20"/>
          <w:color w:val="auto"/>
        </w:rPr>
      </w:pPr>
      <w:r>
        <w:rPr>
          <w:rFonts w:ascii="Arial" w:cs="Arial" w:eastAsia="Arial" w:hAnsi="Arial"/>
          <w:sz w:val="18"/>
          <w:szCs w:val="18"/>
          <w:color w:val="auto"/>
        </w:rPr>
        <w:t>included $3.9 million for a contract that is expected to go into production in 2014, and $0.2 million for a contract that is already in the delivery phase.</w:t>
      </w:r>
    </w:p>
    <w:p>
      <w:pPr>
        <w:spacing w:after="0" w:line="156" w:lineRule="exact"/>
        <w:rPr>
          <w:sz w:val="20"/>
          <w:szCs w:val="20"/>
          <w:color w:val="auto"/>
        </w:rPr>
      </w:pPr>
    </w:p>
    <w:p>
      <w:pPr>
        <w:ind w:right="380" w:firstLine="648"/>
        <w:spacing w:after="0"/>
        <w:rPr>
          <w:sz w:val="20"/>
          <w:szCs w:val="20"/>
          <w:color w:val="auto"/>
        </w:rPr>
      </w:pPr>
      <w:r>
        <w:rPr>
          <w:rFonts w:ascii="Arial" w:cs="Arial" w:eastAsia="Arial" w:hAnsi="Arial"/>
          <w:sz w:val="18"/>
          <w:szCs w:val="18"/>
          <w:color w:val="auto"/>
        </w:rPr>
        <w:t>We limit the concentration of credit risk in receivables by closely monitoring credit and collection policies. We record allowances for sales returns as a deduction in the computation of net sales. Such provisions are recorded on the basis of written communication with customers and/or historical experience. Any value added taxes that are imposed on sales transactions are excluded from net sales.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Sold</w:t>
      </w:r>
    </w:p>
    <w:p>
      <w:pPr>
        <w:spacing w:after="0" w:line="193" w:lineRule="exact"/>
        <w:rPr>
          <w:sz w:val="20"/>
          <w:szCs w:val="20"/>
          <w:color w:val="auto"/>
        </w:rPr>
      </w:pPr>
    </w:p>
    <w:p>
      <w:pPr>
        <w:ind w:right="140" w:firstLine="648"/>
        <w:spacing w:after="0" w:line="246" w:lineRule="auto"/>
        <w:rPr>
          <w:sz w:val="20"/>
          <w:szCs w:val="20"/>
          <w:color w:val="auto"/>
        </w:rPr>
      </w:pPr>
      <w:r>
        <w:rPr>
          <w:rFonts w:ascii="Arial" w:cs="Arial" w:eastAsia="Arial" w:hAnsi="Arial"/>
          <w:sz w:val="18"/>
          <w:szCs w:val="18"/>
          <w:color w:val="auto"/>
        </w:rPr>
        <w:t>Cost of goods sold includes the cost of materials, provisions for obsolete inventories, labor and supplies, shipping and handling costs, depreciation of manufacturing facilities and equipment, purchasing, receiving, warehousing, and other expenses.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Administrative, Technical, Product Engineering, and Research Expenses</w:t>
      </w:r>
    </w:p>
    <w:p>
      <w:pPr>
        <w:spacing w:after="0" w:line="207" w:lineRule="exact"/>
        <w:rPr>
          <w:sz w:val="20"/>
          <w:szCs w:val="20"/>
          <w:color w:val="auto"/>
        </w:rPr>
      </w:pPr>
    </w:p>
    <w:p>
      <w:pPr>
        <w:ind w:right="140" w:firstLine="648"/>
        <w:spacing w:after="0" w:line="239" w:lineRule="auto"/>
        <w:rPr>
          <w:sz w:val="20"/>
          <w:szCs w:val="20"/>
          <w:color w:val="auto"/>
        </w:rPr>
      </w:pPr>
      <w:r>
        <w:rPr>
          <w:rFonts w:ascii="Arial" w:cs="Arial" w:eastAsia="Arial" w:hAnsi="Arial"/>
          <w:sz w:val="18"/>
          <w:szCs w:val="18"/>
          <w:color w:val="auto"/>
        </w:rPr>
        <w:t>Selling, general, administrative, technical, and product engineering expenses are primarily comprised of wages, benefits, travel, professional fees, revaluation of trade foreign currency balances, and other costs, and are expensed as incurred. Provisions for bad debts are included in selling expense. Research expenses are charged to operations as incurred and consist primarily of compensation, supplies, and professional fees incurred in connection with intellectual property.</w:t>
      </w:r>
    </w:p>
    <w:p>
      <w:pPr>
        <w:spacing w:after="0" w:line="161" w:lineRule="exact"/>
        <w:rPr>
          <w:sz w:val="20"/>
          <w:szCs w:val="20"/>
          <w:color w:val="auto"/>
        </w:rPr>
      </w:pPr>
    </w:p>
    <w:p>
      <w:pPr>
        <w:ind w:right="140" w:firstLine="648"/>
        <w:spacing w:after="0" w:line="237" w:lineRule="auto"/>
        <w:rPr>
          <w:sz w:val="20"/>
          <w:szCs w:val="20"/>
          <w:color w:val="auto"/>
        </w:rPr>
      </w:pPr>
      <w:r>
        <w:rPr>
          <w:rFonts w:ascii="Arial" w:cs="Arial" w:eastAsia="Arial" w:hAnsi="Arial"/>
          <w:sz w:val="18"/>
          <w:szCs w:val="18"/>
          <w:color w:val="auto"/>
        </w:rPr>
        <w:t>The Engineered Composites segment participates in both Company-sponsored, and customer-funded research and development. Some customer-funded research and development may be on a cost-sharing basis, in which case amounts charged to the customer are credited against research and development expense. Expenses were reduced by $1.4 million in 2013 and $0.8 million in 2012 as a result of such arrangements. For customer funded research and development in which we anticipate funding to exceed expenses, we include amounts charged to the customer in net sales. Total Company research expense was $30.2 million in 2013, $27.6 million in 2012, and $29.0 million in 2011.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Expense</w:t>
      </w:r>
    </w:p>
    <w:p>
      <w:pPr>
        <w:spacing w:after="0" w:line="207"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We may incur expenses related to restructuring of our operations, which could include employee termination costs, costs to consolidate or close facilities, or costs to terminate contractual relationships. Employee termination costs include the severance pay and social costs for periods after employee service is completed. Termination costs related to an ongoing benefit arrangement are recognized when the amount becomes probable and estimable. Termination costs related to a one-time benefit arrangement are recognized at the communication date to employees. Costs related to contract termination, relocation of employees, outplacement and the consolidation or the closure of facilities, are recognized when incurred.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93"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Deferred income taxes are recognized for the tax consequences of temporary differences by applying enacted statutory tax rates applicable for future years to differences between financial statement and tax bases of existing assets and liabilities. The effect of tax rate changes on deferred taxes is recognized in the income tax provision in the period that includes the enactment date. A tax valuation allowance is established, as needed, to reduce net deferred tax assets to the amount expected to be realized. In the event it becomes more likely than not that some or all of the deferred tax asset allowances will not be needed, the valuation allowance will be adjusted.</w:t>
      </w:r>
    </w:p>
    <w:p>
      <w:pPr>
        <w:spacing w:after="0" w:line="176" w:lineRule="exact"/>
        <w:rPr>
          <w:sz w:val="20"/>
          <w:szCs w:val="20"/>
          <w:color w:val="auto"/>
        </w:rPr>
      </w:pPr>
    </w:p>
    <w:p>
      <w:pPr>
        <w:ind w:right="200" w:firstLine="648"/>
        <w:spacing w:after="0" w:line="239" w:lineRule="auto"/>
        <w:rPr>
          <w:sz w:val="20"/>
          <w:szCs w:val="20"/>
          <w:color w:val="auto"/>
        </w:rPr>
      </w:pPr>
      <w:r>
        <w:rPr>
          <w:rFonts w:ascii="Arial" w:cs="Arial" w:eastAsia="Arial" w:hAnsi="Arial"/>
          <w:sz w:val="18"/>
          <w:szCs w:val="18"/>
          <w:color w:val="auto"/>
        </w:rPr>
        <w:t>In the ordinary course of business there is inherent uncertainty in quantifying our income tax positions. We assess our income tax positions and record tax benefits for all years subject to examination based upon management’s evaluation of the facts, circumstances, and information available at the reporting date. For those tax positions where it is more likely than not that a tax benefit will be sustained, we have determined the amount</w:t>
      </w:r>
    </w:p>
    <w:p>
      <w:pPr>
        <w:spacing w:after="0" w:line="1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431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50" w:name="page51"/>
    <w:bookmarkEnd w:id="50"/>
    <w:p>
      <w:pPr>
        <w:ind w:right="80"/>
        <w:spacing w:after="0" w:line="238" w:lineRule="auto"/>
        <w:rPr>
          <w:sz w:val="20"/>
          <w:szCs w:val="20"/>
          <w:color w:val="auto"/>
        </w:rPr>
      </w:pPr>
      <w:r>
        <w:rPr>
          <w:rFonts w:ascii="Arial" w:cs="Arial" w:eastAsia="Arial" w:hAnsi="Arial"/>
          <w:sz w:val="18"/>
          <w:szCs w:val="18"/>
          <w:color w:val="auto"/>
        </w:rPr>
        <w:t>of the tax benefit to be recognized by estimating the largest amount of tax benefit that has a greater than 50% likelihood of being realized upon ultimate settlement with a taxing authority that has full knowledge of all relevant information. For those income tax positions where it is not more-likely-than-not that a tax benefit will be sustained, no tax benefit has been recognized in the financial statements. Where applicable, associated interest and penalties has also been recognized. We recognize accrued interest and penalties related to unrecognized tax benefits as a component of income tax expense.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207" w:lineRule="exact"/>
        <w:rPr>
          <w:sz w:val="20"/>
          <w:szCs w:val="20"/>
          <w:color w:val="auto"/>
        </w:rPr>
      </w:pPr>
    </w:p>
    <w:p>
      <w:pPr>
        <w:ind w:right="20" w:firstLine="648"/>
        <w:spacing w:after="0" w:line="239" w:lineRule="auto"/>
        <w:rPr>
          <w:sz w:val="20"/>
          <w:szCs w:val="20"/>
          <w:color w:val="auto"/>
        </w:rPr>
      </w:pPr>
      <w:r>
        <w:rPr>
          <w:rFonts w:ascii="Arial" w:cs="Arial" w:eastAsia="Arial" w:hAnsi="Arial"/>
          <w:sz w:val="18"/>
          <w:szCs w:val="18"/>
          <w:color w:val="auto"/>
        </w:rPr>
        <w:t>The income/(loss) from discontinued operations includes operating income and expenses previously attributed to businesses that were sold in 2012 and, additionally, amounts previously reported as Unallocated expenses, and Other income/expense that were directly related to the divested businesses. Unallocated expenses attributed to the discontinued business include expenses related to global information systems. Interest expense is attributed to the discontinued business only when such expense results from direct third-party borrowings.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193" w:lineRule="exact"/>
        <w:rPr>
          <w:sz w:val="20"/>
          <w:szCs w:val="20"/>
          <w:color w:val="auto"/>
        </w:rPr>
      </w:pPr>
    </w:p>
    <w:p>
      <w:pPr>
        <w:ind w:right="60" w:firstLine="648"/>
        <w:spacing w:after="0"/>
        <w:rPr>
          <w:sz w:val="20"/>
          <w:szCs w:val="20"/>
          <w:color w:val="auto"/>
        </w:rPr>
      </w:pPr>
      <w:r>
        <w:rPr>
          <w:rFonts w:ascii="Arial" w:cs="Arial" w:eastAsia="Arial" w:hAnsi="Arial"/>
          <w:sz w:val="18"/>
          <w:szCs w:val="18"/>
          <w:color w:val="auto"/>
        </w:rPr>
        <w:t>Net income or loss per share is computed using the weighted average number of shares of Class A Common Stock and Class B Common Stock outstanding during each year. Diluted net income per share includes the effect of all potentially dilutive securities. If we report a net loss from continuing operations, the diluted loss is equal to the basic earnings per share calculation.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Translation of Financial Statements</w:t>
      </w:r>
    </w:p>
    <w:p>
      <w:pPr>
        <w:spacing w:after="0" w:line="193" w:lineRule="exact"/>
        <w:rPr>
          <w:sz w:val="20"/>
          <w:szCs w:val="20"/>
          <w:color w:val="auto"/>
        </w:rPr>
      </w:pPr>
    </w:p>
    <w:p>
      <w:pPr>
        <w:ind w:right="80" w:firstLine="648"/>
        <w:spacing w:after="0"/>
        <w:rPr>
          <w:sz w:val="20"/>
          <w:szCs w:val="20"/>
          <w:color w:val="auto"/>
        </w:rPr>
      </w:pPr>
      <w:r>
        <w:rPr>
          <w:rFonts w:ascii="Arial" w:cs="Arial" w:eastAsia="Arial" w:hAnsi="Arial"/>
          <w:sz w:val="18"/>
          <w:szCs w:val="18"/>
          <w:color w:val="auto"/>
        </w:rPr>
        <w:t>Assets and liabilities of non-U.S. operations are translated at year-end rates of exchange, and the income statements are translated at the average rates of exchange for the year. Gains or losses resulting from translating non-U.S. currency financial statements are recorded in other comprehensive income and accumulated in shareholders’ equity in the caption Translation adjustments.</w:t>
      </w:r>
    </w:p>
    <w:p>
      <w:pPr>
        <w:spacing w:after="0" w:line="162" w:lineRule="exact"/>
        <w:rPr>
          <w:sz w:val="20"/>
          <w:szCs w:val="20"/>
          <w:color w:val="auto"/>
        </w:rPr>
      </w:pPr>
    </w:p>
    <w:p>
      <w:pPr>
        <w:ind w:right="60" w:firstLine="648"/>
        <w:spacing w:after="0" w:line="238" w:lineRule="auto"/>
        <w:rPr>
          <w:sz w:val="20"/>
          <w:szCs w:val="20"/>
          <w:color w:val="auto"/>
        </w:rPr>
      </w:pPr>
      <w:r>
        <w:rPr>
          <w:rFonts w:ascii="Arial" w:cs="Arial" w:eastAsia="Arial" w:hAnsi="Arial"/>
          <w:sz w:val="18"/>
          <w:szCs w:val="18"/>
          <w:color w:val="auto"/>
        </w:rPr>
        <w:t>Gains or losses resulting from cash and short-term intercompany loans and balances denominated in a currency other than the entity’s local currency, forward exchange contracts that are not designated as hedges for accounting purposes, and futures contracts are generally included in income in Other expense/(income), net. Gains and losses on long-term intercompany loans not intended to be repaid in the foreseeable future are recorded in other comprehensive income. Gains and losses resulting from other balances denominated in a currency other than the entity’s local currency are recorded in Selling, general, and administrative expenses.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foreign currency transaction gains and losses recognized in the income statement:</w:t>
      </w:r>
    </w:p>
    <w:p>
      <w:pPr>
        <w:spacing w:after="0" w:line="355"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0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(in thousands)</w:t>
            </w:r>
          </w:p>
        </w:tc>
        <w:tc>
          <w:tcPr>
            <w:tcW w:w="2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2013</w:t>
            </w:r>
          </w:p>
        </w:tc>
        <w:tc>
          <w:tcPr>
            <w:tcW w:w="15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2012</w:t>
            </w:r>
          </w:p>
        </w:tc>
        <w:tc>
          <w:tcPr>
            <w:tcW w:w="15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195"/>
        </w:trPr>
        <w:tc>
          <w:tcPr>
            <w:tcW w:w="5000" w:type="dxa"/>
            <w:vAlign w:val="bottom"/>
          </w:tcPr>
          <w:p>
            <w:pPr>
              <w:ind w:left="40"/>
              <w:spacing w:after="0" w:line="195" w:lineRule="exact"/>
              <w:rPr>
                <w:sz w:val="20"/>
                <w:szCs w:val="20"/>
                <w:color w:val="auto"/>
              </w:rPr>
            </w:pPr>
            <w:r>
              <w:rPr>
                <w:rFonts w:ascii="Arial" w:cs="Arial" w:eastAsia="Arial" w:hAnsi="Arial"/>
                <w:sz w:val="18"/>
                <w:szCs w:val="18"/>
                <w:color w:val="auto"/>
              </w:rPr>
              <w:t>Losses/(gains) included in:</w:t>
            </w:r>
          </w:p>
        </w:tc>
        <w:tc>
          <w:tcPr>
            <w:tcW w:w="222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$341</w:t>
            </w:r>
          </w:p>
        </w:tc>
        <w:tc>
          <w:tcPr>
            <w:tcW w:w="15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000" w:type="dxa"/>
            <w:vAlign w:val="bottom"/>
          </w:tcPr>
          <w:p>
            <w:pPr>
              <w:ind w:left="200"/>
              <w:spacing w:after="0" w:line="181" w:lineRule="exact"/>
              <w:rPr>
                <w:sz w:val="20"/>
                <w:szCs w:val="20"/>
                <w:color w:val="auto"/>
              </w:rPr>
            </w:pPr>
            <w:r>
              <w:rPr>
                <w:rFonts w:ascii="Arial" w:cs="Arial" w:eastAsia="Arial" w:hAnsi="Arial"/>
                <w:sz w:val="18"/>
                <w:szCs w:val="18"/>
                <w:color w:val="auto"/>
              </w:rPr>
              <w:t>Selling, general, and administrative expenses</w:t>
            </w:r>
          </w:p>
        </w:tc>
        <w:tc>
          <w:tcPr>
            <w:tcW w:w="2220" w:type="dxa"/>
            <w:vAlign w:val="bottom"/>
            <w:vMerge w:val="continue"/>
          </w:tcPr>
          <w:p>
            <w:pPr>
              <w:spacing w:after="0"/>
              <w:rPr>
                <w:sz w:val="15"/>
                <w:szCs w:val="15"/>
                <w:color w:val="auto"/>
              </w:rPr>
            </w:pPr>
          </w:p>
        </w:tc>
        <w:tc>
          <w:tcPr>
            <w:tcW w:w="1540" w:type="dxa"/>
            <w:vAlign w:val="bottom"/>
          </w:tcPr>
          <w:p>
            <w:pPr>
              <w:jc w:val="right"/>
              <w:ind w:right="390"/>
              <w:spacing w:after="0" w:line="181" w:lineRule="exact"/>
              <w:rPr>
                <w:sz w:val="20"/>
                <w:szCs w:val="20"/>
                <w:color w:val="auto"/>
              </w:rPr>
            </w:pPr>
            <w:r>
              <w:rPr>
                <w:rFonts w:ascii="Arial" w:cs="Arial" w:eastAsia="Arial" w:hAnsi="Arial"/>
                <w:sz w:val="18"/>
                <w:szCs w:val="18"/>
                <w:color w:val="auto"/>
              </w:rPr>
              <w:t>$1,642</w:t>
            </w:r>
          </w:p>
        </w:tc>
        <w:tc>
          <w:tcPr>
            <w:tcW w:w="1500" w:type="dxa"/>
            <w:vAlign w:val="bottom"/>
          </w:tcPr>
          <w:p>
            <w:pPr>
              <w:jc w:val="right"/>
              <w:ind w:right="270"/>
              <w:spacing w:after="0" w:line="181" w:lineRule="exact"/>
              <w:rPr>
                <w:sz w:val="20"/>
                <w:szCs w:val="20"/>
                <w:color w:val="auto"/>
              </w:rPr>
            </w:pPr>
            <w:r>
              <w:rPr>
                <w:rFonts w:ascii="Arial" w:cs="Arial" w:eastAsia="Arial" w:hAnsi="Arial"/>
                <w:sz w:val="18"/>
                <w:szCs w:val="18"/>
                <w:color w:val="auto"/>
              </w:rPr>
              <w:t>($2,677)</w:t>
            </w:r>
          </w:p>
        </w:tc>
        <w:tc>
          <w:tcPr>
            <w:tcW w:w="0" w:type="dxa"/>
            <w:vAlign w:val="bottom"/>
          </w:tcPr>
          <w:p>
            <w:pPr>
              <w:spacing w:after="0"/>
              <w:rPr>
                <w:sz w:val="1"/>
                <w:szCs w:val="1"/>
                <w:color w:val="auto"/>
              </w:rPr>
            </w:pPr>
          </w:p>
        </w:tc>
      </w:tr>
      <w:tr>
        <w:trPr>
          <w:trHeight w:val="225"/>
        </w:trPr>
        <w:tc>
          <w:tcPr>
            <w:tcW w:w="50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expense/(income), net</w:t>
            </w:r>
          </w:p>
        </w:tc>
        <w:tc>
          <w:tcPr>
            <w:tcW w:w="2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5,227</w:t>
            </w:r>
          </w:p>
        </w:tc>
        <w:tc>
          <w:tcPr>
            <w:tcW w:w="15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5,708</w:t>
            </w:r>
          </w:p>
        </w:tc>
        <w:tc>
          <w:tcPr>
            <w:tcW w:w="15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196"/>
        </w:trPr>
        <w:tc>
          <w:tcPr>
            <w:tcW w:w="500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Total transaction losses/(gains)</w:t>
            </w:r>
          </w:p>
        </w:tc>
        <w:tc>
          <w:tcPr>
            <w:tcW w:w="222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$5,568</w:t>
            </w:r>
          </w:p>
        </w:tc>
        <w:tc>
          <w:tcPr>
            <w:tcW w:w="154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color w:val="auto"/>
              </w:rPr>
              <w:t>$7,350</w:t>
            </w:r>
          </w:p>
        </w:tc>
        <w:tc>
          <w:tcPr>
            <w:tcW w:w="150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($2,761)</w:t>
            </w: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and cash equivalents consist of cash and highly liquid short-term investments with original maturities of three months or less.</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431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Accounts Receivable</w:t>
      </w:r>
    </w:p>
    <w:p>
      <w:pPr>
        <w:spacing w:after="0" w:line="193" w:lineRule="exact"/>
        <w:rPr>
          <w:sz w:val="20"/>
          <w:szCs w:val="20"/>
          <w:color w:val="auto"/>
        </w:rPr>
      </w:pPr>
    </w:p>
    <w:p>
      <w:pPr>
        <w:ind w:right="320" w:firstLine="648"/>
        <w:spacing w:after="0" w:line="238" w:lineRule="auto"/>
        <w:rPr>
          <w:sz w:val="20"/>
          <w:szCs w:val="20"/>
          <w:color w:val="auto"/>
        </w:rPr>
      </w:pPr>
      <w:r>
        <w:rPr>
          <w:rFonts w:ascii="Arial" w:cs="Arial" w:eastAsia="Arial" w:hAnsi="Arial"/>
          <w:sz w:val="18"/>
          <w:szCs w:val="18"/>
          <w:color w:val="auto"/>
        </w:rPr>
        <w:t>Accounts receivable includes trade receivables and revenue in excess of progress billings on long-term contracts in the Engineered Composites business. The Company maintains allowances for doubtful accounts for estimated losses resulting from the inability of its customers to make required payments. The Company determines the allowance based on historical write-off experience, customer specific facts and economic conditions. If the financial condition of the Company’s customers were to deteriorate, resulting in an impairment of their ability to make payments, additional allowances may be required.</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2013 and 2012, Accounts receivable consisted of the following:</w:t>
      </w:r>
    </w:p>
    <w:p>
      <w:pPr>
        <w:spacing w:after="0" w:line="152"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(in thousands)</w:t>
            </w:r>
          </w:p>
        </w:tc>
        <w:tc>
          <w:tcPr>
            <w:tcW w:w="278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2013</w:t>
            </w:r>
          </w:p>
        </w:tc>
        <w:tc>
          <w:tcPr>
            <w:tcW w:w="11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r>
      <w:tr>
        <w:trPr>
          <w:trHeight w:val="173"/>
        </w:trPr>
        <w:tc>
          <w:tcPr>
            <w:tcW w:w="20" w:type="dxa"/>
            <w:vAlign w:val="bottom"/>
          </w:tcPr>
          <w:p>
            <w:pPr>
              <w:spacing w:after="0"/>
              <w:rPr>
                <w:sz w:val="15"/>
                <w:szCs w:val="15"/>
                <w:color w:val="auto"/>
              </w:rPr>
            </w:pPr>
          </w:p>
        </w:tc>
        <w:tc>
          <w:tcPr>
            <w:tcW w:w="6280" w:type="dxa"/>
            <w:vAlign w:val="bottom"/>
          </w:tcPr>
          <w:p>
            <w:pPr>
              <w:spacing w:after="0" w:line="173" w:lineRule="exact"/>
              <w:rPr>
                <w:sz w:val="20"/>
                <w:szCs w:val="20"/>
                <w:color w:val="auto"/>
              </w:rPr>
            </w:pPr>
            <w:r>
              <w:rPr>
                <w:rFonts w:ascii="Arial" w:cs="Arial" w:eastAsia="Arial" w:hAnsi="Arial"/>
                <w:sz w:val="18"/>
                <w:szCs w:val="18"/>
                <w:color w:val="auto"/>
              </w:rPr>
              <w:t>Trade accounts receivable</w:t>
            </w:r>
          </w:p>
        </w:tc>
        <w:tc>
          <w:tcPr>
            <w:tcW w:w="2780" w:type="dxa"/>
            <w:vAlign w:val="bottom"/>
          </w:tcPr>
          <w:p>
            <w:pPr>
              <w:jc w:val="right"/>
              <w:ind w:right="250"/>
              <w:spacing w:after="0" w:line="173" w:lineRule="exact"/>
              <w:rPr>
                <w:sz w:val="20"/>
                <w:szCs w:val="20"/>
                <w:color w:val="auto"/>
              </w:rPr>
            </w:pPr>
            <w:r>
              <w:rPr>
                <w:rFonts w:ascii="Arial" w:cs="Arial" w:eastAsia="Arial" w:hAnsi="Arial"/>
                <w:sz w:val="18"/>
                <w:szCs w:val="18"/>
                <w:b w:val="1"/>
                <w:bCs w:val="1"/>
                <w:color w:val="auto"/>
              </w:rPr>
              <w:t>$154,296</w:t>
            </w:r>
          </w:p>
        </w:tc>
        <w:tc>
          <w:tcPr>
            <w:tcW w:w="1180" w:type="dxa"/>
            <w:vAlign w:val="bottom"/>
          </w:tcPr>
          <w:p>
            <w:pPr>
              <w:jc w:val="right"/>
              <w:ind w:right="10"/>
              <w:spacing w:after="0" w:line="173" w:lineRule="exact"/>
              <w:rPr>
                <w:sz w:val="20"/>
                <w:szCs w:val="20"/>
                <w:color w:val="auto"/>
              </w:rPr>
            </w:pPr>
            <w:r>
              <w:rPr>
                <w:rFonts w:ascii="Arial" w:cs="Arial" w:eastAsia="Arial" w:hAnsi="Arial"/>
                <w:sz w:val="18"/>
                <w:szCs w:val="18"/>
                <w:color w:val="auto"/>
              </w:rPr>
              <w:t>$149,737</w:t>
            </w:r>
          </w:p>
        </w:tc>
      </w:tr>
      <w:tr>
        <w:trPr>
          <w:trHeight w:val="203"/>
        </w:trPr>
        <w:tc>
          <w:tcPr>
            <w:tcW w:w="6300" w:type="dxa"/>
            <w:vAlign w:val="bottom"/>
            <w:gridSpan w:val="2"/>
          </w:tcPr>
          <w:p>
            <w:pPr>
              <w:spacing w:after="0" w:line="202" w:lineRule="exact"/>
              <w:rPr>
                <w:sz w:val="20"/>
                <w:szCs w:val="20"/>
                <w:color w:val="auto"/>
              </w:rPr>
            </w:pPr>
            <w:r>
              <w:rPr>
                <w:rFonts w:ascii="Arial" w:cs="Arial" w:eastAsia="Arial" w:hAnsi="Arial"/>
                <w:sz w:val="18"/>
                <w:szCs w:val="18"/>
                <w:color w:val="auto"/>
              </w:rPr>
              <w:t>Revenue in excess of progress billings</w:t>
            </w:r>
          </w:p>
        </w:tc>
        <w:tc>
          <w:tcPr>
            <w:tcW w:w="278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20,525</w:t>
            </w:r>
          </w:p>
        </w:tc>
        <w:tc>
          <w:tcPr>
            <w:tcW w:w="11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17,105</w:t>
            </w:r>
          </w:p>
        </w:tc>
      </w:tr>
      <w:tr>
        <w:trPr>
          <w:trHeight w:val="203"/>
        </w:trPr>
        <w:tc>
          <w:tcPr>
            <w:tcW w:w="6300" w:type="dxa"/>
            <w:vAlign w:val="bottom"/>
            <w:gridSpan w:val="2"/>
          </w:tcPr>
          <w:p>
            <w:pPr>
              <w:spacing w:after="0" w:line="202" w:lineRule="exact"/>
              <w:rPr>
                <w:sz w:val="20"/>
                <w:szCs w:val="20"/>
                <w:color w:val="auto"/>
              </w:rPr>
            </w:pPr>
            <w:r>
              <w:rPr>
                <w:rFonts w:ascii="Arial" w:cs="Arial" w:eastAsia="Arial" w:hAnsi="Arial"/>
                <w:sz w:val="18"/>
                <w:szCs w:val="18"/>
                <w:color w:val="auto"/>
              </w:rPr>
              <w:t>Receivables related to the sale of discontinued businesses</w:t>
            </w:r>
          </w:p>
        </w:tc>
        <w:tc>
          <w:tcPr>
            <w:tcW w:w="278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16,555</w:t>
            </w:r>
          </w:p>
        </w:tc>
      </w:tr>
      <w:tr>
        <w:trPr>
          <w:trHeight w:val="225"/>
        </w:trPr>
        <w:tc>
          <w:tcPr>
            <w:tcW w:w="6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Less: allowance for doubtful accounts</w:t>
            </w:r>
          </w:p>
        </w:tc>
        <w:tc>
          <w:tcPr>
            <w:tcW w:w="2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(11,274)</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(11,862)</w:t>
            </w:r>
          </w:p>
        </w:tc>
      </w:tr>
      <w:tr>
        <w:trPr>
          <w:trHeight w:val="196"/>
        </w:trPr>
        <w:tc>
          <w:tcPr>
            <w:tcW w:w="630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Total Accounts receivable</w:t>
            </w:r>
          </w:p>
        </w:tc>
        <w:tc>
          <w:tcPr>
            <w:tcW w:w="278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$163,547</w:t>
            </w:r>
          </w:p>
        </w:tc>
        <w:tc>
          <w:tcPr>
            <w:tcW w:w="11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$171,535</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07"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Inventories are stated at the lower of cost or market, and are valued at average cost, net of reserves. The Company maintains reserves for possible impairment in the value of inventories. Such reserves can be specific to certain inventory, or general based on judgments about the overall condition of the inventory. General reserves are established based on percentage write-downs applied to aged inventories, or for inventories that are slow-moving. If actual results differ from estimates, additional inventory write-downs may be necessary. These general reserves for aged inventory are relieved through income only when the inventory is sold.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2013 and 2012, inventories consisted of the following:</w:t>
      </w:r>
    </w:p>
    <w:p>
      <w:pPr>
        <w:spacing w:after="0" w:line="355"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(in thousands)</w:t>
            </w:r>
          </w:p>
        </w:tc>
        <w:tc>
          <w:tcPr>
            <w:tcW w:w="448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2013</w:t>
            </w:r>
          </w:p>
        </w:tc>
        <w:tc>
          <w:tcPr>
            <w:tcW w:w="13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173"/>
        </w:trPr>
        <w:tc>
          <w:tcPr>
            <w:tcW w:w="20" w:type="dxa"/>
            <w:vAlign w:val="bottom"/>
          </w:tcPr>
          <w:p>
            <w:pPr>
              <w:spacing w:after="0"/>
              <w:rPr>
                <w:sz w:val="15"/>
                <w:szCs w:val="15"/>
                <w:color w:val="auto"/>
              </w:rPr>
            </w:pPr>
          </w:p>
        </w:tc>
        <w:tc>
          <w:tcPr>
            <w:tcW w:w="4460" w:type="dxa"/>
            <w:vAlign w:val="bottom"/>
          </w:tcPr>
          <w:p>
            <w:pPr>
              <w:spacing w:after="0" w:line="173" w:lineRule="exact"/>
              <w:rPr>
                <w:sz w:val="20"/>
                <w:szCs w:val="20"/>
                <w:color w:val="auto"/>
              </w:rPr>
            </w:pPr>
            <w:r>
              <w:rPr>
                <w:rFonts w:ascii="Arial" w:cs="Arial" w:eastAsia="Arial" w:hAnsi="Arial"/>
                <w:sz w:val="18"/>
                <w:szCs w:val="18"/>
                <w:color w:val="auto"/>
              </w:rPr>
              <w:t>Raw materials</w:t>
            </w:r>
          </w:p>
        </w:tc>
        <w:tc>
          <w:tcPr>
            <w:tcW w:w="4480" w:type="dxa"/>
            <w:vAlign w:val="bottom"/>
          </w:tcPr>
          <w:p>
            <w:pPr>
              <w:jc w:val="right"/>
              <w:ind w:right="230"/>
              <w:spacing w:after="0" w:line="173" w:lineRule="exact"/>
              <w:rPr>
                <w:sz w:val="20"/>
                <w:szCs w:val="20"/>
                <w:color w:val="auto"/>
              </w:rPr>
            </w:pPr>
            <w:r>
              <w:rPr>
                <w:rFonts w:ascii="Arial" w:cs="Arial" w:eastAsia="Arial" w:hAnsi="Arial"/>
                <w:sz w:val="18"/>
                <w:szCs w:val="18"/>
                <w:b w:val="1"/>
                <w:bCs w:val="1"/>
                <w:color w:val="auto"/>
              </w:rPr>
              <w:t>$25,754</w:t>
            </w:r>
          </w:p>
        </w:tc>
        <w:tc>
          <w:tcPr>
            <w:tcW w:w="1300" w:type="dxa"/>
            <w:vAlign w:val="bottom"/>
          </w:tcPr>
          <w:p>
            <w:pPr>
              <w:jc w:val="right"/>
              <w:spacing w:after="0" w:line="173" w:lineRule="exact"/>
              <w:rPr>
                <w:sz w:val="20"/>
                <w:szCs w:val="20"/>
                <w:color w:val="auto"/>
              </w:rPr>
            </w:pPr>
            <w:r>
              <w:rPr>
                <w:rFonts w:ascii="Arial" w:cs="Arial" w:eastAsia="Arial" w:hAnsi="Arial"/>
                <w:sz w:val="18"/>
                <w:szCs w:val="18"/>
                <w:color w:val="auto"/>
              </w:rPr>
              <w:t>$25,082</w:t>
            </w:r>
          </w:p>
        </w:tc>
      </w:tr>
      <w:tr>
        <w:trPr>
          <w:trHeight w:val="203"/>
        </w:trPr>
        <w:tc>
          <w:tcPr>
            <w:tcW w:w="4480" w:type="dxa"/>
            <w:vAlign w:val="bottom"/>
            <w:gridSpan w:val="2"/>
          </w:tcPr>
          <w:p>
            <w:pPr>
              <w:spacing w:after="0" w:line="202" w:lineRule="exact"/>
              <w:rPr>
                <w:sz w:val="20"/>
                <w:szCs w:val="20"/>
                <w:color w:val="auto"/>
              </w:rPr>
            </w:pPr>
            <w:r>
              <w:rPr>
                <w:rFonts w:ascii="Arial" w:cs="Arial" w:eastAsia="Arial" w:hAnsi="Arial"/>
                <w:sz w:val="18"/>
                <w:szCs w:val="18"/>
                <w:color w:val="auto"/>
              </w:rPr>
              <w:t>Work in process</w:t>
            </w:r>
          </w:p>
        </w:tc>
        <w:tc>
          <w:tcPr>
            <w:tcW w:w="448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45,998</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44,866</w:t>
            </w:r>
          </w:p>
        </w:tc>
      </w:tr>
      <w:tr>
        <w:trPr>
          <w:trHeight w:val="225"/>
        </w:trPr>
        <w:tc>
          <w:tcPr>
            <w:tcW w:w="4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Finished goods</w:t>
            </w:r>
          </w:p>
        </w:tc>
        <w:tc>
          <w:tcPr>
            <w:tcW w:w="44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40,987</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49,235</w:t>
            </w:r>
          </w:p>
        </w:tc>
      </w:tr>
      <w:tr>
        <w:trPr>
          <w:trHeight w:val="196"/>
        </w:trPr>
        <w:tc>
          <w:tcPr>
            <w:tcW w:w="448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Total inventories</w:t>
            </w:r>
          </w:p>
        </w:tc>
        <w:tc>
          <w:tcPr>
            <w:tcW w:w="448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$112,739</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$119,183</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207"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Property, plant and equipment are recorded at cost. Depreciation is recorded using the straight-line method over the estimated useful lives of the assets for financial reporting purposes; in some cases, accelerated methods are used for income tax purposes. Significant additions or improvements extending assets’ useful lives are capitalized; normal maintenance and repair costs are expensed as incurred. The cost of fully depreciated assets remaining in use is included in the respective asset and accumulated depreciation accounts. When items are sold or retired, related gains or losses are included in net income.</w:t>
      </w:r>
    </w:p>
    <w:p>
      <w:pPr>
        <w:spacing w:after="0" w:line="162" w:lineRule="exact"/>
        <w:rPr>
          <w:sz w:val="20"/>
          <w:szCs w:val="20"/>
          <w:color w:val="auto"/>
        </w:rPr>
      </w:pPr>
    </w:p>
    <w:p>
      <w:pPr>
        <w:ind w:right="140" w:firstLine="648"/>
        <w:spacing w:after="0" w:line="239" w:lineRule="auto"/>
        <w:rPr>
          <w:sz w:val="20"/>
          <w:szCs w:val="20"/>
          <w:color w:val="auto"/>
        </w:rPr>
      </w:pPr>
      <w:r>
        <w:rPr>
          <w:rFonts w:ascii="Arial" w:cs="Arial" w:eastAsia="Arial" w:hAnsi="Arial"/>
          <w:sz w:val="18"/>
          <w:szCs w:val="18"/>
          <w:color w:val="auto"/>
        </w:rPr>
        <w:t>Computer software purchased for internal use, at cost, is amortized on a straight-line basis over five to eight years, depending on the nature of the asset, after being placed into service, and is included in property, plant, and equipment. We capitalize internal and external costs incurred related to the software development stage. Capitalized salaries, travel, and consulting costs related to the software development amounted to $1.1 million in 2013 and $0.4 million in 2012.</w:t>
      </w:r>
    </w:p>
    <w:p>
      <w:pPr>
        <w:spacing w:after="0" w:line="1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431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52" w:name="page53"/>
    <w:bookmarkEnd w:id="52"/>
    <w:p>
      <w:pPr>
        <w:ind w:right="80" w:firstLine="648"/>
        <w:spacing w:after="0"/>
        <w:rPr>
          <w:sz w:val="20"/>
          <w:szCs w:val="20"/>
          <w:color w:val="auto"/>
        </w:rPr>
      </w:pPr>
      <w:r>
        <w:rPr>
          <w:rFonts w:ascii="Arial" w:cs="Arial" w:eastAsia="Arial" w:hAnsi="Arial"/>
          <w:sz w:val="18"/>
          <w:szCs w:val="18"/>
          <w:color w:val="auto"/>
        </w:rPr>
        <w:t>We review the carrying value of property, plant and equipment and other long-lived assets for impairment whenever events and circumstances indicate that the carrying value of an asset may not be recoverable from the estimated future cash flows expected to result from its use and eventual disposition.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Intangibles, and Other Assets</w:t>
      </w:r>
    </w:p>
    <w:p>
      <w:pPr>
        <w:spacing w:after="0" w:line="234" w:lineRule="exact"/>
        <w:rPr>
          <w:sz w:val="20"/>
          <w:szCs w:val="20"/>
          <w:color w:val="auto"/>
        </w:rPr>
      </w:pPr>
    </w:p>
    <w:p>
      <w:pPr>
        <w:jc w:val="both"/>
        <w:ind w:right="180" w:firstLine="648"/>
        <w:spacing w:after="0"/>
        <w:rPr>
          <w:sz w:val="20"/>
          <w:szCs w:val="20"/>
          <w:color w:val="auto"/>
        </w:rPr>
      </w:pPr>
      <w:r>
        <w:rPr>
          <w:rFonts w:ascii="Arial" w:cs="Arial" w:eastAsia="Arial" w:hAnsi="Arial"/>
          <w:sz w:val="18"/>
          <w:szCs w:val="18"/>
          <w:color w:val="auto"/>
        </w:rPr>
        <w:t>Goodwill and intangible assets with indefinite useful lives are not amortized, but are tested for impairment at least annually. Goodwill represents the excess of the purchase price over the fair value of the net tangible and identifiable intangible assets acquired in each business combination. Our reporting units are consistent with our operating segments. See additional information set forth above under Note 12.</w:t>
      </w:r>
    </w:p>
    <w:p>
      <w:pPr>
        <w:spacing w:after="0" w:line="203"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We have an investment in a company in Russia that is accounted for under the equity method of accounting and is included in Other assets. We perform regular reviews of the financial condition of the investee to determine if our investment is other than temporarily impaired. If the financial condition of the investee were to no longer support their valuation, we would record an impairment provision.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07" w:lineRule="exact"/>
        <w:rPr>
          <w:sz w:val="20"/>
          <w:szCs w:val="20"/>
          <w:color w:val="auto"/>
        </w:rPr>
      </w:pPr>
    </w:p>
    <w:p>
      <w:pPr>
        <w:jc w:val="both"/>
        <w:ind w:right="60" w:firstLine="648"/>
        <w:spacing w:after="0"/>
        <w:rPr>
          <w:sz w:val="20"/>
          <w:szCs w:val="20"/>
          <w:color w:val="auto"/>
        </w:rPr>
      </w:pPr>
      <w:r>
        <w:rPr>
          <w:rFonts w:ascii="Arial" w:cs="Arial" w:eastAsia="Arial" w:hAnsi="Arial"/>
          <w:sz w:val="18"/>
          <w:szCs w:val="18"/>
          <w:color w:val="auto"/>
        </w:rPr>
        <w:t>We have stock-based compensation plans for key employees. Stock options are accounted for in accordance with applicable guidance for the modified prospective transition method of share-based payments. No options have been granted since 2002. See additional information set forth under Note 19.</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193" w:lineRule="exact"/>
        <w:rPr>
          <w:sz w:val="20"/>
          <w:szCs w:val="20"/>
          <w:color w:val="auto"/>
        </w:rPr>
      </w:pPr>
    </w:p>
    <w:p>
      <w:pPr>
        <w:jc w:val="both"/>
        <w:ind w:right="140" w:firstLine="648"/>
        <w:spacing w:after="0"/>
        <w:rPr>
          <w:sz w:val="20"/>
          <w:szCs w:val="20"/>
          <w:color w:val="auto"/>
        </w:rPr>
      </w:pPr>
      <w:r>
        <w:rPr>
          <w:rFonts w:ascii="Arial" w:cs="Arial" w:eastAsia="Arial" w:hAnsi="Arial"/>
          <w:sz w:val="18"/>
          <w:szCs w:val="18"/>
          <w:color w:val="auto"/>
        </w:rPr>
        <w:t>We use derivatives from time to time to reduce potentially large adverse effects from changes in currency exchange rates and interest rates. We monitor our exposure to these risks and evaluate, on an ongoing basis, the risk of potentially large adverse effects versus the costs associated with hedging such risks.</w:t>
      </w:r>
    </w:p>
    <w:p>
      <w:pPr>
        <w:spacing w:after="0" w:line="176"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We use interest rate swaps in the management of interest rate exposures and foreign currency derivatives in the management of foreign currency exposure related to assets and liabilities (including net investments in subsidiaries located outside the U.S.) denominated in foreign currencies. When we enter into a derivative contract, we make a determination whether the transaction is deemed to be a hedge for accounting purposes. For those contracts deemed to be a hedge, we formally document the relationship between the derivative instrument and the risk being hedged. In this documentation, we specifically identify the asset, liability, forecasted transaction, cash flow, or net investment that has been designated as the hedged item, and evaluate whether the derivative instrument is expected to reduce the risks associated with the hedged item. To the extent these criteria are not met, we do not use hedge accounting for the derivative.</w:t>
      </w:r>
    </w:p>
    <w:p>
      <w:pPr>
        <w:spacing w:after="0" w:line="163" w:lineRule="exact"/>
        <w:rPr>
          <w:sz w:val="20"/>
          <w:szCs w:val="20"/>
          <w:color w:val="auto"/>
        </w:rPr>
      </w:pPr>
    </w:p>
    <w:p>
      <w:pPr>
        <w:ind w:right="120" w:firstLine="648"/>
        <w:spacing w:after="0" w:line="238" w:lineRule="auto"/>
        <w:rPr>
          <w:sz w:val="20"/>
          <w:szCs w:val="20"/>
          <w:color w:val="auto"/>
        </w:rPr>
      </w:pPr>
      <w:r>
        <w:rPr>
          <w:rFonts w:ascii="Arial" w:cs="Arial" w:eastAsia="Arial" w:hAnsi="Arial"/>
          <w:sz w:val="18"/>
          <w:szCs w:val="18"/>
          <w:color w:val="auto"/>
        </w:rPr>
        <w:t>All derivative contracts are recorded in the balance sheet at fair value. For transactions that are designated as hedges, we perform an evaluation of the effectiveness of the hedge. To the extent that the hedge is effective, changes in the fair value of the hedge are recorded, net of tax, in other comprehensive income. We measure the effectiveness of hedging relationships both at inception and on an ongoing basis. The ineffective portion of a hedge, if any, and changes in the fair value of a derivative not deemed to be a hedge, are recorded in Other expense/(income), net.</w:t>
      </w:r>
    </w:p>
    <w:p>
      <w:pPr>
        <w:spacing w:after="0" w:line="162" w:lineRule="exact"/>
        <w:rPr>
          <w:sz w:val="20"/>
          <w:szCs w:val="20"/>
          <w:color w:val="auto"/>
        </w:rPr>
      </w:pPr>
    </w:p>
    <w:p>
      <w:pPr>
        <w:ind w:right="20" w:firstLine="648"/>
        <w:spacing w:after="0" w:line="246" w:lineRule="auto"/>
        <w:rPr>
          <w:sz w:val="20"/>
          <w:szCs w:val="20"/>
          <w:color w:val="auto"/>
        </w:rPr>
      </w:pPr>
      <w:r>
        <w:rPr>
          <w:rFonts w:ascii="Arial" w:cs="Arial" w:eastAsia="Arial" w:hAnsi="Arial"/>
          <w:sz w:val="18"/>
          <w:szCs w:val="18"/>
          <w:color w:val="auto"/>
        </w:rPr>
        <w:t>For derivatives that are designated and qualify as hedges of net investments in subsidiaries located outside the United States, changes in the fair value of derivatives are reported in other comprehensive income as part of the Cumulative translation adjustment.</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431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Pension and Postretirement Benefit Plans</w:t>
      </w:r>
    </w:p>
    <w:p>
      <w:pPr>
        <w:spacing w:after="0" w:line="193" w:lineRule="exact"/>
        <w:rPr>
          <w:sz w:val="20"/>
          <w:szCs w:val="20"/>
          <w:color w:val="auto"/>
        </w:rPr>
      </w:pPr>
    </w:p>
    <w:p>
      <w:pPr>
        <w:ind w:right="100" w:firstLine="648"/>
        <w:spacing w:after="0" w:line="237" w:lineRule="auto"/>
        <w:rPr>
          <w:sz w:val="20"/>
          <w:szCs w:val="20"/>
          <w:color w:val="auto"/>
        </w:rPr>
      </w:pPr>
      <w:r>
        <w:rPr>
          <w:rFonts w:ascii="Arial" w:cs="Arial" w:eastAsia="Arial" w:hAnsi="Arial"/>
          <w:sz w:val="18"/>
          <w:szCs w:val="18"/>
          <w:color w:val="auto"/>
        </w:rPr>
        <w:t>As described in Note 5, we have pension and postretirement benefit plans covering substantially all employees. Our defined benefit pension plan in the United States was closed to new participants as of October 1998 and, as of February 2009, benefits accrued under this plan were frozen. We have liabilities for postretirement benefits in the U.S. and Canada. Substantially all of the liability relates to the U.S. plan. Effective January 2005, our postretirement benefit plan was closed to new participants, except for certain life insurance benefits. In September 2008, we changed the cost sharing arrangement under this program such that increases in health care costs are the responsibility of plan participants and, in August 2013, we reduced the life insurance benefit for retirees and eliminated that benefit for active employees.</w:t>
      </w:r>
    </w:p>
    <w:p>
      <w:pPr>
        <w:spacing w:after="0" w:line="178"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The pension plans are generally trusteed or insured, and accrued amounts are funded as required in accordance with governing laws and regulations. The annual expense and liabilities recognized for defined benefit pension plans and postretirement benefit plans are developed from actuarial valuations. Inherent in these valuations are key assumptions, including discount rates and expected return on plan assets, which are updated on an annual basis at the beginning of each fiscal year. We consider current market conditions, including changes in interest rates, in making these assumptions. Discount rate assumptions are based on the population of plan participants and a mixture of high-quality fixed-income investments for which the average maturity approximates the average remaining service period of plan participants. The assumption for expected return on plan assets is based on historical and expected returns on various categories of plan assets.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193" w:lineRule="exact"/>
        <w:rPr>
          <w:sz w:val="20"/>
          <w:szCs w:val="20"/>
          <w:color w:val="auto"/>
        </w:rPr>
      </w:pPr>
    </w:p>
    <w:p>
      <w:pPr>
        <w:ind w:right="160" w:firstLine="648"/>
        <w:spacing w:after="0" w:line="238" w:lineRule="auto"/>
        <w:rPr>
          <w:sz w:val="20"/>
          <w:szCs w:val="20"/>
          <w:color w:val="auto"/>
        </w:rPr>
      </w:pPr>
      <w:r>
        <w:rPr>
          <w:rFonts w:ascii="Arial" w:cs="Arial" w:eastAsia="Arial" w:hAnsi="Arial"/>
          <w:sz w:val="18"/>
          <w:szCs w:val="18"/>
          <w:color w:val="auto"/>
        </w:rPr>
        <w:t>In accordance with applicable disclosure guidance for enterprise segments and related information, the internal organization that is used by management for making operating decisions and assessing performance is used as the basis for our reportable segments. The reportable segments, which are described in more detail in Note 4, are Machine Clothing and Engineered Composites. In the determination of segment operating income, we exclude expenses for Research and Development, and Unallocated expenses, which consist primarily of corporate headquarters and global information systems costs.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93" w:lineRule="exact"/>
        <w:rPr>
          <w:sz w:val="20"/>
          <w:szCs w:val="20"/>
          <w:color w:val="auto"/>
        </w:rPr>
      </w:pPr>
    </w:p>
    <w:p>
      <w:pPr>
        <w:ind w:right="100" w:firstLine="648"/>
        <w:spacing w:after="0"/>
        <w:rPr>
          <w:sz w:val="20"/>
          <w:szCs w:val="20"/>
          <w:color w:val="auto"/>
        </w:rPr>
      </w:pPr>
      <w:r>
        <w:rPr>
          <w:rFonts w:ascii="Arial" w:cs="Arial" w:eastAsia="Arial" w:hAnsi="Arial"/>
          <w:sz w:val="18"/>
          <w:szCs w:val="18"/>
          <w:color w:val="auto"/>
        </w:rPr>
        <w:t>In February 2013, the Financial Accounting Standards Board (FASB) issued ASU 2013-02 which requires enhanced disclosures about changes in Accumulated Other Comprehensive Income. We adopted these provisions in the first quarter of 2013 by adding a Note to the Consolidated Financial Statements that provides the additional disclosures.</w:t>
      </w:r>
    </w:p>
    <w:p>
      <w:pPr>
        <w:spacing w:after="0" w:line="162" w:lineRule="exact"/>
        <w:rPr>
          <w:sz w:val="20"/>
          <w:szCs w:val="20"/>
          <w:color w:val="auto"/>
        </w:rPr>
      </w:pPr>
    </w:p>
    <w:p>
      <w:pPr>
        <w:jc w:val="both"/>
        <w:ind w:right="140" w:firstLine="648"/>
        <w:spacing w:after="0" w:line="238" w:lineRule="auto"/>
        <w:rPr>
          <w:sz w:val="20"/>
          <w:szCs w:val="20"/>
          <w:color w:val="auto"/>
        </w:rPr>
      </w:pPr>
      <w:r>
        <w:rPr>
          <w:rFonts w:ascii="Arial" w:cs="Arial" w:eastAsia="Arial" w:hAnsi="Arial"/>
          <w:sz w:val="18"/>
          <w:szCs w:val="18"/>
          <w:color w:val="auto"/>
        </w:rPr>
        <w:t>In the first quarter of 2013, the Company adopted the provisions of ASU 2013-01 which requires enhanced disclosures of the effect or potential effect of netting arrangements on an entity’s financial position. This includes the effect or potential effect of rights of setoff associated with an entity’s recognized assets and recognized liabilities within the scope of this Update. The Company has interest rate swap agreements that are within the scope of this Update and we have added additional disclosure in the Notes to Consolidated Financial Statements about the offsetting asset and liability components of that agreement.</w:t>
      </w:r>
    </w:p>
    <w:p>
      <w:pPr>
        <w:spacing w:after="0" w:line="176" w:lineRule="exact"/>
        <w:rPr>
          <w:sz w:val="20"/>
          <w:szCs w:val="20"/>
          <w:color w:val="auto"/>
        </w:rPr>
      </w:pPr>
    </w:p>
    <w:p>
      <w:pPr>
        <w:jc w:val="both"/>
        <w:ind w:right="40" w:firstLine="648"/>
        <w:spacing w:after="0" w:line="239" w:lineRule="auto"/>
        <w:rPr>
          <w:sz w:val="20"/>
          <w:szCs w:val="20"/>
          <w:color w:val="auto"/>
        </w:rPr>
      </w:pPr>
      <w:r>
        <w:rPr>
          <w:rFonts w:ascii="Arial" w:cs="Arial" w:eastAsia="Arial" w:hAnsi="Arial"/>
          <w:sz w:val="18"/>
          <w:szCs w:val="18"/>
          <w:color w:val="auto"/>
        </w:rPr>
        <w:t>In July 2013, amended accounting guidance was issued regarding the financial statement presentation of an unrecognized tax benefit when a net operating loss carryforward, a similar tax loss or a tax credit carryforward exists. This guidance is effective prospectively for annual and interim reporting periods beginning after December 15, 2013. The adoption of this standard is not expected to have a material effect on the Company’s financial position, results of operations or cash flows.</w:t>
      </w:r>
    </w:p>
    <w:p>
      <w:pPr>
        <w:spacing w:after="0" w:line="1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431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2. Discontinued Operations</w:t>
      </w:r>
    </w:p>
    <w:p>
      <w:pPr>
        <w:spacing w:after="0" w:line="193" w:lineRule="exact"/>
        <w:rPr>
          <w:sz w:val="20"/>
          <w:szCs w:val="20"/>
          <w:color w:val="auto"/>
        </w:rPr>
      </w:pPr>
    </w:p>
    <w:p>
      <w:pPr>
        <w:ind w:right="140" w:firstLine="648"/>
        <w:spacing w:after="0" w:line="237" w:lineRule="auto"/>
        <w:rPr>
          <w:sz w:val="20"/>
          <w:szCs w:val="20"/>
          <w:color w:val="auto"/>
        </w:rPr>
      </w:pPr>
      <w:r>
        <w:rPr>
          <w:rFonts w:ascii="Arial" w:cs="Arial" w:eastAsia="Arial" w:hAnsi="Arial"/>
          <w:sz w:val="18"/>
          <w:szCs w:val="18"/>
          <w:color w:val="auto"/>
        </w:rPr>
        <w:t>In October 2011 we entered into a contract to sell the assets and liabilities of our Albany Door Systems (ADS) business to Assa Abloy AB for $130 million. Closing on the transaction occurred on January 11, 2012. Under the terms of the contract, Assa Abloy AB acquired our equity ownership of Albany Doors Systems GmbH in Germany, Albany Door Systems AB in Sweden, and other ADS affiliates in Germany, France, the Netherlands, Turkey, Poland, Belgium, New Zealand, and other countries, as well as the remaining ADS business assets, most of which were located in the United States, Australia, China, and Italy. In January 2012, the Company completed the sale of Albany Door Systems, and in March 2012, we finalized certain post-closing adjustments that increased the sale price by $ 5 million. As of December 31, 2012, $122 million of the total $135 million sale price had been received, with the remainder received in July 2013.</w:t>
      </w:r>
    </w:p>
    <w:p>
      <w:pPr>
        <w:spacing w:after="0" w:line="176" w:lineRule="exact"/>
        <w:rPr>
          <w:sz w:val="20"/>
          <w:szCs w:val="20"/>
          <w:color w:val="auto"/>
        </w:rPr>
      </w:pPr>
    </w:p>
    <w:p>
      <w:pPr>
        <w:ind w:right="120" w:firstLine="648"/>
        <w:spacing w:after="0" w:line="239" w:lineRule="auto"/>
        <w:rPr>
          <w:sz w:val="20"/>
          <w:szCs w:val="20"/>
          <w:color w:val="auto"/>
        </w:rPr>
      </w:pPr>
      <w:r>
        <w:rPr>
          <w:rFonts w:ascii="Arial" w:cs="Arial" w:eastAsia="Arial" w:hAnsi="Arial"/>
          <w:sz w:val="18"/>
          <w:szCs w:val="18"/>
          <w:color w:val="auto"/>
        </w:rPr>
        <w:t>In May 2012, we announced an agreement to sell our PrimaLoft Products business and that transaction closed on June 29, 2012. Under the terms of the agreement, the purchaser acquired all of the assets of that business, which were located in the United States, Italy and Germany. The purchase price of $38.0 million included $3.8 million held in escrow accounts, which was received in 2013. The Company recorded a pre-tax gain of $34.9 million as result of that sale.</w:t>
      </w:r>
    </w:p>
    <w:p>
      <w:pPr>
        <w:spacing w:after="0" w:line="161" w:lineRule="exact"/>
        <w:rPr>
          <w:sz w:val="20"/>
          <w:szCs w:val="20"/>
          <w:color w:val="auto"/>
        </w:rPr>
      </w:pPr>
    </w:p>
    <w:p>
      <w:pPr>
        <w:ind w:right="180" w:firstLine="648"/>
        <w:spacing w:after="0" w:line="238" w:lineRule="auto"/>
        <w:rPr>
          <w:sz w:val="20"/>
          <w:szCs w:val="20"/>
          <w:color w:val="auto"/>
        </w:rPr>
      </w:pPr>
      <w:r>
        <w:rPr>
          <w:rFonts w:ascii="Arial" w:cs="Arial" w:eastAsia="Arial" w:hAnsi="Arial"/>
          <w:sz w:val="18"/>
          <w:szCs w:val="18"/>
          <w:color w:val="auto"/>
        </w:rPr>
        <w:t>We provided customary representations and warranties in the sale of both of these businesses but we do not expect any material negative financial consequence will result from these arrangements. In accordance with the applicable accounting guidance for discontinued businesses, the associated results of operations and financial position are reported separately in the accompanying Consolidated Statements of Income and Balance Sheets. Cash flows of the discontinued operation were combined with cash flows from continuing operations in the Consolidated Statements of Cash Flows.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summarizes operating results of the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126365</wp:posOffset>
            </wp:positionV>
            <wp:extent cx="651764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372" w:lineRule="exact"/>
        <w:rPr>
          <w:sz w:val="20"/>
          <w:szCs w:val="20"/>
          <w:color w:val="auto"/>
        </w:rPr>
      </w:pPr>
    </w:p>
    <w:tbl>
      <w:tblPr>
        <w:tblLayout w:type="fixed"/>
        <w:tblInd w:w="580" w:type="dxa"/>
        <w:tblCellMar>
          <w:top w:w="0" w:type="dxa"/>
          <w:left w:w="0" w:type="dxa"/>
          <w:bottom w:w="0" w:type="dxa"/>
          <w:right w:w="0" w:type="dxa"/>
        </w:tblCellMar>
      </w:tblPr>
      <w:tr>
        <w:trPr>
          <w:trHeight w:val="225"/>
        </w:trPr>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198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2013</w:t>
            </w:r>
          </w:p>
        </w:tc>
        <w:tc>
          <w:tcPr>
            <w:tcW w:w="18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2012</w:t>
            </w:r>
          </w:p>
        </w:tc>
        <w:tc>
          <w:tcPr>
            <w:tcW w:w="14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2011</w:t>
            </w:r>
          </w:p>
        </w:tc>
      </w:tr>
      <w:tr>
        <w:trPr>
          <w:trHeight w:val="412"/>
        </w:trPr>
        <w:tc>
          <w:tcPr>
            <w:tcW w:w="5100" w:type="dxa"/>
            <w:vAlign w:val="bottom"/>
          </w:tcPr>
          <w:p>
            <w:pPr>
              <w:spacing w:after="0"/>
              <w:rPr>
                <w:sz w:val="20"/>
                <w:szCs w:val="20"/>
                <w:color w:val="auto"/>
              </w:rPr>
            </w:pPr>
            <w:r>
              <w:rPr>
                <w:rFonts w:ascii="Arial" w:cs="Arial" w:eastAsia="Arial" w:hAnsi="Arial"/>
                <w:sz w:val="18"/>
                <w:szCs w:val="18"/>
                <w:color w:val="auto"/>
              </w:rPr>
              <w:t>Net sales</w:t>
            </w:r>
          </w:p>
        </w:tc>
        <w:tc>
          <w:tcPr>
            <w:tcW w:w="1980" w:type="dxa"/>
            <w:vAlign w:val="bottom"/>
          </w:tcPr>
          <w:p>
            <w:pPr>
              <w:jc w:val="right"/>
              <w:ind w:right="490"/>
              <w:spacing w:after="0"/>
              <w:rPr>
                <w:sz w:val="20"/>
                <w:szCs w:val="20"/>
                <w:color w:val="auto"/>
              </w:rPr>
            </w:pPr>
            <w:r>
              <w:rPr>
                <w:rFonts w:ascii="Arial" w:cs="Arial" w:eastAsia="Arial" w:hAnsi="Arial"/>
                <w:sz w:val="18"/>
                <w:szCs w:val="18"/>
                <w:b w:val="1"/>
                <w:bCs w:val="1"/>
                <w:color w:val="auto"/>
              </w:rPr>
              <w:t>$-</w:t>
            </w:r>
          </w:p>
        </w:tc>
        <w:tc>
          <w:tcPr>
            <w:tcW w:w="1800" w:type="dxa"/>
            <w:vAlign w:val="bottom"/>
          </w:tcPr>
          <w:p>
            <w:pPr>
              <w:jc w:val="right"/>
              <w:ind w:right="450"/>
              <w:spacing w:after="0"/>
              <w:rPr>
                <w:sz w:val="20"/>
                <w:szCs w:val="20"/>
                <w:color w:val="auto"/>
              </w:rPr>
            </w:pPr>
            <w:r>
              <w:rPr>
                <w:rFonts w:ascii="Arial" w:cs="Arial" w:eastAsia="Arial" w:hAnsi="Arial"/>
                <w:sz w:val="18"/>
                <w:szCs w:val="18"/>
                <w:color w:val="auto"/>
              </w:rPr>
              <w:t>$19,774</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$211,551</w:t>
            </w:r>
          </w:p>
        </w:tc>
      </w:tr>
      <w:tr>
        <w:trPr>
          <w:trHeight w:val="405"/>
        </w:trPr>
        <w:tc>
          <w:tcPr>
            <w:tcW w:w="5100" w:type="dxa"/>
            <w:vAlign w:val="bottom"/>
          </w:tcPr>
          <w:p>
            <w:pPr>
              <w:spacing w:after="0"/>
              <w:rPr>
                <w:sz w:val="20"/>
                <w:szCs w:val="20"/>
                <w:color w:val="auto"/>
              </w:rPr>
            </w:pPr>
            <w:r>
              <w:rPr>
                <w:rFonts w:ascii="Arial" w:cs="Arial" w:eastAsia="Arial" w:hAnsi="Arial"/>
                <w:sz w:val="18"/>
                <w:szCs w:val="18"/>
                <w:color w:val="auto"/>
              </w:rPr>
              <w:t>(Loss)/income from operations of discontinued business</w:t>
            </w:r>
          </w:p>
        </w:tc>
        <w:tc>
          <w:tcPr>
            <w:tcW w:w="1980" w:type="dxa"/>
            <w:vAlign w:val="bottom"/>
          </w:tcPr>
          <w:p>
            <w:pPr>
              <w:jc w:val="right"/>
              <w:ind w:right="430"/>
              <w:spacing w:after="0"/>
              <w:rPr>
                <w:sz w:val="20"/>
                <w:szCs w:val="20"/>
                <w:color w:val="auto"/>
              </w:rPr>
            </w:pPr>
            <w:r>
              <w:rPr>
                <w:rFonts w:ascii="Arial" w:cs="Arial" w:eastAsia="Arial" w:hAnsi="Arial"/>
                <w:sz w:val="18"/>
                <w:szCs w:val="18"/>
                <w:b w:val="1"/>
                <w:bCs w:val="1"/>
                <w:color w:val="auto"/>
              </w:rPr>
              <w:t>(75)</w:t>
            </w:r>
          </w:p>
        </w:tc>
        <w:tc>
          <w:tcPr>
            <w:tcW w:w="1800" w:type="dxa"/>
            <w:vAlign w:val="bottom"/>
          </w:tcPr>
          <w:p>
            <w:pPr>
              <w:jc w:val="right"/>
              <w:ind w:right="450"/>
              <w:spacing w:after="0"/>
              <w:rPr>
                <w:sz w:val="20"/>
                <w:szCs w:val="20"/>
                <w:color w:val="auto"/>
              </w:rPr>
            </w:pPr>
            <w:r>
              <w:rPr>
                <w:rFonts w:ascii="Arial" w:cs="Arial" w:eastAsia="Arial" w:hAnsi="Arial"/>
                <w:sz w:val="18"/>
                <w:szCs w:val="18"/>
                <w:color w:val="auto"/>
              </w:rPr>
              <w:t>4,776</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24,101</w:t>
            </w:r>
          </w:p>
        </w:tc>
      </w:tr>
      <w:tr>
        <w:trPr>
          <w:trHeight w:val="405"/>
        </w:trPr>
        <w:tc>
          <w:tcPr>
            <w:tcW w:w="5100" w:type="dxa"/>
            <w:vAlign w:val="bottom"/>
          </w:tcPr>
          <w:p>
            <w:pPr>
              <w:spacing w:after="0"/>
              <w:rPr>
                <w:sz w:val="20"/>
                <w:szCs w:val="20"/>
                <w:color w:val="auto"/>
              </w:rPr>
            </w:pPr>
            <w:r>
              <w:rPr>
                <w:rFonts w:ascii="Arial" w:cs="Arial" w:eastAsia="Arial" w:hAnsi="Arial"/>
                <w:sz w:val="18"/>
                <w:szCs w:val="18"/>
                <w:color w:val="auto"/>
              </w:rPr>
              <w:t>Gain on disposition of discontinued operations</w:t>
            </w:r>
          </w:p>
        </w:tc>
        <w:tc>
          <w:tcPr>
            <w:tcW w:w="1980" w:type="dxa"/>
            <w:vAlign w:val="bottom"/>
          </w:tcPr>
          <w:p>
            <w:pPr>
              <w:jc w:val="right"/>
              <w:ind w:right="490"/>
              <w:spacing w:after="0"/>
              <w:rPr>
                <w:sz w:val="20"/>
                <w:szCs w:val="20"/>
                <w:color w:val="auto"/>
              </w:rPr>
            </w:pPr>
            <w:r>
              <w:rPr>
                <w:rFonts w:ascii="Arial" w:cs="Arial" w:eastAsia="Arial" w:hAnsi="Arial"/>
                <w:sz w:val="18"/>
                <w:szCs w:val="18"/>
                <w:b w:val="1"/>
                <w:bCs w:val="1"/>
                <w:color w:val="auto"/>
              </w:rPr>
              <w:t>-</w:t>
            </w:r>
          </w:p>
        </w:tc>
        <w:tc>
          <w:tcPr>
            <w:tcW w:w="1800" w:type="dxa"/>
            <w:vAlign w:val="bottom"/>
          </w:tcPr>
          <w:p>
            <w:pPr>
              <w:jc w:val="right"/>
              <w:ind w:right="450"/>
              <w:spacing w:after="0"/>
              <w:rPr>
                <w:sz w:val="20"/>
                <w:szCs w:val="20"/>
                <w:color w:val="auto"/>
              </w:rPr>
            </w:pPr>
            <w:r>
              <w:rPr>
                <w:rFonts w:ascii="Arial" w:cs="Arial" w:eastAsia="Arial" w:hAnsi="Arial"/>
                <w:sz w:val="18"/>
                <w:szCs w:val="18"/>
                <w:color w:val="auto"/>
              </w:rPr>
              <w:t>92,296</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392"/>
        </w:trPr>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 (benefit)/expense</w:t>
            </w:r>
          </w:p>
        </w:tc>
        <w:tc>
          <w:tcPr>
            <w:tcW w:w="19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(29)</w:t>
            </w:r>
          </w:p>
        </w:tc>
        <w:tc>
          <w:tcPr>
            <w:tcW w:w="18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25,252</w:t>
            </w: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10,429</w:t>
            </w:r>
          </w:p>
        </w:tc>
      </w:tr>
    </w:tbl>
    <w:p>
      <w:pPr>
        <w:spacing w:after="0" w:line="215" w:lineRule="exact"/>
        <w:rPr>
          <w:sz w:val="20"/>
          <w:szCs w:val="20"/>
          <w:color w:val="auto"/>
        </w:rPr>
      </w:pPr>
    </w:p>
    <w:p>
      <w:pPr>
        <w:ind w:right="140" w:firstLine="648"/>
        <w:spacing w:after="0" w:line="246" w:lineRule="auto"/>
        <w:rPr>
          <w:sz w:val="20"/>
          <w:szCs w:val="20"/>
          <w:color w:val="auto"/>
        </w:rPr>
      </w:pPr>
      <w:r>
        <w:rPr>
          <w:rFonts w:ascii="Arial" w:cs="Arial" w:eastAsia="Arial" w:hAnsi="Arial"/>
          <w:sz w:val="18"/>
          <w:szCs w:val="18"/>
          <w:color w:val="auto"/>
        </w:rPr>
        <w:t>Income tax expense includes a charge of $5.4 million in 2012 and $2.6 million in 2011 pertaining to cash repatriations that occurred in 2012 as a result of the sale of the Albany Doors Systems.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Noncontrolling Interest</w:t>
      </w:r>
    </w:p>
    <w:p>
      <w:pPr>
        <w:spacing w:after="0" w:line="193" w:lineRule="exact"/>
        <w:rPr>
          <w:sz w:val="20"/>
          <w:szCs w:val="20"/>
          <w:color w:val="auto"/>
        </w:rPr>
      </w:pPr>
    </w:p>
    <w:p>
      <w:pPr>
        <w:ind w:right="60" w:firstLine="648"/>
        <w:spacing w:after="0" w:line="237" w:lineRule="auto"/>
        <w:rPr>
          <w:sz w:val="20"/>
          <w:szCs w:val="20"/>
          <w:color w:val="auto"/>
        </w:rPr>
      </w:pPr>
      <w:r>
        <w:rPr>
          <w:rFonts w:ascii="Arial" w:cs="Arial" w:eastAsia="Arial" w:hAnsi="Arial"/>
          <w:sz w:val="18"/>
          <w:szCs w:val="18"/>
          <w:color w:val="auto"/>
        </w:rPr>
        <w:t>Effective October 31, 2013, Safran S.A. (Safran) acquired a 10 percent equity interest in a new Albany subsidiary, Albany Safran Composites, LLC (ASC). Under the terms of the transaction agreements, ASC will be the exclusive supplier to Safran of advanced 3D-woven composite parts for use in aircraft and rocket engines, thrust reversers and nacelles, and aircraft landing and braking systems (the “Safran Applications). AEC will remain free to develop and supply parts other than advanced 3D -woven composite parts for all aerospace applications, as well as advanced 3D -woven composite parts for any aerospace applications that are not Safran Applications (such as airframe applications) and any non-aerospace applications.</w:t>
      </w:r>
    </w:p>
    <w:p>
      <w:pPr>
        <w:spacing w:after="0" w:line="178" w:lineRule="exact"/>
        <w:rPr>
          <w:sz w:val="20"/>
          <w:szCs w:val="20"/>
          <w:color w:val="auto"/>
        </w:rPr>
      </w:pPr>
    </w:p>
    <w:p>
      <w:pPr>
        <w:ind w:right="600" w:firstLine="648"/>
        <w:spacing w:after="0"/>
        <w:rPr>
          <w:sz w:val="20"/>
          <w:szCs w:val="20"/>
          <w:color w:val="auto"/>
        </w:rPr>
      </w:pPr>
      <w:r>
        <w:rPr>
          <w:rFonts w:ascii="Arial" w:cs="Arial" w:eastAsia="Arial" w:hAnsi="Arial"/>
          <w:sz w:val="18"/>
          <w:szCs w:val="18"/>
          <w:color w:val="auto"/>
        </w:rPr>
        <w:t>Albany contributed to ASC its existing assets and operations currently dedicated to the development and production of LEAP components, and Safran contributed $28 million in cash. We recorded a $15.5 million increase to Additional paid-in capital related to the excess of Safran’s contribution over the initial book value of</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431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55" w:name="page56"/>
    <w:bookmarkEnd w:id="55"/>
    <w:p>
      <w:pPr>
        <w:ind w:right="160"/>
        <w:spacing w:after="0" w:line="239" w:lineRule="auto"/>
        <w:rPr>
          <w:sz w:val="20"/>
          <w:szCs w:val="20"/>
          <w:color w:val="auto"/>
        </w:rPr>
      </w:pPr>
      <w:r>
        <w:rPr>
          <w:rFonts w:ascii="Arial" w:cs="Arial" w:eastAsia="Arial" w:hAnsi="Arial"/>
          <w:sz w:val="18"/>
          <w:szCs w:val="18"/>
          <w:color w:val="auto"/>
        </w:rPr>
        <w:t>their equity interest. The agreement provides Safran an option to purchase Albany’s remaining 90 percent interest upon the occurrence of certain bankruptcy or performance default events, or if Albany’s Engineered Composites business is sold to a direct competitor of Safran. The purchase price is based initially on the same valuation of ASC used to determine Safran’s 10% equity interest, and increases over time as LEAP production increases.</w:t>
      </w:r>
    </w:p>
    <w:p>
      <w:pPr>
        <w:spacing w:after="0" w:line="161" w:lineRule="exact"/>
        <w:rPr>
          <w:sz w:val="20"/>
          <w:szCs w:val="20"/>
          <w:color w:val="auto"/>
        </w:rPr>
      </w:pPr>
    </w:p>
    <w:p>
      <w:pPr>
        <w:jc w:val="both"/>
        <w:ind w:right="120" w:firstLine="648"/>
        <w:spacing w:after="0" w:line="246" w:lineRule="auto"/>
        <w:rPr>
          <w:sz w:val="20"/>
          <w:szCs w:val="20"/>
          <w:color w:val="auto"/>
        </w:rPr>
      </w:pPr>
      <w:r>
        <w:rPr>
          <w:rFonts w:ascii="Arial" w:cs="Arial" w:eastAsia="Arial" w:hAnsi="Arial"/>
          <w:sz w:val="18"/>
          <w:szCs w:val="18"/>
          <w:color w:val="auto"/>
        </w:rPr>
        <w:t>In accordance with the operating agreement, Albany received a $28 million preferred holding in ASC which includes a preferred return based on the Company’s revolving credit agreement. The common shares of ASC are owned 90 percent by Albany and 10 percent by Safran.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0340" w:type="dxa"/>
            <w:vAlign w:val="bottom"/>
          </w:tcPr>
          <w:p>
            <w:pPr>
              <w:ind w:left="660"/>
              <w:spacing w:after="0"/>
              <w:rPr>
                <w:sz w:val="20"/>
                <w:szCs w:val="20"/>
                <w:color w:val="auto"/>
              </w:rPr>
            </w:pPr>
            <w:r>
              <w:rPr>
                <w:rFonts w:ascii="Arial" w:cs="Arial" w:eastAsia="Arial" w:hAnsi="Arial"/>
                <w:sz w:val="18"/>
                <w:szCs w:val="18"/>
                <w:color w:val="auto"/>
              </w:rPr>
              <w:t>The table below presents a reconciliation of income attributable to the noncontrolling interest and noncontrolling equity:</w:t>
            </w:r>
          </w:p>
        </w:tc>
        <w:tc>
          <w:tcPr>
            <w:tcW w:w="1080" w:type="dxa"/>
            <w:vAlign w:val="bottom"/>
          </w:tcPr>
          <w:p>
            <w:pPr>
              <w:spacing w:after="0"/>
              <w:rPr>
                <w:sz w:val="18"/>
                <w:szCs w:val="18"/>
                <w:color w:val="auto"/>
              </w:rPr>
            </w:pPr>
          </w:p>
        </w:tc>
      </w:tr>
      <w:tr>
        <w:trPr>
          <w:trHeight w:val="365"/>
        </w:trPr>
        <w:tc>
          <w:tcPr>
            <w:tcW w:w="10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r>
      <w:tr>
        <w:trPr>
          <w:trHeight w:val="173"/>
        </w:trPr>
        <w:tc>
          <w:tcPr>
            <w:tcW w:w="10340" w:type="dxa"/>
            <w:vAlign w:val="bottom"/>
          </w:tcPr>
          <w:p>
            <w:pPr>
              <w:spacing w:after="0" w:line="173" w:lineRule="exact"/>
              <w:rPr>
                <w:sz w:val="20"/>
                <w:szCs w:val="20"/>
                <w:color w:val="auto"/>
              </w:rPr>
            </w:pPr>
            <w:r>
              <w:rPr>
                <w:rFonts w:ascii="Arial" w:cs="Arial" w:eastAsia="Arial" w:hAnsi="Arial"/>
                <w:sz w:val="18"/>
                <w:szCs w:val="18"/>
                <w:color w:val="auto"/>
              </w:rPr>
              <w:t>Net income of ASC</w:t>
            </w:r>
          </w:p>
        </w:tc>
        <w:tc>
          <w:tcPr>
            <w:tcW w:w="1080" w:type="dxa"/>
            <w:vAlign w:val="bottom"/>
          </w:tcPr>
          <w:p>
            <w:pPr>
              <w:jc w:val="right"/>
              <w:ind w:right="70"/>
              <w:spacing w:after="0" w:line="173" w:lineRule="exact"/>
              <w:rPr>
                <w:sz w:val="20"/>
                <w:szCs w:val="20"/>
                <w:color w:val="auto"/>
              </w:rPr>
            </w:pPr>
            <w:r>
              <w:rPr>
                <w:rFonts w:ascii="Arial" w:cs="Arial" w:eastAsia="Arial" w:hAnsi="Arial"/>
                <w:sz w:val="18"/>
                <w:szCs w:val="18"/>
                <w:b w:val="1"/>
                <w:bCs w:val="1"/>
                <w:color w:val="auto"/>
              </w:rPr>
              <w:t>$1,569</w:t>
            </w:r>
          </w:p>
        </w:tc>
      </w:tr>
      <w:tr>
        <w:trPr>
          <w:trHeight w:val="225"/>
        </w:trPr>
        <w:tc>
          <w:tcPr>
            <w:tcW w:w="10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Return attributable to the Company's preferred holding</w:t>
            </w: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164</w:t>
            </w:r>
          </w:p>
        </w:tc>
      </w:tr>
      <w:tr>
        <w:trPr>
          <w:trHeight w:val="173"/>
        </w:trPr>
        <w:tc>
          <w:tcPr>
            <w:tcW w:w="10340" w:type="dxa"/>
            <w:vAlign w:val="bottom"/>
          </w:tcPr>
          <w:p>
            <w:pPr>
              <w:spacing w:after="0" w:line="173" w:lineRule="exact"/>
              <w:rPr>
                <w:sz w:val="20"/>
                <w:szCs w:val="20"/>
                <w:color w:val="auto"/>
              </w:rPr>
            </w:pPr>
            <w:r>
              <w:rPr>
                <w:rFonts w:ascii="Arial" w:cs="Arial" w:eastAsia="Arial" w:hAnsi="Arial"/>
                <w:sz w:val="18"/>
                <w:szCs w:val="18"/>
                <w:color w:val="auto"/>
              </w:rPr>
              <w:t>Net income of ASC available for common ownership</w:t>
            </w:r>
          </w:p>
        </w:tc>
        <w:tc>
          <w:tcPr>
            <w:tcW w:w="1080" w:type="dxa"/>
            <w:vAlign w:val="bottom"/>
          </w:tcPr>
          <w:p>
            <w:pPr>
              <w:jc w:val="right"/>
              <w:ind w:right="70"/>
              <w:spacing w:after="0" w:line="173" w:lineRule="exact"/>
              <w:rPr>
                <w:sz w:val="20"/>
                <w:szCs w:val="20"/>
                <w:color w:val="auto"/>
              </w:rPr>
            </w:pPr>
            <w:r>
              <w:rPr>
                <w:rFonts w:ascii="Arial" w:cs="Arial" w:eastAsia="Arial" w:hAnsi="Arial"/>
                <w:sz w:val="18"/>
                <w:szCs w:val="18"/>
                <w:b w:val="1"/>
                <w:bCs w:val="1"/>
                <w:color w:val="auto"/>
              </w:rPr>
              <w:t>1,405</w:t>
            </w:r>
          </w:p>
        </w:tc>
      </w:tr>
      <w:tr>
        <w:trPr>
          <w:trHeight w:val="225"/>
        </w:trPr>
        <w:tc>
          <w:tcPr>
            <w:tcW w:w="10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Ownership percentage of noncontrolling shareholder</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r>
      <w:tr>
        <w:trPr>
          <w:trHeight w:val="196"/>
        </w:trPr>
        <w:tc>
          <w:tcPr>
            <w:tcW w:w="103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income attributable to noncontrolling interest, year ended December 31, 2013</w:t>
            </w:r>
          </w:p>
        </w:tc>
        <w:tc>
          <w:tcPr>
            <w:tcW w:w="108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rPr>
              <w:t>$141</w:t>
            </w:r>
          </w:p>
        </w:tc>
      </w:tr>
      <w:tr>
        <w:trPr>
          <w:trHeight w:val="20"/>
        </w:trPr>
        <w:tc>
          <w:tcPr>
            <w:tcW w:w="10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363"/>
        </w:trPr>
        <w:tc>
          <w:tcPr>
            <w:tcW w:w="10340" w:type="dxa"/>
            <w:vAlign w:val="bottom"/>
          </w:tcPr>
          <w:p>
            <w:pPr>
              <w:spacing w:after="0"/>
              <w:rPr>
                <w:sz w:val="20"/>
                <w:szCs w:val="20"/>
                <w:color w:val="auto"/>
              </w:rPr>
            </w:pPr>
            <w:r>
              <w:rPr>
                <w:rFonts w:ascii="Arial" w:cs="Arial" w:eastAsia="Arial" w:hAnsi="Arial"/>
                <w:sz w:val="18"/>
                <w:szCs w:val="18"/>
                <w:color w:val="auto"/>
              </w:rPr>
              <w:t>ASC Net assets contributed by Albany</w:t>
            </w:r>
          </w:p>
        </w:tc>
        <w:tc>
          <w:tcPr>
            <w:tcW w:w="1080" w:type="dxa"/>
            <w:vAlign w:val="bottom"/>
          </w:tcPr>
          <w:p>
            <w:pPr>
              <w:jc w:val="right"/>
              <w:ind w:right="70"/>
              <w:spacing w:after="0"/>
              <w:rPr>
                <w:sz w:val="20"/>
                <w:szCs w:val="20"/>
                <w:color w:val="auto"/>
              </w:rPr>
            </w:pPr>
            <w:r>
              <w:rPr>
                <w:rFonts w:ascii="Arial" w:cs="Arial" w:eastAsia="Arial" w:hAnsi="Arial"/>
                <w:sz w:val="18"/>
                <w:szCs w:val="18"/>
                <w:b w:val="1"/>
                <w:bCs w:val="1"/>
                <w:color w:val="auto"/>
              </w:rPr>
              <w:t>$33,414</w:t>
            </w:r>
          </w:p>
        </w:tc>
      </w:tr>
      <w:tr>
        <w:trPr>
          <w:trHeight w:val="225"/>
        </w:trPr>
        <w:tc>
          <w:tcPr>
            <w:tcW w:w="10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Ownership percentage of noncontrolling shareholder</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r>
      <w:tr>
        <w:trPr>
          <w:trHeight w:val="173"/>
        </w:trPr>
        <w:tc>
          <w:tcPr>
            <w:tcW w:w="10340" w:type="dxa"/>
            <w:vAlign w:val="bottom"/>
          </w:tcPr>
          <w:p>
            <w:pPr>
              <w:spacing w:after="0" w:line="173" w:lineRule="exact"/>
              <w:rPr>
                <w:sz w:val="20"/>
                <w:szCs w:val="20"/>
                <w:color w:val="auto"/>
              </w:rPr>
            </w:pPr>
            <w:r>
              <w:rPr>
                <w:rFonts w:ascii="Arial" w:cs="Arial" w:eastAsia="Arial" w:hAnsi="Arial"/>
                <w:sz w:val="18"/>
                <w:szCs w:val="18"/>
                <w:color w:val="auto"/>
              </w:rPr>
              <w:t>Noncontrolling interest at time of investment</w:t>
            </w:r>
          </w:p>
        </w:tc>
        <w:tc>
          <w:tcPr>
            <w:tcW w:w="1080" w:type="dxa"/>
            <w:vAlign w:val="bottom"/>
          </w:tcPr>
          <w:p>
            <w:pPr>
              <w:jc w:val="right"/>
              <w:ind w:right="70"/>
              <w:spacing w:after="0" w:line="173" w:lineRule="exact"/>
              <w:rPr>
                <w:sz w:val="20"/>
                <w:szCs w:val="20"/>
                <w:color w:val="auto"/>
              </w:rPr>
            </w:pPr>
            <w:r>
              <w:rPr>
                <w:rFonts w:ascii="Arial" w:cs="Arial" w:eastAsia="Arial" w:hAnsi="Arial"/>
                <w:sz w:val="18"/>
                <w:szCs w:val="18"/>
                <w:b w:val="1"/>
                <w:bCs w:val="1"/>
                <w:color w:val="auto"/>
              </w:rPr>
              <w:t>3,341</w:t>
            </w:r>
          </w:p>
        </w:tc>
      </w:tr>
      <w:tr>
        <w:trPr>
          <w:trHeight w:val="203"/>
        </w:trPr>
        <w:tc>
          <w:tcPr>
            <w:tcW w:w="10340" w:type="dxa"/>
            <w:vAlign w:val="bottom"/>
          </w:tcPr>
          <w:p>
            <w:pPr>
              <w:spacing w:after="0" w:line="202" w:lineRule="exact"/>
              <w:rPr>
                <w:sz w:val="20"/>
                <w:szCs w:val="20"/>
                <w:color w:val="auto"/>
              </w:rPr>
            </w:pPr>
            <w:r>
              <w:rPr>
                <w:rFonts w:ascii="Arial" w:cs="Arial" w:eastAsia="Arial" w:hAnsi="Arial"/>
                <w:sz w:val="18"/>
                <w:szCs w:val="18"/>
                <w:color w:val="auto"/>
              </w:rPr>
              <w:t>Net income attributable to noncontrolling interest</w:t>
            </w:r>
          </w:p>
        </w:tc>
        <w:tc>
          <w:tcPr>
            <w:tcW w:w="108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141</w:t>
            </w:r>
          </w:p>
        </w:tc>
      </w:tr>
      <w:tr>
        <w:trPr>
          <w:trHeight w:val="225"/>
        </w:trPr>
        <w:tc>
          <w:tcPr>
            <w:tcW w:w="10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Changes in other comprehensive income attributable to noncontrolling interest</w:t>
            </w: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r>
      <w:tr>
        <w:trPr>
          <w:trHeight w:val="196"/>
        </w:trPr>
        <w:tc>
          <w:tcPr>
            <w:tcW w:w="103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Noncontrolling interest as of December 31, 2013</w:t>
            </w:r>
          </w:p>
        </w:tc>
        <w:tc>
          <w:tcPr>
            <w:tcW w:w="108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rPr>
              <w:t>$3,482</w:t>
            </w:r>
          </w:p>
        </w:tc>
      </w:tr>
      <w:tr>
        <w:trPr>
          <w:trHeight w:val="20"/>
        </w:trPr>
        <w:tc>
          <w:tcPr>
            <w:tcW w:w="10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Reportable Segments and Geographic Data</w:t>
      </w:r>
    </w:p>
    <w:p>
      <w:pPr>
        <w:spacing w:after="0" w:line="193" w:lineRule="exact"/>
        <w:rPr>
          <w:sz w:val="20"/>
          <w:szCs w:val="20"/>
          <w:color w:val="auto"/>
        </w:rPr>
      </w:pPr>
    </w:p>
    <w:p>
      <w:pPr>
        <w:ind w:right="380" w:firstLine="648"/>
        <w:spacing w:after="0" w:line="246" w:lineRule="auto"/>
        <w:rPr>
          <w:sz w:val="20"/>
          <w:szCs w:val="20"/>
          <w:color w:val="auto"/>
        </w:rPr>
      </w:pPr>
      <w:r>
        <w:rPr>
          <w:rFonts w:ascii="Arial" w:cs="Arial" w:eastAsia="Arial" w:hAnsi="Arial"/>
          <w:sz w:val="18"/>
          <w:szCs w:val="18"/>
          <w:color w:val="auto"/>
        </w:rPr>
        <w:t>In accordance with applicable disclosure guidance for enterprise segments and related information, the internal organization that is used by management for making operating decisions and assessing performance is used as the basis for our reportable segments.</w:t>
      </w:r>
    </w:p>
    <w:p>
      <w:pPr>
        <w:spacing w:after="0" w:line="170" w:lineRule="exact"/>
        <w:rPr>
          <w:sz w:val="20"/>
          <w:szCs w:val="20"/>
          <w:color w:val="auto"/>
        </w:rPr>
      </w:pPr>
    </w:p>
    <w:p>
      <w:pPr>
        <w:ind w:right="220" w:firstLine="648"/>
        <w:spacing w:after="0" w:line="239" w:lineRule="auto"/>
        <w:rPr>
          <w:sz w:val="20"/>
          <w:szCs w:val="20"/>
          <w:color w:val="auto"/>
        </w:rPr>
      </w:pPr>
      <w:r>
        <w:rPr>
          <w:rFonts w:ascii="Arial" w:cs="Arial" w:eastAsia="Arial" w:hAnsi="Arial"/>
          <w:sz w:val="18"/>
          <w:szCs w:val="18"/>
          <w:color w:val="auto"/>
        </w:rPr>
        <w:t>The accounting policies of the segments are the same as those described in Note 1. We have not allocated research costs and other Unallocated expenses to the segments because the decision-making for the majority of these expenses did not reside within the segments. Unallocated expenses include wages and benefits for Corporate headquarters personnel, costs related to information systems development and support, and professional fees related to legal, audit, and other activities.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Machine Clothing:</w:t>
      </w:r>
    </w:p>
    <w:p>
      <w:pPr>
        <w:spacing w:after="0" w:line="193" w:lineRule="exact"/>
        <w:rPr>
          <w:sz w:val="20"/>
          <w:szCs w:val="20"/>
          <w:color w:val="auto"/>
        </w:rPr>
      </w:pPr>
    </w:p>
    <w:p>
      <w:pPr>
        <w:ind w:right="40" w:firstLine="648"/>
        <w:spacing w:after="0" w:line="238" w:lineRule="auto"/>
        <w:rPr>
          <w:sz w:val="20"/>
          <w:szCs w:val="20"/>
          <w:color w:val="auto"/>
        </w:rPr>
      </w:pPr>
      <w:r>
        <w:rPr>
          <w:rFonts w:ascii="Arial" w:cs="Arial" w:eastAsia="Arial" w:hAnsi="Arial"/>
          <w:sz w:val="18"/>
          <w:szCs w:val="18"/>
          <w:color w:val="auto"/>
        </w:rPr>
        <w:t>The Machine Clothing segment includes paper machine clothing – engineered fabrics and belts used in the manufacture of paper and paperboard – as well as engineered fabrics and belts used in many other industrial applications. We sell our Machine Clothing products directly to customer end-users, which include paper industry companies, nonwovens manufacturers, and building products companies, some of which operate in multiple regions of the world. Our products, manufacturing processes, and distribution channels for Machine Clothing are substantially the same in each region of the world in which we operate.</w:t>
      </w:r>
    </w:p>
    <w:p>
      <w:pPr>
        <w:spacing w:after="0" w:line="189" w:lineRule="exact"/>
        <w:rPr>
          <w:sz w:val="20"/>
          <w:szCs w:val="20"/>
          <w:color w:val="auto"/>
        </w:rPr>
      </w:pPr>
    </w:p>
    <w:p>
      <w:pPr>
        <w:ind w:right="300" w:firstLine="648"/>
        <w:spacing w:after="0"/>
        <w:rPr>
          <w:sz w:val="20"/>
          <w:szCs w:val="20"/>
          <w:color w:val="auto"/>
        </w:rPr>
      </w:pPr>
      <w:r>
        <w:rPr>
          <w:rFonts w:ascii="Arial" w:cs="Arial" w:eastAsia="Arial" w:hAnsi="Arial"/>
          <w:sz w:val="18"/>
          <w:szCs w:val="18"/>
          <w:color w:val="auto"/>
        </w:rPr>
        <w:t>We design, manufacture, and market paper machine clothing for each section of the paper machine. We manufacture and sell more paper machine clothing worldwide than any other company. Paper machine clothing consists of large permeable and non-permeable continuous belts of custom-designed and custom-manufactured</w:t>
      </w:r>
    </w:p>
    <w:p>
      <w:pPr>
        <w:spacing w:after="0" w:line="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431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56" w:name="page57"/>
    <w:bookmarkEnd w:id="56"/>
    <w:p>
      <w:pPr>
        <w:ind w:right="140"/>
        <w:spacing w:after="0"/>
        <w:rPr>
          <w:sz w:val="20"/>
          <w:szCs w:val="20"/>
          <w:color w:val="auto"/>
        </w:rPr>
      </w:pPr>
      <w:r>
        <w:rPr>
          <w:rFonts w:ascii="Arial" w:cs="Arial" w:eastAsia="Arial" w:hAnsi="Arial"/>
          <w:sz w:val="18"/>
          <w:szCs w:val="18"/>
          <w:color w:val="auto"/>
        </w:rPr>
        <w:t>engineered fabrics that are installed on paper machines and carry the paper stock through each stage of the paper production process. Paper machine clothing products are consumable products of technologically sophisticated design that utilize polymeric materials in a complex structure.</w:t>
      </w:r>
    </w:p>
    <w:p>
      <w:pPr>
        <w:spacing w:after="0" w:line="189" w:lineRule="exact"/>
        <w:rPr>
          <w:sz w:val="20"/>
          <w:szCs w:val="20"/>
          <w:color w:val="auto"/>
        </w:rPr>
      </w:pPr>
    </w:p>
    <w:p>
      <w:pPr>
        <w:ind w:right="160" w:firstLine="648"/>
        <w:spacing w:after="0"/>
        <w:rPr>
          <w:sz w:val="20"/>
          <w:szCs w:val="20"/>
          <w:color w:val="auto"/>
        </w:rPr>
      </w:pPr>
      <w:r>
        <w:rPr>
          <w:rFonts w:ascii="Arial" w:cs="Arial" w:eastAsia="Arial" w:hAnsi="Arial"/>
          <w:sz w:val="18"/>
          <w:szCs w:val="18"/>
          <w:color w:val="auto"/>
        </w:rPr>
        <w:t>The Machine Clothing segment also supplies consumable fabrics used to process paper pulp, as well as engineered fabrics used in a range of industries other than papermaking. These other products include belts used to make nonwovens, fiber cement building products, roofing shingles, and corrugated sheets used in boxboard, as well as belts used in tannery and textile applications.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Engineered Composites</w:t>
      </w:r>
      <w:r>
        <w:rPr>
          <w:rFonts w:ascii="Arial" w:cs="Arial" w:eastAsia="Arial" w:hAnsi="Arial"/>
          <w:sz w:val="18"/>
          <w:szCs w:val="18"/>
          <w:color w:val="auto"/>
        </w:rPr>
        <w:t>:</w:t>
      </w:r>
    </w:p>
    <w:p>
      <w:pPr>
        <w:spacing w:after="0" w:line="193" w:lineRule="exact"/>
        <w:rPr>
          <w:sz w:val="20"/>
          <w:szCs w:val="20"/>
          <w:color w:val="auto"/>
        </w:rPr>
      </w:pPr>
    </w:p>
    <w:p>
      <w:pPr>
        <w:ind w:right="420" w:firstLine="648"/>
        <w:spacing w:after="0" w:line="239" w:lineRule="auto"/>
        <w:rPr>
          <w:sz w:val="20"/>
          <w:szCs w:val="20"/>
          <w:color w:val="auto"/>
        </w:rPr>
      </w:pPr>
      <w:r>
        <w:rPr>
          <w:rFonts w:ascii="Arial" w:cs="Arial" w:eastAsia="Arial" w:hAnsi="Arial"/>
          <w:sz w:val="18"/>
          <w:szCs w:val="18"/>
          <w:color w:val="auto"/>
        </w:rPr>
        <w:t>The Engineered Composites segment (AEC) provides custom-designed advanced composite structures based on proprietary technology to customers in the aerospace and defense industries. AEC’s largest current development program relates to the LEAP engine being developed by CFM International. Under this program, AEC is developing a family of composite parts, including fan blades, to be incorporated into the LEAP engine under a long-term supply contract.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show data by reportable segment, reconciled to consolidated totals included in the financial statements:</w:t>
      </w:r>
    </w:p>
    <w:p>
      <w:pPr>
        <w:spacing w:after="0" w:line="152"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8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200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2013</w:t>
            </w:r>
          </w:p>
        </w:tc>
        <w:tc>
          <w:tcPr>
            <w:tcW w:w="134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2012</w:t>
            </w:r>
          </w:p>
        </w:tc>
        <w:tc>
          <w:tcPr>
            <w:tcW w:w="11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195"/>
        </w:trPr>
        <w:tc>
          <w:tcPr>
            <w:tcW w:w="582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Net sales</w:t>
            </w:r>
          </w:p>
        </w:tc>
        <w:tc>
          <w:tcPr>
            <w:tcW w:w="200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$674,747</w:t>
            </w:r>
          </w:p>
        </w:tc>
        <w:tc>
          <w:tcPr>
            <w:tcW w:w="1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820" w:type="dxa"/>
            <w:vAlign w:val="bottom"/>
            <w:gridSpan w:val="2"/>
          </w:tcPr>
          <w:p>
            <w:pPr>
              <w:spacing w:after="0" w:line="181" w:lineRule="exact"/>
              <w:rPr>
                <w:sz w:val="20"/>
                <w:szCs w:val="20"/>
                <w:color w:val="auto"/>
              </w:rPr>
            </w:pPr>
            <w:r>
              <w:rPr>
                <w:rFonts w:ascii="Arial" w:cs="Arial" w:eastAsia="Arial" w:hAnsi="Arial"/>
                <w:sz w:val="18"/>
                <w:szCs w:val="18"/>
                <w:color w:val="auto"/>
              </w:rPr>
              <w:t>Machine Clothing</w:t>
            </w:r>
          </w:p>
        </w:tc>
        <w:tc>
          <w:tcPr>
            <w:tcW w:w="2000" w:type="dxa"/>
            <w:vAlign w:val="bottom"/>
            <w:vMerge w:val="continue"/>
          </w:tcPr>
          <w:p>
            <w:pPr>
              <w:spacing w:after="0"/>
              <w:rPr>
                <w:sz w:val="15"/>
                <w:szCs w:val="15"/>
                <w:color w:val="auto"/>
              </w:rPr>
            </w:pPr>
          </w:p>
        </w:tc>
        <w:tc>
          <w:tcPr>
            <w:tcW w:w="1340" w:type="dxa"/>
            <w:vAlign w:val="bottom"/>
          </w:tcPr>
          <w:p>
            <w:pPr>
              <w:jc w:val="right"/>
              <w:ind w:right="230"/>
              <w:spacing w:after="0" w:line="181" w:lineRule="exact"/>
              <w:rPr>
                <w:sz w:val="20"/>
                <w:szCs w:val="20"/>
                <w:color w:val="auto"/>
              </w:rPr>
            </w:pPr>
            <w:r>
              <w:rPr>
                <w:rFonts w:ascii="Arial" w:cs="Arial" w:eastAsia="Arial" w:hAnsi="Arial"/>
                <w:sz w:val="18"/>
                <w:szCs w:val="18"/>
                <w:color w:val="auto"/>
              </w:rPr>
              <w:t>$693,176</w:t>
            </w:r>
          </w:p>
        </w:tc>
        <w:tc>
          <w:tcPr>
            <w:tcW w:w="1100" w:type="dxa"/>
            <w:vAlign w:val="bottom"/>
          </w:tcPr>
          <w:p>
            <w:pPr>
              <w:jc w:val="right"/>
              <w:ind w:right="10"/>
              <w:spacing w:after="0" w:line="181" w:lineRule="exact"/>
              <w:rPr>
                <w:sz w:val="20"/>
                <w:szCs w:val="20"/>
                <w:color w:val="auto"/>
              </w:rPr>
            </w:pPr>
            <w:r>
              <w:rPr>
                <w:rFonts w:ascii="Arial" w:cs="Arial" w:eastAsia="Arial" w:hAnsi="Arial"/>
                <w:sz w:val="18"/>
                <w:szCs w:val="18"/>
                <w:color w:val="auto"/>
              </w:rPr>
              <w:t>$739,211</w:t>
            </w:r>
          </w:p>
        </w:tc>
        <w:tc>
          <w:tcPr>
            <w:tcW w:w="0" w:type="dxa"/>
            <w:vAlign w:val="bottom"/>
          </w:tcPr>
          <w:p>
            <w:pPr>
              <w:spacing w:after="0"/>
              <w:rPr>
                <w:sz w:val="1"/>
                <w:szCs w:val="1"/>
                <w:color w:val="auto"/>
              </w:rPr>
            </w:pPr>
          </w:p>
        </w:tc>
      </w:tr>
      <w:tr>
        <w:trPr>
          <w:trHeight w:val="225"/>
        </w:trPr>
        <w:tc>
          <w:tcPr>
            <w:tcW w:w="5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Engineered Composites</w:t>
            </w:r>
          </w:p>
        </w:tc>
        <w:tc>
          <w:tcPr>
            <w:tcW w:w="2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82,667</w:t>
            </w:r>
          </w:p>
        </w:tc>
        <w:tc>
          <w:tcPr>
            <w:tcW w:w="13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67,765</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48,076</w:t>
            </w:r>
          </w:p>
        </w:tc>
        <w:tc>
          <w:tcPr>
            <w:tcW w:w="0" w:type="dxa"/>
            <w:vAlign w:val="bottom"/>
          </w:tcPr>
          <w:p>
            <w:pPr>
              <w:spacing w:after="0"/>
              <w:rPr>
                <w:sz w:val="1"/>
                <w:szCs w:val="1"/>
                <w:color w:val="auto"/>
              </w:rPr>
            </w:pPr>
          </w:p>
        </w:tc>
      </w:tr>
      <w:tr>
        <w:trPr>
          <w:trHeight w:val="196"/>
        </w:trPr>
        <w:tc>
          <w:tcPr>
            <w:tcW w:w="582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Consolidated total</w:t>
            </w:r>
          </w:p>
        </w:tc>
        <w:tc>
          <w:tcPr>
            <w:tcW w:w="200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$757,414</w:t>
            </w:r>
          </w:p>
        </w:tc>
        <w:tc>
          <w:tcPr>
            <w:tcW w:w="134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$760,941</w:t>
            </w:r>
          </w:p>
        </w:tc>
        <w:tc>
          <w:tcPr>
            <w:tcW w:w="11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$787,287</w:t>
            </w:r>
          </w:p>
        </w:tc>
        <w:tc>
          <w:tcPr>
            <w:tcW w:w="0" w:type="dxa"/>
            <w:vAlign w:val="bottom"/>
          </w:tcPr>
          <w:p>
            <w:pPr>
              <w:spacing w:after="0"/>
              <w:rPr>
                <w:sz w:val="1"/>
                <w:szCs w:val="1"/>
                <w:color w:val="auto"/>
              </w:rPr>
            </w:pPr>
          </w:p>
        </w:tc>
      </w:tr>
      <w:tr>
        <w:trPr>
          <w:trHeight w:val="195"/>
        </w:trPr>
        <w:tc>
          <w:tcPr>
            <w:tcW w:w="582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Depreciation and amortization</w:t>
            </w:r>
          </w:p>
        </w:tc>
        <w:tc>
          <w:tcPr>
            <w:tcW w:w="200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$45,237</w:t>
            </w:r>
          </w:p>
        </w:tc>
        <w:tc>
          <w:tcPr>
            <w:tcW w:w="1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820" w:type="dxa"/>
            <w:vAlign w:val="bottom"/>
            <w:gridSpan w:val="2"/>
          </w:tcPr>
          <w:p>
            <w:pPr>
              <w:spacing w:after="0" w:line="181" w:lineRule="exact"/>
              <w:rPr>
                <w:sz w:val="20"/>
                <w:szCs w:val="20"/>
                <w:color w:val="auto"/>
              </w:rPr>
            </w:pPr>
            <w:r>
              <w:rPr>
                <w:rFonts w:ascii="Arial" w:cs="Arial" w:eastAsia="Arial" w:hAnsi="Arial"/>
                <w:sz w:val="18"/>
                <w:szCs w:val="18"/>
                <w:color w:val="auto"/>
              </w:rPr>
              <w:t>Machine Clothing</w:t>
            </w:r>
          </w:p>
        </w:tc>
        <w:tc>
          <w:tcPr>
            <w:tcW w:w="2000" w:type="dxa"/>
            <w:vAlign w:val="bottom"/>
            <w:vMerge w:val="continue"/>
          </w:tcPr>
          <w:p>
            <w:pPr>
              <w:spacing w:after="0"/>
              <w:rPr>
                <w:sz w:val="15"/>
                <w:szCs w:val="15"/>
                <w:color w:val="auto"/>
              </w:rPr>
            </w:pPr>
          </w:p>
        </w:tc>
        <w:tc>
          <w:tcPr>
            <w:tcW w:w="1340" w:type="dxa"/>
            <w:vAlign w:val="bottom"/>
          </w:tcPr>
          <w:p>
            <w:pPr>
              <w:jc w:val="right"/>
              <w:ind w:right="230"/>
              <w:spacing w:after="0" w:line="181" w:lineRule="exact"/>
              <w:rPr>
                <w:sz w:val="20"/>
                <w:szCs w:val="20"/>
                <w:color w:val="auto"/>
              </w:rPr>
            </w:pPr>
            <w:r>
              <w:rPr>
                <w:rFonts w:ascii="Arial" w:cs="Arial" w:eastAsia="Arial" w:hAnsi="Arial"/>
                <w:sz w:val="18"/>
                <w:szCs w:val="18"/>
                <w:color w:val="auto"/>
              </w:rPr>
              <w:t>$46,843</w:t>
            </w:r>
          </w:p>
        </w:tc>
        <w:tc>
          <w:tcPr>
            <w:tcW w:w="1100" w:type="dxa"/>
            <w:vAlign w:val="bottom"/>
          </w:tcPr>
          <w:p>
            <w:pPr>
              <w:jc w:val="right"/>
              <w:ind w:right="10"/>
              <w:spacing w:after="0" w:line="181" w:lineRule="exact"/>
              <w:rPr>
                <w:sz w:val="20"/>
                <w:szCs w:val="20"/>
                <w:color w:val="auto"/>
              </w:rPr>
            </w:pPr>
            <w:r>
              <w:rPr>
                <w:rFonts w:ascii="Arial" w:cs="Arial" w:eastAsia="Arial" w:hAnsi="Arial"/>
                <w:sz w:val="18"/>
                <w:szCs w:val="18"/>
                <w:color w:val="auto"/>
              </w:rPr>
              <w:t>$48,181</w:t>
            </w:r>
          </w:p>
        </w:tc>
        <w:tc>
          <w:tcPr>
            <w:tcW w:w="0" w:type="dxa"/>
            <w:vAlign w:val="bottom"/>
          </w:tcPr>
          <w:p>
            <w:pPr>
              <w:spacing w:after="0"/>
              <w:rPr>
                <w:sz w:val="1"/>
                <w:szCs w:val="1"/>
                <w:color w:val="auto"/>
              </w:rPr>
            </w:pPr>
          </w:p>
        </w:tc>
      </w:tr>
      <w:tr>
        <w:trPr>
          <w:trHeight w:val="203"/>
        </w:trPr>
        <w:tc>
          <w:tcPr>
            <w:tcW w:w="5820" w:type="dxa"/>
            <w:vAlign w:val="bottom"/>
            <w:gridSpan w:val="2"/>
          </w:tcPr>
          <w:p>
            <w:pPr>
              <w:spacing w:after="0" w:line="202" w:lineRule="exact"/>
              <w:rPr>
                <w:sz w:val="20"/>
                <w:szCs w:val="20"/>
                <w:color w:val="auto"/>
              </w:rPr>
            </w:pPr>
            <w:r>
              <w:rPr>
                <w:rFonts w:ascii="Arial" w:cs="Arial" w:eastAsia="Arial" w:hAnsi="Arial"/>
                <w:sz w:val="18"/>
                <w:szCs w:val="18"/>
                <w:color w:val="auto"/>
              </w:rPr>
              <w:t>Engineered Composites</w:t>
            </w:r>
          </w:p>
        </w:tc>
        <w:tc>
          <w:tcPr>
            <w:tcW w:w="200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7,640</w:t>
            </w:r>
          </w:p>
        </w:tc>
        <w:tc>
          <w:tcPr>
            <w:tcW w:w="134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5,920</w:t>
            </w:r>
          </w:p>
        </w:tc>
        <w:tc>
          <w:tcPr>
            <w:tcW w:w="11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4,959</w:t>
            </w:r>
          </w:p>
        </w:tc>
        <w:tc>
          <w:tcPr>
            <w:tcW w:w="0" w:type="dxa"/>
            <w:vAlign w:val="bottom"/>
          </w:tcPr>
          <w:p>
            <w:pPr>
              <w:spacing w:after="0"/>
              <w:rPr>
                <w:sz w:val="1"/>
                <w:szCs w:val="1"/>
                <w:color w:val="auto"/>
              </w:rPr>
            </w:pPr>
          </w:p>
        </w:tc>
      </w:tr>
      <w:tr>
        <w:trPr>
          <w:trHeight w:val="203"/>
        </w:trPr>
        <w:tc>
          <w:tcPr>
            <w:tcW w:w="5820" w:type="dxa"/>
            <w:vAlign w:val="bottom"/>
            <w:gridSpan w:val="2"/>
          </w:tcPr>
          <w:p>
            <w:pPr>
              <w:spacing w:after="0" w:line="202" w:lineRule="exact"/>
              <w:rPr>
                <w:sz w:val="20"/>
                <w:szCs w:val="20"/>
                <w:color w:val="auto"/>
              </w:rPr>
            </w:pPr>
            <w:r>
              <w:rPr>
                <w:rFonts w:ascii="Arial" w:cs="Arial" w:eastAsia="Arial" w:hAnsi="Arial"/>
                <w:sz w:val="18"/>
                <w:szCs w:val="18"/>
                <w:color w:val="auto"/>
              </w:rPr>
              <w:t>Research expense</w:t>
            </w:r>
          </w:p>
        </w:tc>
        <w:tc>
          <w:tcPr>
            <w:tcW w:w="200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2,104</w:t>
            </w:r>
          </w:p>
        </w:tc>
        <w:tc>
          <w:tcPr>
            <w:tcW w:w="134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1,252</w:t>
            </w:r>
          </w:p>
        </w:tc>
        <w:tc>
          <w:tcPr>
            <w:tcW w:w="11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1,314</w:t>
            </w:r>
          </w:p>
        </w:tc>
        <w:tc>
          <w:tcPr>
            <w:tcW w:w="0" w:type="dxa"/>
            <w:vAlign w:val="bottom"/>
          </w:tcPr>
          <w:p>
            <w:pPr>
              <w:spacing w:after="0"/>
              <w:rPr>
                <w:sz w:val="1"/>
                <w:szCs w:val="1"/>
                <w:color w:val="auto"/>
              </w:rPr>
            </w:pPr>
          </w:p>
        </w:tc>
      </w:tr>
      <w:tr>
        <w:trPr>
          <w:trHeight w:val="225"/>
        </w:trPr>
        <w:tc>
          <w:tcPr>
            <w:tcW w:w="5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Unallocated expenses</w:t>
            </w:r>
          </w:p>
        </w:tc>
        <w:tc>
          <w:tcPr>
            <w:tcW w:w="2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8,808</w:t>
            </w:r>
          </w:p>
        </w:tc>
        <w:tc>
          <w:tcPr>
            <w:tcW w:w="13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9,052</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9,358</w:t>
            </w:r>
          </w:p>
        </w:tc>
        <w:tc>
          <w:tcPr>
            <w:tcW w:w="0" w:type="dxa"/>
            <w:vAlign w:val="bottom"/>
          </w:tcPr>
          <w:p>
            <w:pPr>
              <w:spacing w:after="0"/>
              <w:rPr>
                <w:sz w:val="1"/>
                <w:szCs w:val="1"/>
                <w:color w:val="auto"/>
              </w:rPr>
            </w:pPr>
          </w:p>
        </w:tc>
      </w:tr>
      <w:tr>
        <w:trPr>
          <w:trHeight w:val="196"/>
        </w:trPr>
        <w:tc>
          <w:tcPr>
            <w:tcW w:w="582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Consolidated total</w:t>
            </w:r>
          </w:p>
        </w:tc>
        <w:tc>
          <w:tcPr>
            <w:tcW w:w="200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$63,789</w:t>
            </w:r>
          </w:p>
        </w:tc>
        <w:tc>
          <w:tcPr>
            <w:tcW w:w="134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$63,067</w:t>
            </w:r>
          </w:p>
        </w:tc>
        <w:tc>
          <w:tcPr>
            <w:tcW w:w="11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$63,812</w:t>
            </w:r>
          </w:p>
        </w:tc>
        <w:tc>
          <w:tcPr>
            <w:tcW w:w="0" w:type="dxa"/>
            <w:vAlign w:val="bottom"/>
          </w:tcPr>
          <w:p>
            <w:pPr>
              <w:spacing w:after="0"/>
              <w:rPr>
                <w:sz w:val="1"/>
                <w:szCs w:val="1"/>
                <w:color w:val="auto"/>
              </w:rPr>
            </w:pPr>
          </w:p>
        </w:tc>
      </w:tr>
      <w:tr>
        <w:trPr>
          <w:trHeight w:val="195"/>
        </w:trPr>
        <w:tc>
          <w:tcPr>
            <w:tcW w:w="582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Operating income/(loss)</w:t>
            </w:r>
          </w:p>
        </w:tc>
        <w:tc>
          <w:tcPr>
            <w:tcW w:w="200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$136,698</w:t>
            </w:r>
          </w:p>
        </w:tc>
        <w:tc>
          <w:tcPr>
            <w:tcW w:w="1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820" w:type="dxa"/>
            <w:vAlign w:val="bottom"/>
            <w:gridSpan w:val="2"/>
          </w:tcPr>
          <w:p>
            <w:pPr>
              <w:spacing w:after="0" w:line="181" w:lineRule="exact"/>
              <w:rPr>
                <w:sz w:val="20"/>
                <w:szCs w:val="20"/>
                <w:color w:val="auto"/>
              </w:rPr>
            </w:pPr>
            <w:r>
              <w:rPr>
                <w:rFonts w:ascii="Arial" w:cs="Arial" w:eastAsia="Arial" w:hAnsi="Arial"/>
                <w:sz w:val="18"/>
                <w:szCs w:val="18"/>
                <w:color w:val="auto"/>
              </w:rPr>
              <w:t>Machine Clothing</w:t>
            </w:r>
          </w:p>
        </w:tc>
        <w:tc>
          <w:tcPr>
            <w:tcW w:w="2000" w:type="dxa"/>
            <w:vAlign w:val="bottom"/>
            <w:vMerge w:val="continue"/>
          </w:tcPr>
          <w:p>
            <w:pPr>
              <w:spacing w:after="0"/>
              <w:rPr>
                <w:sz w:val="15"/>
                <w:szCs w:val="15"/>
                <w:color w:val="auto"/>
              </w:rPr>
            </w:pPr>
          </w:p>
        </w:tc>
        <w:tc>
          <w:tcPr>
            <w:tcW w:w="1340" w:type="dxa"/>
            <w:vAlign w:val="bottom"/>
          </w:tcPr>
          <w:p>
            <w:pPr>
              <w:jc w:val="right"/>
              <w:ind w:right="230"/>
              <w:spacing w:after="0" w:line="181" w:lineRule="exact"/>
              <w:rPr>
                <w:sz w:val="20"/>
                <w:szCs w:val="20"/>
                <w:color w:val="auto"/>
              </w:rPr>
            </w:pPr>
            <w:r>
              <w:rPr>
                <w:rFonts w:ascii="Arial" w:cs="Arial" w:eastAsia="Arial" w:hAnsi="Arial"/>
                <w:sz w:val="18"/>
                <w:szCs w:val="18"/>
                <w:color w:val="auto"/>
              </w:rPr>
              <w:t>$163,873</w:t>
            </w:r>
          </w:p>
        </w:tc>
        <w:tc>
          <w:tcPr>
            <w:tcW w:w="1100" w:type="dxa"/>
            <w:vAlign w:val="bottom"/>
          </w:tcPr>
          <w:p>
            <w:pPr>
              <w:jc w:val="right"/>
              <w:ind w:right="10"/>
              <w:spacing w:after="0" w:line="181" w:lineRule="exact"/>
              <w:rPr>
                <w:sz w:val="20"/>
                <w:szCs w:val="20"/>
                <w:color w:val="auto"/>
              </w:rPr>
            </w:pPr>
            <w:r>
              <w:rPr>
                <w:rFonts w:ascii="Arial" w:cs="Arial" w:eastAsia="Arial" w:hAnsi="Arial"/>
                <w:sz w:val="18"/>
                <w:szCs w:val="18"/>
                <w:color w:val="auto"/>
              </w:rPr>
              <w:t>$176,759</w:t>
            </w:r>
          </w:p>
        </w:tc>
        <w:tc>
          <w:tcPr>
            <w:tcW w:w="0" w:type="dxa"/>
            <w:vAlign w:val="bottom"/>
          </w:tcPr>
          <w:p>
            <w:pPr>
              <w:spacing w:after="0"/>
              <w:rPr>
                <w:sz w:val="1"/>
                <w:szCs w:val="1"/>
                <w:color w:val="auto"/>
              </w:rPr>
            </w:pPr>
          </w:p>
        </w:tc>
      </w:tr>
      <w:tr>
        <w:trPr>
          <w:trHeight w:val="203"/>
        </w:trPr>
        <w:tc>
          <w:tcPr>
            <w:tcW w:w="5820" w:type="dxa"/>
            <w:vAlign w:val="bottom"/>
            <w:gridSpan w:val="2"/>
          </w:tcPr>
          <w:p>
            <w:pPr>
              <w:spacing w:after="0" w:line="202" w:lineRule="exact"/>
              <w:rPr>
                <w:sz w:val="20"/>
                <w:szCs w:val="20"/>
                <w:color w:val="auto"/>
              </w:rPr>
            </w:pPr>
            <w:r>
              <w:rPr>
                <w:rFonts w:ascii="Arial" w:cs="Arial" w:eastAsia="Arial" w:hAnsi="Arial"/>
                <w:sz w:val="18"/>
                <w:szCs w:val="18"/>
                <w:color w:val="auto"/>
              </w:rPr>
              <w:t>Engineered Composites</w:t>
            </w:r>
          </w:p>
        </w:tc>
        <w:tc>
          <w:tcPr>
            <w:tcW w:w="2000" w:type="dxa"/>
            <w:vAlign w:val="bottom"/>
          </w:tcPr>
          <w:p>
            <w:pPr>
              <w:jc w:val="right"/>
              <w:ind w:right="170"/>
              <w:spacing w:after="0" w:line="202" w:lineRule="exact"/>
              <w:rPr>
                <w:sz w:val="20"/>
                <w:szCs w:val="20"/>
                <w:color w:val="auto"/>
              </w:rPr>
            </w:pPr>
            <w:r>
              <w:rPr>
                <w:rFonts w:ascii="Arial" w:cs="Arial" w:eastAsia="Arial" w:hAnsi="Arial"/>
                <w:sz w:val="18"/>
                <w:szCs w:val="18"/>
                <w:b w:val="1"/>
                <w:bCs w:val="1"/>
                <w:color w:val="auto"/>
              </w:rPr>
              <w:t>(2,974)</w:t>
            </w:r>
          </w:p>
        </w:tc>
        <w:tc>
          <w:tcPr>
            <w:tcW w:w="134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(840)</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(4,204)</w:t>
            </w:r>
          </w:p>
        </w:tc>
        <w:tc>
          <w:tcPr>
            <w:tcW w:w="0" w:type="dxa"/>
            <w:vAlign w:val="bottom"/>
          </w:tcPr>
          <w:p>
            <w:pPr>
              <w:spacing w:after="0"/>
              <w:rPr>
                <w:sz w:val="1"/>
                <w:szCs w:val="1"/>
                <w:color w:val="auto"/>
              </w:rPr>
            </w:pPr>
          </w:p>
        </w:tc>
      </w:tr>
      <w:tr>
        <w:trPr>
          <w:trHeight w:val="203"/>
        </w:trPr>
        <w:tc>
          <w:tcPr>
            <w:tcW w:w="5820" w:type="dxa"/>
            <w:vAlign w:val="bottom"/>
            <w:gridSpan w:val="2"/>
          </w:tcPr>
          <w:p>
            <w:pPr>
              <w:spacing w:after="0" w:line="202" w:lineRule="exact"/>
              <w:rPr>
                <w:sz w:val="20"/>
                <w:szCs w:val="20"/>
                <w:color w:val="auto"/>
              </w:rPr>
            </w:pPr>
            <w:r>
              <w:rPr>
                <w:rFonts w:ascii="Arial" w:cs="Arial" w:eastAsia="Arial" w:hAnsi="Arial"/>
                <w:sz w:val="18"/>
                <w:szCs w:val="18"/>
                <w:color w:val="auto"/>
              </w:rPr>
              <w:t>Research expense</w:t>
            </w:r>
          </w:p>
        </w:tc>
        <w:tc>
          <w:tcPr>
            <w:tcW w:w="2000" w:type="dxa"/>
            <w:vAlign w:val="bottom"/>
          </w:tcPr>
          <w:p>
            <w:pPr>
              <w:jc w:val="right"/>
              <w:ind w:right="170"/>
              <w:spacing w:after="0" w:line="202" w:lineRule="exact"/>
              <w:rPr>
                <w:sz w:val="20"/>
                <w:szCs w:val="20"/>
                <w:color w:val="auto"/>
              </w:rPr>
            </w:pPr>
            <w:r>
              <w:rPr>
                <w:rFonts w:ascii="Arial" w:cs="Arial" w:eastAsia="Arial" w:hAnsi="Arial"/>
                <w:sz w:val="18"/>
                <w:szCs w:val="18"/>
                <w:b w:val="1"/>
                <w:bCs w:val="1"/>
                <w:color w:val="auto"/>
              </w:rPr>
              <w:t>(30,220)</w:t>
            </w:r>
          </w:p>
        </w:tc>
        <w:tc>
          <w:tcPr>
            <w:tcW w:w="134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(27,616)</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(29,007)</w:t>
            </w:r>
          </w:p>
        </w:tc>
        <w:tc>
          <w:tcPr>
            <w:tcW w:w="0" w:type="dxa"/>
            <w:vAlign w:val="bottom"/>
          </w:tcPr>
          <w:p>
            <w:pPr>
              <w:spacing w:after="0"/>
              <w:rPr>
                <w:sz w:val="1"/>
                <w:szCs w:val="1"/>
                <w:color w:val="auto"/>
              </w:rPr>
            </w:pPr>
          </w:p>
        </w:tc>
      </w:tr>
      <w:tr>
        <w:trPr>
          <w:trHeight w:val="225"/>
        </w:trPr>
        <w:tc>
          <w:tcPr>
            <w:tcW w:w="5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Unallocated expenses</w:t>
            </w:r>
          </w:p>
        </w:tc>
        <w:tc>
          <w:tcPr>
            <w:tcW w:w="20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(51,413)</w:t>
            </w:r>
          </w:p>
        </w:tc>
        <w:tc>
          <w:tcPr>
            <w:tcW w:w="13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(179,553)</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(68,940)</w:t>
            </w:r>
          </w:p>
        </w:tc>
        <w:tc>
          <w:tcPr>
            <w:tcW w:w="0" w:type="dxa"/>
            <w:vAlign w:val="bottom"/>
          </w:tcPr>
          <w:p>
            <w:pPr>
              <w:spacing w:after="0"/>
              <w:rPr>
                <w:sz w:val="1"/>
                <w:szCs w:val="1"/>
                <w:color w:val="auto"/>
              </w:rPr>
            </w:pPr>
          </w:p>
        </w:tc>
      </w:tr>
      <w:tr>
        <w:trPr>
          <w:trHeight w:val="195"/>
        </w:trPr>
        <w:tc>
          <w:tcPr>
            <w:tcW w:w="5820" w:type="dxa"/>
            <w:vAlign w:val="bottom"/>
            <w:gridSpan w:val="2"/>
          </w:tcPr>
          <w:p>
            <w:pPr>
              <w:spacing w:after="0" w:line="195" w:lineRule="exact"/>
              <w:rPr>
                <w:sz w:val="20"/>
                <w:szCs w:val="20"/>
                <w:color w:val="auto"/>
              </w:rPr>
            </w:pPr>
            <w:r>
              <w:rPr>
                <w:rFonts w:ascii="Arial" w:cs="Arial" w:eastAsia="Arial" w:hAnsi="Arial"/>
                <w:sz w:val="18"/>
                <w:szCs w:val="18"/>
                <w:color w:val="auto"/>
              </w:rPr>
              <w:t>Operating income/(loss) before reconciling items</w:t>
            </w:r>
          </w:p>
        </w:tc>
        <w:tc>
          <w:tcPr>
            <w:tcW w:w="2000" w:type="dxa"/>
            <w:vAlign w:val="bottom"/>
          </w:tcPr>
          <w:p>
            <w:pPr>
              <w:jc w:val="right"/>
              <w:ind w:right="230"/>
              <w:spacing w:after="0" w:line="195" w:lineRule="exact"/>
              <w:rPr>
                <w:sz w:val="20"/>
                <w:szCs w:val="20"/>
                <w:color w:val="auto"/>
              </w:rPr>
            </w:pPr>
            <w:r>
              <w:rPr>
                <w:rFonts w:ascii="Arial" w:cs="Arial" w:eastAsia="Arial" w:hAnsi="Arial"/>
                <w:sz w:val="18"/>
                <w:szCs w:val="18"/>
                <w:b w:val="1"/>
                <w:bCs w:val="1"/>
                <w:color w:val="auto"/>
              </w:rPr>
              <w:t>52,091</w:t>
            </w:r>
          </w:p>
        </w:tc>
        <w:tc>
          <w:tcPr>
            <w:tcW w:w="1340" w:type="dxa"/>
            <w:vAlign w:val="bottom"/>
          </w:tcPr>
          <w:p>
            <w:pPr>
              <w:jc w:val="right"/>
              <w:ind w:right="170"/>
              <w:spacing w:after="0" w:line="195" w:lineRule="exact"/>
              <w:rPr>
                <w:sz w:val="20"/>
                <w:szCs w:val="20"/>
                <w:color w:val="auto"/>
              </w:rPr>
            </w:pPr>
            <w:r>
              <w:rPr>
                <w:rFonts w:ascii="Arial" w:cs="Arial" w:eastAsia="Arial" w:hAnsi="Arial"/>
                <w:sz w:val="18"/>
                <w:szCs w:val="18"/>
                <w:color w:val="auto"/>
              </w:rPr>
              <w:t>(44,136)</w:t>
            </w:r>
          </w:p>
        </w:tc>
        <w:tc>
          <w:tcPr>
            <w:tcW w:w="1100" w:type="dxa"/>
            <w:vAlign w:val="bottom"/>
          </w:tcPr>
          <w:p>
            <w:pPr>
              <w:jc w:val="right"/>
              <w:ind w:right="10"/>
              <w:spacing w:after="0" w:line="195" w:lineRule="exact"/>
              <w:rPr>
                <w:sz w:val="20"/>
                <w:szCs w:val="20"/>
                <w:color w:val="auto"/>
              </w:rPr>
            </w:pPr>
            <w:r>
              <w:rPr>
                <w:rFonts w:ascii="Arial" w:cs="Arial" w:eastAsia="Arial" w:hAnsi="Arial"/>
                <w:sz w:val="18"/>
                <w:szCs w:val="18"/>
                <w:color w:val="auto"/>
              </w:rPr>
              <w:t>74,608</w:t>
            </w:r>
          </w:p>
        </w:tc>
        <w:tc>
          <w:tcPr>
            <w:tcW w:w="0" w:type="dxa"/>
            <w:vAlign w:val="bottom"/>
          </w:tcPr>
          <w:p>
            <w:pPr>
              <w:spacing w:after="0"/>
              <w:rPr>
                <w:sz w:val="1"/>
                <w:szCs w:val="1"/>
                <w:color w:val="auto"/>
              </w:rPr>
            </w:pPr>
          </w:p>
        </w:tc>
      </w:tr>
      <w:tr>
        <w:trPr>
          <w:trHeight w:val="203"/>
        </w:trPr>
        <w:tc>
          <w:tcPr>
            <w:tcW w:w="5820" w:type="dxa"/>
            <w:vAlign w:val="bottom"/>
            <w:gridSpan w:val="2"/>
          </w:tcPr>
          <w:p>
            <w:pPr>
              <w:spacing w:after="0" w:line="202" w:lineRule="exact"/>
              <w:rPr>
                <w:sz w:val="20"/>
                <w:szCs w:val="20"/>
                <w:color w:val="auto"/>
              </w:rPr>
            </w:pPr>
            <w:r>
              <w:rPr>
                <w:rFonts w:ascii="Arial" w:cs="Arial" w:eastAsia="Arial" w:hAnsi="Arial"/>
                <w:sz w:val="18"/>
                <w:szCs w:val="18"/>
                <w:color w:val="auto"/>
              </w:rPr>
              <w:t>Reconciling items:</w:t>
            </w:r>
          </w:p>
        </w:tc>
        <w:tc>
          <w:tcPr>
            <w:tcW w:w="200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(1,468)</w:t>
            </w:r>
          </w:p>
        </w:tc>
        <w:tc>
          <w:tcPr>
            <w:tcW w:w="1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800" w:type="dxa"/>
            <w:vAlign w:val="bottom"/>
          </w:tcPr>
          <w:p>
            <w:pPr>
              <w:ind w:left="180"/>
              <w:spacing w:after="0" w:line="181" w:lineRule="exact"/>
              <w:rPr>
                <w:sz w:val="20"/>
                <w:szCs w:val="20"/>
                <w:color w:val="auto"/>
              </w:rPr>
            </w:pPr>
            <w:r>
              <w:rPr>
                <w:rFonts w:ascii="Arial" w:cs="Arial" w:eastAsia="Arial" w:hAnsi="Arial"/>
                <w:sz w:val="18"/>
                <w:szCs w:val="18"/>
                <w:color w:val="auto"/>
              </w:rPr>
              <w:t>Interest income</w:t>
            </w:r>
          </w:p>
        </w:tc>
        <w:tc>
          <w:tcPr>
            <w:tcW w:w="2000" w:type="dxa"/>
            <w:vAlign w:val="bottom"/>
            <w:vMerge w:val="continue"/>
          </w:tcPr>
          <w:p>
            <w:pPr>
              <w:spacing w:after="0"/>
              <w:rPr>
                <w:sz w:val="15"/>
                <w:szCs w:val="15"/>
                <w:color w:val="auto"/>
              </w:rPr>
            </w:pPr>
          </w:p>
        </w:tc>
        <w:tc>
          <w:tcPr>
            <w:tcW w:w="1340" w:type="dxa"/>
            <w:vAlign w:val="bottom"/>
          </w:tcPr>
          <w:p>
            <w:pPr>
              <w:jc w:val="right"/>
              <w:ind w:right="170"/>
              <w:spacing w:after="0" w:line="181" w:lineRule="exact"/>
              <w:rPr>
                <w:sz w:val="20"/>
                <w:szCs w:val="20"/>
                <w:color w:val="auto"/>
              </w:rPr>
            </w:pPr>
            <w:r>
              <w:rPr>
                <w:rFonts w:ascii="Arial" w:cs="Arial" w:eastAsia="Arial" w:hAnsi="Arial"/>
                <w:sz w:val="18"/>
                <w:szCs w:val="18"/>
                <w:color w:val="auto"/>
              </w:rPr>
              <w:t>(1,517)</w:t>
            </w:r>
          </w:p>
        </w:tc>
        <w:tc>
          <w:tcPr>
            <w:tcW w:w="1100" w:type="dxa"/>
            <w:vAlign w:val="bottom"/>
          </w:tcPr>
          <w:p>
            <w:pPr>
              <w:jc w:val="right"/>
              <w:spacing w:after="0" w:line="181" w:lineRule="exact"/>
              <w:rPr>
                <w:sz w:val="20"/>
                <w:szCs w:val="20"/>
                <w:color w:val="auto"/>
              </w:rPr>
            </w:pPr>
            <w:r>
              <w:rPr>
                <w:rFonts w:ascii="Arial" w:cs="Arial" w:eastAsia="Arial" w:hAnsi="Arial"/>
                <w:sz w:val="18"/>
                <w:szCs w:val="18"/>
                <w:color w:val="auto"/>
              </w:rPr>
              <w:t>(2,027)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ind w:left="180"/>
              <w:spacing w:after="0" w:line="202" w:lineRule="exact"/>
              <w:rPr>
                <w:sz w:val="20"/>
                <w:szCs w:val="20"/>
                <w:color w:val="auto"/>
              </w:rPr>
            </w:pPr>
            <w:r>
              <w:rPr>
                <w:rFonts w:ascii="Arial" w:cs="Arial" w:eastAsia="Arial" w:hAnsi="Arial"/>
                <w:sz w:val="18"/>
                <w:szCs w:val="18"/>
                <w:color w:val="auto"/>
              </w:rPr>
              <w:t>Interest expense</w:t>
            </w:r>
          </w:p>
        </w:tc>
        <w:tc>
          <w:tcPr>
            <w:tcW w:w="200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15,227</w:t>
            </w:r>
          </w:p>
        </w:tc>
        <w:tc>
          <w:tcPr>
            <w:tcW w:w="134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18,118</w:t>
            </w:r>
          </w:p>
        </w:tc>
        <w:tc>
          <w:tcPr>
            <w:tcW w:w="11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20,148</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8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Other expense/ (income), net</w:t>
            </w:r>
          </w:p>
        </w:tc>
        <w:tc>
          <w:tcPr>
            <w:tcW w:w="2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7,256</w:t>
            </w:r>
          </w:p>
        </w:tc>
        <w:tc>
          <w:tcPr>
            <w:tcW w:w="13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7,629</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2,639</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58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Income/(loss) from continuing operations before income taxes</w:t>
            </w:r>
          </w:p>
        </w:tc>
        <w:tc>
          <w:tcPr>
            <w:tcW w:w="200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$31,076</w:t>
            </w:r>
          </w:p>
        </w:tc>
        <w:tc>
          <w:tcPr>
            <w:tcW w:w="134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($68,366)</w:t>
            </w:r>
          </w:p>
        </w:tc>
        <w:tc>
          <w:tcPr>
            <w:tcW w:w="11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$53,848</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431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57" w:name="page58"/>
    <w:bookmarkEnd w:id="57"/>
    <w:p>
      <w:pPr>
        <w:ind w:left="660"/>
        <w:spacing w:after="0"/>
        <w:rPr>
          <w:sz w:val="20"/>
          <w:szCs w:val="20"/>
          <w:color w:val="auto"/>
        </w:rPr>
      </w:pPr>
      <w:r>
        <w:rPr>
          <w:rFonts w:ascii="Arial" w:cs="Arial" w:eastAsia="Arial" w:hAnsi="Arial"/>
          <w:sz w:val="18"/>
          <w:szCs w:val="18"/>
          <w:color w:val="auto"/>
        </w:rPr>
        <w:t>The table below presents pension settlement and restructuring costs by reportable segment (also see Note 6):</w:t>
      </w:r>
    </w:p>
    <w:p>
      <w:pPr>
        <w:spacing w:after="0" w:line="149" w:lineRule="exact"/>
        <w:rPr>
          <w:sz w:val="20"/>
          <w:szCs w:val="20"/>
          <w:color w:val="auto"/>
        </w:rPr>
      </w:pPr>
    </w:p>
    <w:tbl>
      <w:tblPr>
        <w:tblLayout w:type="fixed"/>
        <w:tblInd w:w="660" w:type="dxa"/>
        <w:tblCellMar>
          <w:top w:w="0" w:type="dxa"/>
          <w:left w:w="0" w:type="dxa"/>
          <w:bottom w:w="0" w:type="dxa"/>
          <w:right w:w="0" w:type="dxa"/>
        </w:tblCellMar>
      </w:tblPr>
      <w:tr>
        <w:trPr>
          <w:trHeight w:val="225"/>
        </w:trPr>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34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2013</w:t>
            </w: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2012</w:t>
            </w: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195"/>
        </w:trPr>
        <w:tc>
          <w:tcPr>
            <w:tcW w:w="4340" w:type="dxa"/>
            <w:vAlign w:val="bottom"/>
          </w:tcPr>
          <w:p>
            <w:pPr>
              <w:spacing w:after="0" w:line="195" w:lineRule="exact"/>
              <w:rPr>
                <w:sz w:val="20"/>
                <w:szCs w:val="20"/>
                <w:color w:val="auto"/>
              </w:rPr>
            </w:pPr>
            <w:r>
              <w:rPr>
                <w:rFonts w:ascii="Arial" w:cs="Arial" w:eastAsia="Arial" w:hAnsi="Arial"/>
                <w:sz w:val="18"/>
                <w:szCs w:val="18"/>
                <w:b w:val="1"/>
                <w:bCs w:val="1"/>
                <w:color w:val="auto"/>
              </w:rPr>
              <w:t>Pension settlement</w:t>
            </w:r>
          </w:p>
        </w:tc>
        <w:tc>
          <w:tcPr>
            <w:tcW w:w="346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 -</w:t>
            </w:r>
          </w:p>
        </w:tc>
        <w:tc>
          <w:tcPr>
            <w:tcW w:w="1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3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Unallocated expenses</w:t>
            </w:r>
          </w:p>
        </w:tc>
        <w:tc>
          <w:tcPr>
            <w:tcW w:w="3460" w:type="dxa"/>
            <w:vAlign w:val="bottom"/>
            <w:tcBorders>
              <w:bottom w:val="single" w:sz="8" w:color="auto"/>
            </w:tcBorders>
            <w:vMerge w:val="continue"/>
          </w:tcPr>
          <w:p>
            <w:pPr>
              <w:spacing w:after="0"/>
              <w:rPr>
                <w:sz w:val="17"/>
                <w:szCs w:val="17"/>
                <w:color w:val="auto"/>
              </w:rPr>
            </w:pPr>
          </w:p>
        </w:tc>
        <w:tc>
          <w:tcPr>
            <w:tcW w:w="136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rPr>
              <w:t>$119,735</w:t>
            </w:r>
          </w:p>
        </w:tc>
        <w:tc>
          <w:tcPr>
            <w:tcW w:w="11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398"/>
        </w:trPr>
        <w:tc>
          <w:tcPr>
            <w:tcW w:w="4340" w:type="dxa"/>
            <w:vAlign w:val="bottom"/>
          </w:tcPr>
          <w:p>
            <w:pPr>
              <w:spacing w:after="0"/>
              <w:rPr>
                <w:sz w:val="20"/>
                <w:szCs w:val="20"/>
                <w:color w:val="auto"/>
              </w:rPr>
            </w:pPr>
            <w:r>
              <w:rPr>
                <w:rFonts w:ascii="Arial" w:cs="Arial" w:eastAsia="Arial" w:hAnsi="Arial"/>
                <w:sz w:val="18"/>
                <w:szCs w:val="18"/>
                <w:b w:val="1"/>
                <w:bCs w:val="1"/>
                <w:color w:val="auto"/>
              </w:rPr>
              <w:t>Restructuring expense</w:t>
            </w:r>
          </w:p>
        </w:tc>
        <w:tc>
          <w:tcPr>
            <w:tcW w:w="346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$24,568</w:t>
            </w:r>
          </w:p>
        </w:tc>
        <w:tc>
          <w:tcPr>
            <w:tcW w:w="1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4340" w:type="dxa"/>
            <w:vAlign w:val="bottom"/>
          </w:tcPr>
          <w:p>
            <w:pPr>
              <w:spacing w:after="0" w:line="181" w:lineRule="exact"/>
              <w:rPr>
                <w:sz w:val="20"/>
                <w:szCs w:val="20"/>
                <w:color w:val="auto"/>
              </w:rPr>
            </w:pPr>
            <w:r>
              <w:rPr>
                <w:rFonts w:ascii="Arial" w:cs="Arial" w:eastAsia="Arial" w:hAnsi="Arial"/>
                <w:sz w:val="18"/>
                <w:szCs w:val="18"/>
                <w:color w:val="auto"/>
              </w:rPr>
              <w:t>Machine Clothing</w:t>
            </w:r>
          </w:p>
        </w:tc>
        <w:tc>
          <w:tcPr>
            <w:tcW w:w="3460" w:type="dxa"/>
            <w:vAlign w:val="bottom"/>
            <w:vMerge w:val="continue"/>
          </w:tcPr>
          <w:p>
            <w:pPr>
              <w:spacing w:after="0"/>
              <w:rPr>
                <w:sz w:val="15"/>
                <w:szCs w:val="15"/>
                <w:color w:val="auto"/>
              </w:rPr>
            </w:pPr>
          </w:p>
        </w:tc>
        <w:tc>
          <w:tcPr>
            <w:tcW w:w="1360" w:type="dxa"/>
            <w:vAlign w:val="bottom"/>
          </w:tcPr>
          <w:p>
            <w:pPr>
              <w:jc w:val="right"/>
              <w:ind w:right="230"/>
              <w:spacing w:after="0" w:line="181" w:lineRule="exact"/>
              <w:rPr>
                <w:sz w:val="20"/>
                <w:szCs w:val="20"/>
                <w:color w:val="auto"/>
              </w:rPr>
            </w:pPr>
            <w:r>
              <w:rPr>
                <w:rFonts w:ascii="Arial" w:cs="Arial" w:eastAsia="Arial" w:hAnsi="Arial"/>
                <w:sz w:val="18"/>
                <w:szCs w:val="18"/>
                <w:color w:val="auto"/>
              </w:rPr>
              <w:t>$7,386</w:t>
            </w:r>
          </w:p>
        </w:tc>
        <w:tc>
          <w:tcPr>
            <w:tcW w:w="1100" w:type="dxa"/>
            <w:vAlign w:val="bottom"/>
          </w:tcPr>
          <w:p>
            <w:pPr>
              <w:jc w:val="right"/>
              <w:ind w:right="10"/>
              <w:spacing w:after="0" w:line="181" w:lineRule="exact"/>
              <w:rPr>
                <w:sz w:val="20"/>
                <w:szCs w:val="20"/>
                <w:color w:val="auto"/>
              </w:rPr>
            </w:pPr>
            <w:r>
              <w:rPr>
                <w:rFonts w:ascii="Arial" w:cs="Arial" w:eastAsia="Arial" w:hAnsi="Arial"/>
                <w:sz w:val="18"/>
                <w:szCs w:val="18"/>
                <w:color w:val="auto"/>
              </w:rPr>
              <w:t>$5,680</w:t>
            </w:r>
          </w:p>
        </w:tc>
        <w:tc>
          <w:tcPr>
            <w:tcW w:w="0" w:type="dxa"/>
            <w:vAlign w:val="bottom"/>
          </w:tcPr>
          <w:p>
            <w:pPr>
              <w:spacing w:after="0"/>
              <w:rPr>
                <w:sz w:val="1"/>
                <w:szCs w:val="1"/>
                <w:color w:val="auto"/>
              </w:rPr>
            </w:pPr>
          </w:p>
        </w:tc>
      </w:tr>
      <w:tr>
        <w:trPr>
          <w:trHeight w:val="203"/>
        </w:trPr>
        <w:tc>
          <w:tcPr>
            <w:tcW w:w="4340" w:type="dxa"/>
            <w:vAlign w:val="bottom"/>
          </w:tcPr>
          <w:p>
            <w:pPr>
              <w:spacing w:after="0" w:line="202" w:lineRule="exact"/>
              <w:rPr>
                <w:sz w:val="20"/>
                <w:szCs w:val="20"/>
                <w:color w:val="auto"/>
              </w:rPr>
            </w:pPr>
            <w:r>
              <w:rPr>
                <w:rFonts w:ascii="Arial" w:cs="Arial" w:eastAsia="Arial" w:hAnsi="Arial"/>
                <w:sz w:val="18"/>
                <w:szCs w:val="18"/>
                <w:color w:val="auto"/>
              </w:rPr>
              <w:t>Engineered Composites</w:t>
            </w:r>
          </w:p>
        </w:tc>
        <w:tc>
          <w:tcPr>
            <w:tcW w:w="346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540</w:t>
            </w:r>
          </w:p>
        </w:tc>
        <w:tc>
          <w:tcPr>
            <w:tcW w:w="13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5"/>
        </w:trPr>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Unallocated expenses</w:t>
            </w:r>
          </w:p>
        </w:tc>
        <w:tc>
          <w:tcPr>
            <w:tcW w:w="34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(325)</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3,580</w:t>
            </w:r>
          </w:p>
        </w:tc>
        <w:tc>
          <w:tcPr>
            <w:tcW w:w="0" w:type="dxa"/>
            <w:vAlign w:val="bottom"/>
          </w:tcPr>
          <w:p>
            <w:pPr>
              <w:spacing w:after="0"/>
              <w:rPr>
                <w:sz w:val="1"/>
                <w:szCs w:val="1"/>
                <w:color w:val="auto"/>
              </w:rPr>
            </w:pPr>
          </w:p>
        </w:tc>
      </w:tr>
      <w:tr>
        <w:trPr>
          <w:trHeight w:val="196"/>
        </w:trPr>
        <w:tc>
          <w:tcPr>
            <w:tcW w:w="43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Consolidated total</w:t>
            </w:r>
          </w:p>
        </w:tc>
        <w:tc>
          <w:tcPr>
            <w:tcW w:w="346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auto"/>
              </w:rPr>
              <w:t>$25,108</w:t>
            </w:r>
          </w:p>
        </w:tc>
        <w:tc>
          <w:tcPr>
            <w:tcW w:w="136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$7,061</w:t>
            </w:r>
          </w:p>
        </w:tc>
        <w:tc>
          <w:tcPr>
            <w:tcW w:w="11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$9,317</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60" w:firstLine="648"/>
        <w:spacing w:after="0"/>
        <w:rPr>
          <w:sz w:val="20"/>
          <w:szCs w:val="20"/>
          <w:color w:val="auto"/>
        </w:rPr>
      </w:pPr>
      <w:r>
        <w:rPr>
          <w:rFonts w:ascii="Arial" w:cs="Arial" w:eastAsia="Arial" w:hAnsi="Arial"/>
          <w:sz w:val="18"/>
          <w:szCs w:val="18"/>
          <w:color w:val="auto"/>
        </w:rPr>
        <w:t>In the measurement of assets utilized by each reportable segment, we include accounts receivable, inventories, net property, plant and equipment, intangibles and goodwill. Excluded from segment assets are cash, tax related assets, prepaid and other current assets, other assets, and assets from discontinued businesses. The following table presents assets and capital expenditures by reportable segment:</w:t>
      </w:r>
    </w:p>
    <w:p>
      <w:pPr>
        <w:spacing w:after="0" w:line="157"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0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238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2013</w:t>
            </w:r>
          </w:p>
        </w:tc>
        <w:tc>
          <w:tcPr>
            <w:tcW w:w="154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2012</w:t>
            </w:r>
          </w:p>
        </w:tc>
        <w:tc>
          <w:tcPr>
            <w:tcW w:w="13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195"/>
        </w:trPr>
        <w:tc>
          <w:tcPr>
            <w:tcW w:w="504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Segment assets</w:t>
            </w:r>
          </w:p>
        </w:tc>
        <w:tc>
          <w:tcPr>
            <w:tcW w:w="238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$624,388</w:t>
            </w:r>
          </w:p>
        </w:tc>
        <w:tc>
          <w:tcPr>
            <w:tcW w:w="15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040" w:type="dxa"/>
            <w:vAlign w:val="bottom"/>
            <w:gridSpan w:val="2"/>
          </w:tcPr>
          <w:p>
            <w:pPr>
              <w:spacing w:after="0" w:line="181" w:lineRule="exact"/>
              <w:rPr>
                <w:sz w:val="20"/>
                <w:szCs w:val="20"/>
                <w:color w:val="auto"/>
              </w:rPr>
            </w:pPr>
            <w:r>
              <w:rPr>
                <w:rFonts w:ascii="Arial" w:cs="Arial" w:eastAsia="Arial" w:hAnsi="Arial"/>
                <w:sz w:val="18"/>
                <w:szCs w:val="18"/>
                <w:color w:val="auto"/>
              </w:rPr>
              <w:t>Machine Clothing</w:t>
            </w:r>
          </w:p>
        </w:tc>
        <w:tc>
          <w:tcPr>
            <w:tcW w:w="2380" w:type="dxa"/>
            <w:vAlign w:val="bottom"/>
            <w:vMerge w:val="continue"/>
          </w:tcPr>
          <w:p>
            <w:pPr>
              <w:spacing w:after="0"/>
              <w:rPr>
                <w:sz w:val="15"/>
                <w:szCs w:val="15"/>
                <w:color w:val="auto"/>
              </w:rPr>
            </w:pPr>
          </w:p>
        </w:tc>
        <w:tc>
          <w:tcPr>
            <w:tcW w:w="1540" w:type="dxa"/>
            <w:vAlign w:val="bottom"/>
          </w:tcPr>
          <w:p>
            <w:pPr>
              <w:jc w:val="right"/>
              <w:ind w:right="230"/>
              <w:spacing w:after="0" w:line="181" w:lineRule="exact"/>
              <w:rPr>
                <w:sz w:val="20"/>
                <w:szCs w:val="20"/>
                <w:color w:val="auto"/>
              </w:rPr>
            </w:pPr>
            <w:r>
              <w:rPr>
                <w:rFonts w:ascii="Arial" w:cs="Arial" w:eastAsia="Arial" w:hAnsi="Arial"/>
                <w:sz w:val="18"/>
                <w:szCs w:val="18"/>
                <w:color w:val="auto"/>
              </w:rPr>
              <w:t>$660,595</w:t>
            </w:r>
          </w:p>
        </w:tc>
        <w:tc>
          <w:tcPr>
            <w:tcW w:w="1300" w:type="dxa"/>
            <w:vAlign w:val="bottom"/>
          </w:tcPr>
          <w:p>
            <w:pPr>
              <w:jc w:val="right"/>
              <w:spacing w:after="0" w:line="181" w:lineRule="exact"/>
              <w:rPr>
                <w:sz w:val="20"/>
                <w:szCs w:val="20"/>
                <w:color w:val="auto"/>
              </w:rPr>
            </w:pPr>
            <w:r>
              <w:rPr>
                <w:rFonts w:ascii="Arial" w:cs="Arial" w:eastAsia="Arial" w:hAnsi="Arial"/>
                <w:sz w:val="18"/>
                <w:szCs w:val="18"/>
                <w:color w:val="auto"/>
              </w:rPr>
              <w:t>$713,142</w:t>
            </w:r>
          </w:p>
        </w:tc>
        <w:tc>
          <w:tcPr>
            <w:tcW w:w="0" w:type="dxa"/>
            <w:vAlign w:val="bottom"/>
          </w:tcPr>
          <w:p>
            <w:pPr>
              <w:spacing w:after="0"/>
              <w:rPr>
                <w:sz w:val="1"/>
                <w:szCs w:val="1"/>
                <w:color w:val="auto"/>
              </w:rPr>
            </w:pPr>
          </w:p>
        </w:tc>
      </w:tr>
      <w:tr>
        <w:trPr>
          <w:trHeight w:val="225"/>
        </w:trPr>
        <w:tc>
          <w:tcPr>
            <w:tcW w:w="5040" w:type="dxa"/>
            <w:vAlign w:val="bottom"/>
            <w:gridSpan w:val="2"/>
          </w:tcPr>
          <w:p>
            <w:pPr>
              <w:spacing w:after="0"/>
              <w:rPr>
                <w:sz w:val="20"/>
                <w:szCs w:val="20"/>
                <w:color w:val="auto"/>
              </w:rPr>
            </w:pPr>
            <w:r>
              <w:rPr>
                <w:rFonts w:ascii="Arial" w:cs="Arial" w:eastAsia="Arial" w:hAnsi="Arial"/>
                <w:sz w:val="18"/>
                <w:szCs w:val="18"/>
                <w:color w:val="auto"/>
              </w:rPr>
              <w:t>Engineered Composites</w:t>
            </w:r>
          </w:p>
        </w:tc>
        <w:tc>
          <w:tcPr>
            <w:tcW w:w="2380" w:type="dxa"/>
            <w:vAlign w:val="bottom"/>
          </w:tcPr>
          <w:p>
            <w:pPr>
              <w:jc w:val="right"/>
              <w:ind w:right="230"/>
              <w:spacing w:after="0"/>
              <w:rPr>
                <w:sz w:val="20"/>
                <w:szCs w:val="20"/>
                <w:color w:val="auto"/>
              </w:rPr>
            </w:pPr>
            <w:r>
              <w:rPr>
                <w:rFonts w:ascii="Arial" w:cs="Arial" w:eastAsia="Arial" w:hAnsi="Arial"/>
                <w:sz w:val="18"/>
                <w:szCs w:val="18"/>
                <w:b w:val="1"/>
                <w:bCs w:val="1"/>
                <w:color w:val="auto"/>
              </w:rPr>
              <w:t>147,104</w:t>
            </w:r>
          </w:p>
        </w:tc>
        <w:tc>
          <w:tcPr>
            <w:tcW w:w="1540" w:type="dxa"/>
            <w:vAlign w:val="bottom"/>
          </w:tcPr>
          <w:p>
            <w:pPr>
              <w:jc w:val="right"/>
              <w:ind w:right="230"/>
              <w:spacing w:after="0"/>
              <w:rPr>
                <w:sz w:val="20"/>
                <w:szCs w:val="20"/>
                <w:color w:val="auto"/>
              </w:rPr>
            </w:pPr>
            <w:r>
              <w:rPr>
                <w:rFonts w:ascii="Arial" w:cs="Arial" w:eastAsia="Arial" w:hAnsi="Arial"/>
                <w:sz w:val="18"/>
                <w:szCs w:val="18"/>
                <w:color w:val="auto"/>
              </w:rPr>
              <w:t>109,717</w:t>
            </w:r>
          </w:p>
        </w:tc>
        <w:tc>
          <w:tcPr>
            <w:tcW w:w="1300" w:type="dxa"/>
            <w:vAlign w:val="bottom"/>
          </w:tcPr>
          <w:p>
            <w:pPr>
              <w:jc w:val="right"/>
              <w:spacing w:after="0"/>
              <w:rPr>
                <w:sz w:val="20"/>
                <w:szCs w:val="20"/>
                <w:color w:val="auto"/>
              </w:rPr>
            </w:pPr>
            <w:r>
              <w:rPr>
                <w:rFonts w:ascii="Arial" w:cs="Arial" w:eastAsia="Arial" w:hAnsi="Arial"/>
                <w:sz w:val="18"/>
                <w:szCs w:val="18"/>
                <w:color w:val="auto"/>
              </w:rPr>
              <w:t>80,916</w:t>
            </w:r>
          </w:p>
        </w:tc>
        <w:tc>
          <w:tcPr>
            <w:tcW w:w="0" w:type="dxa"/>
            <w:vAlign w:val="bottom"/>
          </w:tcPr>
          <w:p>
            <w:pPr>
              <w:spacing w:after="0"/>
              <w:rPr>
                <w:sz w:val="1"/>
                <w:szCs w:val="1"/>
                <w:color w:val="auto"/>
              </w:rPr>
            </w:pPr>
          </w:p>
        </w:tc>
      </w:tr>
      <w:tr>
        <w:trPr>
          <w:trHeight w:val="203"/>
        </w:trPr>
        <w:tc>
          <w:tcPr>
            <w:tcW w:w="5040" w:type="dxa"/>
            <w:vAlign w:val="bottom"/>
            <w:gridSpan w:val="2"/>
          </w:tcPr>
          <w:p>
            <w:pPr>
              <w:spacing w:after="0" w:line="202" w:lineRule="exact"/>
              <w:rPr>
                <w:sz w:val="20"/>
                <w:szCs w:val="20"/>
                <w:color w:val="auto"/>
              </w:rPr>
            </w:pPr>
            <w:r>
              <w:rPr>
                <w:rFonts w:ascii="Arial" w:cs="Arial" w:eastAsia="Arial" w:hAnsi="Arial"/>
                <w:sz w:val="18"/>
                <w:szCs w:val="18"/>
                <w:color w:val="auto"/>
              </w:rPr>
              <w:t>Reconciling items:</w:t>
            </w:r>
          </w:p>
        </w:tc>
        <w:tc>
          <w:tcPr>
            <w:tcW w:w="238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222,666</w:t>
            </w:r>
          </w:p>
        </w:tc>
        <w:tc>
          <w:tcPr>
            <w:tcW w:w="15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20" w:type="dxa"/>
            <w:vAlign w:val="bottom"/>
          </w:tcPr>
          <w:p>
            <w:pPr>
              <w:ind w:left="140"/>
              <w:spacing w:after="0" w:line="181" w:lineRule="exact"/>
              <w:rPr>
                <w:sz w:val="20"/>
                <w:szCs w:val="20"/>
                <w:color w:val="auto"/>
              </w:rPr>
            </w:pPr>
            <w:r>
              <w:rPr>
                <w:rFonts w:ascii="Arial" w:cs="Arial" w:eastAsia="Arial" w:hAnsi="Arial"/>
                <w:sz w:val="18"/>
                <w:szCs w:val="18"/>
                <w:color w:val="auto"/>
              </w:rPr>
              <w:t>Cash</w:t>
            </w:r>
          </w:p>
        </w:tc>
        <w:tc>
          <w:tcPr>
            <w:tcW w:w="2380" w:type="dxa"/>
            <w:vAlign w:val="bottom"/>
            <w:vMerge w:val="continue"/>
          </w:tcPr>
          <w:p>
            <w:pPr>
              <w:spacing w:after="0"/>
              <w:rPr>
                <w:sz w:val="15"/>
                <w:szCs w:val="15"/>
                <w:color w:val="auto"/>
              </w:rPr>
            </w:pPr>
          </w:p>
        </w:tc>
        <w:tc>
          <w:tcPr>
            <w:tcW w:w="1540" w:type="dxa"/>
            <w:vAlign w:val="bottom"/>
          </w:tcPr>
          <w:p>
            <w:pPr>
              <w:jc w:val="right"/>
              <w:ind w:right="230"/>
              <w:spacing w:after="0" w:line="181" w:lineRule="exact"/>
              <w:rPr>
                <w:sz w:val="20"/>
                <w:szCs w:val="20"/>
                <w:color w:val="auto"/>
              </w:rPr>
            </w:pPr>
            <w:r>
              <w:rPr>
                <w:rFonts w:ascii="Arial" w:cs="Arial" w:eastAsia="Arial" w:hAnsi="Arial"/>
                <w:sz w:val="18"/>
                <w:szCs w:val="18"/>
                <w:color w:val="auto"/>
              </w:rPr>
              <w:t>190,718</w:t>
            </w:r>
          </w:p>
        </w:tc>
        <w:tc>
          <w:tcPr>
            <w:tcW w:w="1300" w:type="dxa"/>
            <w:vAlign w:val="bottom"/>
          </w:tcPr>
          <w:p>
            <w:pPr>
              <w:jc w:val="right"/>
              <w:spacing w:after="0" w:line="181" w:lineRule="exact"/>
              <w:rPr>
                <w:sz w:val="20"/>
                <w:szCs w:val="20"/>
                <w:color w:val="auto"/>
              </w:rPr>
            </w:pPr>
            <w:r>
              <w:rPr>
                <w:rFonts w:ascii="Arial" w:cs="Arial" w:eastAsia="Arial" w:hAnsi="Arial"/>
                <w:sz w:val="18"/>
                <w:szCs w:val="18"/>
                <w:color w:val="auto"/>
              </w:rPr>
              <w:t>118,909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20" w:type="dxa"/>
            <w:vAlign w:val="bottom"/>
          </w:tcPr>
          <w:p>
            <w:pPr>
              <w:ind w:left="140"/>
              <w:spacing w:after="0" w:line="202" w:lineRule="exact"/>
              <w:rPr>
                <w:sz w:val="20"/>
                <w:szCs w:val="20"/>
                <w:color w:val="auto"/>
              </w:rPr>
            </w:pPr>
            <w:r>
              <w:rPr>
                <w:rFonts w:ascii="Arial" w:cs="Arial" w:eastAsia="Arial" w:hAnsi="Arial"/>
                <w:sz w:val="18"/>
                <w:szCs w:val="18"/>
                <w:color w:val="auto"/>
              </w:rPr>
              <w:t>Income taxes receivable and deferred</w:t>
            </w:r>
          </w:p>
        </w:tc>
        <w:tc>
          <w:tcPr>
            <w:tcW w:w="238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133,485</w:t>
            </w:r>
          </w:p>
        </w:tc>
        <w:tc>
          <w:tcPr>
            <w:tcW w:w="154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144,480</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164,654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20" w:type="dxa"/>
            <w:vAlign w:val="bottom"/>
          </w:tcPr>
          <w:p>
            <w:pPr>
              <w:ind w:left="140"/>
              <w:spacing w:after="0" w:line="202" w:lineRule="exact"/>
              <w:rPr>
                <w:sz w:val="20"/>
                <w:szCs w:val="20"/>
                <w:color w:val="auto"/>
              </w:rPr>
            </w:pPr>
            <w:r>
              <w:rPr>
                <w:rFonts w:ascii="Arial" w:cs="Arial" w:eastAsia="Arial" w:hAnsi="Arial"/>
                <w:sz w:val="18"/>
                <w:szCs w:val="18"/>
                <w:color w:val="auto"/>
              </w:rPr>
              <w:t>Other assets</w:t>
            </w:r>
          </w:p>
        </w:tc>
        <w:tc>
          <w:tcPr>
            <w:tcW w:w="238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39,245</w:t>
            </w:r>
          </w:p>
        </w:tc>
        <w:tc>
          <w:tcPr>
            <w:tcW w:w="154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51,187</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34,670</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0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Assets of discontinued operations</w:t>
            </w:r>
          </w:p>
        </w:tc>
        <w:tc>
          <w:tcPr>
            <w:tcW w:w="23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15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118,637</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50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Consolidated total assets</w:t>
            </w:r>
          </w:p>
        </w:tc>
        <w:tc>
          <w:tcPr>
            <w:tcW w:w="238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$1,166,888</w:t>
            </w:r>
          </w:p>
        </w:tc>
        <w:tc>
          <w:tcPr>
            <w:tcW w:w="154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$1,156,697</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$1,230,928</w:t>
            </w:r>
          </w:p>
        </w:tc>
        <w:tc>
          <w:tcPr>
            <w:tcW w:w="0" w:type="dxa"/>
            <w:vAlign w:val="bottom"/>
          </w:tcPr>
          <w:p>
            <w:pPr>
              <w:spacing w:after="0"/>
              <w:rPr>
                <w:sz w:val="1"/>
                <w:szCs w:val="1"/>
                <w:color w:val="auto"/>
              </w:rPr>
            </w:pPr>
          </w:p>
        </w:tc>
      </w:tr>
      <w:tr>
        <w:trPr>
          <w:trHeight w:val="195"/>
        </w:trPr>
        <w:tc>
          <w:tcPr>
            <w:tcW w:w="504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Capital expenditures and purchased software</w:t>
            </w:r>
          </w:p>
        </w:tc>
        <w:tc>
          <w:tcPr>
            <w:tcW w:w="238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$14,881</w:t>
            </w:r>
          </w:p>
        </w:tc>
        <w:tc>
          <w:tcPr>
            <w:tcW w:w="15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040" w:type="dxa"/>
            <w:vAlign w:val="bottom"/>
            <w:gridSpan w:val="2"/>
          </w:tcPr>
          <w:p>
            <w:pPr>
              <w:spacing w:after="0" w:line="181" w:lineRule="exact"/>
              <w:rPr>
                <w:sz w:val="20"/>
                <w:szCs w:val="20"/>
                <w:color w:val="auto"/>
              </w:rPr>
            </w:pPr>
            <w:r>
              <w:rPr>
                <w:rFonts w:ascii="Arial" w:cs="Arial" w:eastAsia="Arial" w:hAnsi="Arial"/>
                <w:sz w:val="18"/>
                <w:szCs w:val="18"/>
                <w:color w:val="auto"/>
              </w:rPr>
              <w:t>Machine Clothing</w:t>
            </w:r>
          </w:p>
        </w:tc>
        <w:tc>
          <w:tcPr>
            <w:tcW w:w="2380" w:type="dxa"/>
            <w:vAlign w:val="bottom"/>
            <w:vMerge w:val="continue"/>
          </w:tcPr>
          <w:p>
            <w:pPr>
              <w:spacing w:after="0"/>
              <w:rPr>
                <w:sz w:val="15"/>
                <w:szCs w:val="15"/>
                <w:color w:val="auto"/>
              </w:rPr>
            </w:pPr>
          </w:p>
        </w:tc>
        <w:tc>
          <w:tcPr>
            <w:tcW w:w="1540" w:type="dxa"/>
            <w:vAlign w:val="bottom"/>
          </w:tcPr>
          <w:p>
            <w:pPr>
              <w:jc w:val="right"/>
              <w:ind w:right="230"/>
              <w:spacing w:after="0" w:line="181" w:lineRule="exact"/>
              <w:rPr>
                <w:sz w:val="20"/>
                <w:szCs w:val="20"/>
                <w:color w:val="auto"/>
              </w:rPr>
            </w:pPr>
            <w:r>
              <w:rPr>
                <w:rFonts w:ascii="Arial" w:cs="Arial" w:eastAsia="Arial" w:hAnsi="Arial"/>
                <w:sz w:val="18"/>
                <w:szCs w:val="18"/>
                <w:color w:val="auto"/>
              </w:rPr>
              <w:t>$14,717</w:t>
            </w:r>
          </w:p>
        </w:tc>
        <w:tc>
          <w:tcPr>
            <w:tcW w:w="1300" w:type="dxa"/>
            <w:vAlign w:val="bottom"/>
          </w:tcPr>
          <w:p>
            <w:pPr>
              <w:jc w:val="right"/>
              <w:spacing w:after="0" w:line="181" w:lineRule="exact"/>
              <w:rPr>
                <w:sz w:val="20"/>
                <w:szCs w:val="20"/>
                <w:color w:val="auto"/>
              </w:rPr>
            </w:pPr>
            <w:r>
              <w:rPr>
                <w:rFonts w:ascii="Arial" w:cs="Arial" w:eastAsia="Arial" w:hAnsi="Arial"/>
                <w:sz w:val="18"/>
                <w:szCs w:val="18"/>
                <w:color w:val="auto"/>
              </w:rPr>
              <w:t>$11,141</w:t>
            </w:r>
          </w:p>
        </w:tc>
        <w:tc>
          <w:tcPr>
            <w:tcW w:w="0" w:type="dxa"/>
            <w:vAlign w:val="bottom"/>
          </w:tcPr>
          <w:p>
            <w:pPr>
              <w:spacing w:after="0"/>
              <w:rPr>
                <w:sz w:val="1"/>
                <w:szCs w:val="1"/>
                <w:color w:val="auto"/>
              </w:rPr>
            </w:pPr>
          </w:p>
        </w:tc>
      </w:tr>
      <w:tr>
        <w:trPr>
          <w:trHeight w:val="203"/>
        </w:trPr>
        <w:tc>
          <w:tcPr>
            <w:tcW w:w="5040" w:type="dxa"/>
            <w:vAlign w:val="bottom"/>
            <w:gridSpan w:val="2"/>
          </w:tcPr>
          <w:p>
            <w:pPr>
              <w:spacing w:after="0" w:line="202" w:lineRule="exact"/>
              <w:rPr>
                <w:sz w:val="20"/>
                <w:szCs w:val="20"/>
                <w:color w:val="auto"/>
              </w:rPr>
            </w:pPr>
            <w:r>
              <w:rPr>
                <w:rFonts w:ascii="Arial" w:cs="Arial" w:eastAsia="Arial" w:hAnsi="Arial"/>
                <w:sz w:val="18"/>
                <w:szCs w:val="18"/>
                <w:color w:val="auto"/>
              </w:rPr>
              <w:t>Engineered Composites</w:t>
            </w:r>
          </w:p>
        </w:tc>
        <w:tc>
          <w:tcPr>
            <w:tcW w:w="238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36,928</w:t>
            </w:r>
          </w:p>
        </w:tc>
        <w:tc>
          <w:tcPr>
            <w:tcW w:w="154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18,979</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9,684</w:t>
            </w:r>
          </w:p>
        </w:tc>
        <w:tc>
          <w:tcPr>
            <w:tcW w:w="0" w:type="dxa"/>
            <w:vAlign w:val="bottom"/>
          </w:tcPr>
          <w:p>
            <w:pPr>
              <w:spacing w:after="0"/>
              <w:rPr>
                <w:sz w:val="1"/>
                <w:szCs w:val="1"/>
                <w:color w:val="auto"/>
              </w:rPr>
            </w:pPr>
          </w:p>
        </w:tc>
      </w:tr>
      <w:tr>
        <w:trPr>
          <w:trHeight w:val="203"/>
        </w:trPr>
        <w:tc>
          <w:tcPr>
            <w:tcW w:w="5040" w:type="dxa"/>
            <w:vAlign w:val="bottom"/>
            <w:gridSpan w:val="2"/>
          </w:tcPr>
          <w:p>
            <w:pPr>
              <w:spacing w:after="0" w:line="202" w:lineRule="exact"/>
              <w:rPr>
                <w:sz w:val="20"/>
                <w:szCs w:val="20"/>
                <w:color w:val="auto"/>
              </w:rPr>
            </w:pPr>
            <w:r>
              <w:rPr>
                <w:rFonts w:ascii="Arial" w:cs="Arial" w:eastAsia="Arial" w:hAnsi="Arial"/>
                <w:sz w:val="18"/>
                <w:szCs w:val="18"/>
                <w:color w:val="auto"/>
              </w:rPr>
              <w:t>Research expenses</w:t>
            </w:r>
          </w:p>
        </w:tc>
        <w:tc>
          <w:tcPr>
            <w:tcW w:w="238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8,011</w:t>
            </w:r>
          </w:p>
        </w:tc>
        <w:tc>
          <w:tcPr>
            <w:tcW w:w="154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1,493</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2,052</w:t>
            </w:r>
          </w:p>
        </w:tc>
        <w:tc>
          <w:tcPr>
            <w:tcW w:w="0" w:type="dxa"/>
            <w:vAlign w:val="bottom"/>
          </w:tcPr>
          <w:p>
            <w:pPr>
              <w:spacing w:after="0"/>
              <w:rPr>
                <w:sz w:val="1"/>
                <w:szCs w:val="1"/>
                <w:color w:val="auto"/>
              </w:rPr>
            </w:pPr>
          </w:p>
        </w:tc>
      </w:tr>
      <w:tr>
        <w:trPr>
          <w:trHeight w:val="225"/>
        </w:trPr>
        <w:tc>
          <w:tcPr>
            <w:tcW w:w="5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Unallocated expenses</w:t>
            </w:r>
          </w:p>
        </w:tc>
        <w:tc>
          <w:tcPr>
            <w:tcW w:w="23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4,637</w:t>
            </w:r>
          </w:p>
        </w:tc>
        <w:tc>
          <w:tcPr>
            <w:tcW w:w="15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2,018</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4,551</w:t>
            </w:r>
          </w:p>
        </w:tc>
        <w:tc>
          <w:tcPr>
            <w:tcW w:w="0" w:type="dxa"/>
            <w:vAlign w:val="bottom"/>
          </w:tcPr>
          <w:p>
            <w:pPr>
              <w:spacing w:after="0"/>
              <w:rPr>
                <w:sz w:val="1"/>
                <w:szCs w:val="1"/>
                <w:color w:val="auto"/>
              </w:rPr>
            </w:pPr>
          </w:p>
        </w:tc>
      </w:tr>
      <w:tr>
        <w:trPr>
          <w:trHeight w:val="196"/>
        </w:trPr>
        <w:tc>
          <w:tcPr>
            <w:tcW w:w="504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Consolidated total</w:t>
            </w:r>
          </w:p>
        </w:tc>
        <w:tc>
          <w:tcPr>
            <w:tcW w:w="238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$64,457</w:t>
            </w:r>
          </w:p>
        </w:tc>
        <w:tc>
          <w:tcPr>
            <w:tcW w:w="154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$37,207</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$27,428</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360" w:firstLine="648"/>
        <w:spacing w:after="0" w:line="246" w:lineRule="auto"/>
        <w:rPr>
          <w:sz w:val="20"/>
          <w:szCs w:val="20"/>
          <w:color w:val="auto"/>
        </w:rPr>
      </w:pPr>
      <w:r>
        <w:rPr>
          <w:rFonts w:ascii="Arial" w:cs="Arial" w:eastAsia="Arial" w:hAnsi="Arial"/>
          <w:sz w:val="18"/>
          <w:szCs w:val="18"/>
          <w:color w:val="auto"/>
        </w:rPr>
        <w:t>The decrease in Other assets in the above table includes $16.6 million of receivables related to the sale of discontinued operations which were received during 2013. Capital expenditures in the discontinued operations were $1.3 million in 2011.</w:t>
      </w:r>
    </w:p>
    <w:p>
      <w:pPr>
        <w:spacing w:after="0" w:line="1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431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58" w:name="page59"/>
    <w:bookmarkEnd w:id="58"/>
    <w:p>
      <w:pPr>
        <w:ind w:right="120" w:firstLine="648"/>
        <w:spacing w:after="0" w:line="246" w:lineRule="auto"/>
        <w:rPr>
          <w:sz w:val="20"/>
          <w:szCs w:val="20"/>
          <w:color w:val="auto"/>
        </w:rPr>
      </w:pPr>
      <w:r>
        <w:rPr>
          <w:rFonts w:ascii="Arial" w:cs="Arial" w:eastAsia="Arial" w:hAnsi="Arial"/>
          <w:sz w:val="18"/>
          <w:szCs w:val="18"/>
          <w:color w:val="auto"/>
        </w:rPr>
        <w:t>The following table shows data by geographic area. Net sales are based on the location of the operation recording the final sale to the customer.</w:t>
      </w:r>
    </w:p>
    <w:p>
      <w:pPr>
        <w:spacing w:after="0" w:line="340"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9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(in thousands)</w:t>
            </w:r>
          </w:p>
        </w:tc>
        <w:tc>
          <w:tcPr>
            <w:tcW w:w="248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2013</w:t>
            </w:r>
          </w:p>
        </w:tc>
        <w:tc>
          <w:tcPr>
            <w:tcW w:w="154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2012</w:t>
            </w:r>
          </w:p>
        </w:tc>
        <w:tc>
          <w:tcPr>
            <w:tcW w:w="13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195"/>
        </w:trPr>
        <w:tc>
          <w:tcPr>
            <w:tcW w:w="4940" w:type="dxa"/>
            <w:vAlign w:val="bottom"/>
          </w:tcPr>
          <w:p>
            <w:pPr>
              <w:ind w:left="40"/>
              <w:spacing w:after="0" w:line="195" w:lineRule="exact"/>
              <w:rPr>
                <w:sz w:val="20"/>
                <w:szCs w:val="20"/>
                <w:color w:val="auto"/>
              </w:rPr>
            </w:pPr>
            <w:r>
              <w:rPr>
                <w:rFonts w:ascii="Arial" w:cs="Arial" w:eastAsia="Arial" w:hAnsi="Arial"/>
                <w:sz w:val="18"/>
                <w:szCs w:val="18"/>
                <w:b w:val="1"/>
                <w:bCs w:val="1"/>
                <w:color w:val="auto"/>
              </w:rPr>
              <w:t>Net sales</w:t>
            </w:r>
          </w:p>
        </w:tc>
        <w:tc>
          <w:tcPr>
            <w:tcW w:w="248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$338,729</w:t>
            </w:r>
          </w:p>
        </w:tc>
        <w:tc>
          <w:tcPr>
            <w:tcW w:w="15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940" w:type="dxa"/>
            <w:vAlign w:val="bottom"/>
          </w:tcPr>
          <w:p>
            <w:pPr>
              <w:ind w:left="40"/>
              <w:spacing w:after="0" w:line="181" w:lineRule="exact"/>
              <w:rPr>
                <w:sz w:val="20"/>
                <w:szCs w:val="20"/>
                <w:color w:val="auto"/>
              </w:rPr>
            </w:pPr>
            <w:r>
              <w:rPr>
                <w:rFonts w:ascii="Arial" w:cs="Arial" w:eastAsia="Arial" w:hAnsi="Arial"/>
                <w:sz w:val="18"/>
                <w:szCs w:val="18"/>
                <w:color w:val="auto"/>
              </w:rPr>
              <w:t>United States</w:t>
            </w:r>
          </w:p>
        </w:tc>
        <w:tc>
          <w:tcPr>
            <w:tcW w:w="2480" w:type="dxa"/>
            <w:vAlign w:val="bottom"/>
            <w:vMerge w:val="continue"/>
          </w:tcPr>
          <w:p>
            <w:pPr>
              <w:spacing w:after="0"/>
              <w:rPr>
                <w:sz w:val="15"/>
                <w:szCs w:val="15"/>
                <w:color w:val="auto"/>
              </w:rPr>
            </w:pPr>
          </w:p>
        </w:tc>
        <w:tc>
          <w:tcPr>
            <w:tcW w:w="1540" w:type="dxa"/>
            <w:vAlign w:val="bottom"/>
          </w:tcPr>
          <w:p>
            <w:pPr>
              <w:jc w:val="right"/>
              <w:ind w:right="230"/>
              <w:spacing w:after="0" w:line="181" w:lineRule="exact"/>
              <w:rPr>
                <w:sz w:val="20"/>
                <w:szCs w:val="20"/>
                <w:color w:val="auto"/>
              </w:rPr>
            </w:pPr>
            <w:r>
              <w:rPr>
                <w:rFonts w:ascii="Arial" w:cs="Arial" w:eastAsia="Arial" w:hAnsi="Arial"/>
                <w:sz w:val="18"/>
                <w:szCs w:val="18"/>
                <w:color w:val="auto"/>
              </w:rPr>
              <w:t>$324,764</w:t>
            </w:r>
          </w:p>
        </w:tc>
        <w:tc>
          <w:tcPr>
            <w:tcW w:w="1300" w:type="dxa"/>
            <w:vAlign w:val="bottom"/>
          </w:tcPr>
          <w:p>
            <w:pPr>
              <w:jc w:val="right"/>
              <w:spacing w:after="0" w:line="181" w:lineRule="exact"/>
              <w:rPr>
                <w:sz w:val="20"/>
                <w:szCs w:val="20"/>
                <w:color w:val="auto"/>
              </w:rPr>
            </w:pPr>
            <w:r>
              <w:rPr>
                <w:rFonts w:ascii="Arial" w:cs="Arial" w:eastAsia="Arial" w:hAnsi="Arial"/>
                <w:sz w:val="18"/>
                <w:szCs w:val="18"/>
                <w:color w:val="auto"/>
              </w:rPr>
              <w:t>$306,371</w:t>
            </w:r>
          </w:p>
        </w:tc>
        <w:tc>
          <w:tcPr>
            <w:tcW w:w="0" w:type="dxa"/>
            <w:vAlign w:val="bottom"/>
          </w:tcPr>
          <w:p>
            <w:pPr>
              <w:spacing w:after="0"/>
              <w:rPr>
                <w:sz w:val="1"/>
                <w:szCs w:val="1"/>
                <w:color w:val="auto"/>
              </w:rPr>
            </w:pPr>
          </w:p>
        </w:tc>
      </w:tr>
      <w:tr>
        <w:trPr>
          <w:trHeight w:val="203"/>
        </w:trPr>
        <w:tc>
          <w:tcPr>
            <w:tcW w:w="4940" w:type="dxa"/>
            <w:vAlign w:val="bottom"/>
          </w:tcPr>
          <w:p>
            <w:pPr>
              <w:ind w:left="40"/>
              <w:spacing w:after="0" w:line="202" w:lineRule="exact"/>
              <w:rPr>
                <w:sz w:val="20"/>
                <w:szCs w:val="20"/>
                <w:color w:val="auto"/>
              </w:rPr>
            </w:pPr>
            <w:r>
              <w:rPr>
                <w:rFonts w:ascii="Arial" w:cs="Arial" w:eastAsia="Arial" w:hAnsi="Arial"/>
                <w:sz w:val="18"/>
                <w:szCs w:val="18"/>
                <w:color w:val="auto"/>
              </w:rPr>
              <w:t>Switzerland</w:t>
            </w:r>
          </w:p>
        </w:tc>
        <w:tc>
          <w:tcPr>
            <w:tcW w:w="248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190,035</w:t>
            </w:r>
          </w:p>
        </w:tc>
        <w:tc>
          <w:tcPr>
            <w:tcW w:w="154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203,478</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245,562</w:t>
            </w:r>
          </w:p>
        </w:tc>
        <w:tc>
          <w:tcPr>
            <w:tcW w:w="0" w:type="dxa"/>
            <w:vAlign w:val="bottom"/>
          </w:tcPr>
          <w:p>
            <w:pPr>
              <w:spacing w:after="0"/>
              <w:rPr>
                <w:sz w:val="1"/>
                <w:szCs w:val="1"/>
                <w:color w:val="auto"/>
              </w:rPr>
            </w:pPr>
          </w:p>
        </w:tc>
      </w:tr>
      <w:tr>
        <w:trPr>
          <w:trHeight w:val="203"/>
        </w:trPr>
        <w:tc>
          <w:tcPr>
            <w:tcW w:w="4940" w:type="dxa"/>
            <w:vAlign w:val="bottom"/>
          </w:tcPr>
          <w:p>
            <w:pPr>
              <w:ind w:left="40"/>
              <w:spacing w:after="0" w:line="202" w:lineRule="exact"/>
              <w:rPr>
                <w:sz w:val="20"/>
                <w:szCs w:val="20"/>
                <w:color w:val="auto"/>
              </w:rPr>
            </w:pPr>
            <w:r>
              <w:rPr>
                <w:rFonts w:ascii="Arial" w:cs="Arial" w:eastAsia="Arial" w:hAnsi="Arial"/>
                <w:sz w:val="18"/>
                <w:szCs w:val="18"/>
                <w:color w:val="auto"/>
              </w:rPr>
              <w:t>Brazil</w:t>
            </w:r>
          </w:p>
        </w:tc>
        <w:tc>
          <w:tcPr>
            <w:tcW w:w="248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62,076</w:t>
            </w:r>
          </w:p>
        </w:tc>
        <w:tc>
          <w:tcPr>
            <w:tcW w:w="154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58,755</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61,493</w:t>
            </w:r>
          </w:p>
        </w:tc>
        <w:tc>
          <w:tcPr>
            <w:tcW w:w="0" w:type="dxa"/>
            <w:vAlign w:val="bottom"/>
          </w:tcPr>
          <w:p>
            <w:pPr>
              <w:spacing w:after="0"/>
              <w:rPr>
                <w:sz w:val="1"/>
                <w:szCs w:val="1"/>
                <w:color w:val="auto"/>
              </w:rPr>
            </w:pPr>
          </w:p>
        </w:tc>
      </w:tr>
      <w:tr>
        <w:trPr>
          <w:trHeight w:val="203"/>
        </w:trPr>
        <w:tc>
          <w:tcPr>
            <w:tcW w:w="4940" w:type="dxa"/>
            <w:vAlign w:val="bottom"/>
          </w:tcPr>
          <w:p>
            <w:pPr>
              <w:ind w:left="40"/>
              <w:spacing w:after="0" w:line="202" w:lineRule="exact"/>
              <w:rPr>
                <w:sz w:val="20"/>
                <w:szCs w:val="20"/>
                <w:color w:val="auto"/>
              </w:rPr>
            </w:pPr>
            <w:r>
              <w:rPr>
                <w:rFonts w:ascii="Arial" w:cs="Arial" w:eastAsia="Arial" w:hAnsi="Arial"/>
                <w:sz w:val="18"/>
                <w:szCs w:val="18"/>
                <w:color w:val="auto"/>
              </w:rPr>
              <w:t>China</w:t>
            </w:r>
          </w:p>
        </w:tc>
        <w:tc>
          <w:tcPr>
            <w:tcW w:w="248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43,265</w:t>
            </w:r>
          </w:p>
        </w:tc>
        <w:tc>
          <w:tcPr>
            <w:tcW w:w="154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39,929</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34,977</w:t>
            </w:r>
          </w:p>
        </w:tc>
        <w:tc>
          <w:tcPr>
            <w:tcW w:w="0" w:type="dxa"/>
            <w:vAlign w:val="bottom"/>
          </w:tcPr>
          <w:p>
            <w:pPr>
              <w:spacing w:after="0"/>
              <w:rPr>
                <w:sz w:val="1"/>
                <w:szCs w:val="1"/>
                <w:color w:val="auto"/>
              </w:rPr>
            </w:pPr>
          </w:p>
        </w:tc>
      </w:tr>
      <w:tr>
        <w:trPr>
          <w:trHeight w:val="203"/>
        </w:trPr>
        <w:tc>
          <w:tcPr>
            <w:tcW w:w="4940" w:type="dxa"/>
            <w:vAlign w:val="bottom"/>
          </w:tcPr>
          <w:p>
            <w:pPr>
              <w:ind w:left="40"/>
              <w:spacing w:after="0" w:line="202" w:lineRule="exact"/>
              <w:rPr>
                <w:sz w:val="20"/>
                <w:szCs w:val="20"/>
                <w:color w:val="auto"/>
              </w:rPr>
            </w:pPr>
            <w:r>
              <w:rPr>
                <w:rFonts w:ascii="Arial" w:cs="Arial" w:eastAsia="Arial" w:hAnsi="Arial"/>
                <w:sz w:val="18"/>
                <w:szCs w:val="18"/>
                <w:color w:val="auto"/>
              </w:rPr>
              <w:t>Canada</w:t>
            </w:r>
          </w:p>
        </w:tc>
        <w:tc>
          <w:tcPr>
            <w:tcW w:w="248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31,167</w:t>
            </w:r>
          </w:p>
        </w:tc>
        <w:tc>
          <w:tcPr>
            <w:tcW w:w="154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36,182</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40,422</w:t>
            </w:r>
          </w:p>
        </w:tc>
        <w:tc>
          <w:tcPr>
            <w:tcW w:w="0" w:type="dxa"/>
            <w:vAlign w:val="bottom"/>
          </w:tcPr>
          <w:p>
            <w:pPr>
              <w:spacing w:after="0"/>
              <w:rPr>
                <w:sz w:val="1"/>
                <w:szCs w:val="1"/>
                <w:color w:val="auto"/>
              </w:rPr>
            </w:pPr>
          </w:p>
        </w:tc>
      </w:tr>
      <w:tr>
        <w:trPr>
          <w:trHeight w:val="225"/>
        </w:trPr>
        <w:tc>
          <w:tcPr>
            <w:tcW w:w="49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Other countries</w:t>
            </w:r>
          </w:p>
        </w:tc>
        <w:tc>
          <w:tcPr>
            <w:tcW w:w="24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92,142</w:t>
            </w:r>
          </w:p>
        </w:tc>
        <w:tc>
          <w:tcPr>
            <w:tcW w:w="15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97,833</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98,462</w:t>
            </w:r>
          </w:p>
        </w:tc>
        <w:tc>
          <w:tcPr>
            <w:tcW w:w="0" w:type="dxa"/>
            <w:vAlign w:val="bottom"/>
          </w:tcPr>
          <w:p>
            <w:pPr>
              <w:spacing w:after="0"/>
              <w:rPr>
                <w:sz w:val="1"/>
                <w:szCs w:val="1"/>
                <w:color w:val="auto"/>
              </w:rPr>
            </w:pPr>
          </w:p>
        </w:tc>
      </w:tr>
      <w:tr>
        <w:trPr>
          <w:trHeight w:val="196"/>
        </w:trPr>
        <w:tc>
          <w:tcPr>
            <w:tcW w:w="494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Consolidated total</w:t>
            </w:r>
          </w:p>
        </w:tc>
        <w:tc>
          <w:tcPr>
            <w:tcW w:w="248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$757,414</w:t>
            </w:r>
          </w:p>
        </w:tc>
        <w:tc>
          <w:tcPr>
            <w:tcW w:w="154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$760,941</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$787,287</w:t>
            </w:r>
          </w:p>
        </w:tc>
        <w:tc>
          <w:tcPr>
            <w:tcW w:w="0" w:type="dxa"/>
            <w:vAlign w:val="bottom"/>
          </w:tcPr>
          <w:p>
            <w:pPr>
              <w:spacing w:after="0"/>
              <w:rPr>
                <w:sz w:val="1"/>
                <w:szCs w:val="1"/>
                <w:color w:val="auto"/>
              </w:rPr>
            </w:pPr>
          </w:p>
        </w:tc>
      </w:tr>
      <w:tr>
        <w:trPr>
          <w:trHeight w:val="195"/>
        </w:trPr>
        <w:tc>
          <w:tcPr>
            <w:tcW w:w="4940" w:type="dxa"/>
            <w:vAlign w:val="bottom"/>
          </w:tcPr>
          <w:p>
            <w:pPr>
              <w:ind w:left="40"/>
              <w:spacing w:after="0" w:line="195" w:lineRule="exact"/>
              <w:rPr>
                <w:sz w:val="20"/>
                <w:szCs w:val="20"/>
                <w:color w:val="auto"/>
              </w:rPr>
            </w:pPr>
            <w:r>
              <w:rPr>
                <w:rFonts w:ascii="Arial" w:cs="Arial" w:eastAsia="Arial" w:hAnsi="Arial"/>
                <w:sz w:val="18"/>
                <w:szCs w:val="18"/>
                <w:b w:val="1"/>
                <w:bCs w:val="1"/>
                <w:color w:val="auto"/>
              </w:rPr>
              <w:t>Property, plant and equipment, at cost, net</w:t>
            </w:r>
          </w:p>
        </w:tc>
        <w:tc>
          <w:tcPr>
            <w:tcW w:w="248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$162,380</w:t>
            </w:r>
          </w:p>
        </w:tc>
        <w:tc>
          <w:tcPr>
            <w:tcW w:w="15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940" w:type="dxa"/>
            <w:vAlign w:val="bottom"/>
          </w:tcPr>
          <w:p>
            <w:pPr>
              <w:ind w:left="40"/>
              <w:spacing w:after="0" w:line="181" w:lineRule="exact"/>
              <w:rPr>
                <w:sz w:val="20"/>
                <w:szCs w:val="20"/>
                <w:color w:val="auto"/>
              </w:rPr>
            </w:pPr>
            <w:r>
              <w:rPr>
                <w:rFonts w:ascii="Arial" w:cs="Arial" w:eastAsia="Arial" w:hAnsi="Arial"/>
                <w:sz w:val="18"/>
                <w:szCs w:val="18"/>
                <w:color w:val="auto"/>
              </w:rPr>
              <w:t>United States</w:t>
            </w:r>
          </w:p>
        </w:tc>
        <w:tc>
          <w:tcPr>
            <w:tcW w:w="2480" w:type="dxa"/>
            <w:vAlign w:val="bottom"/>
            <w:vMerge w:val="continue"/>
          </w:tcPr>
          <w:p>
            <w:pPr>
              <w:spacing w:after="0"/>
              <w:rPr>
                <w:sz w:val="15"/>
                <w:szCs w:val="15"/>
                <w:color w:val="auto"/>
              </w:rPr>
            </w:pPr>
          </w:p>
        </w:tc>
        <w:tc>
          <w:tcPr>
            <w:tcW w:w="1540" w:type="dxa"/>
            <w:vAlign w:val="bottom"/>
          </w:tcPr>
          <w:p>
            <w:pPr>
              <w:jc w:val="right"/>
              <w:ind w:right="230"/>
              <w:spacing w:after="0" w:line="181" w:lineRule="exact"/>
              <w:rPr>
                <w:sz w:val="20"/>
                <w:szCs w:val="20"/>
                <w:color w:val="auto"/>
              </w:rPr>
            </w:pPr>
            <w:r>
              <w:rPr>
                <w:rFonts w:ascii="Arial" w:cs="Arial" w:eastAsia="Arial" w:hAnsi="Arial"/>
                <w:sz w:val="18"/>
                <w:szCs w:val="18"/>
                <w:color w:val="auto"/>
              </w:rPr>
              <w:t>$137,405</w:t>
            </w:r>
          </w:p>
        </w:tc>
        <w:tc>
          <w:tcPr>
            <w:tcW w:w="1300" w:type="dxa"/>
            <w:vAlign w:val="bottom"/>
          </w:tcPr>
          <w:p>
            <w:pPr>
              <w:jc w:val="right"/>
              <w:spacing w:after="0" w:line="181" w:lineRule="exact"/>
              <w:rPr>
                <w:sz w:val="20"/>
                <w:szCs w:val="20"/>
                <w:color w:val="auto"/>
              </w:rPr>
            </w:pPr>
            <w:r>
              <w:rPr>
                <w:rFonts w:ascii="Arial" w:cs="Arial" w:eastAsia="Arial" w:hAnsi="Arial"/>
                <w:sz w:val="18"/>
                <w:szCs w:val="18"/>
                <w:color w:val="auto"/>
              </w:rPr>
              <w:t>$133,651</w:t>
            </w:r>
          </w:p>
        </w:tc>
        <w:tc>
          <w:tcPr>
            <w:tcW w:w="0" w:type="dxa"/>
            <w:vAlign w:val="bottom"/>
          </w:tcPr>
          <w:p>
            <w:pPr>
              <w:spacing w:after="0"/>
              <w:rPr>
                <w:sz w:val="1"/>
                <w:szCs w:val="1"/>
                <w:color w:val="auto"/>
              </w:rPr>
            </w:pPr>
          </w:p>
        </w:tc>
      </w:tr>
      <w:tr>
        <w:trPr>
          <w:trHeight w:val="203"/>
        </w:trPr>
        <w:tc>
          <w:tcPr>
            <w:tcW w:w="4940" w:type="dxa"/>
            <w:vAlign w:val="bottom"/>
          </w:tcPr>
          <w:p>
            <w:pPr>
              <w:ind w:left="40"/>
              <w:spacing w:after="0" w:line="202" w:lineRule="exact"/>
              <w:rPr>
                <w:sz w:val="20"/>
                <w:szCs w:val="20"/>
                <w:color w:val="auto"/>
              </w:rPr>
            </w:pPr>
            <w:r>
              <w:rPr>
                <w:rFonts w:ascii="Arial" w:cs="Arial" w:eastAsia="Arial" w:hAnsi="Arial"/>
                <w:sz w:val="18"/>
                <w:szCs w:val="18"/>
                <w:color w:val="auto"/>
              </w:rPr>
              <w:t>China</w:t>
            </w:r>
          </w:p>
        </w:tc>
        <w:tc>
          <w:tcPr>
            <w:tcW w:w="248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103,109</w:t>
            </w:r>
          </w:p>
        </w:tc>
        <w:tc>
          <w:tcPr>
            <w:tcW w:w="154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114,037</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126,072</w:t>
            </w:r>
          </w:p>
        </w:tc>
        <w:tc>
          <w:tcPr>
            <w:tcW w:w="0" w:type="dxa"/>
            <w:vAlign w:val="bottom"/>
          </w:tcPr>
          <w:p>
            <w:pPr>
              <w:spacing w:after="0"/>
              <w:rPr>
                <w:sz w:val="1"/>
                <w:szCs w:val="1"/>
                <w:color w:val="auto"/>
              </w:rPr>
            </w:pPr>
          </w:p>
        </w:tc>
      </w:tr>
      <w:tr>
        <w:trPr>
          <w:trHeight w:val="203"/>
        </w:trPr>
        <w:tc>
          <w:tcPr>
            <w:tcW w:w="4940" w:type="dxa"/>
            <w:vAlign w:val="bottom"/>
          </w:tcPr>
          <w:p>
            <w:pPr>
              <w:ind w:left="40"/>
              <w:spacing w:after="0" w:line="202" w:lineRule="exact"/>
              <w:rPr>
                <w:sz w:val="20"/>
                <w:szCs w:val="20"/>
                <w:color w:val="auto"/>
              </w:rPr>
            </w:pPr>
            <w:r>
              <w:rPr>
                <w:rFonts w:ascii="Arial" w:cs="Arial" w:eastAsia="Arial" w:hAnsi="Arial"/>
                <w:sz w:val="18"/>
                <w:szCs w:val="18"/>
                <w:color w:val="auto"/>
              </w:rPr>
              <w:t>Korea</w:t>
            </w:r>
          </w:p>
        </w:tc>
        <w:tc>
          <w:tcPr>
            <w:tcW w:w="248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35,542</w:t>
            </w:r>
          </w:p>
        </w:tc>
        <w:tc>
          <w:tcPr>
            <w:tcW w:w="154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38,266</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34,102</w:t>
            </w:r>
          </w:p>
        </w:tc>
        <w:tc>
          <w:tcPr>
            <w:tcW w:w="0" w:type="dxa"/>
            <w:vAlign w:val="bottom"/>
          </w:tcPr>
          <w:p>
            <w:pPr>
              <w:spacing w:after="0"/>
              <w:rPr>
                <w:sz w:val="1"/>
                <w:szCs w:val="1"/>
                <w:color w:val="auto"/>
              </w:rPr>
            </w:pPr>
          </w:p>
        </w:tc>
      </w:tr>
      <w:tr>
        <w:trPr>
          <w:trHeight w:val="203"/>
        </w:trPr>
        <w:tc>
          <w:tcPr>
            <w:tcW w:w="4940" w:type="dxa"/>
            <w:vAlign w:val="bottom"/>
          </w:tcPr>
          <w:p>
            <w:pPr>
              <w:ind w:left="40"/>
              <w:spacing w:after="0" w:line="202" w:lineRule="exact"/>
              <w:rPr>
                <w:sz w:val="20"/>
                <w:szCs w:val="20"/>
                <w:color w:val="auto"/>
              </w:rPr>
            </w:pPr>
            <w:r>
              <w:rPr>
                <w:rFonts w:ascii="Arial" w:cs="Arial" w:eastAsia="Arial" w:hAnsi="Arial"/>
                <w:sz w:val="18"/>
                <w:szCs w:val="18"/>
                <w:color w:val="auto"/>
              </w:rPr>
              <w:t>United Kingdom</w:t>
            </w:r>
          </w:p>
        </w:tc>
        <w:tc>
          <w:tcPr>
            <w:tcW w:w="248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25,246</w:t>
            </w:r>
          </w:p>
        </w:tc>
        <w:tc>
          <w:tcPr>
            <w:tcW w:w="154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26,269</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27,196</w:t>
            </w:r>
          </w:p>
        </w:tc>
        <w:tc>
          <w:tcPr>
            <w:tcW w:w="0" w:type="dxa"/>
            <w:vAlign w:val="bottom"/>
          </w:tcPr>
          <w:p>
            <w:pPr>
              <w:spacing w:after="0"/>
              <w:rPr>
                <w:sz w:val="1"/>
                <w:szCs w:val="1"/>
                <w:color w:val="auto"/>
              </w:rPr>
            </w:pPr>
          </w:p>
        </w:tc>
      </w:tr>
      <w:tr>
        <w:trPr>
          <w:trHeight w:val="203"/>
        </w:trPr>
        <w:tc>
          <w:tcPr>
            <w:tcW w:w="4940" w:type="dxa"/>
            <w:vAlign w:val="bottom"/>
          </w:tcPr>
          <w:p>
            <w:pPr>
              <w:ind w:left="40"/>
              <w:spacing w:after="0" w:line="202" w:lineRule="exact"/>
              <w:rPr>
                <w:sz w:val="20"/>
                <w:szCs w:val="20"/>
                <w:color w:val="auto"/>
              </w:rPr>
            </w:pPr>
            <w:r>
              <w:rPr>
                <w:rFonts w:ascii="Arial" w:cs="Arial" w:eastAsia="Arial" w:hAnsi="Arial"/>
                <w:sz w:val="18"/>
                <w:szCs w:val="18"/>
                <w:color w:val="auto"/>
              </w:rPr>
              <w:t>Canada</w:t>
            </w:r>
          </w:p>
        </w:tc>
        <w:tc>
          <w:tcPr>
            <w:tcW w:w="248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22,434</w:t>
            </w:r>
          </w:p>
        </w:tc>
        <w:tc>
          <w:tcPr>
            <w:tcW w:w="154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27,396</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29,650</w:t>
            </w:r>
          </w:p>
        </w:tc>
        <w:tc>
          <w:tcPr>
            <w:tcW w:w="0" w:type="dxa"/>
            <w:vAlign w:val="bottom"/>
          </w:tcPr>
          <w:p>
            <w:pPr>
              <w:spacing w:after="0"/>
              <w:rPr>
                <w:sz w:val="1"/>
                <w:szCs w:val="1"/>
                <w:color w:val="auto"/>
              </w:rPr>
            </w:pPr>
          </w:p>
        </w:tc>
      </w:tr>
      <w:tr>
        <w:trPr>
          <w:trHeight w:val="203"/>
        </w:trPr>
        <w:tc>
          <w:tcPr>
            <w:tcW w:w="4940" w:type="dxa"/>
            <w:vAlign w:val="bottom"/>
          </w:tcPr>
          <w:p>
            <w:pPr>
              <w:ind w:left="40"/>
              <w:spacing w:after="0" w:line="202" w:lineRule="exact"/>
              <w:rPr>
                <w:sz w:val="20"/>
                <w:szCs w:val="20"/>
                <w:color w:val="auto"/>
              </w:rPr>
            </w:pPr>
            <w:r>
              <w:rPr>
                <w:rFonts w:ascii="Arial" w:cs="Arial" w:eastAsia="Arial" w:hAnsi="Arial"/>
                <w:sz w:val="18"/>
                <w:szCs w:val="18"/>
                <w:color w:val="auto"/>
              </w:rPr>
              <w:t>Sweden</w:t>
            </w:r>
          </w:p>
        </w:tc>
        <w:tc>
          <w:tcPr>
            <w:tcW w:w="248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19,508</w:t>
            </w:r>
          </w:p>
        </w:tc>
        <w:tc>
          <w:tcPr>
            <w:tcW w:w="154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23,397</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26,210</w:t>
            </w:r>
          </w:p>
        </w:tc>
        <w:tc>
          <w:tcPr>
            <w:tcW w:w="0" w:type="dxa"/>
            <w:vAlign w:val="bottom"/>
          </w:tcPr>
          <w:p>
            <w:pPr>
              <w:spacing w:after="0"/>
              <w:rPr>
                <w:sz w:val="1"/>
                <w:szCs w:val="1"/>
                <w:color w:val="auto"/>
              </w:rPr>
            </w:pPr>
          </w:p>
        </w:tc>
      </w:tr>
      <w:tr>
        <w:trPr>
          <w:trHeight w:val="225"/>
        </w:trPr>
        <w:tc>
          <w:tcPr>
            <w:tcW w:w="49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Other countries</w:t>
            </w:r>
          </w:p>
        </w:tc>
        <w:tc>
          <w:tcPr>
            <w:tcW w:w="24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50,611</w:t>
            </w:r>
          </w:p>
        </w:tc>
        <w:tc>
          <w:tcPr>
            <w:tcW w:w="15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53,384</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62,072</w:t>
            </w:r>
          </w:p>
        </w:tc>
        <w:tc>
          <w:tcPr>
            <w:tcW w:w="0" w:type="dxa"/>
            <w:vAlign w:val="bottom"/>
          </w:tcPr>
          <w:p>
            <w:pPr>
              <w:spacing w:after="0"/>
              <w:rPr>
                <w:sz w:val="1"/>
                <w:szCs w:val="1"/>
                <w:color w:val="auto"/>
              </w:rPr>
            </w:pPr>
          </w:p>
        </w:tc>
      </w:tr>
      <w:tr>
        <w:trPr>
          <w:trHeight w:val="196"/>
        </w:trPr>
        <w:tc>
          <w:tcPr>
            <w:tcW w:w="494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Consolidated total</w:t>
            </w:r>
          </w:p>
        </w:tc>
        <w:tc>
          <w:tcPr>
            <w:tcW w:w="248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$418,830</w:t>
            </w:r>
          </w:p>
        </w:tc>
        <w:tc>
          <w:tcPr>
            <w:tcW w:w="154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$420,154</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$438,953</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right="7000" w:firstLine="8"/>
        <w:spacing w:after="0" w:line="459" w:lineRule="auto"/>
        <w:tabs>
          <w:tab w:leader="none" w:pos="20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Pensions and Other Postretirement Benefit Plans Pension Plans</w:t>
      </w:r>
    </w:p>
    <w:p>
      <w:pPr>
        <w:ind w:right="120" w:firstLine="648"/>
        <w:spacing w:after="0" w:line="237" w:lineRule="auto"/>
        <w:rPr>
          <w:sz w:val="20"/>
          <w:szCs w:val="20"/>
          <w:color w:val="auto"/>
        </w:rPr>
      </w:pPr>
      <w:r>
        <w:rPr>
          <w:rFonts w:ascii="Arial" w:cs="Arial" w:eastAsia="Arial" w:hAnsi="Arial"/>
          <w:sz w:val="18"/>
          <w:szCs w:val="18"/>
          <w:color w:val="auto"/>
        </w:rPr>
        <w:t>The Company has defined benefit pension plans covering certain U.S. and non-U.S. employees. The U.S. qualified defined benefit pension plan has been closed to new participants since October 1998 and, as of February 2009, benefits accrued under this plan were frozen. As a result of the freeze, employees covered by the pension plan will receive, at retirement, benefits already accrued through February 2009, but no new benefits accrue after that date. Benefit accruals under the U.S. Supplemental Executive Retirement Plan (“SERP”) were similarly frozen. The U.S. pension plan accounts for 44 percent of consolidated pension plan assets, and 32 percent of consolidated pension plan obligations. The eligibility, benefit formulas, and contribution requirements for plans outside of the U.S. vary by location.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Postretirement Benefits</w:t>
      </w:r>
    </w:p>
    <w:p>
      <w:pPr>
        <w:spacing w:after="0" w:line="207" w:lineRule="exact"/>
        <w:rPr>
          <w:sz w:val="20"/>
          <w:szCs w:val="20"/>
          <w:color w:val="auto"/>
        </w:rPr>
      </w:pPr>
    </w:p>
    <w:p>
      <w:pPr>
        <w:ind w:right="100" w:firstLine="648"/>
        <w:spacing w:after="0" w:line="237" w:lineRule="auto"/>
        <w:rPr>
          <w:sz w:val="20"/>
          <w:szCs w:val="20"/>
          <w:color w:val="auto"/>
        </w:rPr>
      </w:pPr>
      <w:r>
        <w:rPr>
          <w:rFonts w:ascii="Arial" w:cs="Arial" w:eastAsia="Arial" w:hAnsi="Arial"/>
          <w:sz w:val="18"/>
          <w:szCs w:val="18"/>
          <w:color w:val="auto"/>
        </w:rPr>
        <w:t>In addition to providing pension benefits, the Company provides various medical, dental, and life insurance benefits for certain retired United States employees. U.S. employees hired prior to 2005 may become eligible for these benefits if they reach normal retirement age while working for the Company. Benefits provided under this plan are subject to change. Retirees share in the cost of these benefits. Effective January 2005, any new employees who wish to be covered under this plan will be responsible for the full cost of such benefits. In September 2008, we changed the cost sharing arrangement under this program such that increases in health care costs are the responsibility of plan participants. In August 2013, we reduced the life insurance benefit for retirees and eliminated the benefit for active employees.</w:t>
      </w:r>
    </w:p>
    <w:p>
      <w:pPr>
        <w:spacing w:after="0" w:line="165" w:lineRule="exact"/>
        <w:rPr>
          <w:sz w:val="20"/>
          <w:szCs w:val="20"/>
          <w:color w:val="auto"/>
        </w:rPr>
      </w:pPr>
    </w:p>
    <w:p>
      <w:pPr>
        <w:ind w:right="200" w:firstLine="648"/>
        <w:spacing w:after="0"/>
        <w:rPr>
          <w:sz w:val="20"/>
          <w:szCs w:val="20"/>
          <w:color w:val="auto"/>
        </w:rPr>
      </w:pPr>
      <w:r>
        <w:rPr>
          <w:rFonts w:ascii="Arial" w:cs="Arial" w:eastAsia="Arial" w:hAnsi="Arial"/>
          <w:sz w:val="18"/>
          <w:szCs w:val="18"/>
          <w:color w:val="auto"/>
        </w:rPr>
        <w:t>The Company also provides certain postretirement life insurance benefits to retired employees in Canada. As of December 31, 2013, the accrued postretirement liability was $ 60.2 million in the U.S. and $0.9 million in Canada. The Company accrues the cost of providing postretirement benefits during the active service period of the employees. The Company currently funds the plan as claims are paid.</w:t>
      </w:r>
    </w:p>
    <w:p>
      <w:pPr>
        <w:spacing w:after="0" w:line="162" w:lineRule="exact"/>
        <w:rPr>
          <w:sz w:val="20"/>
          <w:szCs w:val="20"/>
          <w:color w:val="auto"/>
        </w:rPr>
      </w:pPr>
    </w:p>
    <w:p>
      <w:pPr>
        <w:ind w:right="160" w:firstLine="648"/>
        <w:spacing w:after="0" w:line="246" w:lineRule="auto"/>
        <w:rPr>
          <w:sz w:val="20"/>
          <w:szCs w:val="20"/>
          <w:color w:val="auto"/>
        </w:rPr>
      </w:pPr>
      <w:r>
        <w:rPr>
          <w:rFonts w:ascii="Arial" w:cs="Arial" w:eastAsia="Arial" w:hAnsi="Arial"/>
          <w:sz w:val="18"/>
          <w:szCs w:val="18"/>
          <w:color w:val="auto"/>
        </w:rPr>
        <w:t>Accounting guidance requires the recognition of the funded status of each defined benefit and other postretirement benefit plan. Each overfunded plan is recognized as an asset and each underfunded plan is</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431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59" w:name="page60"/>
    <w:bookmarkEnd w:id="59"/>
    <w:p>
      <w:pPr>
        <w:ind w:right="260"/>
        <w:spacing w:after="0" w:line="246" w:lineRule="auto"/>
        <w:rPr>
          <w:sz w:val="20"/>
          <w:szCs w:val="20"/>
          <w:color w:val="auto"/>
        </w:rPr>
      </w:pPr>
      <w:r>
        <w:rPr>
          <w:rFonts w:ascii="Arial" w:cs="Arial" w:eastAsia="Arial" w:hAnsi="Arial"/>
          <w:sz w:val="18"/>
          <w:szCs w:val="18"/>
          <w:color w:val="auto"/>
        </w:rPr>
        <w:t>recognized as a liability. Company pension plan data for U.S. and non-U.S. plans has been combined for both 2013 and 2012, except where indicated below.</w:t>
      </w:r>
    </w:p>
    <w:p>
      <w:pPr>
        <w:spacing w:after="0" w:line="156"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The Company’s pension and postretirement benefit costs and benefit obligations are based on actuarial valuations that are affected by many assumptions, the most significant of which are the assumed discount rate, expected rate of return on pension plan assets, and mortality. Each of the assumptions is reviewed and updated annually, as appropriate. The assumed rates of return for pension plan assets are determined for each major asset category based on historical rates of return for assets in that category and expectations of future rates of return based, in part, on simulated future capital market performance. The assumed discount rate is based on yields from a portfolio of currently available high-quality fixed-income investments with durations matching the expected future payments, based on the demographics of the plan participants and the plan provisions.</w:t>
      </w:r>
    </w:p>
    <w:p>
      <w:pPr>
        <w:spacing w:after="0" w:line="176" w:lineRule="exact"/>
        <w:rPr>
          <w:sz w:val="20"/>
          <w:szCs w:val="20"/>
          <w:color w:val="auto"/>
        </w:rPr>
      </w:pPr>
    </w:p>
    <w:p>
      <w:pPr>
        <w:ind w:right="80" w:firstLine="648"/>
        <w:spacing w:after="0" w:line="238" w:lineRule="auto"/>
        <w:rPr>
          <w:sz w:val="20"/>
          <w:szCs w:val="20"/>
          <w:color w:val="auto"/>
        </w:rPr>
      </w:pPr>
      <w:r>
        <w:rPr>
          <w:rFonts w:ascii="Arial" w:cs="Arial" w:eastAsia="Arial" w:hAnsi="Arial"/>
          <w:sz w:val="18"/>
          <w:szCs w:val="18"/>
          <w:color w:val="auto"/>
        </w:rPr>
        <w:t>The benefit obligation for the U.S. plans as of December 31, 2013 was calculated using the IRS 2014 mortality table. The benefit obligation as of December 31, 2012, as well as pension expense for 2013, was calculated using the IRS 2013 mortality table. For U.S. pension funding purposes, the Company uses the plan’s IRS-basis current liability as its funding target, which is determined based on mandated assumptions. Weak investment returns and low interest rates could result in higher than expected contributions to pension plans in future years.</w:t>
      </w:r>
    </w:p>
    <w:p>
      <w:pPr>
        <w:spacing w:after="0" w:line="162" w:lineRule="exact"/>
        <w:rPr>
          <w:sz w:val="20"/>
          <w:szCs w:val="20"/>
          <w:color w:val="auto"/>
        </w:rPr>
      </w:pPr>
    </w:p>
    <w:p>
      <w:pPr>
        <w:ind w:right="200" w:firstLine="648"/>
        <w:spacing w:after="0" w:line="236" w:lineRule="auto"/>
        <w:rPr>
          <w:sz w:val="20"/>
          <w:szCs w:val="20"/>
          <w:color w:val="auto"/>
        </w:rPr>
      </w:pPr>
      <w:r>
        <w:rPr>
          <w:rFonts w:ascii="Arial" w:cs="Arial" w:eastAsia="Arial" w:hAnsi="Arial"/>
          <w:sz w:val="18"/>
          <w:szCs w:val="18"/>
          <w:color w:val="auto"/>
        </w:rPr>
        <w:t>Gains and losses arise from changes in the assumptions used to measure the benefit obligations, and experience different from what had been assumed, including asset returns different than what had been expected. The Company amortizes gains and losses in excess of a “corridor” over the average future service of the plan’s current participants. The corridor is defined as 10 percent of the greater of the plan’s projected benefit obligation or market-related value of plan assets. The market-related value of plan assets is also used to determine the expected return on plan assets component of net periodic cost. The Company’s market-related value for its U.S. plan is measured by first determining the absolute difference between the actual and the expected return on the plan assets. The absolute difference in excess of 5 percent of the expected return is added to the market-related value over two years; the remainder is added to the market-related value immediately.</w:t>
      </w:r>
    </w:p>
    <w:p>
      <w:pPr>
        <w:spacing w:after="0" w:line="168" w:lineRule="exact"/>
        <w:rPr>
          <w:sz w:val="20"/>
          <w:szCs w:val="20"/>
          <w:color w:val="auto"/>
        </w:rPr>
      </w:pPr>
    </w:p>
    <w:p>
      <w:pPr>
        <w:ind w:right="60" w:firstLine="648"/>
        <w:spacing w:after="0" w:line="239" w:lineRule="auto"/>
        <w:rPr>
          <w:sz w:val="20"/>
          <w:szCs w:val="20"/>
          <w:color w:val="auto"/>
        </w:rPr>
      </w:pPr>
      <w:r>
        <w:rPr>
          <w:rFonts w:ascii="Arial" w:cs="Arial" w:eastAsia="Arial" w:hAnsi="Arial"/>
          <w:sz w:val="18"/>
          <w:szCs w:val="18"/>
          <w:color w:val="auto"/>
        </w:rPr>
        <w:t>To the extent the Company’s unrecognized net losses and unrecognized prior service costs, including the amount recognized through accumulated other comprehensive income, are not reduced by future favorable plan experience, they will be recognized as a component of the net periodic cost in future years. The Company’s unrecognized net loss in its pension plans is primarily attributable to unfavorable investment returns in 2008.</w:t>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431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60" w:name="page61"/>
    <w:bookmarkEnd w:id="60"/>
    <w:p>
      <w:pPr>
        <w:ind w:left="80"/>
        <w:spacing w:after="0"/>
        <w:rPr>
          <w:sz w:val="20"/>
          <w:szCs w:val="20"/>
          <w:color w:val="auto"/>
        </w:rPr>
      </w:pPr>
      <w:r>
        <w:rPr>
          <w:rFonts w:ascii="Arial" w:cs="Arial" w:eastAsia="Arial" w:hAnsi="Arial"/>
          <w:sz w:val="18"/>
          <w:szCs w:val="18"/>
          <w:color w:val="auto"/>
        </w:rPr>
        <w:t>The following table sets forth the plan benefit obligations: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960" w:type="dxa"/>
            <w:vAlign w:val="bottom"/>
            <w:gridSpan w:val="2"/>
          </w:tcPr>
          <w:p>
            <w:pPr>
              <w:jc w:val="right"/>
              <w:ind w:right="592"/>
              <w:spacing w:after="0"/>
              <w:rPr>
                <w:sz w:val="20"/>
                <w:szCs w:val="20"/>
                <w:color w:val="auto"/>
              </w:rPr>
            </w:pPr>
            <w:r>
              <w:rPr>
                <w:rFonts w:ascii="Arial" w:cs="Arial" w:eastAsia="Arial" w:hAnsi="Arial"/>
                <w:sz w:val="18"/>
                <w:szCs w:val="18"/>
                <w:b w:val="1"/>
                <w:bCs w:val="1"/>
                <w:color w:val="auto"/>
              </w:rPr>
              <w:t>As of December 31, 2013</w:t>
            </w:r>
          </w:p>
        </w:tc>
        <w:tc>
          <w:tcPr>
            <w:tcW w:w="2840" w:type="dxa"/>
            <w:vAlign w:val="bottom"/>
            <w:gridSpan w:val="2"/>
          </w:tcPr>
          <w:p>
            <w:pPr>
              <w:jc w:val="right"/>
              <w:ind w:right="292"/>
              <w:spacing w:after="0"/>
              <w:rPr>
                <w:sz w:val="20"/>
                <w:szCs w:val="20"/>
                <w:color w:val="auto"/>
              </w:rPr>
            </w:pPr>
            <w:r>
              <w:rPr>
                <w:rFonts w:ascii="Arial" w:cs="Arial" w:eastAsia="Arial" w:hAnsi="Arial"/>
                <w:sz w:val="18"/>
                <w:szCs w:val="18"/>
                <w:b w:val="1"/>
                <w:bCs w:val="1"/>
                <w:color w:val="auto"/>
              </w:rPr>
              <w:t>As of December 31, 2012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80" w:type="dxa"/>
            <w:vAlign w:val="bottom"/>
          </w:tcPr>
          <w:p>
            <w:pPr>
              <w:jc w:val="center"/>
              <w:ind w:right="152"/>
              <w:spacing w:after="0"/>
              <w:rPr>
                <w:sz w:val="20"/>
                <w:szCs w:val="20"/>
                <w:color w:val="auto"/>
              </w:rPr>
            </w:pPr>
            <w:r>
              <w:rPr>
                <w:rFonts w:ascii="Arial" w:cs="Arial" w:eastAsia="Arial" w:hAnsi="Arial"/>
                <w:sz w:val="16"/>
                <w:szCs w:val="16"/>
                <w:b w:val="1"/>
                <w:bCs w:val="1"/>
                <w:color w:val="auto"/>
              </w:rPr>
              <w:t>Other</w:t>
            </w:r>
          </w:p>
        </w:tc>
        <w:tc>
          <w:tcPr>
            <w:tcW w:w="144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Other</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1280" w:type="dxa"/>
            <w:vAlign w:val="bottom"/>
          </w:tcPr>
          <w:p>
            <w:pPr>
              <w:jc w:val="right"/>
              <w:ind w:right="471"/>
              <w:spacing w:after="0"/>
              <w:rPr>
                <w:sz w:val="20"/>
                <w:szCs w:val="20"/>
                <w:color w:val="auto"/>
              </w:rPr>
            </w:pPr>
            <w:r>
              <w:rPr>
                <w:rFonts w:ascii="Arial" w:cs="Arial" w:eastAsia="Arial" w:hAnsi="Arial"/>
                <w:sz w:val="16"/>
                <w:szCs w:val="16"/>
                <w:b w:val="1"/>
                <w:bCs w:val="1"/>
                <w:color w:val="auto"/>
              </w:rPr>
              <w:t>Pension</w:t>
            </w:r>
          </w:p>
        </w:tc>
        <w:tc>
          <w:tcPr>
            <w:tcW w:w="1680" w:type="dxa"/>
            <w:vAlign w:val="bottom"/>
          </w:tcPr>
          <w:p>
            <w:pPr>
              <w:jc w:val="center"/>
              <w:ind w:right="152"/>
              <w:spacing w:after="0"/>
              <w:rPr>
                <w:sz w:val="20"/>
                <w:szCs w:val="20"/>
                <w:color w:val="auto"/>
              </w:rPr>
            </w:pPr>
            <w:r>
              <w:rPr>
                <w:rFonts w:ascii="Arial" w:cs="Arial" w:eastAsia="Arial" w:hAnsi="Arial"/>
                <w:sz w:val="16"/>
                <w:szCs w:val="16"/>
                <w:b w:val="1"/>
                <w:bCs w:val="1"/>
                <w:color w:val="auto"/>
                <w:w w:val="99"/>
              </w:rPr>
              <w:t>postretirement</w:t>
            </w:r>
          </w:p>
        </w:tc>
        <w:tc>
          <w:tcPr>
            <w:tcW w:w="1440" w:type="dxa"/>
            <w:vAlign w:val="bottom"/>
          </w:tcPr>
          <w:p>
            <w:pPr>
              <w:jc w:val="right"/>
              <w:ind w:right="451"/>
              <w:spacing w:after="0"/>
              <w:rPr>
                <w:sz w:val="20"/>
                <w:szCs w:val="20"/>
                <w:color w:val="auto"/>
              </w:rPr>
            </w:pPr>
            <w:r>
              <w:rPr>
                <w:rFonts w:ascii="Arial" w:cs="Arial" w:eastAsia="Arial" w:hAnsi="Arial"/>
                <w:sz w:val="16"/>
                <w:szCs w:val="16"/>
                <w:b w:val="1"/>
                <w:bCs w:val="1"/>
                <w:color w:val="auto"/>
              </w:rPr>
              <w:t>Pension</w:t>
            </w:r>
          </w:p>
        </w:tc>
        <w:tc>
          <w:tcPr>
            <w:tcW w:w="1400" w:type="dxa"/>
            <w:vAlign w:val="bottom"/>
          </w:tcPr>
          <w:p>
            <w:pPr>
              <w:jc w:val="center"/>
              <w:ind w:left="12"/>
              <w:spacing w:after="0"/>
              <w:rPr>
                <w:sz w:val="20"/>
                <w:szCs w:val="20"/>
                <w:color w:val="auto"/>
              </w:rPr>
            </w:pPr>
            <w:r>
              <w:rPr>
                <w:rFonts w:ascii="Arial" w:cs="Arial" w:eastAsia="Arial" w:hAnsi="Arial"/>
                <w:sz w:val="16"/>
                <w:szCs w:val="16"/>
                <w:b w:val="1"/>
                <w:bCs w:val="1"/>
                <w:color w:val="auto"/>
              </w:rPr>
              <w:t>postretirement</w:t>
            </w:r>
          </w:p>
        </w:tc>
        <w:tc>
          <w:tcPr>
            <w:tcW w:w="0" w:type="dxa"/>
            <w:vAlign w:val="bottom"/>
          </w:tcPr>
          <w:p>
            <w:pPr>
              <w:spacing w:after="0"/>
              <w:rPr>
                <w:sz w:val="1"/>
                <w:szCs w:val="1"/>
                <w:color w:val="auto"/>
              </w:rPr>
            </w:pPr>
          </w:p>
        </w:tc>
      </w:tr>
      <w:tr>
        <w:trPr>
          <w:trHeight w:val="207"/>
        </w:trPr>
        <w:tc>
          <w:tcPr>
            <w:tcW w:w="448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(in thousands)</w:t>
            </w:r>
          </w:p>
        </w:tc>
        <w:tc>
          <w:tcPr>
            <w:tcW w:w="128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plans</w:t>
            </w:r>
          </w:p>
        </w:tc>
        <w:tc>
          <w:tcPr>
            <w:tcW w:w="1680" w:type="dxa"/>
            <w:vAlign w:val="bottom"/>
            <w:tcBorders>
              <w:bottom w:val="single" w:sz="8" w:color="auto"/>
            </w:tcBorders>
          </w:tcPr>
          <w:p>
            <w:pPr>
              <w:jc w:val="center"/>
              <w:ind w:right="172"/>
              <w:spacing w:after="0"/>
              <w:rPr>
                <w:sz w:val="20"/>
                <w:szCs w:val="20"/>
                <w:color w:val="auto"/>
              </w:rPr>
            </w:pPr>
            <w:r>
              <w:rPr>
                <w:rFonts w:ascii="Arial" w:cs="Arial" w:eastAsia="Arial" w:hAnsi="Arial"/>
                <w:sz w:val="16"/>
                <w:szCs w:val="16"/>
                <w:b w:val="1"/>
                <w:bCs w:val="1"/>
                <w:color w:val="auto"/>
              </w:rPr>
              <w:t>benefits</w:t>
            </w:r>
          </w:p>
        </w:tc>
        <w:tc>
          <w:tcPr>
            <w:tcW w:w="1440" w:type="dxa"/>
            <w:vAlign w:val="bottom"/>
            <w:tcBorders>
              <w:bottom w:val="single" w:sz="8" w:color="auto"/>
            </w:tcBorders>
          </w:tcPr>
          <w:p>
            <w:pPr>
              <w:ind w:left="400"/>
              <w:spacing w:after="0"/>
              <w:rPr>
                <w:sz w:val="20"/>
                <w:szCs w:val="20"/>
                <w:color w:val="auto"/>
              </w:rPr>
            </w:pPr>
            <w:r>
              <w:rPr>
                <w:rFonts w:ascii="Arial" w:cs="Arial" w:eastAsia="Arial" w:hAnsi="Arial"/>
                <w:sz w:val="16"/>
                <w:szCs w:val="16"/>
                <w:b w:val="1"/>
                <w:bCs w:val="1"/>
                <w:color w:val="auto"/>
              </w:rPr>
              <w:t>plans</w:t>
            </w:r>
          </w:p>
        </w:tc>
        <w:tc>
          <w:tcPr>
            <w:tcW w:w="1400" w:type="dxa"/>
            <w:vAlign w:val="bottom"/>
            <w:tcBorders>
              <w:bottom w:val="single" w:sz="8" w:color="auto"/>
            </w:tcBorders>
          </w:tcPr>
          <w:p>
            <w:pPr>
              <w:jc w:val="center"/>
              <w:ind w:left="12"/>
              <w:spacing w:after="0"/>
              <w:rPr>
                <w:sz w:val="20"/>
                <w:szCs w:val="20"/>
                <w:color w:val="auto"/>
              </w:rPr>
            </w:pPr>
            <w:r>
              <w:rPr>
                <w:rFonts w:ascii="Arial" w:cs="Arial" w:eastAsia="Arial" w:hAnsi="Arial"/>
                <w:sz w:val="16"/>
                <w:szCs w:val="16"/>
                <w:b w:val="1"/>
                <w:bCs w:val="1"/>
                <w:color w:val="auto"/>
              </w:rPr>
              <w:t>benefits</w:t>
            </w:r>
          </w:p>
        </w:tc>
        <w:tc>
          <w:tcPr>
            <w:tcW w:w="0" w:type="dxa"/>
            <w:vAlign w:val="bottom"/>
          </w:tcPr>
          <w:p>
            <w:pPr>
              <w:spacing w:after="0"/>
              <w:rPr>
                <w:sz w:val="1"/>
                <w:szCs w:val="1"/>
                <w:color w:val="auto"/>
              </w:rPr>
            </w:pPr>
          </w:p>
        </w:tc>
      </w:tr>
      <w:tr>
        <w:trPr>
          <w:trHeight w:val="399"/>
        </w:trPr>
        <w:tc>
          <w:tcPr>
            <w:tcW w:w="4480" w:type="dxa"/>
            <w:vAlign w:val="bottom"/>
            <w:gridSpan w:val="2"/>
          </w:tcPr>
          <w:p>
            <w:pPr>
              <w:spacing w:after="0"/>
              <w:rPr>
                <w:sz w:val="20"/>
                <w:szCs w:val="20"/>
                <w:color w:val="auto"/>
              </w:rPr>
            </w:pPr>
            <w:r>
              <w:rPr>
                <w:rFonts w:ascii="Arial" w:cs="Arial" w:eastAsia="Arial" w:hAnsi="Arial"/>
                <w:sz w:val="18"/>
                <w:szCs w:val="18"/>
                <w:color w:val="auto"/>
              </w:rPr>
              <w:t>Benefit obligation, beginning of year</w:t>
            </w:r>
          </w:p>
        </w:tc>
        <w:tc>
          <w:tcPr>
            <w:tcW w:w="1280" w:type="dxa"/>
            <w:vAlign w:val="bottom"/>
          </w:tcPr>
          <w:p>
            <w:pPr>
              <w:jc w:val="right"/>
              <w:ind w:right="291"/>
              <w:spacing w:after="0"/>
              <w:rPr>
                <w:sz w:val="20"/>
                <w:szCs w:val="20"/>
                <w:color w:val="auto"/>
              </w:rPr>
            </w:pPr>
            <w:r>
              <w:rPr>
                <w:rFonts w:ascii="Arial" w:cs="Arial" w:eastAsia="Arial" w:hAnsi="Arial"/>
                <w:sz w:val="18"/>
                <w:szCs w:val="18"/>
                <w:b w:val="1"/>
                <w:bCs w:val="1"/>
                <w:color w:val="auto"/>
              </w:rPr>
              <w:t>$218,538</w:t>
            </w:r>
          </w:p>
        </w:tc>
        <w:tc>
          <w:tcPr>
            <w:tcW w:w="1680" w:type="dxa"/>
            <w:vAlign w:val="bottom"/>
          </w:tcPr>
          <w:p>
            <w:pPr>
              <w:jc w:val="right"/>
              <w:ind w:right="392"/>
              <w:spacing w:after="0"/>
              <w:rPr>
                <w:sz w:val="20"/>
                <w:szCs w:val="20"/>
                <w:color w:val="auto"/>
              </w:rPr>
            </w:pPr>
            <w:r>
              <w:rPr>
                <w:rFonts w:ascii="Arial" w:cs="Arial" w:eastAsia="Arial" w:hAnsi="Arial"/>
                <w:sz w:val="18"/>
                <w:szCs w:val="18"/>
                <w:b w:val="1"/>
                <w:bCs w:val="1"/>
                <w:color w:val="auto"/>
              </w:rPr>
              <w:t>$84,368</w:t>
            </w:r>
          </w:p>
        </w:tc>
        <w:tc>
          <w:tcPr>
            <w:tcW w:w="1440" w:type="dxa"/>
            <w:vAlign w:val="bottom"/>
          </w:tcPr>
          <w:p>
            <w:pPr>
              <w:jc w:val="right"/>
              <w:ind w:right="271"/>
              <w:spacing w:after="0"/>
              <w:rPr>
                <w:sz w:val="20"/>
                <w:szCs w:val="20"/>
                <w:color w:val="auto"/>
              </w:rPr>
            </w:pPr>
            <w:r>
              <w:rPr>
                <w:rFonts w:ascii="Arial" w:cs="Arial" w:eastAsia="Arial" w:hAnsi="Arial"/>
                <w:sz w:val="18"/>
                <w:szCs w:val="18"/>
                <w:color w:val="auto"/>
              </w:rPr>
              <w:t>$405,880</w:t>
            </w:r>
          </w:p>
        </w:tc>
        <w:tc>
          <w:tcPr>
            <w:tcW w:w="1400" w:type="dxa"/>
            <w:vAlign w:val="bottom"/>
          </w:tcPr>
          <w:p>
            <w:pPr>
              <w:jc w:val="right"/>
              <w:ind w:right="92"/>
              <w:spacing w:after="0"/>
              <w:rPr>
                <w:sz w:val="20"/>
                <w:szCs w:val="20"/>
                <w:color w:val="auto"/>
              </w:rPr>
            </w:pPr>
            <w:r>
              <w:rPr>
                <w:rFonts w:ascii="Arial" w:cs="Arial" w:eastAsia="Arial" w:hAnsi="Arial"/>
                <w:sz w:val="18"/>
                <w:szCs w:val="18"/>
                <w:color w:val="auto"/>
              </w:rPr>
              <w:t>$79,009</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60" w:type="dxa"/>
            <w:vAlign w:val="bottom"/>
            <w:tcBorders>
              <w:top w:val="single" w:sz="8" w:color="auto"/>
            </w:tcBorders>
          </w:tcPr>
          <w:p>
            <w:pPr>
              <w:ind w:left="200"/>
              <w:spacing w:after="0" w:line="173" w:lineRule="exact"/>
              <w:rPr>
                <w:sz w:val="20"/>
                <w:szCs w:val="20"/>
                <w:color w:val="auto"/>
              </w:rPr>
            </w:pPr>
            <w:r>
              <w:rPr>
                <w:rFonts w:ascii="Arial" w:cs="Arial" w:eastAsia="Arial" w:hAnsi="Arial"/>
                <w:sz w:val="18"/>
                <w:szCs w:val="18"/>
                <w:color w:val="auto"/>
              </w:rPr>
              <w:t>Service cost</w:t>
            </w:r>
          </w:p>
        </w:tc>
        <w:tc>
          <w:tcPr>
            <w:tcW w:w="1280" w:type="dxa"/>
            <w:vAlign w:val="bottom"/>
            <w:tcBorders>
              <w:top w:val="single" w:sz="8" w:color="auto"/>
            </w:tcBorders>
          </w:tcPr>
          <w:p>
            <w:pPr>
              <w:jc w:val="right"/>
              <w:ind w:right="291"/>
              <w:spacing w:after="0" w:line="173" w:lineRule="exact"/>
              <w:rPr>
                <w:sz w:val="20"/>
                <w:szCs w:val="20"/>
                <w:color w:val="auto"/>
              </w:rPr>
            </w:pPr>
            <w:r>
              <w:rPr>
                <w:rFonts w:ascii="Arial" w:cs="Arial" w:eastAsia="Arial" w:hAnsi="Arial"/>
                <w:sz w:val="18"/>
                <w:szCs w:val="18"/>
                <w:b w:val="1"/>
                <w:bCs w:val="1"/>
                <w:color w:val="auto"/>
              </w:rPr>
              <w:t>3,662</w:t>
            </w:r>
          </w:p>
        </w:tc>
        <w:tc>
          <w:tcPr>
            <w:tcW w:w="1680" w:type="dxa"/>
            <w:vAlign w:val="bottom"/>
            <w:tcBorders>
              <w:top w:val="single" w:sz="8" w:color="auto"/>
            </w:tcBorders>
          </w:tcPr>
          <w:p>
            <w:pPr>
              <w:jc w:val="right"/>
              <w:ind w:right="392"/>
              <w:spacing w:after="0" w:line="173" w:lineRule="exact"/>
              <w:rPr>
                <w:sz w:val="20"/>
                <w:szCs w:val="20"/>
                <w:color w:val="auto"/>
              </w:rPr>
            </w:pPr>
            <w:r>
              <w:rPr>
                <w:rFonts w:ascii="Arial" w:cs="Arial" w:eastAsia="Arial" w:hAnsi="Arial"/>
                <w:sz w:val="18"/>
                <w:szCs w:val="18"/>
                <w:b w:val="1"/>
                <w:bCs w:val="1"/>
                <w:color w:val="auto"/>
              </w:rPr>
              <w:t>875</w:t>
            </w:r>
          </w:p>
        </w:tc>
        <w:tc>
          <w:tcPr>
            <w:tcW w:w="1440" w:type="dxa"/>
            <w:vAlign w:val="bottom"/>
            <w:tcBorders>
              <w:top w:val="single" w:sz="8" w:color="auto"/>
            </w:tcBorders>
          </w:tcPr>
          <w:p>
            <w:pPr>
              <w:jc w:val="right"/>
              <w:ind w:right="271"/>
              <w:spacing w:after="0" w:line="173" w:lineRule="exact"/>
              <w:rPr>
                <w:sz w:val="20"/>
                <w:szCs w:val="20"/>
                <w:color w:val="auto"/>
              </w:rPr>
            </w:pPr>
            <w:r>
              <w:rPr>
                <w:rFonts w:ascii="Arial" w:cs="Arial" w:eastAsia="Arial" w:hAnsi="Arial"/>
                <w:sz w:val="18"/>
                <w:szCs w:val="18"/>
                <w:color w:val="auto"/>
              </w:rPr>
              <w:t>3,486</w:t>
            </w:r>
          </w:p>
        </w:tc>
        <w:tc>
          <w:tcPr>
            <w:tcW w:w="1400" w:type="dxa"/>
            <w:vAlign w:val="bottom"/>
            <w:tcBorders>
              <w:top w:val="single" w:sz="8" w:color="auto"/>
            </w:tcBorders>
          </w:tcPr>
          <w:p>
            <w:pPr>
              <w:jc w:val="right"/>
              <w:ind w:right="92"/>
              <w:spacing w:after="0" w:line="173" w:lineRule="exact"/>
              <w:rPr>
                <w:sz w:val="20"/>
                <w:szCs w:val="20"/>
                <w:color w:val="auto"/>
              </w:rPr>
            </w:pPr>
            <w:r>
              <w:rPr>
                <w:rFonts w:ascii="Arial" w:cs="Arial" w:eastAsia="Arial" w:hAnsi="Arial"/>
                <w:sz w:val="18"/>
                <w:szCs w:val="18"/>
                <w:color w:val="auto"/>
              </w:rPr>
              <w:t>1,071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tcPr>
          <w:p>
            <w:pPr>
              <w:ind w:left="200"/>
              <w:spacing w:after="0" w:line="202" w:lineRule="exact"/>
              <w:rPr>
                <w:sz w:val="20"/>
                <w:szCs w:val="20"/>
                <w:color w:val="auto"/>
              </w:rPr>
            </w:pPr>
            <w:r>
              <w:rPr>
                <w:rFonts w:ascii="Arial" w:cs="Arial" w:eastAsia="Arial" w:hAnsi="Arial"/>
                <w:sz w:val="18"/>
                <w:szCs w:val="18"/>
                <w:color w:val="auto"/>
              </w:rPr>
              <w:t>Interest cost</w:t>
            </w:r>
          </w:p>
        </w:tc>
        <w:tc>
          <w:tcPr>
            <w:tcW w:w="1280" w:type="dxa"/>
            <w:vAlign w:val="bottom"/>
          </w:tcPr>
          <w:p>
            <w:pPr>
              <w:jc w:val="right"/>
              <w:ind w:right="291"/>
              <w:spacing w:after="0" w:line="202" w:lineRule="exact"/>
              <w:rPr>
                <w:sz w:val="20"/>
                <w:szCs w:val="20"/>
                <w:color w:val="auto"/>
              </w:rPr>
            </w:pPr>
            <w:r>
              <w:rPr>
                <w:rFonts w:ascii="Arial" w:cs="Arial" w:eastAsia="Arial" w:hAnsi="Arial"/>
                <w:sz w:val="18"/>
                <w:szCs w:val="18"/>
                <w:b w:val="1"/>
                <w:bCs w:val="1"/>
                <w:color w:val="auto"/>
              </w:rPr>
              <w:t>8,852</w:t>
            </w:r>
          </w:p>
        </w:tc>
        <w:tc>
          <w:tcPr>
            <w:tcW w:w="1680" w:type="dxa"/>
            <w:vAlign w:val="bottom"/>
          </w:tcPr>
          <w:p>
            <w:pPr>
              <w:jc w:val="right"/>
              <w:ind w:right="392"/>
              <w:spacing w:after="0" w:line="202" w:lineRule="exact"/>
              <w:rPr>
                <w:sz w:val="20"/>
                <w:szCs w:val="20"/>
                <w:color w:val="auto"/>
              </w:rPr>
            </w:pPr>
            <w:r>
              <w:rPr>
                <w:rFonts w:ascii="Arial" w:cs="Arial" w:eastAsia="Arial" w:hAnsi="Arial"/>
                <w:sz w:val="18"/>
                <w:szCs w:val="18"/>
                <w:b w:val="1"/>
                <w:bCs w:val="1"/>
                <w:color w:val="auto"/>
              </w:rPr>
              <w:t>3,080</w:t>
            </w:r>
          </w:p>
        </w:tc>
        <w:tc>
          <w:tcPr>
            <w:tcW w:w="1440" w:type="dxa"/>
            <w:vAlign w:val="bottom"/>
          </w:tcPr>
          <w:p>
            <w:pPr>
              <w:jc w:val="right"/>
              <w:ind w:right="271"/>
              <w:spacing w:after="0" w:line="202" w:lineRule="exact"/>
              <w:rPr>
                <w:sz w:val="20"/>
                <w:szCs w:val="20"/>
                <w:color w:val="auto"/>
              </w:rPr>
            </w:pPr>
            <w:r>
              <w:rPr>
                <w:rFonts w:ascii="Arial" w:cs="Arial" w:eastAsia="Arial" w:hAnsi="Arial"/>
                <w:sz w:val="18"/>
                <w:szCs w:val="18"/>
                <w:color w:val="auto"/>
              </w:rPr>
              <w:t>12,180</w:t>
            </w:r>
          </w:p>
        </w:tc>
        <w:tc>
          <w:tcPr>
            <w:tcW w:w="14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3,691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tcPr>
          <w:p>
            <w:pPr>
              <w:ind w:left="200"/>
              <w:spacing w:after="0" w:line="202" w:lineRule="exact"/>
              <w:rPr>
                <w:sz w:val="20"/>
                <w:szCs w:val="20"/>
                <w:color w:val="auto"/>
              </w:rPr>
            </w:pPr>
            <w:r>
              <w:rPr>
                <w:rFonts w:ascii="Arial" w:cs="Arial" w:eastAsia="Arial" w:hAnsi="Arial"/>
                <w:sz w:val="18"/>
                <w:szCs w:val="18"/>
                <w:color w:val="auto"/>
              </w:rPr>
              <w:t>Plan participants' contributions</w:t>
            </w:r>
          </w:p>
        </w:tc>
        <w:tc>
          <w:tcPr>
            <w:tcW w:w="1280" w:type="dxa"/>
            <w:vAlign w:val="bottom"/>
          </w:tcPr>
          <w:p>
            <w:pPr>
              <w:jc w:val="right"/>
              <w:ind w:right="291"/>
              <w:spacing w:after="0" w:line="202" w:lineRule="exact"/>
              <w:rPr>
                <w:sz w:val="20"/>
                <w:szCs w:val="20"/>
                <w:color w:val="auto"/>
              </w:rPr>
            </w:pPr>
            <w:r>
              <w:rPr>
                <w:rFonts w:ascii="Arial" w:cs="Arial" w:eastAsia="Arial" w:hAnsi="Arial"/>
                <w:sz w:val="18"/>
                <w:szCs w:val="18"/>
                <w:b w:val="1"/>
                <w:bCs w:val="1"/>
                <w:color w:val="auto"/>
              </w:rPr>
              <w:t>331</w:t>
            </w:r>
          </w:p>
        </w:tc>
        <w:tc>
          <w:tcPr>
            <w:tcW w:w="1680" w:type="dxa"/>
            <w:vAlign w:val="bottom"/>
          </w:tcPr>
          <w:p>
            <w:pPr>
              <w:jc w:val="right"/>
              <w:ind w:right="392"/>
              <w:spacing w:after="0" w:line="202" w:lineRule="exact"/>
              <w:rPr>
                <w:sz w:val="20"/>
                <w:szCs w:val="20"/>
                <w:color w:val="auto"/>
              </w:rPr>
            </w:pPr>
            <w:r>
              <w:rPr>
                <w:rFonts w:ascii="Arial" w:cs="Arial" w:eastAsia="Arial" w:hAnsi="Arial"/>
                <w:sz w:val="18"/>
                <w:szCs w:val="18"/>
                <w:b w:val="1"/>
                <w:bCs w:val="1"/>
                <w:color w:val="auto"/>
              </w:rPr>
              <w:t>-</w:t>
            </w:r>
          </w:p>
        </w:tc>
        <w:tc>
          <w:tcPr>
            <w:tcW w:w="1440" w:type="dxa"/>
            <w:vAlign w:val="bottom"/>
          </w:tcPr>
          <w:p>
            <w:pPr>
              <w:jc w:val="right"/>
              <w:ind w:right="271"/>
              <w:spacing w:after="0" w:line="202" w:lineRule="exact"/>
              <w:rPr>
                <w:sz w:val="20"/>
                <w:szCs w:val="20"/>
                <w:color w:val="auto"/>
              </w:rPr>
            </w:pPr>
            <w:r>
              <w:rPr>
                <w:rFonts w:ascii="Arial" w:cs="Arial" w:eastAsia="Arial" w:hAnsi="Arial"/>
                <w:sz w:val="18"/>
                <w:szCs w:val="18"/>
                <w:color w:val="auto"/>
              </w:rPr>
              <w:t>344</w:t>
            </w:r>
          </w:p>
        </w:tc>
        <w:tc>
          <w:tcPr>
            <w:tcW w:w="14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tcPr>
          <w:p>
            <w:pPr>
              <w:ind w:left="180"/>
              <w:spacing w:after="0" w:line="202" w:lineRule="exact"/>
              <w:rPr>
                <w:sz w:val="20"/>
                <w:szCs w:val="20"/>
                <w:color w:val="auto"/>
              </w:rPr>
            </w:pPr>
            <w:r>
              <w:rPr>
                <w:rFonts w:ascii="Arial" w:cs="Arial" w:eastAsia="Arial" w:hAnsi="Arial"/>
                <w:sz w:val="18"/>
                <w:szCs w:val="18"/>
                <w:color w:val="auto"/>
              </w:rPr>
              <w:t>Actuarial loss/(gain)</w:t>
            </w:r>
          </w:p>
        </w:tc>
        <w:tc>
          <w:tcPr>
            <w:tcW w:w="1280" w:type="dxa"/>
            <w:vAlign w:val="bottom"/>
          </w:tcPr>
          <w:p>
            <w:pPr>
              <w:jc w:val="right"/>
              <w:ind w:right="231"/>
              <w:spacing w:after="0" w:line="202" w:lineRule="exact"/>
              <w:rPr>
                <w:sz w:val="20"/>
                <w:szCs w:val="20"/>
                <w:color w:val="auto"/>
              </w:rPr>
            </w:pPr>
            <w:r>
              <w:rPr>
                <w:rFonts w:ascii="Arial" w:cs="Arial" w:eastAsia="Arial" w:hAnsi="Arial"/>
                <w:sz w:val="18"/>
                <w:szCs w:val="18"/>
                <w:b w:val="1"/>
                <w:bCs w:val="1"/>
                <w:color w:val="auto"/>
              </w:rPr>
              <w:t>(17,461)</w:t>
            </w:r>
          </w:p>
        </w:tc>
        <w:tc>
          <w:tcPr>
            <w:tcW w:w="1680" w:type="dxa"/>
            <w:vAlign w:val="bottom"/>
          </w:tcPr>
          <w:p>
            <w:pPr>
              <w:jc w:val="right"/>
              <w:ind w:right="332"/>
              <w:spacing w:after="0" w:line="202" w:lineRule="exact"/>
              <w:rPr>
                <w:sz w:val="20"/>
                <w:szCs w:val="20"/>
                <w:color w:val="auto"/>
              </w:rPr>
            </w:pPr>
            <w:r>
              <w:rPr>
                <w:rFonts w:ascii="Arial" w:cs="Arial" w:eastAsia="Arial" w:hAnsi="Arial"/>
                <w:sz w:val="18"/>
                <w:szCs w:val="18"/>
                <w:b w:val="1"/>
                <w:bCs w:val="1"/>
                <w:color w:val="auto"/>
              </w:rPr>
              <w:t>(13,396)</w:t>
            </w:r>
          </w:p>
        </w:tc>
        <w:tc>
          <w:tcPr>
            <w:tcW w:w="1440" w:type="dxa"/>
            <w:vAlign w:val="bottom"/>
          </w:tcPr>
          <w:p>
            <w:pPr>
              <w:jc w:val="right"/>
              <w:ind w:right="271"/>
              <w:spacing w:after="0" w:line="202" w:lineRule="exact"/>
              <w:rPr>
                <w:sz w:val="20"/>
                <w:szCs w:val="20"/>
                <w:color w:val="auto"/>
              </w:rPr>
            </w:pPr>
            <w:r>
              <w:rPr>
                <w:rFonts w:ascii="Arial" w:cs="Arial" w:eastAsia="Arial" w:hAnsi="Arial"/>
                <w:sz w:val="18"/>
                <w:szCs w:val="18"/>
                <w:color w:val="auto"/>
              </w:rPr>
              <w:t>49,582</w:t>
            </w:r>
          </w:p>
        </w:tc>
        <w:tc>
          <w:tcPr>
            <w:tcW w:w="14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6,343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tcPr>
          <w:p>
            <w:pPr>
              <w:ind w:left="200"/>
              <w:spacing w:after="0" w:line="202" w:lineRule="exact"/>
              <w:rPr>
                <w:sz w:val="20"/>
                <w:szCs w:val="20"/>
                <w:color w:val="auto"/>
              </w:rPr>
            </w:pPr>
            <w:r>
              <w:rPr>
                <w:rFonts w:ascii="Arial" w:cs="Arial" w:eastAsia="Arial" w:hAnsi="Arial"/>
                <w:sz w:val="18"/>
                <w:szCs w:val="18"/>
                <w:color w:val="auto"/>
              </w:rPr>
              <w:t>Benefits paid</w:t>
            </w:r>
          </w:p>
        </w:tc>
        <w:tc>
          <w:tcPr>
            <w:tcW w:w="1280" w:type="dxa"/>
            <w:vAlign w:val="bottom"/>
          </w:tcPr>
          <w:p>
            <w:pPr>
              <w:jc w:val="right"/>
              <w:ind w:right="231"/>
              <w:spacing w:after="0" w:line="202" w:lineRule="exact"/>
              <w:rPr>
                <w:sz w:val="20"/>
                <w:szCs w:val="20"/>
                <w:color w:val="auto"/>
              </w:rPr>
            </w:pPr>
            <w:r>
              <w:rPr>
                <w:rFonts w:ascii="Arial" w:cs="Arial" w:eastAsia="Arial" w:hAnsi="Arial"/>
                <w:sz w:val="18"/>
                <w:szCs w:val="18"/>
                <w:b w:val="1"/>
                <w:bCs w:val="1"/>
                <w:color w:val="auto"/>
              </w:rPr>
              <w:t>(5,999)</w:t>
            </w:r>
          </w:p>
        </w:tc>
        <w:tc>
          <w:tcPr>
            <w:tcW w:w="1680" w:type="dxa"/>
            <w:vAlign w:val="bottom"/>
          </w:tcPr>
          <w:p>
            <w:pPr>
              <w:jc w:val="right"/>
              <w:ind w:right="332"/>
              <w:spacing w:after="0" w:line="202" w:lineRule="exact"/>
              <w:rPr>
                <w:sz w:val="20"/>
                <w:szCs w:val="20"/>
                <w:color w:val="auto"/>
              </w:rPr>
            </w:pPr>
            <w:r>
              <w:rPr>
                <w:rFonts w:ascii="Arial" w:cs="Arial" w:eastAsia="Arial" w:hAnsi="Arial"/>
                <w:sz w:val="18"/>
                <w:szCs w:val="18"/>
                <w:b w:val="1"/>
                <w:bCs w:val="1"/>
                <w:color w:val="auto"/>
              </w:rPr>
              <w:t>(5,773)</w:t>
            </w:r>
          </w:p>
        </w:tc>
        <w:tc>
          <w:tcPr>
            <w:tcW w:w="144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(14,909)</w:t>
            </w:r>
          </w:p>
        </w:tc>
        <w:tc>
          <w:tcPr>
            <w:tcW w:w="14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(5,778)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tcPr>
          <w:p>
            <w:pPr>
              <w:ind w:left="200"/>
              <w:spacing w:after="0" w:line="202" w:lineRule="exact"/>
              <w:rPr>
                <w:sz w:val="20"/>
                <w:szCs w:val="20"/>
                <w:color w:val="auto"/>
              </w:rPr>
            </w:pPr>
            <w:r>
              <w:rPr>
                <w:rFonts w:ascii="Arial" w:cs="Arial" w:eastAsia="Arial" w:hAnsi="Arial"/>
                <w:sz w:val="18"/>
                <w:szCs w:val="18"/>
                <w:color w:val="auto"/>
              </w:rPr>
              <w:t>Settlements and curtailments</w:t>
            </w:r>
          </w:p>
        </w:tc>
        <w:tc>
          <w:tcPr>
            <w:tcW w:w="1280" w:type="dxa"/>
            <w:vAlign w:val="bottom"/>
          </w:tcPr>
          <w:p>
            <w:pPr>
              <w:jc w:val="right"/>
              <w:ind w:right="231"/>
              <w:spacing w:after="0" w:line="202" w:lineRule="exact"/>
              <w:rPr>
                <w:sz w:val="20"/>
                <w:szCs w:val="20"/>
                <w:color w:val="auto"/>
              </w:rPr>
            </w:pPr>
            <w:r>
              <w:rPr>
                <w:rFonts w:ascii="Arial" w:cs="Arial" w:eastAsia="Arial" w:hAnsi="Arial"/>
                <w:sz w:val="18"/>
                <w:szCs w:val="18"/>
                <w:b w:val="1"/>
                <w:bCs w:val="1"/>
                <w:color w:val="auto"/>
              </w:rPr>
              <w:t>(2,950)</w:t>
            </w:r>
          </w:p>
        </w:tc>
        <w:tc>
          <w:tcPr>
            <w:tcW w:w="1680" w:type="dxa"/>
            <w:vAlign w:val="bottom"/>
          </w:tcPr>
          <w:p>
            <w:pPr>
              <w:jc w:val="right"/>
              <w:ind w:right="392"/>
              <w:spacing w:after="0" w:line="202" w:lineRule="exact"/>
              <w:rPr>
                <w:sz w:val="20"/>
                <w:szCs w:val="20"/>
                <w:color w:val="auto"/>
              </w:rPr>
            </w:pPr>
            <w:r>
              <w:rPr>
                <w:rFonts w:ascii="Arial" w:cs="Arial" w:eastAsia="Arial" w:hAnsi="Arial"/>
                <w:sz w:val="18"/>
                <w:szCs w:val="18"/>
                <w:b w:val="1"/>
                <w:bCs w:val="1"/>
                <w:color w:val="auto"/>
              </w:rPr>
              <w:t>-</w:t>
            </w:r>
          </w:p>
        </w:tc>
        <w:tc>
          <w:tcPr>
            <w:tcW w:w="144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(249,709)</w:t>
            </w:r>
          </w:p>
        </w:tc>
        <w:tc>
          <w:tcPr>
            <w:tcW w:w="14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tcPr>
          <w:p>
            <w:pPr>
              <w:ind w:left="200"/>
              <w:spacing w:after="0" w:line="202" w:lineRule="exact"/>
              <w:rPr>
                <w:sz w:val="20"/>
                <w:szCs w:val="20"/>
                <w:color w:val="auto"/>
              </w:rPr>
            </w:pPr>
            <w:r>
              <w:rPr>
                <w:rFonts w:ascii="Arial" w:cs="Arial" w:eastAsia="Arial" w:hAnsi="Arial"/>
                <w:sz w:val="18"/>
                <w:szCs w:val="18"/>
                <w:color w:val="auto"/>
              </w:rPr>
              <w:t>Plan Amendments and Other</w:t>
            </w:r>
          </w:p>
        </w:tc>
        <w:tc>
          <w:tcPr>
            <w:tcW w:w="1280" w:type="dxa"/>
            <w:vAlign w:val="bottom"/>
          </w:tcPr>
          <w:p>
            <w:pPr>
              <w:jc w:val="right"/>
              <w:ind w:right="291"/>
              <w:spacing w:after="0" w:line="202" w:lineRule="exact"/>
              <w:rPr>
                <w:sz w:val="20"/>
                <w:szCs w:val="20"/>
                <w:color w:val="auto"/>
              </w:rPr>
            </w:pPr>
            <w:r>
              <w:rPr>
                <w:rFonts w:ascii="Arial" w:cs="Arial" w:eastAsia="Arial" w:hAnsi="Arial"/>
                <w:sz w:val="18"/>
                <w:szCs w:val="18"/>
                <w:b w:val="1"/>
                <w:bCs w:val="1"/>
                <w:color w:val="auto"/>
              </w:rPr>
              <w:t>613</w:t>
            </w:r>
          </w:p>
        </w:tc>
        <w:tc>
          <w:tcPr>
            <w:tcW w:w="1680" w:type="dxa"/>
            <w:vAlign w:val="bottom"/>
          </w:tcPr>
          <w:p>
            <w:pPr>
              <w:jc w:val="right"/>
              <w:ind w:right="332"/>
              <w:spacing w:after="0" w:line="202" w:lineRule="exact"/>
              <w:rPr>
                <w:sz w:val="20"/>
                <w:szCs w:val="20"/>
                <w:color w:val="auto"/>
              </w:rPr>
            </w:pPr>
            <w:r>
              <w:rPr>
                <w:rFonts w:ascii="Arial" w:cs="Arial" w:eastAsia="Arial" w:hAnsi="Arial"/>
                <w:sz w:val="18"/>
                <w:szCs w:val="18"/>
                <w:b w:val="1"/>
                <w:bCs w:val="1"/>
                <w:color w:val="auto"/>
              </w:rPr>
              <w:t>(7,974)</w:t>
            </w:r>
          </w:p>
        </w:tc>
        <w:tc>
          <w:tcPr>
            <w:tcW w:w="1440" w:type="dxa"/>
            <w:vAlign w:val="bottom"/>
          </w:tcPr>
          <w:p>
            <w:pPr>
              <w:jc w:val="right"/>
              <w:ind w:right="271"/>
              <w:spacing w:after="0" w:line="202" w:lineRule="exact"/>
              <w:rPr>
                <w:sz w:val="20"/>
                <w:szCs w:val="20"/>
                <w:color w:val="auto"/>
              </w:rPr>
            </w:pPr>
            <w:r>
              <w:rPr>
                <w:rFonts w:ascii="Arial" w:cs="Arial" w:eastAsia="Arial" w:hAnsi="Arial"/>
                <w:sz w:val="18"/>
                <w:szCs w:val="18"/>
                <w:color w:val="auto"/>
              </w:rPr>
              <w:t>571</w:t>
            </w:r>
          </w:p>
        </w:tc>
        <w:tc>
          <w:tcPr>
            <w:tcW w:w="14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4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Foreign currency changes</w:t>
            </w:r>
          </w:p>
        </w:tc>
        <w:tc>
          <w:tcPr>
            <w:tcW w:w="128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rPr>
              <w:t>(1,252)</w:t>
            </w:r>
          </w:p>
        </w:tc>
        <w:tc>
          <w:tcPr>
            <w:tcW w:w="16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(72)</w:t>
            </w:r>
          </w:p>
        </w:tc>
        <w:tc>
          <w:tcPr>
            <w:tcW w:w="144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11,113</w:t>
            </w:r>
          </w:p>
        </w:tc>
        <w:tc>
          <w:tcPr>
            <w:tcW w:w="14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44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Benefit obligation, end of year</w:t>
            </w:r>
          </w:p>
        </w:tc>
        <w:tc>
          <w:tcPr>
            <w:tcW w:w="1280" w:type="dxa"/>
            <w:vAlign w:val="bottom"/>
            <w:tcBorders>
              <w:bottom w:val="single" w:sz="8" w:color="auto"/>
            </w:tcBorders>
          </w:tcPr>
          <w:p>
            <w:pPr>
              <w:jc w:val="right"/>
              <w:ind w:right="291"/>
              <w:spacing w:after="0" w:line="196" w:lineRule="exact"/>
              <w:rPr>
                <w:sz w:val="20"/>
                <w:szCs w:val="20"/>
                <w:color w:val="auto"/>
              </w:rPr>
            </w:pPr>
            <w:r>
              <w:rPr>
                <w:rFonts w:ascii="Arial" w:cs="Arial" w:eastAsia="Arial" w:hAnsi="Arial"/>
                <w:sz w:val="18"/>
                <w:szCs w:val="18"/>
                <w:b w:val="1"/>
                <w:bCs w:val="1"/>
                <w:color w:val="auto"/>
              </w:rPr>
              <w:t>$204,334</w:t>
            </w:r>
          </w:p>
        </w:tc>
        <w:tc>
          <w:tcPr>
            <w:tcW w:w="1680" w:type="dxa"/>
            <w:vAlign w:val="bottom"/>
            <w:tcBorders>
              <w:bottom w:val="single" w:sz="8" w:color="auto"/>
            </w:tcBorders>
          </w:tcPr>
          <w:p>
            <w:pPr>
              <w:jc w:val="right"/>
              <w:ind w:right="392"/>
              <w:spacing w:after="0" w:line="196" w:lineRule="exact"/>
              <w:rPr>
                <w:sz w:val="20"/>
                <w:szCs w:val="20"/>
                <w:color w:val="auto"/>
              </w:rPr>
            </w:pPr>
            <w:r>
              <w:rPr>
                <w:rFonts w:ascii="Arial" w:cs="Arial" w:eastAsia="Arial" w:hAnsi="Arial"/>
                <w:sz w:val="18"/>
                <w:szCs w:val="18"/>
                <w:b w:val="1"/>
                <w:bCs w:val="1"/>
                <w:color w:val="auto"/>
              </w:rPr>
              <w:t>$61,108</w:t>
            </w:r>
          </w:p>
        </w:tc>
        <w:tc>
          <w:tcPr>
            <w:tcW w:w="1440" w:type="dxa"/>
            <w:vAlign w:val="bottom"/>
            <w:tcBorders>
              <w:bottom w:val="single" w:sz="8" w:color="auto"/>
            </w:tcBorders>
          </w:tcPr>
          <w:p>
            <w:pPr>
              <w:jc w:val="right"/>
              <w:ind w:right="271"/>
              <w:spacing w:after="0" w:line="196" w:lineRule="exact"/>
              <w:rPr>
                <w:sz w:val="20"/>
                <w:szCs w:val="20"/>
                <w:color w:val="auto"/>
              </w:rPr>
            </w:pPr>
            <w:r>
              <w:rPr>
                <w:rFonts w:ascii="Arial" w:cs="Arial" w:eastAsia="Arial" w:hAnsi="Arial"/>
                <w:sz w:val="18"/>
                <w:szCs w:val="18"/>
                <w:color w:val="auto"/>
              </w:rPr>
              <w:t>$218,538</w:t>
            </w:r>
          </w:p>
        </w:tc>
        <w:tc>
          <w:tcPr>
            <w:tcW w:w="1400" w:type="dxa"/>
            <w:vAlign w:val="bottom"/>
            <w:tcBorders>
              <w:bottom w:val="single" w:sz="8" w:color="auto"/>
            </w:tcBorders>
          </w:tcPr>
          <w:p>
            <w:pPr>
              <w:jc w:val="right"/>
              <w:ind w:right="92"/>
              <w:spacing w:after="0" w:line="196" w:lineRule="exact"/>
              <w:rPr>
                <w:sz w:val="20"/>
                <w:szCs w:val="20"/>
                <w:color w:val="auto"/>
              </w:rPr>
            </w:pPr>
            <w:r>
              <w:rPr>
                <w:rFonts w:ascii="Arial" w:cs="Arial" w:eastAsia="Arial" w:hAnsi="Arial"/>
                <w:sz w:val="18"/>
                <w:szCs w:val="18"/>
                <w:color w:val="auto"/>
              </w:rPr>
              <w:t>$84,368</w:t>
            </w:r>
          </w:p>
        </w:tc>
        <w:tc>
          <w:tcPr>
            <w:tcW w:w="0" w:type="dxa"/>
            <w:vAlign w:val="bottom"/>
          </w:tcPr>
          <w:p>
            <w:pPr>
              <w:spacing w:after="0"/>
              <w:rPr>
                <w:sz w:val="1"/>
                <w:szCs w:val="1"/>
                <w:color w:val="auto"/>
              </w:rPr>
            </w:pPr>
          </w:p>
        </w:tc>
      </w:tr>
      <w:tr>
        <w:trPr>
          <w:trHeight w:val="399"/>
        </w:trPr>
        <w:tc>
          <w:tcPr>
            <w:tcW w:w="4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Accumulated benefit obligation</w:t>
            </w:r>
          </w:p>
        </w:tc>
        <w:tc>
          <w:tcPr>
            <w:tcW w:w="12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$190,561</w:t>
            </w:r>
          </w:p>
        </w:tc>
        <w:tc>
          <w:tcPr>
            <w:tcW w:w="168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w:t>
            </w:r>
          </w:p>
        </w:tc>
        <w:tc>
          <w:tcPr>
            <w:tcW w:w="144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$202,917</w:t>
            </w:r>
          </w:p>
        </w:tc>
        <w:tc>
          <w:tcPr>
            <w:tcW w:w="14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8"/>
        </w:trPr>
        <w:tc>
          <w:tcPr>
            <w:tcW w:w="4480" w:type="dxa"/>
            <w:vAlign w:val="bottom"/>
            <w:gridSpan w:val="2"/>
          </w:tcPr>
          <w:p>
            <w:pPr>
              <w:spacing w:after="0"/>
              <w:rPr>
                <w:sz w:val="20"/>
                <w:szCs w:val="20"/>
                <w:color w:val="auto"/>
              </w:rPr>
            </w:pPr>
            <w:r>
              <w:rPr>
                <w:rFonts w:ascii="Arial" w:cs="Arial" w:eastAsia="Arial" w:hAnsi="Arial"/>
                <w:sz w:val="18"/>
                <w:szCs w:val="18"/>
                <w:color w:val="auto"/>
              </w:rPr>
              <w:t>Weighted average assumptions used to</w:t>
            </w:r>
          </w:p>
        </w:tc>
        <w:tc>
          <w:tcPr>
            <w:tcW w:w="1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480" w:type="dxa"/>
            <w:vAlign w:val="bottom"/>
            <w:gridSpan w:val="2"/>
          </w:tcPr>
          <w:p>
            <w:pPr>
              <w:spacing w:after="0" w:line="202" w:lineRule="exact"/>
              <w:rPr>
                <w:sz w:val="20"/>
                <w:szCs w:val="20"/>
                <w:color w:val="auto"/>
              </w:rPr>
            </w:pPr>
            <w:r>
              <w:rPr>
                <w:rFonts w:ascii="Arial" w:cs="Arial" w:eastAsia="Arial" w:hAnsi="Arial"/>
                <w:sz w:val="18"/>
                <w:szCs w:val="18"/>
                <w:color w:val="auto"/>
              </w:rPr>
              <w:t>determine benefit obligations, end of year:</w:t>
            </w:r>
          </w:p>
        </w:tc>
        <w:tc>
          <w:tcPr>
            <w:tcW w:w="1280" w:type="dxa"/>
            <w:vAlign w:val="bottom"/>
            <w:vMerge w:val="restart"/>
          </w:tcPr>
          <w:p>
            <w:pPr>
              <w:jc w:val="right"/>
              <w:ind w:right="131"/>
              <w:spacing w:after="0"/>
              <w:rPr>
                <w:sz w:val="20"/>
                <w:szCs w:val="20"/>
                <w:color w:val="auto"/>
              </w:rPr>
            </w:pPr>
            <w:r>
              <w:rPr>
                <w:rFonts w:ascii="Arial" w:cs="Arial" w:eastAsia="Arial" w:hAnsi="Arial"/>
                <w:sz w:val="18"/>
                <w:szCs w:val="18"/>
                <w:b w:val="1"/>
                <w:bCs w:val="1"/>
                <w:color w:val="auto"/>
              </w:rPr>
              <w:t>5.22%</w:t>
            </w:r>
          </w:p>
        </w:tc>
        <w:tc>
          <w:tcPr>
            <w:tcW w:w="1680" w:type="dxa"/>
            <w:vAlign w:val="bottom"/>
            <w:vMerge w:val="restart"/>
          </w:tcPr>
          <w:p>
            <w:pPr>
              <w:jc w:val="right"/>
              <w:ind w:right="232"/>
              <w:spacing w:after="0"/>
              <w:rPr>
                <w:sz w:val="20"/>
                <w:szCs w:val="20"/>
                <w:color w:val="auto"/>
              </w:rPr>
            </w:pPr>
            <w:r>
              <w:rPr>
                <w:rFonts w:ascii="Arial" w:cs="Arial" w:eastAsia="Arial" w:hAnsi="Arial"/>
                <w:sz w:val="18"/>
                <w:szCs w:val="18"/>
                <w:b w:val="1"/>
                <w:bCs w:val="1"/>
                <w:color w:val="auto"/>
              </w:rPr>
              <w:t>4.68%</w:t>
            </w:r>
          </w:p>
        </w:tc>
        <w:tc>
          <w:tcPr>
            <w:tcW w:w="14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460" w:type="dxa"/>
            <w:vAlign w:val="bottom"/>
          </w:tcPr>
          <w:p>
            <w:pPr>
              <w:ind w:left="200"/>
              <w:spacing w:after="0" w:line="181" w:lineRule="exact"/>
              <w:rPr>
                <w:sz w:val="20"/>
                <w:szCs w:val="20"/>
                <w:color w:val="auto"/>
              </w:rPr>
            </w:pPr>
            <w:r>
              <w:rPr>
                <w:rFonts w:ascii="Arial" w:cs="Arial" w:eastAsia="Arial" w:hAnsi="Arial"/>
                <w:sz w:val="18"/>
                <w:szCs w:val="18"/>
                <w:color w:val="auto"/>
              </w:rPr>
              <w:t>Discount rate - U.S. plan</w:t>
            </w:r>
          </w:p>
        </w:tc>
        <w:tc>
          <w:tcPr>
            <w:tcW w:w="1280" w:type="dxa"/>
            <w:vAlign w:val="bottom"/>
            <w:vMerge w:val="continue"/>
          </w:tcPr>
          <w:p>
            <w:pPr>
              <w:spacing w:after="0"/>
              <w:rPr>
                <w:sz w:val="15"/>
                <w:szCs w:val="15"/>
                <w:color w:val="auto"/>
              </w:rPr>
            </w:pPr>
          </w:p>
        </w:tc>
        <w:tc>
          <w:tcPr>
            <w:tcW w:w="1680" w:type="dxa"/>
            <w:vAlign w:val="bottom"/>
            <w:vMerge w:val="continue"/>
          </w:tcPr>
          <w:p>
            <w:pPr>
              <w:spacing w:after="0"/>
              <w:rPr>
                <w:sz w:val="15"/>
                <w:szCs w:val="15"/>
                <w:color w:val="auto"/>
              </w:rPr>
            </w:pPr>
          </w:p>
        </w:tc>
        <w:tc>
          <w:tcPr>
            <w:tcW w:w="1440" w:type="dxa"/>
            <w:vAlign w:val="bottom"/>
          </w:tcPr>
          <w:p>
            <w:pPr>
              <w:jc w:val="right"/>
              <w:ind w:right="111"/>
              <w:spacing w:after="0" w:line="181" w:lineRule="exact"/>
              <w:rPr>
                <w:sz w:val="20"/>
                <w:szCs w:val="20"/>
                <w:color w:val="auto"/>
              </w:rPr>
            </w:pPr>
            <w:r>
              <w:rPr>
                <w:rFonts w:ascii="Arial" w:cs="Arial" w:eastAsia="Arial" w:hAnsi="Arial"/>
                <w:sz w:val="18"/>
                <w:szCs w:val="18"/>
                <w:color w:val="auto"/>
              </w:rPr>
              <w:t>4.28%</w:t>
            </w:r>
          </w:p>
        </w:tc>
        <w:tc>
          <w:tcPr>
            <w:tcW w:w="1400" w:type="dxa"/>
            <w:vAlign w:val="bottom"/>
          </w:tcPr>
          <w:p>
            <w:pPr>
              <w:jc w:val="right"/>
              <w:spacing w:after="0" w:line="181" w:lineRule="exact"/>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tcPr>
          <w:p>
            <w:pPr>
              <w:ind w:left="200"/>
              <w:spacing w:after="0" w:line="202" w:lineRule="exact"/>
              <w:rPr>
                <w:sz w:val="20"/>
                <w:szCs w:val="20"/>
                <w:color w:val="auto"/>
              </w:rPr>
            </w:pPr>
            <w:r>
              <w:rPr>
                <w:rFonts w:ascii="Arial" w:cs="Arial" w:eastAsia="Arial" w:hAnsi="Arial"/>
                <w:sz w:val="18"/>
                <w:szCs w:val="18"/>
                <w:color w:val="auto"/>
              </w:rPr>
              <w:t>Discount rate - non-U.S. plans</w:t>
            </w:r>
          </w:p>
        </w:tc>
        <w:tc>
          <w:tcPr>
            <w:tcW w:w="1280" w:type="dxa"/>
            <w:vAlign w:val="bottom"/>
          </w:tcPr>
          <w:p>
            <w:pPr>
              <w:jc w:val="right"/>
              <w:ind w:right="131"/>
              <w:spacing w:after="0" w:line="202" w:lineRule="exact"/>
              <w:rPr>
                <w:sz w:val="20"/>
                <w:szCs w:val="20"/>
                <w:color w:val="auto"/>
              </w:rPr>
            </w:pPr>
            <w:r>
              <w:rPr>
                <w:rFonts w:ascii="Arial" w:cs="Arial" w:eastAsia="Arial" w:hAnsi="Arial"/>
                <w:sz w:val="18"/>
                <w:szCs w:val="18"/>
                <w:b w:val="1"/>
                <w:bCs w:val="1"/>
                <w:color w:val="auto"/>
              </w:rPr>
              <w:t>4.50%</w:t>
            </w:r>
          </w:p>
        </w:tc>
        <w:tc>
          <w:tcPr>
            <w:tcW w:w="1680" w:type="dxa"/>
            <w:vAlign w:val="bottom"/>
          </w:tcPr>
          <w:p>
            <w:pPr>
              <w:jc w:val="right"/>
              <w:ind w:right="232"/>
              <w:spacing w:after="0" w:line="202" w:lineRule="exact"/>
              <w:rPr>
                <w:sz w:val="20"/>
                <w:szCs w:val="20"/>
                <w:color w:val="auto"/>
              </w:rPr>
            </w:pPr>
            <w:r>
              <w:rPr>
                <w:rFonts w:ascii="Arial" w:cs="Arial" w:eastAsia="Arial" w:hAnsi="Arial"/>
                <w:sz w:val="18"/>
                <w:szCs w:val="18"/>
                <w:b w:val="1"/>
                <w:bCs w:val="1"/>
                <w:color w:val="auto"/>
              </w:rPr>
              <w:t>4.75%</w:t>
            </w:r>
          </w:p>
        </w:tc>
        <w:tc>
          <w:tcPr>
            <w:tcW w:w="144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4.09%</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tcPr>
          <w:p>
            <w:pPr>
              <w:ind w:left="200"/>
              <w:spacing w:after="0" w:line="202" w:lineRule="exact"/>
              <w:rPr>
                <w:sz w:val="20"/>
                <w:szCs w:val="20"/>
                <w:color w:val="auto"/>
              </w:rPr>
            </w:pPr>
            <w:r>
              <w:rPr>
                <w:rFonts w:ascii="Arial" w:cs="Arial" w:eastAsia="Arial" w:hAnsi="Arial"/>
                <w:sz w:val="18"/>
                <w:szCs w:val="18"/>
                <w:color w:val="auto"/>
              </w:rPr>
              <w:t>Compensation increase - U.S. plan</w:t>
            </w:r>
          </w:p>
        </w:tc>
        <w:tc>
          <w:tcPr>
            <w:tcW w:w="1280" w:type="dxa"/>
            <w:vAlign w:val="bottom"/>
          </w:tcPr>
          <w:p>
            <w:pPr>
              <w:jc w:val="right"/>
              <w:ind w:right="291"/>
              <w:spacing w:after="0" w:line="202" w:lineRule="exact"/>
              <w:rPr>
                <w:sz w:val="20"/>
                <w:szCs w:val="20"/>
                <w:color w:val="auto"/>
              </w:rPr>
            </w:pPr>
            <w:r>
              <w:rPr>
                <w:rFonts w:ascii="Arial" w:cs="Arial" w:eastAsia="Arial" w:hAnsi="Arial"/>
                <w:sz w:val="18"/>
                <w:szCs w:val="18"/>
                <w:b w:val="1"/>
                <w:bCs w:val="1"/>
                <w:color w:val="auto"/>
              </w:rPr>
              <w:t>-</w:t>
            </w:r>
          </w:p>
        </w:tc>
        <w:tc>
          <w:tcPr>
            <w:tcW w:w="1680" w:type="dxa"/>
            <w:vAlign w:val="bottom"/>
          </w:tcPr>
          <w:p>
            <w:pPr>
              <w:jc w:val="right"/>
              <w:ind w:right="392"/>
              <w:spacing w:after="0" w:line="202" w:lineRule="exact"/>
              <w:rPr>
                <w:sz w:val="20"/>
                <w:szCs w:val="20"/>
                <w:color w:val="auto"/>
              </w:rPr>
            </w:pPr>
            <w:r>
              <w:rPr>
                <w:rFonts w:ascii="Arial" w:cs="Arial" w:eastAsia="Arial" w:hAnsi="Arial"/>
                <w:sz w:val="18"/>
                <w:szCs w:val="18"/>
                <w:b w:val="1"/>
                <w:bCs w:val="1"/>
                <w:color w:val="auto"/>
              </w:rPr>
              <w:t>-</w:t>
            </w:r>
          </w:p>
        </w:tc>
        <w:tc>
          <w:tcPr>
            <w:tcW w:w="1440" w:type="dxa"/>
            <w:vAlign w:val="bottom"/>
          </w:tcPr>
          <w:p>
            <w:pPr>
              <w:jc w:val="right"/>
              <w:ind w:right="271"/>
              <w:spacing w:after="0" w:line="202" w:lineRule="exact"/>
              <w:rPr>
                <w:sz w:val="20"/>
                <w:szCs w:val="20"/>
                <w:color w:val="auto"/>
              </w:rPr>
            </w:pPr>
            <w:r>
              <w:rPr>
                <w:rFonts w:ascii="Arial" w:cs="Arial" w:eastAsia="Arial" w:hAnsi="Arial"/>
                <w:sz w:val="18"/>
                <w:szCs w:val="18"/>
                <w:b w:val="1"/>
                <w:bCs w:val="1"/>
                <w:color w:val="auto"/>
              </w:rPr>
              <w:t>-</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4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Compensation increase - non-U.S. plans</w:t>
            </w:r>
          </w:p>
        </w:tc>
        <w:tc>
          <w:tcPr>
            <w:tcW w:w="12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b w:val="1"/>
                <w:bCs w:val="1"/>
                <w:color w:val="auto"/>
              </w:rPr>
              <w:t>3.39%</w:t>
            </w:r>
          </w:p>
        </w:tc>
        <w:tc>
          <w:tcPr>
            <w:tcW w:w="16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3.00%</w:t>
            </w:r>
          </w:p>
        </w:tc>
        <w:tc>
          <w:tcPr>
            <w:tcW w:w="144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3.26%</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4460" w:type="dxa"/>
            <w:vAlign w:val="bottom"/>
          </w:tcPr>
          <w:p>
            <w:pPr>
              <w:ind w:left="60"/>
              <w:spacing w:after="0"/>
              <w:rPr>
                <w:sz w:val="20"/>
                <w:szCs w:val="20"/>
                <w:color w:val="auto"/>
              </w:rPr>
            </w:pPr>
            <w:r>
              <w:rPr>
                <w:rFonts w:ascii="Arial" w:cs="Arial" w:eastAsia="Arial" w:hAnsi="Arial"/>
                <w:sz w:val="18"/>
                <w:szCs w:val="18"/>
                <w:color w:val="auto"/>
              </w:rPr>
              <w:t>The following sets forth information about plan assets:</w:t>
            </w:r>
          </w:p>
        </w:tc>
        <w:tc>
          <w:tcPr>
            <w:tcW w:w="1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2"/>
          </w:tcPr>
          <w:p>
            <w:pPr>
              <w:spacing w:after="0"/>
              <w:rPr>
                <w:sz w:val="24"/>
                <w:szCs w:val="24"/>
                <w:color w:val="auto"/>
              </w:rPr>
            </w:pPr>
          </w:p>
        </w:tc>
        <w:tc>
          <w:tcPr>
            <w:tcW w:w="284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2960" w:type="dxa"/>
            <w:vAlign w:val="bottom"/>
            <w:gridSpan w:val="2"/>
          </w:tcPr>
          <w:p>
            <w:pPr>
              <w:jc w:val="right"/>
              <w:ind w:right="452"/>
              <w:spacing w:after="0" w:line="178" w:lineRule="exact"/>
              <w:rPr>
                <w:sz w:val="20"/>
                <w:szCs w:val="20"/>
                <w:color w:val="auto"/>
              </w:rPr>
            </w:pPr>
            <w:r>
              <w:rPr>
                <w:rFonts w:ascii="Arial" w:cs="Arial" w:eastAsia="Arial" w:hAnsi="Arial"/>
                <w:sz w:val="18"/>
                <w:szCs w:val="18"/>
                <w:b w:val="1"/>
                <w:bCs w:val="1"/>
                <w:color w:val="auto"/>
              </w:rPr>
              <w:t>As of December 31, 2013</w:t>
            </w:r>
          </w:p>
        </w:tc>
        <w:tc>
          <w:tcPr>
            <w:tcW w:w="2840" w:type="dxa"/>
            <w:vAlign w:val="bottom"/>
            <w:gridSpan w:val="2"/>
          </w:tcPr>
          <w:p>
            <w:pPr>
              <w:ind w:left="400"/>
              <w:spacing w:after="0" w:line="178" w:lineRule="exact"/>
              <w:rPr>
                <w:sz w:val="20"/>
                <w:szCs w:val="20"/>
                <w:color w:val="auto"/>
              </w:rPr>
            </w:pPr>
            <w:r>
              <w:rPr>
                <w:rFonts w:ascii="Arial" w:cs="Arial" w:eastAsia="Arial" w:hAnsi="Arial"/>
                <w:sz w:val="18"/>
                <w:szCs w:val="18"/>
                <w:b w:val="1"/>
                <w:bCs w:val="1"/>
                <w:color w:val="auto"/>
              </w:rPr>
              <w:t>As of December 31, 2012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8"/>
              </w:rPr>
              <w:t>Other</w:t>
            </w:r>
          </w:p>
        </w:tc>
        <w:tc>
          <w:tcPr>
            <w:tcW w:w="1440" w:type="dxa"/>
            <w:vAlign w:val="bottom"/>
          </w:tcPr>
          <w:p>
            <w:pPr>
              <w:spacing w:after="0"/>
              <w:rPr>
                <w:sz w:val="16"/>
                <w:szCs w:val="16"/>
                <w:color w:val="auto"/>
              </w:rPr>
            </w:pPr>
          </w:p>
        </w:tc>
        <w:tc>
          <w:tcPr>
            <w:tcW w:w="1400" w:type="dxa"/>
            <w:vAlign w:val="bottom"/>
          </w:tcPr>
          <w:p>
            <w:pPr>
              <w:jc w:val="center"/>
              <w:ind w:left="72"/>
              <w:spacing w:after="0"/>
              <w:rPr>
                <w:sz w:val="20"/>
                <w:szCs w:val="20"/>
                <w:color w:val="auto"/>
              </w:rPr>
            </w:pPr>
            <w:r>
              <w:rPr>
                <w:rFonts w:ascii="Arial" w:cs="Arial" w:eastAsia="Arial" w:hAnsi="Arial"/>
                <w:sz w:val="16"/>
                <w:szCs w:val="16"/>
                <w:b w:val="1"/>
                <w:bCs w:val="1"/>
                <w:color w:val="auto"/>
              </w:rPr>
              <w:t>Other</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1280" w:type="dxa"/>
            <w:vAlign w:val="bottom"/>
          </w:tcPr>
          <w:p>
            <w:pPr>
              <w:jc w:val="right"/>
              <w:ind w:right="331"/>
              <w:spacing w:after="0"/>
              <w:rPr>
                <w:sz w:val="20"/>
                <w:szCs w:val="20"/>
                <w:color w:val="auto"/>
              </w:rPr>
            </w:pPr>
            <w:r>
              <w:rPr>
                <w:rFonts w:ascii="Arial" w:cs="Arial" w:eastAsia="Arial" w:hAnsi="Arial"/>
                <w:sz w:val="16"/>
                <w:szCs w:val="16"/>
                <w:b w:val="1"/>
                <w:bCs w:val="1"/>
                <w:color w:val="auto"/>
              </w:rPr>
              <w:t>Pension</w:t>
            </w: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rPr>
              <w:t>postretirement</w:t>
            </w:r>
          </w:p>
        </w:tc>
        <w:tc>
          <w:tcPr>
            <w:tcW w:w="1440" w:type="dxa"/>
            <w:vAlign w:val="bottom"/>
          </w:tcPr>
          <w:p>
            <w:pPr>
              <w:jc w:val="right"/>
              <w:ind w:right="351"/>
              <w:spacing w:after="0"/>
              <w:rPr>
                <w:sz w:val="20"/>
                <w:szCs w:val="20"/>
                <w:color w:val="auto"/>
              </w:rPr>
            </w:pPr>
            <w:r>
              <w:rPr>
                <w:rFonts w:ascii="Arial" w:cs="Arial" w:eastAsia="Arial" w:hAnsi="Arial"/>
                <w:sz w:val="16"/>
                <w:szCs w:val="16"/>
                <w:b w:val="1"/>
                <w:bCs w:val="1"/>
                <w:color w:val="auto"/>
              </w:rPr>
              <w:t>Pension</w:t>
            </w:r>
          </w:p>
        </w:tc>
        <w:tc>
          <w:tcPr>
            <w:tcW w:w="1400" w:type="dxa"/>
            <w:vAlign w:val="bottom"/>
          </w:tcPr>
          <w:p>
            <w:pPr>
              <w:jc w:val="center"/>
              <w:ind w:left="72"/>
              <w:spacing w:after="0"/>
              <w:rPr>
                <w:sz w:val="20"/>
                <w:szCs w:val="20"/>
                <w:color w:val="auto"/>
              </w:rPr>
            </w:pPr>
            <w:r>
              <w:rPr>
                <w:rFonts w:ascii="Arial" w:cs="Arial" w:eastAsia="Arial" w:hAnsi="Arial"/>
                <w:sz w:val="16"/>
                <w:szCs w:val="16"/>
                <w:b w:val="1"/>
                <w:bCs w:val="1"/>
                <w:color w:val="auto"/>
                <w:w w:val="99"/>
              </w:rPr>
              <w:t>postretirement</w:t>
            </w:r>
          </w:p>
        </w:tc>
        <w:tc>
          <w:tcPr>
            <w:tcW w:w="0" w:type="dxa"/>
            <w:vAlign w:val="bottom"/>
          </w:tcPr>
          <w:p>
            <w:pPr>
              <w:spacing w:after="0"/>
              <w:rPr>
                <w:sz w:val="1"/>
                <w:szCs w:val="1"/>
                <w:color w:val="auto"/>
              </w:rPr>
            </w:pPr>
          </w:p>
        </w:tc>
      </w:tr>
      <w:tr>
        <w:trPr>
          <w:trHeight w:val="207"/>
        </w:trPr>
        <w:tc>
          <w:tcPr>
            <w:tcW w:w="448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(in thousands)</w:t>
            </w:r>
          </w:p>
        </w:tc>
        <w:tc>
          <w:tcPr>
            <w:tcW w:w="128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plans</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benefits</w:t>
            </w:r>
          </w:p>
        </w:tc>
        <w:tc>
          <w:tcPr>
            <w:tcW w:w="144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plans</w:t>
            </w:r>
          </w:p>
        </w:tc>
        <w:tc>
          <w:tcPr>
            <w:tcW w:w="1400" w:type="dxa"/>
            <w:vAlign w:val="bottom"/>
            <w:tcBorders>
              <w:bottom w:val="single" w:sz="8" w:color="auto"/>
            </w:tcBorders>
          </w:tcPr>
          <w:p>
            <w:pPr>
              <w:jc w:val="center"/>
              <w:ind w:left="52"/>
              <w:spacing w:after="0"/>
              <w:rPr>
                <w:sz w:val="20"/>
                <w:szCs w:val="20"/>
                <w:color w:val="auto"/>
              </w:rPr>
            </w:pPr>
            <w:r>
              <w:rPr>
                <w:rFonts w:ascii="Arial" w:cs="Arial" w:eastAsia="Arial" w:hAnsi="Arial"/>
                <w:sz w:val="16"/>
                <w:szCs w:val="16"/>
                <w:b w:val="1"/>
                <w:bCs w:val="1"/>
                <w:color w:val="auto"/>
              </w:rPr>
              <w:t>benefits</w:t>
            </w:r>
          </w:p>
        </w:tc>
        <w:tc>
          <w:tcPr>
            <w:tcW w:w="0" w:type="dxa"/>
            <w:vAlign w:val="bottom"/>
          </w:tcPr>
          <w:p>
            <w:pPr>
              <w:spacing w:after="0"/>
              <w:rPr>
                <w:sz w:val="1"/>
                <w:szCs w:val="1"/>
                <w:color w:val="auto"/>
              </w:rPr>
            </w:pPr>
          </w:p>
        </w:tc>
      </w:tr>
      <w:tr>
        <w:trPr>
          <w:trHeight w:val="399"/>
        </w:trPr>
        <w:tc>
          <w:tcPr>
            <w:tcW w:w="4480" w:type="dxa"/>
            <w:vAlign w:val="bottom"/>
            <w:gridSpan w:val="2"/>
          </w:tcPr>
          <w:p>
            <w:pPr>
              <w:spacing w:after="0"/>
              <w:rPr>
                <w:sz w:val="20"/>
                <w:szCs w:val="20"/>
                <w:color w:val="auto"/>
              </w:rPr>
            </w:pPr>
            <w:r>
              <w:rPr>
                <w:rFonts w:ascii="Arial" w:cs="Arial" w:eastAsia="Arial" w:hAnsi="Arial"/>
                <w:sz w:val="18"/>
                <w:szCs w:val="18"/>
                <w:color w:val="auto"/>
              </w:rPr>
              <w:t>Fair value of plan assets, beginning of year</w:t>
            </w:r>
          </w:p>
        </w:tc>
        <w:tc>
          <w:tcPr>
            <w:tcW w:w="1280" w:type="dxa"/>
            <w:vAlign w:val="bottom"/>
          </w:tcPr>
          <w:p>
            <w:pPr>
              <w:jc w:val="right"/>
              <w:ind w:right="111"/>
              <w:spacing w:after="0"/>
              <w:rPr>
                <w:sz w:val="20"/>
                <w:szCs w:val="20"/>
                <w:color w:val="auto"/>
              </w:rPr>
            </w:pPr>
            <w:r>
              <w:rPr>
                <w:rFonts w:ascii="Arial" w:cs="Arial" w:eastAsia="Arial" w:hAnsi="Arial"/>
                <w:sz w:val="18"/>
                <w:szCs w:val="18"/>
                <w:b w:val="1"/>
                <w:bCs w:val="1"/>
                <w:color w:val="auto"/>
              </w:rPr>
              <w:t>$173,434</w:t>
            </w:r>
          </w:p>
        </w:tc>
        <w:tc>
          <w:tcPr>
            <w:tcW w:w="1680" w:type="dxa"/>
            <w:vAlign w:val="bottom"/>
          </w:tcPr>
          <w:p>
            <w:pPr>
              <w:jc w:val="right"/>
              <w:ind w:right="232"/>
              <w:spacing w:after="0"/>
              <w:rPr>
                <w:sz w:val="20"/>
                <w:szCs w:val="20"/>
                <w:color w:val="auto"/>
              </w:rPr>
            </w:pPr>
            <w:r>
              <w:rPr>
                <w:rFonts w:ascii="Arial" w:cs="Arial" w:eastAsia="Arial" w:hAnsi="Arial"/>
                <w:sz w:val="18"/>
                <w:szCs w:val="18"/>
                <w:b w:val="1"/>
                <w:bCs w:val="1"/>
                <w:color w:val="auto"/>
              </w:rPr>
              <w:t>$-</w:t>
            </w:r>
          </w:p>
        </w:tc>
        <w:tc>
          <w:tcPr>
            <w:tcW w:w="1440" w:type="dxa"/>
            <w:vAlign w:val="bottom"/>
          </w:tcPr>
          <w:p>
            <w:pPr>
              <w:jc w:val="right"/>
              <w:ind w:right="131"/>
              <w:spacing w:after="0"/>
              <w:rPr>
                <w:sz w:val="20"/>
                <w:szCs w:val="20"/>
                <w:color w:val="auto"/>
              </w:rPr>
            </w:pPr>
            <w:r>
              <w:rPr>
                <w:rFonts w:ascii="Arial" w:cs="Arial" w:eastAsia="Arial" w:hAnsi="Arial"/>
                <w:sz w:val="18"/>
                <w:szCs w:val="18"/>
                <w:color w:val="auto"/>
              </w:rPr>
              <w:t>$304,658</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60" w:type="dxa"/>
            <w:vAlign w:val="bottom"/>
            <w:tcBorders>
              <w:top w:val="single" w:sz="8" w:color="auto"/>
            </w:tcBorders>
          </w:tcPr>
          <w:p>
            <w:pPr>
              <w:ind w:left="180"/>
              <w:spacing w:after="0" w:line="173" w:lineRule="exact"/>
              <w:rPr>
                <w:sz w:val="20"/>
                <w:szCs w:val="20"/>
                <w:color w:val="auto"/>
              </w:rPr>
            </w:pPr>
            <w:r>
              <w:rPr>
                <w:rFonts w:ascii="Arial" w:cs="Arial" w:eastAsia="Arial" w:hAnsi="Arial"/>
                <w:sz w:val="18"/>
                <w:szCs w:val="18"/>
                <w:color w:val="auto"/>
              </w:rPr>
              <w:t>Actual return on plan assets, net of expenses</w:t>
            </w:r>
          </w:p>
        </w:tc>
        <w:tc>
          <w:tcPr>
            <w:tcW w:w="1280" w:type="dxa"/>
            <w:vAlign w:val="bottom"/>
            <w:tcBorders>
              <w:top w:val="single" w:sz="8" w:color="auto"/>
            </w:tcBorders>
          </w:tcPr>
          <w:p>
            <w:pPr>
              <w:jc w:val="right"/>
              <w:ind w:right="51"/>
              <w:spacing w:after="0" w:line="173" w:lineRule="exact"/>
              <w:rPr>
                <w:sz w:val="20"/>
                <w:szCs w:val="20"/>
                <w:color w:val="auto"/>
              </w:rPr>
            </w:pPr>
            <w:r>
              <w:rPr>
                <w:rFonts w:ascii="Arial" w:cs="Arial" w:eastAsia="Arial" w:hAnsi="Arial"/>
                <w:sz w:val="18"/>
                <w:szCs w:val="18"/>
                <w:b w:val="1"/>
                <w:bCs w:val="1"/>
                <w:color w:val="auto"/>
              </w:rPr>
              <w:t>(2,292)</w:t>
            </w:r>
          </w:p>
        </w:tc>
        <w:tc>
          <w:tcPr>
            <w:tcW w:w="1680" w:type="dxa"/>
            <w:vAlign w:val="bottom"/>
            <w:tcBorders>
              <w:top w:val="single" w:sz="8" w:color="auto"/>
            </w:tcBorders>
          </w:tcPr>
          <w:p>
            <w:pPr>
              <w:jc w:val="right"/>
              <w:ind w:right="232"/>
              <w:spacing w:after="0" w:line="173" w:lineRule="exact"/>
              <w:rPr>
                <w:sz w:val="20"/>
                <w:szCs w:val="20"/>
                <w:color w:val="auto"/>
              </w:rPr>
            </w:pPr>
            <w:r>
              <w:rPr>
                <w:rFonts w:ascii="Arial" w:cs="Arial" w:eastAsia="Arial" w:hAnsi="Arial"/>
                <w:sz w:val="18"/>
                <w:szCs w:val="18"/>
                <w:b w:val="1"/>
                <w:bCs w:val="1"/>
                <w:color w:val="auto"/>
              </w:rPr>
              <w:t>-</w:t>
            </w:r>
          </w:p>
        </w:tc>
        <w:tc>
          <w:tcPr>
            <w:tcW w:w="1440" w:type="dxa"/>
            <w:vAlign w:val="bottom"/>
            <w:tcBorders>
              <w:top w:val="single" w:sz="8" w:color="auto"/>
            </w:tcBorders>
          </w:tcPr>
          <w:p>
            <w:pPr>
              <w:jc w:val="right"/>
              <w:ind w:right="131"/>
              <w:spacing w:after="0" w:line="173" w:lineRule="exact"/>
              <w:rPr>
                <w:sz w:val="20"/>
                <w:szCs w:val="20"/>
                <w:color w:val="auto"/>
              </w:rPr>
            </w:pPr>
            <w:r>
              <w:rPr>
                <w:rFonts w:ascii="Arial" w:cs="Arial" w:eastAsia="Arial" w:hAnsi="Arial"/>
                <w:sz w:val="18"/>
                <w:szCs w:val="18"/>
                <w:color w:val="auto"/>
              </w:rPr>
              <w:t>19,493</w:t>
            </w:r>
          </w:p>
        </w:tc>
        <w:tc>
          <w:tcPr>
            <w:tcW w:w="1400" w:type="dxa"/>
            <w:vAlign w:val="bottom"/>
            <w:tcBorders>
              <w:top w:val="single" w:sz="8" w:color="auto"/>
            </w:tcBorders>
          </w:tcPr>
          <w:p>
            <w:pPr>
              <w:jc w:val="right"/>
              <w:ind w:right="12"/>
              <w:spacing w:after="0" w:line="17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tcPr>
          <w:p>
            <w:pPr>
              <w:ind w:left="200"/>
              <w:spacing w:after="0" w:line="202" w:lineRule="exact"/>
              <w:rPr>
                <w:sz w:val="20"/>
                <w:szCs w:val="20"/>
                <w:color w:val="auto"/>
              </w:rPr>
            </w:pPr>
            <w:r>
              <w:rPr>
                <w:rFonts w:ascii="Arial" w:cs="Arial" w:eastAsia="Arial" w:hAnsi="Arial"/>
                <w:sz w:val="18"/>
                <w:szCs w:val="18"/>
                <w:color w:val="auto"/>
              </w:rPr>
              <w:t>Employer contributions</w:t>
            </w:r>
          </w:p>
        </w:tc>
        <w:tc>
          <w:tcPr>
            <w:tcW w:w="1280" w:type="dxa"/>
            <w:vAlign w:val="bottom"/>
          </w:tcPr>
          <w:p>
            <w:pPr>
              <w:jc w:val="right"/>
              <w:ind w:right="111"/>
              <w:spacing w:after="0" w:line="202" w:lineRule="exact"/>
              <w:rPr>
                <w:sz w:val="20"/>
                <w:szCs w:val="20"/>
                <w:color w:val="auto"/>
              </w:rPr>
            </w:pPr>
            <w:r>
              <w:rPr>
                <w:rFonts w:ascii="Arial" w:cs="Arial" w:eastAsia="Arial" w:hAnsi="Arial"/>
                <w:sz w:val="18"/>
                <w:szCs w:val="18"/>
                <w:b w:val="1"/>
                <w:bCs w:val="1"/>
                <w:color w:val="auto"/>
              </w:rPr>
              <w:t>6,777</w:t>
            </w:r>
          </w:p>
        </w:tc>
        <w:tc>
          <w:tcPr>
            <w:tcW w:w="1680" w:type="dxa"/>
            <w:vAlign w:val="bottom"/>
          </w:tcPr>
          <w:p>
            <w:pPr>
              <w:jc w:val="right"/>
              <w:ind w:right="232"/>
              <w:spacing w:after="0" w:line="202" w:lineRule="exact"/>
              <w:rPr>
                <w:sz w:val="20"/>
                <w:szCs w:val="20"/>
                <w:color w:val="auto"/>
              </w:rPr>
            </w:pPr>
            <w:r>
              <w:rPr>
                <w:rFonts w:ascii="Arial" w:cs="Arial" w:eastAsia="Arial" w:hAnsi="Arial"/>
                <w:sz w:val="18"/>
                <w:szCs w:val="18"/>
                <w:b w:val="1"/>
                <w:bCs w:val="1"/>
                <w:color w:val="auto"/>
              </w:rPr>
              <w:t>4,438</w:t>
            </w:r>
          </w:p>
        </w:tc>
        <w:tc>
          <w:tcPr>
            <w:tcW w:w="1440" w:type="dxa"/>
            <w:vAlign w:val="bottom"/>
          </w:tcPr>
          <w:p>
            <w:pPr>
              <w:jc w:val="right"/>
              <w:ind w:right="131"/>
              <w:spacing w:after="0" w:line="202" w:lineRule="exact"/>
              <w:rPr>
                <w:sz w:val="20"/>
                <w:szCs w:val="20"/>
                <w:color w:val="auto"/>
              </w:rPr>
            </w:pPr>
            <w:r>
              <w:rPr>
                <w:rFonts w:ascii="Arial" w:cs="Arial" w:eastAsia="Arial" w:hAnsi="Arial"/>
                <w:sz w:val="18"/>
                <w:szCs w:val="18"/>
                <w:color w:val="auto"/>
              </w:rPr>
              <w:t>110,172</w:t>
            </w:r>
          </w:p>
        </w:tc>
        <w:tc>
          <w:tcPr>
            <w:tcW w:w="14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4,961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tcPr>
          <w:p>
            <w:pPr>
              <w:ind w:left="200"/>
              <w:spacing w:after="0" w:line="202" w:lineRule="exact"/>
              <w:rPr>
                <w:sz w:val="20"/>
                <w:szCs w:val="20"/>
                <w:color w:val="auto"/>
              </w:rPr>
            </w:pPr>
            <w:r>
              <w:rPr>
                <w:rFonts w:ascii="Arial" w:cs="Arial" w:eastAsia="Arial" w:hAnsi="Arial"/>
                <w:sz w:val="18"/>
                <w:szCs w:val="18"/>
                <w:color w:val="auto"/>
              </w:rPr>
              <w:t>Plan participants' contributions</w:t>
            </w:r>
          </w:p>
        </w:tc>
        <w:tc>
          <w:tcPr>
            <w:tcW w:w="1280" w:type="dxa"/>
            <w:vAlign w:val="bottom"/>
          </w:tcPr>
          <w:p>
            <w:pPr>
              <w:jc w:val="right"/>
              <w:ind w:right="111"/>
              <w:spacing w:after="0" w:line="202" w:lineRule="exact"/>
              <w:rPr>
                <w:sz w:val="20"/>
                <w:szCs w:val="20"/>
                <w:color w:val="auto"/>
              </w:rPr>
            </w:pPr>
            <w:r>
              <w:rPr>
                <w:rFonts w:ascii="Arial" w:cs="Arial" w:eastAsia="Arial" w:hAnsi="Arial"/>
                <w:sz w:val="18"/>
                <w:szCs w:val="18"/>
                <w:b w:val="1"/>
                <w:bCs w:val="1"/>
                <w:color w:val="auto"/>
              </w:rPr>
              <w:t>331</w:t>
            </w:r>
          </w:p>
        </w:tc>
        <w:tc>
          <w:tcPr>
            <w:tcW w:w="1680" w:type="dxa"/>
            <w:vAlign w:val="bottom"/>
          </w:tcPr>
          <w:p>
            <w:pPr>
              <w:jc w:val="right"/>
              <w:ind w:right="232"/>
              <w:spacing w:after="0" w:line="202" w:lineRule="exact"/>
              <w:rPr>
                <w:sz w:val="20"/>
                <w:szCs w:val="20"/>
                <w:color w:val="auto"/>
              </w:rPr>
            </w:pPr>
            <w:r>
              <w:rPr>
                <w:rFonts w:ascii="Arial" w:cs="Arial" w:eastAsia="Arial" w:hAnsi="Arial"/>
                <w:sz w:val="18"/>
                <w:szCs w:val="18"/>
                <w:b w:val="1"/>
                <w:bCs w:val="1"/>
                <w:color w:val="auto"/>
              </w:rPr>
              <w:t>1,335</w:t>
            </w:r>
          </w:p>
        </w:tc>
        <w:tc>
          <w:tcPr>
            <w:tcW w:w="1440" w:type="dxa"/>
            <w:vAlign w:val="bottom"/>
          </w:tcPr>
          <w:p>
            <w:pPr>
              <w:jc w:val="right"/>
              <w:ind w:right="131"/>
              <w:spacing w:after="0" w:line="202" w:lineRule="exact"/>
              <w:rPr>
                <w:sz w:val="20"/>
                <w:szCs w:val="20"/>
                <w:color w:val="auto"/>
              </w:rPr>
            </w:pPr>
            <w:r>
              <w:rPr>
                <w:rFonts w:ascii="Arial" w:cs="Arial" w:eastAsia="Arial" w:hAnsi="Arial"/>
                <w:sz w:val="18"/>
                <w:szCs w:val="18"/>
                <w:color w:val="auto"/>
              </w:rPr>
              <w:t>344</w:t>
            </w:r>
          </w:p>
        </w:tc>
        <w:tc>
          <w:tcPr>
            <w:tcW w:w="14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tcPr>
          <w:p>
            <w:pPr>
              <w:ind w:left="200"/>
              <w:spacing w:after="0" w:line="202" w:lineRule="exact"/>
              <w:rPr>
                <w:sz w:val="20"/>
                <w:szCs w:val="20"/>
                <w:color w:val="auto"/>
              </w:rPr>
            </w:pPr>
            <w:r>
              <w:rPr>
                <w:rFonts w:ascii="Arial" w:cs="Arial" w:eastAsia="Arial" w:hAnsi="Arial"/>
                <w:sz w:val="18"/>
                <w:szCs w:val="18"/>
                <w:color w:val="auto"/>
              </w:rPr>
              <w:t>Benefits paid</w:t>
            </w:r>
          </w:p>
        </w:tc>
        <w:tc>
          <w:tcPr>
            <w:tcW w:w="1280" w:type="dxa"/>
            <w:vAlign w:val="bottom"/>
          </w:tcPr>
          <w:p>
            <w:pPr>
              <w:jc w:val="right"/>
              <w:ind w:right="51"/>
              <w:spacing w:after="0" w:line="202" w:lineRule="exact"/>
              <w:rPr>
                <w:sz w:val="20"/>
                <w:szCs w:val="20"/>
                <w:color w:val="auto"/>
              </w:rPr>
            </w:pPr>
            <w:r>
              <w:rPr>
                <w:rFonts w:ascii="Arial" w:cs="Arial" w:eastAsia="Arial" w:hAnsi="Arial"/>
                <w:sz w:val="18"/>
                <w:szCs w:val="18"/>
                <w:b w:val="1"/>
                <w:bCs w:val="1"/>
                <w:color w:val="auto"/>
              </w:rPr>
              <w:t>(5,999)</w:t>
            </w:r>
          </w:p>
        </w:tc>
        <w:tc>
          <w:tcPr>
            <w:tcW w:w="1680" w:type="dxa"/>
            <w:vAlign w:val="bottom"/>
          </w:tcPr>
          <w:p>
            <w:pPr>
              <w:jc w:val="right"/>
              <w:ind w:right="172"/>
              <w:spacing w:after="0" w:line="202" w:lineRule="exact"/>
              <w:rPr>
                <w:sz w:val="20"/>
                <w:szCs w:val="20"/>
                <w:color w:val="auto"/>
              </w:rPr>
            </w:pPr>
            <w:r>
              <w:rPr>
                <w:rFonts w:ascii="Arial" w:cs="Arial" w:eastAsia="Arial" w:hAnsi="Arial"/>
                <w:sz w:val="18"/>
                <w:szCs w:val="18"/>
                <w:b w:val="1"/>
                <w:bCs w:val="1"/>
                <w:color w:val="auto"/>
              </w:rPr>
              <w:t>(5,773)</w:t>
            </w:r>
          </w:p>
        </w:tc>
        <w:tc>
          <w:tcPr>
            <w:tcW w:w="1440" w:type="dxa"/>
            <w:vAlign w:val="bottom"/>
          </w:tcPr>
          <w:p>
            <w:pPr>
              <w:jc w:val="right"/>
              <w:ind w:right="71"/>
              <w:spacing w:after="0" w:line="202" w:lineRule="exact"/>
              <w:rPr>
                <w:sz w:val="20"/>
                <w:szCs w:val="20"/>
                <w:color w:val="auto"/>
              </w:rPr>
            </w:pPr>
            <w:r>
              <w:rPr>
                <w:rFonts w:ascii="Arial" w:cs="Arial" w:eastAsia="Arial" w:hAnsi="Arial"/>
                <w:sz w:val="18"/>
                <w:szCs w:val="18"/>
                <w:color w:val="auto"/>
              </w:rPr>
              <w:t>(14,909)</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(5,778)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tcPr>
          <w:p>
            <w:pPr>
              <w:ind w:left="200"/>
              <w:spacing w:after="0" w:line="202" w:lineRule="exact"/>
              <w:rPr>
                <w:sz w:val="20"/>
                <w:szCs w:val="20"/>
                <w:color w:val="auto"/>
              </w:rPr>
            </w:pPr>
            <w:r>
              <w:rPr>
                <w:rFonts w:ascii="Arial" w:cs="Arial" w:eastAsia="Arial" w:hAnsi="Arial"/>
                <w:sz w:val="18"/>
                <w:szCs w:val="18"/>
                <w:color w:val="auto"/>
              </w:rPr>
              <w:t>Settlements</w:t>
            </w:r>
          </w:p>
        </w:tc>
        <w:tc>
          <w:tcPr>
            <w:tcW w:w="1280" w:type="dxa"/>
            <w:vAlign w:val="bottom"/>
          </w:tcPr>
          <w:p>
            <w:pPr>
              <w:jc w:val="right"/>
              <w:ind w:right="51"/>
              <w:spacing w:after="0" w:line="202" w:lineRule="exact"/>
              <w:rPr>
                <w:sz w:val="20"/>
                <w:szCs w:val="20"/>
                <w:color w:val="auto"/>
              </w:rPr>
            </w:pPr>
            <w:r>
              <w:rPr>
                <w:rFonts w:ascii="Arial" w:cs="Arial" w:eastAsia="Arial" w:hAnsi="Arial"/>
                <w:sz w:val="18"/>
                <w:szCs w:val="18"/>
                <w:b w:val="1"/>
                <w:bCs w:val="1"/>
                <w:color w:val="auto"/>
              </w:rPr>
              <w:t>(1,650)</w:t>
            </w:r>
          </w:p>
        </w:tc>
        <w:tc>
          <w:tcPr>
            <w:tcW w:w="1680" w:type="dxa"/>
            <w:vAlign w:val="bottom"/>
          </w:tcPr>
          <w:p>
            <w:pPr>
              <w:jc w:val="right"/>
              <w:ind w:right="232"/>
              <w:spacing w:after="0" w:line="202" w:lineRule="exact"/>
              <w:rPr>
                <w:sz w:val="20"/>
                <w:szCs w:val="20"/>
                <w:color w:val="auto"/>
              </w:rPr>
            </w:pPr>
            <w:r>
              <w:rPr>
                <w:rFonts w:ascii="Arial" w:cs="Arial" w:eastAsia="Arial" w:hAnsi="Arial"/>
                <w:sz w:val="18"/>
                <w:szCs w:val="18"/>
                <w:b w:val="1"/>
                <w:bCs w:val="1"/>
                <w:color w:val="auto"/>
              </w:rPr>
              <w:t>-</w:t>
            </w:r>
          </w:p>
        </w:tc>
        <w:tc>
          <w:tcPr>
            <w:tcW w:w="1440" w:type="dxa"/>
            <w:vAlign w:val="bottom"/>
          </w:tcPr>
          <w:p>
            <w:pPr>
              <w:jc w:val="right"/>
              <w:ind w:right="71"/>
              <w:spacing w:after="0" w:line="202" w:lineRule="exact"/>
              <w:rPr>
                <w:sz w:val="20"/>
                <w:szCs w:val="20"/>
                <w:color w:val="auto"/>
              </w:rPr>
            </w:pPr>
            <w:r>
              <w:rPr>
                <w:rFonts w:ascii="Arial" w:cs="Arial" w:eastAsia="Arial" w:hAnsi="Arial"/>
                <w:sz w:val="18"/>
                <w:szCs w:val="18"/>
                <w:color w:val="auto"/>
              </w:rPr>
              <w:t>(249,709)</w:t>
            </w:r>
          </w:p>
        </w:tc>
        <w:tc>
          <w:tcPr>
            <w:tcW w:w="14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4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Foreign currency changes</w:t>
            </w:r>
          </w:p>
        </w:tc>
        <w:tc>
          <w:tcPr>
            <w:tcW w:w="12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(2,211)</w:t>
            </w:r>
          </w:p>
        </w:tc>
        <w:tc>
          <w:tcPr>
            <w:tcW w:w="16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w:t>
            </w:r>
          </w:p>
        </w:tc>
        <w:tc>
          <w:tcPr>
            <w:tcW w:w="14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3,385</w:t>
            </w:r>
          </w:p>
        </w:tc>
        <w:tc>
          <w:tcPr>
            <w:tcW w:w="14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44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Fair value of plan assets, end of year</w:t>
            </w:r>
          </w:p>
        </w:tc>
        <w:tc>
          <w:tcPr>
            <w:tcW w:w="1280" w:type="dxa"/>
            <w:vAlign w:val="bottom"/>
            <w:tcBorders>
              <w:bottom w:val="single" w:sz="8" w:color="auto"/>
            </w:tcBorders>
          </w:tcPr>
          <w:p>
            <w:pPr>
              <w:jc w:val="right"/>
              <w:ind w:right="111"/>
              <w:spacing w:after="0" w:line="196" w:lineRule="exact"/>
              <w:rPr>
                <w:sz w:val="20"/>
                <w:szCs w:val="20"/>
                <w:color w:val="auto"/>
              </w:rPr>
            </w:pPr>
            <w:r>
              <w:rPr>
                <w:rFonts w:ascii="Arial" w:cs="Arial" w:eastAsia="Arial" w:hAnsi="Arial"/>
                <w:sz w:val="18"/>
                <w:szCs w:val="18"/>
                <w:b w:val="1"/>
                <w:bCs w:val="1"/>
                <w:color w:val="auto"/>
              </w:rPr>
              <w:t>$168,390</w:t>
            </w:r>
          </w:p>
        </w:tc>
        <w:tc>
          <w:tcPr>
            <w:tcW w:w="1680" w:type="dxa"/>
            <w:vAlign w:val="bottom"/>
            <w:tcBorders>
              <w:bottom w:val="single" w:sz="8" w:color="auto"/>
            </w:tcBorders>
          </w:tcPr>
          <w:p>
            <w:pPr>
              <w:jc w:val="right"/>
              <w:ind w:right="232"/>
              <w:spacing w:after="0" w:line="196" w:lineRule="exact"/>
              <w:rPr>
                <w:sz w:val="20"/>
                <w:szCs w:val="20"/>
                <w:color w:val="auto"/>
              </w:rPr>
            </w:pPr>
            <w:r>
              <w:rPr>
                <w:rFonts w:ascii="Arial" w:cs="Arial" w:eastAsia="Arial" w:hAnsi="Arial"/>
                <w:sz w:val="18"/>
                <w:szCs w:val="18"/>
                <w:b w:val="1"/>
                <w:bCs w:val="1"/>
                <w:color w:val="auto"/>
              </w:rPr>
              <w:t>$-</w:t>
            </w:r>
          </w:p>
        </w:tc>
        <w:tc>
          <w:tcPr>
            <w:tcW w:w="1440" w:type="dxa"/>
            <w:vAlign w:val="bottom"/>
            <w:tcBorders>
              <w:bottom w:val="single" w:sz="8" w:color="auto"/>
            </w:tcBorders>
          </w:tcPr>
          <w:p>
            <w:pPr>
              <w:jc w:val="right"/>
              <w:ind w:right="131"/>
              <w:spacing w:after="0" w:line="196" w:lineRule="exact"/>
              <w:rPr>
                <w:sz w:val="20"/>
                <w:szCs w:val="20"/>
                <w:color w:val="auto"/>
              </w:rPr>
            </w:pPr>
            <w:r>
              <w:rPr>
                <w:rFonts w:ascii="Arial" w:cs="Arial" w:eastAsia="Arial" w:hAnsi="Arial"/>
                <w:sz w:val="18"/>
                <w:szCs w:val="18"/>
                <w:color w:val="auto"/>
              </w:rPr>
              <w:t>$173,434</w:t>
            </w:r>
          </w:p>
        </w:tc>
        <w:tc>
          <w:tcPr>
            <w:tcW w:w="140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40640</wp:posOffset>
            </wp:positionV>
            <wp:extent cx="7246620" cy="431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840"/>
          </w:cols>
          <w:pgMar w:left="820" w:top="490" w:right="2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17"/>
        </w:trPr>
        <w:tc>
          <w:tcPr>
            <w:tcW w:w="4300" w:type="dxa"/>
            <w:vAlign w:val="bottom"/>
          </w:tcPr>
          <w:p>
            <w:pPr>
              <w:spacing w:after="0"/>
              <w:rPr>
                <w:sz w:val="20"/>
                <w:szCs w:val="20"/>
                <w:color w:val="auto"/>
              </w:rPr>
            </w:pPr>
            <w:r>
              <w:rPr>
                <w:rFonts w:ascii="Arial" w:cs="Arial" w:eastAsia="Arial" w:hAnsi="Arial"/>
                <w:sz w:val="18"/>
                <w:szCs w:val="18"/>
                <w:color w:val="auto"/>
              </w:rPr>
              <w:t>The funded status of the plans was as follows:</w:t>
            </w:r>
          </w:p>
        </w:tc>
        <w:tc>
          <w:tcPr>
            <w:tcW w:w="15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7"/>
        </w:trPr>
        <w:tc>
          <w:tcPr>
            <w:tcW w:w="4300" w:type="dxa"/>
            <w:vAlign w:val="bottom"/>
          </w:tcPr>
          <w:p>
            <w:pPr>
              <w:spacing w:after="0"/>
              <w:rPr>
                <w:sz w:val="24"/>
                <w:szCs w:val="24"/>
                <w:color w:val="auto"/>
              </w:rPr>
            </w:pPr>
          </w:p>
        </w:tc>
        <w:tc>
          <w:tcPr>
            <w:tcW w:w="3200" w:type="dxa"/>
            <w:vAlign w:val="bottom"/>
            <w:gridSpan w:val="2"/>
          </w:tcPr>
          <w:p>
            <w:pPr>
              <w:jc w:val="right"/>
              <w:ind w:right="512"/>
              <w:spacing w:after="0"/>
              <w:rPr>
                <w:sz w:val="20"/>
                <w:szCs w:val="20"/>
                <w:color w:val="auto"/>
              </w:rPr>
            </w:pPr>
            <w:r>
              <w:rPr>
                <w:rFonts w:ascii="Arial" w:cs="Arial" w:eastAsia="Arial" w:hAnsi="Arial"/>
                <w:sz w:val="18"/>
                <w:szCs w:val="18"/>
                <w:b w:val="1"/>
                <w:bCs w:val="1"/>
                <w:color w:val="auto"/>
              </w:rPr>
              <w:t>As of December 31, 2013</w:t>
            </w:r>
          </w:p>
        </w:tc>
        <w:tc>
          <w:tcPr>
            <w:tcW w:w="2760" w:type="dxa"/>
            <w:vAlign w:val="bottom"/>
            <w:gridSpan w:val="2"/>
          </w:tcPr>
          <w:p>
            <w:pPr>
              <w:jc w:val="right"/>
              <w:ind w:right="212"/>
              <w:spacing w:after="0"/>
              <w:rPr>
                <w:sz w:val="20"/>
                <w:szCs w:val="20"/>
                <w:color w:val="auto"/>
              </w:rPr>
            </w:pPr>
            <w:r>
              <w:rPr>
                <w:rFonts w:ascii="Arial" w:cs="Arial" w:eastAsia="Arial" w:hAnsi="Arial"/>
                <w:sz w:val="18"/>
                <w:szCs w:val="18"/>
                <w:b w:val="1"/>
                <w:bCs w:val="1"/>
                <w:color w:val="auto"/>
              </w:rPr>
              <w:t>As of December 31, 2012</w:t>
            </w:r>
          </w:p>
        </w:tc>
        <w:tc>
          <w:tcPr>
            <w:tcW w:w="0" w:type="dxa"/>
            <w:vAlign w:val="bottom"/>
          </w:tcPr>
          <w:p>
            <w:pPr>
              <w:spacing w:after="0"/>
              <w:rPr>
                <w:sz w:val="1"/>
                <w:szCs w:val="1"/>
                <w:color w:val="auto"/>
              </w:rPr>
            </w:pPr>
          </w:p>
        </w:tc>
      </w:tr>
      <w:tr>
        <w:trPr>
          <w:trHeight w:val="189"/>
        </w:trPr>
        <w:tc>
          <w:tcPr>
            <w:tcW w:w="43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60" w:type="dxa"/>
            <w:vAlign w:val="bottom"/>
          </w:tcPr>
          <w:p>
            <w:pPr>
              <w:jc w:val="center"/>
              <w:ind w:right="12"/>
              <w:spacing w:after="0"/>
              <w:rPr>
                <w:sz w:val="20"/>
                <w:szCs w:val="20"/>
                <w:color w:val="auto"/>
              </w:rPr>
            </w:pPr>
            <w:r>
              <w:rPr>
                <w:rFonts w:ascii="Arial" w:cs="Arial" w:eastAsia="Arial" w:hAnsi="Arial"/>
                <w:sz w:val="16"/>
                <w:szCs w:val="16"/>
                <w:b w:val="1"/>
                <w:bCs w:val="1"/>
                <w:color w:val="auto"/>
              </w:rPr>
              <w:t>Other</w:t>
            </w:r>
          </w:p>
        </w:tc>
        <w:tc>
          <w:tcPr>
            <w:tcW w:w="1400" w:type="dxa"/>
            <w:vAlign w:val="bottom"/>
          </w:tcPr>
          <w:p>
            <w:pPr>
              <w:spacing w:after="0"/>
              <w:rPr>
                <w:sz w:val="16"/>
                <w:szCs w:val="16"/>
                <w:color w:val="auto"/>
              </w:rPr>
            </w:pPr>
          </w:p>
        </w:tc>
        <w:tc>
          <w:tcPr>
            <w:tcW w:w="1360" w:type="dxa"/>
            <w:vAlign w:val="bottom"/>
          </w:tcPr>
          <w:p>
            <w:pPr>
              <w:jc w:val="center"/>
              <w:ind w:left="52"/>
              <w:spacing w:after="0"/>
              <w:rPr>
                <w:sz w:val="20"/>
                <w:szCs w:val="20"/>
                <w:color w:val="auto"/>
              </w:rPr>
            </w:pPr>
            <w:r>
              <w:rPr>
                <w:rFonts w:ascii="Arial" w:cs="Arial" w:eastAsia="Arial" w:hAnsi="Arial"/>
                <w:sz w:val="16"/>
                <w:szCs w:val="16"/>
                <w:b w:val="1"/>
                <w:bCs w:val="1"/>
                <w:color w:val="auto"/>
                <w:w w:val="98"/>
              </w:rPr>
              <w:t>Other</w:t>
            </w:r>
          </w:p>
        </w:tc>
        <w:tc>
          <w:tcPr>
            <w:tcW w:w="0" w:type="dxa"/>
            <w:vAlign w:val="bottom"/>
          </w:tcPr>
          <w:p>
            <w:pPr>
              <w:spacing w:after="0"/>
              <w:rPr>
                <w:sz w:val="1"/>
                <w:szCs w:val="1"/>
                <w:color w:val="auto"/>
              </w:rPr>
            </w:pPr>
          </w:p>
        </w:tc>
      </w:tr>
      <w:tr>
        <w:trPr>
          <w:trHeight w:val="189"/>
        </w:trPr>
        <w:tc>
          <w:tcPr>
            <w:tcW w:w="4300" w:type="dxa"/>
            <w:vAlign w:val="bottom"/>
          </w:tcPr>
          <w:p>
            <w:pPr>
              <w:spacing w:after="0"/>
              <w:rPr>
                <w:sz w:val="16"/>
                <w:szCs w:val="16"/>
                <w:color w:val="auto"/>
              </w:rPr>
            </w:pPr>
          </w:p>
        </w:tc>
        <w:tc>
          <w:tcPr>
            <w:tcW w:w="1540" w:type="dxa"/>
            <w:vAlign w:val="bottom"/>
          </w:tcPr>
          <w:p>
            <w:pPr>
              <w:jc w:val="right"/>
              <w:ind w:right="411"/>
              <w:spacing w:after="0"/>
              <w:rPr>
                <w:sz w:val="20"/>
                <w:szCs w:val="20"/>
                <w:color w:val="auto"/>
              </w:rPr>
            </w:pPr>
            <w:r>
              <w:rPr>
                <w:rFonts w:ascii="Arial" w:cs="Arial" w:eastAsia="Arial" w:hAnsi="Arial"/>
                <w:sz w:val="16"/>
                <w:szCs w:val="16"/>
                <w:b w:val="1"/>
                <w:bCs w:val="1"/>
                <w:color w:val="auto"/>
              </w:rPr>
              <w:t>Pension</w:t>
            </w:r>
          </w:p>
        </w:tc>
        <w:tc>
          <w:tcPr>
            <w:tcW w:w="1660" w:type="dxa"/>
            <w:vAlign w:val="bottom"/>
          </w:tcPr>
          <w:p>
            <w:pPr>
              <w:jc w:val="center"/>
              <w:ind w:right="32"/>
              <w:spacing w:after="0"/>
              <w:rPr>
                <w:sz w:val="20"/>
                <w:szCs w:val="20"/>
                <w:color w:val="auto"/>
              </w:rPr>
            </w:pPr>
            <w:r>
              <w:rPr>
                <w:rFonts w:ascii="Arial" w:cs="Arial" w:eastAsia="Arial" w:hAnsi="Arial"/>
                <w:sz w:val="16"/>
                <w:szCs w:val="16"/>
                <w:b w:val="1"/>
                <w:bCs w:val="1"/>
                <w:color w:val="auto"/>
              </w:rPr>
              <w:t>postretirement</w:t>
            </w:r>
          </w:p>
        </w:tc>
        <w:tc>
          <w:tcPr>
            <w:tcW w:w="1400" w:type="dxa"/>
            <w:vAlign w:val="bottom"/>
          </w:tcPr>
          <w:p>
            <w:pPr>
              <w:jc w:val="right"/>
              <w:ind w:right="371"/>
              <w:spacing w:after="0"/>
              <w:rPr>
                <w:sz w:val="20"/>
                <w:szCs w:val="20"/>
                <w:color w:val="auto"/>
              </w:rPr>
            </w:pPr>
            <w:r>
              <w:rPr>
                <w:rFonts w:ascii="Arial" w:cs="Arial" w:eastAsia="Arial" w:hAnsi="Arial"/>
                <w:sz w:val="16"/>
                <w:szCs w:val="16"/>
                <w:b w:val="1"/>
                <w:bCs w:val="1"/>
                <w:color w:val="auto"/>
              </w:rPr>
              <w:t>Pension</w:t>
            </w:r>
          </w:p>
        </w:tc>
        <w:tc>
          <w:tcPr>
            <w:tcW w:w="1360" w:type="dxa"/>
            <w:vAlign w:val="bottom"/>
          </w:tcPr>
          <w:p>
            <w:pPr>
              <w:jc w:val="center"/>
              <w:ind w:left="52"/>
              <w:spacing w:after="0"/>
              <w:rPr>
                <w:sz w:val="20"/>
                <w:szCs w:val="20"/>
                <w:color w:val="auto"/>
              </w:rPr>
            </w:pPr>
            <w:r>
              <w:rPr>
                <w:rFonts w:ascii="Arial" w:cs="Arial" w:eastAsia="Arial" w:hAnsi="Arial"/>
                <w:sz w:val="16"/>
                <w:szCs w:val="16"/>
                <w:b w:val="1"/>
                <w:bCs w:val="1"/>
                <w:color w:val="auto"/>
              </w:rPr>
              <w:t>postretirement</w:t>
            </w:r>
          </w:p>
        </w:tc>
        <w:tc>
          <w:tcPr>
            <w:tcW w:w="0" w:type="dxa"/>
            <w:vAlign w:val="bottom"/>
          </w:tcPr>
          <w:p>
            <w:pPr>
              <w:spacing w:after="0"/>
              <w:rPr>
                <w:sz w:val="1"/>
                <w:szCs w:val="1"/>
                <w:color w:val="auto"/>
              </w:rPr>
            </w:pPr>
          </w:p>
        </w:tc>
      </w:tr>
      <w:tr>
        <w:trPr>
          <w:trHeight w:val="207"/>
        </w:trPr>
        <w:tc>
          <w:tcPr>
            <w:tcW w:w="43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(in thousands)</w:t>
            </w:r>
          </w:p>
        </w:tc>
        <w:tc>
          <w:tcPr>
            <w:tcW w:w="154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plans</w:t>
            </w:r>
          </w:p>
        </w:tc>
        <w:tc>
          <w:tcPr>
            <w:tcW w:w="1660" w:type="dxa"/>
            <w:vAlign w:val="bottom"/>
            <w:tcBorders>
              <w:bottom w:val="single" w:sz="8" w:color="auto"/>
            </w:tcBorders>
          </w:tcPr>
          <w:p>
            <w:pPr>
              <w:jc w:val="center"/>
              <w:ind w:right="32"/>
              <w:spacing w:after="0"/>
              <w:rPr>
                <w:sz w:val="20"/>
                <w:szCs w:val="20"/>
                <w:color w:val="auto"/>
              </w:rPr>
            </w:pPr>
            <w:r>
              <w:rPr>
                <w:rFonts w:ascii="Arial" w:cs="Arial" w:eastAsia="Arial" w:hAnsi="Arial"/>
                <w:sz w:val="16"/>
                <w:szCs w:val="16"/>
                <w:b w:val="1"/>
                <w:bCs w:val="1"/>
                <w:color w:val="auto"/>
              </w:rPr>
              <w:t>benefits</w:t>
            </w:r>
          </w:p>
        </w:tc>
        <w:tc>
          <w:tcPr>
            <w:tcW w:w="140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plans</w:t>
            </w:r>
          </w:p>
        </w:tc>
        <w:tc>
          <w:tcPr>
            <w:tcW w:w="1360" w:type="dxa"/>
            <w:vAlign w:val="bottom"/>
            <w:tcBorders>
              <w:bottom w:val="single" w:sz="8" w:color="auto"/>
            </w:tcBorders>
          </w:tcPr>
          <w:p>
            <w:pPr>
              <w:jc w:val="center"/>
              <w:ind w:left="52"/>
              <w:spacing w:after="0"/>
              <w:rPr>
                <w:sz w:val="20"/>
                <w:szCs w:val="20"/>
                <w:color w:val="auto"/>
              </w:rPr>
            </w:pPr>
            <w:r>
              <w:rPr>
                <w:rFonts w:ascii="Arial" w:cs="Arial" w:eastAsia="Arial" w:hAnsi="Arial"/>
                <w:sz w:val="16"/>
                <w:szCs w:val="16"/>
                <w:b w:val="1"/>
                <w:bCs w:val="1"/>
                <w:color w:val="auto"/>
              </w:rPr>
              <w:t>benefits</w:t>
            </w:r>
          </w:p>
        </w:tc>
        <w:tc>
          <w:tcPr>
            <w:tcW w:w="0" w:type="dxa"/>
            <w:vAlign w:val="bottom"/>
          </w:tcPr>
          <w:p>
            <w:pPr>
              <w:spacing w:after="0"/>
              <w:rPr>
                <w:sz w:val="1"/>
                <w:szCs w:val="1"/>
                <w:color w:val="auto"/>
              </w:rPr>
            </w:pPr>
          </w:p>
        </w:tc>
      </w:tr>
      <w:tr>
        <w:trPr>
          <w:trHeight w:val="376"/>
        </w:trPr>
        <w:tc>
          <w:tcPr>
            <w:tcW w:w="4300" w:type="dxa"/>
            <w:vAlign w:val="bottom"/>
          </w:tcPr>
          <w:p>
            <w:pPr>
              <w:spacing w:after="0"/>
              <w:rPr>
                <w:sz w:val="20"/>
                <w:szCs w:val="20"/>
                <w:color w:val="auto"/>
              </w:rPr>
            </w:pPr>
            <w:r>
              <w:rPr>
                <w:rFonts w:ascii="Arial" w:cs="Arial" w:eastAsia="Arial" w:hAnsi="Arial"/>
                <w:sz w:val="18"/>
                <w:szCs w:val="18"/>
                <w:color w:val="auto"/>
              </w:rPr>
              <w:t>Fair value of plan assets</w:t>
            </w:r>
          </w:p>
        </w:tc>
        <w:tc>
          <w:tcPr>
            <w:tcW w:w="1540" w:type="dxa"/>
            <w:vAlign w:val="bottom"/>
          </w:tcPr>
          <w:p>
            <w:pPr>
              <w:jc w:val="right"/>
              <w:ind w:right="171"/>
              <w:spacing w:after="0"/>
              <w:rPr>
                <w:sz w:val="20"/>
                <w:szCs w:val="20"/>
                <w:color w:val="auto"/>
              </w:rPr>
            </w:pPr>
            <w:r>
              <w:rPr>
                <w:rFonts w:ascii="Arial" w:cs="Arial" w:eastAsia="Arial" w:hAnsi="Arial"/>
                <w:sz w:val="18"/>
                <w:szCs w:val="18"/>
                <w:b w:val="1"/>
                <w:bCs w:val="1"/>
                <w:color w:val="auto"/>
              </w:rPr>
              <w:t>$168,390</w:t>
            </w:r>
          </w:p>
        </w:tc>
        <w:tc>
          <w:tcPr>
            <w:tcW w:w="1660" w:type="dxa"/>
            <w:vAlign w:val="bottom"/>
          </w:tcPr>
          <w:p>
            <w:pPr>
              <w:jc w:val="right"/>
              <w:ind w:right="272"/>
              <w:spacing w:after="0"/>
              <w:rPr>
                <w:sz w:val="20"/>
                <w:szCs w:val="20"/>
                <w:color w:val="auto"/>
              </w:rPr>
            </w:pPr>
            <w:r>
              <w:rPr>
                <w:rFonts w:ascii="Arial" w:cs="Arial" w:eastAsia="Arial" w:hAnsi="Arial"/>
                <w:sz w:val="18"/>
                <w:szCs w:val="18"/>
                <w:b w:val="1"/>
                <w:bCs w:val="1"/>
                <w:color w:val="auto"/>
              </w:rPr>
              <w:t>$-</w:t>
            </w:r>
          </w:p>
        </w:tc>
        <w:tc>
          <w:tcPr>
            <w:tcW w:w="1400" w:type="dxa"/>
            <w:vAlign w:val="bottom"/>
          </w:tcPr>
          <w:p>
            <w:pPr>
              <w:jc w:val="right"/>
              <w:ind w:right="151"/>
              <w:spacing w:after="0"/>
              <w:rPr>
                <w:sz w:val="20"/>
                <w:szCs w:val="20"/>
                <w:color w:val="auto"/>
              </w:rPr>
            </w:pPr>
            <w:r>
              <w:rPr>
                <w:rFonts w:ascii="Arial" w:cs="Arial" w:eastAsia="Arial" w:hAnsi="Arial"/>
                <w:sz w:val="18"/>
                <w:szCs w:val="18"/>
                <w:color w:val="auto"/>
              </w:rPr>
              <w:t>$173,434</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Benefit obligation</w:t>
            </w:r>
          </w:p>
        </w:tc>
        <w:tc>
          <w:tcPr>
            <w:tcW w:w="154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rPr>
              <w:t>204,334</w:t>
            </w:r>
          </w:p>
        </w:tc>
        <w:tc>
          <w:tcPr>
            <w:tcW w:w="16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61,108</w:t>
            </w:r>
          </w:p>
        </w:tc>
        <w:tc>
          <w:tcPr>
            <w:tcW w:w="14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218,538</w:t>
            </w:r>
          </w:p>
        </w:tc>
        <w:tc>
          <w:tcPr>
            <w:tcW w:w="13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84,368</w:t>
            </w:r>
          </w:p>
        </w:tc>
        <w:tc>
          <w:tcPr>
            <w:tcW w:w="0" w:type="dxa"/>
            <w:vAlign w:val="bottom"/>
          </w:tcPr>
          <w:p>
            <w:pPr>
              <w:spacing w:after="0"/>
              <w:rPr>
                <w:sz w:val="1"/>
                <w:szCs w:val="1"/>
                <w:color w:val="auto"/>
              </w:rPr>
            </w:pPr>
          </w:p>
        </w:tc>
      </w:tr>
      <w:tr>
        <w:trPr>
          <w:trHeight w:val="196"/>
        </w:trPr>
        <w:tc>
          <w:tcPr>
            <w:tcW w:w="43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Funded status</w:t>
            </w:r>
          </w:p>
        </w:tc>
        <w:tc>
          <w:tcPr>
            <w:tcW w:w="1540" w:type="dxa"/>
            <w:vAlign w:val="bottom"/>
            <w:tcBorders>
              <w:bottom w:val="single" w:sz="8" w:color="auto"/>
            </w:tcBorders>
          </w:tcPr>
          <w:p>
            <w:pPr>
              <w:jc w:val="right"/>
              <w:ind w:right="111"/>
              <w:spacing w:after="0" w:line="196" w:lineRule="exact"/>
              <w:rPr>
                <w:sz w:val="20"/>
                <w:szCs w:val="20"/>
                <w:color w:val="auto"/>
              </w:rPr>
            </w:pPr>
            <w:r>
              <w:rPr>
                <w:rFonts w:ascii="Arial" w:cs="Arial" w:eastAsia="Arial" w:hAnsi="Arial"/>
                <w:sz w:val="18"/>
                <w:szCs w:val="18"/>
                <w:b w:val="1"/>
                <w:bCs w:val="1"/>
                <w:color w:val="auto"/>
              </w:rPr>
              <w:t>(35,944)</w:t>
            </w:r>
          </w:p>
        </w:tc>
        <w:tc>
          <w:tcPr>
            <w:tcW w:w="1660" w:type="dxa"/>
            <w:vAlign w:val="bottom"/>
            <w:tcBorders>
              <w:bottom w:val="single" w:sz="8" w:color="auto"/>
            </w:tcBorders>
          </w:tcPr>
          <w:p>
            <w:pPr>
              <w:jc w:val="right"/>
              <w:ind w:right="212"/>
              <w:spacing w:after="0" w:line="196" w:lineRule="exact"/>
              <w:rPr>
                <w:sz w:val="20"/>
                <w:szCs w:val="20"/>
                <w:color w:val="auto"/>
              </w:rPr>
            </w:pPr>
            <w:r>
              <w:rPr>
                <w:rFonts w:ascii="Arial" w:cs="Arial" w:eastAsia="Arial" w:hAnsi="Arial"/>
                <w:sz w:val="18"/>
                <w:szCs w:val="18"/>
                <w:b w:val="1"/>
                <w:bCs w:val="1"/>
                <w:color w:val="auto"/>
              </w:rPr>
              <w:t>($61,108)</w:t>
            </w:r>
          </w:p>
        </w:tc>
        <w:tc>
          <w:tcPr>
            <w:tcW w:w="1400" w:type="dxa"/>
            <w:vAlign w:val="bottom"/>
            <w:tcBorders>
              <w:bottom w:val="single" w:sz="8" w:color="auto"/>
            </w:tcBorders>
          </w:tcPr>
          <w:p>
            <w:pPr>
              <w:jc w:val="right"/>
              <w:ind w:right="91"/>
              <w:spacing w:after="0" w:line="196" w:lineRule="exact"/>
              <w:rPr>
                <w:sz w:val="20"/>
                <w:szCs w:val="20"/>
                <w:color w:val="auto"/>
              </w:rPr>
            </w:pPr>
            <w:r>
              <w:rPr>
                <w:rFonts w:ascii="Arial" w:cs="Arial" w:eastAsia="Arial" w:hAnsi="Arial"/>
                <w:sz w:val="18"/>
                <w:szCs w:val="18"/>
                <w:color w:val="auto"/>
              </w:rPr>
              <w:t>($45,104)</w:t>
            </w: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($84,368)</w:t>
            </w:r>
          </w:p>
        </w:tc>
        <w:tc>
          <w:tcPr>
            <w:tcW w:w="0" w:type="dxa"/>
            <w:vAlign w:val="bottom"/>
          </w:tcPr>
          <w:p>
            <w:pPr>
              <w:spacing w:after="0"/>
              <w:rPr>
                <w:sz w:val="1"/>
                <w:szCs w:val="1"/>
                <w:color w:val="auto"/>
              </w:rPr>
            </w:pPr>
          </w:p>
        </w:tc>
      </w:tr>
      <w:tr>
        <w:trPr>
          <w:trHeight w:val="196"/>
        </w:trPr>
        <w:tc>
          <w:tcPr>
            <w:tcW w:w="4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Accrued benefit cost, end of year</w:t>
            </w:r>
          </w:p>
        </w:tc>
        <w:tc>
          <w:tcPr>
            <w:tcW w:w="1540" w:type="dxa"/>
            <w:vAlign w:val="bottom"/>
            <w:tcBorders>
              <w:bottom w:val="single" w:sz="8" w:color="auto"/>
            </w:tcBorders>
          </w:tcPr>
          <w:p>
            <w:pPr>
              <w:jc w:val="right"/>
              <w:ind w:right="111"/>
              <w:spacing w:after="0" w:line="196" w:lineRule="exact"/>
              <w:rPr>
                <w:sz w:val="20"/>
                <w:szCs w:val="20"/>
                <w:color w:val="auto"/>
              </w:rPr>
            </w:pPr>
            <w:r>
              <w:rPr>
                <w:rFonts w:ascii="Arial" w:cs="Arial" w:eastAsia="Arial" w:hAnsi="Arial"/>
                <w:sz w:val="18"/>
                <w:szCs w:val="18"/>
                <w:b w:val="1"/>
                <w:bCs w:val="1"/>
                <w:color w:val="auto"/>
              </w:rPr>
              <w:t>(35,944)</w:t>
            </w:r>
          </w:p>
        </w:tc>
        <w:tc>
          <w:tcPr>
            <w:tcW w:w="1660" w:type="dxa"/>
            <w:vAlign w:val="bottom"/>
            <w:tcBorders>
              <w:bottom w:val="single" w:sz="8" w:color="auto"/>
            </w:tcBorders>
          </w:tcPr>
          <w:p>
            <w:pPr>
              <w:jc w:val="right"/>
              <w:ind w:right="212"/>
              <w:spacing w:after="0" w:line="196" w:lineRule="exact"/>
              <w:rPr>
                <w:sz w:val="20"/>
                <w:szCs w:val="20"/>
                <w:color w:val="auto"/>
              </w:rPr>
            </w:pPr>
            <w:r>
              <w:rPr>
                <w:rFonts w:ascii="Arial" w:cs="Arial" w:eastAsia="Arial" w:hAnsi="Arial"/>
                <w:sz w:val="18"/>
                <w:szCs w:val="18"/>
                <w:b w:val="1"/>
                <w:bCs w:val="1"/>
                <w:color w:val="auto"/>
              </w:rPr>
              <w:t>($61,108)</w:t>
            </w:r>
          </w:p>
        </w:tc>
        <w:tc>
          <w:tcPr>
            <w:tcW w:w="1400" w:type="dxa"/>
            <w:vAlign w:val="bottom"/>
            <w:tcBorders>
              <w:bottom w:val="single" w:sz="8" w:color="auto"/>
            </w:tcBorders>
          </w:tcPr>
          <w:p>
            <w:pPr>
              <w:jc w:val="right"/>
              <w:ind w:right="91"/>
              <w:spacing w:after="0" w:line="196" w:lineRule="exact"/>
              <w:rPr>
                <w:sz w:val="20"/>
                <w:szCs w:val="20"/>
                <w:color w:val="auto"/>
              </w:rPr>
            </w:pPr>
            <w:r>
              <w:rPr>
                <w:rFonts w:ascii="Arial" w:cs="Arial" w:eastAsia="Arial" w:hAnsi="Arial"/>
                <w:sz w:val="18"/>
                <w:szCs w:val="18"/>
                <w:color w:val="auto"/>
              </w:rPr>
              <w:t>($45,104)</w:t>
            </w: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($84,368)</w:t>
            </w:r>
          </w:p>
        </w:tc>
        <w:tc>
          <w:tcPr>
            <w:tcW w:w="0" w:type="dxa"/>
            <w:vAlign w:val="bottom"/>
          </w:tcPr>
          <w:p>
            <w:pPr>
              <w:spacing w:after="0"/>
              <w:rPr>
                <w:sz w:val="1"/>
                <w:szCs w:val="1"/>
                <w:color w:val="auto"/>
              </w:rPr>
            </w:pPr>
          </w:p>
        </w:tc>
      </w:tr>
      <w:tr>
        <w:trPr>
          <w:trHeight w:val="398"/>
        </w:trPr>
        <w:tc>
          <w:tcPr>
            <w:tcW w:w="4300" w:type="dxa"/>
            <w:vAlign w:val="bottom"/>
          </w:tcPr>
          <w:p>
            <w:pPr>
              <w:spacing w:after="0"/>
              <w:rPr>
                <w:sz w:val="20"/>
                <w:szCs w:val="20"/>
                <w:color w:val="auto"/>
              </w:rPr>
            </w:pPr>
            <w:r>
              <w:rPr>
                <w:rFonts w:ascii="Arial" w:cs="Arial" w:eastAsia="Arial" w:hAnsi="Arial"/>
                <w:sz w:val="18"/>
                <w:szCs w:val="18"/>
                <w:color w:val="auto"/>
              </w:rPr>
              <w:t>Amounts recognized in the statement of financial</w:t>
            </w:r>
          </w:p>
        </w:tc>
        <w:tc>
          <w:tcPr>
            <w:tcW w:w="15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300" w:type="dxa"/>
            <w:vAlign w:val="bottom"/>
          </w:tcPr>
          <w:p>
            <w:pPr>
              <w:spacing w:after="0" w:line="202" w:lineRule="exact"/>
              <w:rPr>
                <w:sz w:val="20"/>
                <w:szCs w:val="20"/>
                <w:color w:val="auto"/>
              </w:rPr>
            </w:pPr>
            <w:r>
              <w:rPr>
                <w:rFonts w:ascii="Arial" w:cs="Arial" w:eastAsia="Arial" w:hAnsi="Arial"/>
                <w:sz w:val="18"/>
                <w:szCs w:val="18"/>
                <w:color w:val="auto"/>
              </w:rPr>
              <w:t>position consist of the following:</w:t>
            </w:r>
          </w:p>
        </w:tc>
        <w:tc>
          <w:tcPr>
            <w:tcW w:w="1540" w:type="dxa"/>
            <w:vAlign w:val="bottom"/>
            <w:vMerge w:val="restart"/>
          </w:tcPr>
          <w:p>
            <w:pPr>
              <w:jc w:val="right"/>
              <w:ind w:right="171"/>
              <w:spacing w:after="0"/>
              <w:rPr>
                <w:sz w:val="20"/>
                <w:szCs w:val="20"/>
                <w:color w:val="auto"/>
              </w:rPr>
            </w:pPr>
            <w:r>
              <w:rPr>
                <w:rFonts w:ascii="Arial" w:cs="Arial" w:eastAsia="Arial" w:hAnsi="Arial"/>
                <w:sz w:val="18"/>
                <w:szCs w:val="18"/>
                <w:b w:val="1"/>
                <w:bCs w:val="1"/>
                <w:color w:val="auto"/>
              </w:rPr>
              <w:t>$7,358</w:t>
            </w:r>
          </w:p>
        </w:tc>
        <w:tc>
          <w:tcPr>
            <w:tcW w:w="1660" w:type="dxa"/>
            <w:vAlign w:val="bottom"/>
            <w:vMerge w:val="restart"/>
          </w:tcPr>
          <w:p>
            <w:pPr>
              <w:jc w:val="right"/>
              <w:ind w:right="272"/>
              <w:spacing w:after="0"/>
              <w:rPr>
                <w:sz w:val="20"/>
                <w:szCs w:val="20"/>
                <w:color w:val="auto"/>
              </w:rPr>
            </w:pPr>
            <w:r>
              <w:rPr>
                <w:rFonts w:ascii="Arial" w:cs="Arial" w:eastAsia="Arial" w:hAnsi="Arial"/>
                <w:sz w:val="18"/>
                <w:szCs w:val="18"/>
                <w:b w:val="1"/>
                <w:bCs w:val="1"/>
                <w:color w:val="auto"/>
              </w:rPr>
              <w:t>$-</w:t>
            </w:r>
          </w:p>
        </w:tc>
        <w:tc>
          <w:tcPr>
            <w:tcW w:w="1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300" w:type="dxa"/>
            <w:vAlign w:val="bottom"/>
          </w:tcPr>
          <w:p>
            <w:pPr>
              <w:spacing w:after="0" w:line="181" w:lineRule="exact"/>
              <w:rPr>
                <w:sz w:val="20"/>
                <w:szCs w:val="20"/>
                <w:color w:val="auto"/>
              </w:rPr>
            </w:pPr>
            <w:r>
              <w:rPr>
                <w:rFonts w:ascii="Arial" w:cs="Arial" w:eastAsia="Arial" w:hAnsi="Arial"/>
                <w:sz w:val="18"/>
                <w:szCs w:val="18"/>
                <w:color w:val="auto"/>
              </w:rPr>
              <w:t>Noncurrent asset</w:t>
            </w:r>
          </w:p>
        </w:tc>
        <w:tc>
          <w:tcPr>
            <w:tcW w:w="1540" w:type="dxa"/>
            <w:vAlign w:val="bottom"/>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1400" w:type="dxa"/>
            <w:vAlign w:val="bottom"/>
          </w:tcPr>
          <w:p>
            <w:pPr>
              <w:jc w:val="right"/>
              <w:ind w:right="151"/>
              <w:spacing w:after="0" w:line="181" w:lineRule="exact"/>
              <w:rPr>
                <w:sz w:val="20"/>
                <w:szCs w:val="20"/>
                <w:color w:val="auto"/>
              </w:rPr>
            </w:pPr>
            <w:r>
              <w:rPr>
                <w:rFonts w:ascii="Arial" w:cs="Arial" w:eastAsia="Arial" w:hAnsi="Arial"/>
                <w:sz w:val="18"/>
                <w:szCs w:val="18"/>
                <w:color w:val="auto"/>
              </w:rPr>
              <w:t>7,034</w:t>
            </w:r>
          </w:p>
        </w:tc>
        <w:tc>
          <w:tcPr>
            <w:tcW w:w="1360" w:type="dxa"/>
            <w:vAlign w:val="bottom"/>
          </w:tcPr>
          <w:p>
            <w:pPr>
              <w:jc w:val="right"/>
              <w:ind w:right="12"/>
              <w:spacing w:after="0" w:line="18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300" w:type="dxa"/>
            <w:vAlign w:val="bottom"/>
          </w:tcPr>
          <w:p>
            <w:pPr>
              <w:spacing w:after="0" w:line="202" w:lineRule="exact"/>
              <w:rPr>
                <w:sz w:val="20"/>
                <w:szCs w:val="20"/>
                <w:color w:val="auto"/>
              </w:rPr>
            </w:pPr>
            <w:r>
              <w:rPr>
                <w:rFonts w:ascii="Arial" w:cs="Arial" w:eastAsia="Arial" w:hAnsi="Arial"/>
                <w:sz w:val="18"/>
                <w:szCs w:val="18"/>
                <w:color w:val="auto"/>
              </w:rPr>
              <w:t>Current liability</w:t>
            </w:r>
          </w:p>
        </w:tc>
        <w:tc>
          <w:tcPr>
            <w:tcW w:w="1540" w:type="dxa"/>
            <w:vAlign w:val="bottom"/>
          </w:tcPr>
          <w:p>
            <w:pPr>
              <w:jc w:val="right"/>
              <w:ind w:right="111"/>
              <w:spacing w:after="0" w:line="202" w:lineRule="exact"/>
              <w:rPr>
                <w:sz w:val="20"/>
                <w:szCs w:val="20"/>
                <w:color w:val="auto"/>
              </w:rPr>
            </w:pPr>
            <w:r>
              <w:rPr>
                <w:rFonts w:ascii="Arial" w:cs="Arial" w:eastAsia="Arial" w:hAnsi="Arial"/>
                <w:sz w:val="18"/>
                <w:szCs w:val="18"/>
                <w:b w:val="1"/>
                <w:bCs w:val="1"/>
                <w:color w:val="auto"/>
              </w:rPr>
              <w:t>(2,321)</w:t>
            </w:r>
          </w:p>
        </w:tc>
        <w:tc>
          <w:tcPr>
            <w:tcW w:w="1660" w:type="dxa"/>
            <w:vAlign w:val="bottom"/>
          </w:tcPr>
          <w:p>
            <w:pPr>
              <w:jc w:val="right"/>
              <w:ind w:right="212"/>
              <w:spacing w:after="0" w:line="202" w:lineRule="exact"/>
              <w:rPr>
                <w:sz w:val="20"/>
                <w:szCs w:val="20"/>
                <w:color w:val="auto"/>
              </w:rPr>
            </w:pPr>
            <w:r>
              <w:rPr>
                <w:rFonts w:ascii="Arial" w:cs="Arial" w:eastAsia="Arial" w:hAnsi="Arial"/>
                <w:sz w:val="18"/>
                <w:szCs w:val="18"/>
                <w:b w:val="1"/>
                <w:bCs w:val="1"/>
                <w:color w:val="auto"/>
              </w:rPr>
              <w:t>(5,056)</w:t>
            </w:r>
          </w:p>
        </w:tc>
        <w:tc>
          <w:tcPr>
            <w:tcW w:w="1400" w:type="dxa"/>
            <w:vAlign w:val="bottom"/>
          </w:tcPr>
          <w:p>
            <w:pPr>
              <w:jc w:val="right"/>
              <w:ind w:right="91"/>
              <w:spacing w:after="0" w:line="202" w:lineRule="exact"/>
              <w:rPr>
                <w:sz w:val="20"/>
                <w:szCs w:val="20"/>
                <w:color w:val="auto"/>
              </w:rPr>
            </w:pPr>
            <w:r>
              <w:rPr>
                <w:rFonts w:ascii="Arial" w:cs="Arial" w:eastAsia="Arial" w:hAnsi="Arial"/>
                <w:sz w:val="18"/>
                <w:szCs w:val="18"/>
                <w:color w:val="auto"/>
              </w:rPr>
              <w:t>(2,318)</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(5,547)</w:t>
            </w:r>
          </w:p>
        </w:tc>
        <w:tc>
          <w:tcPr>
            <w:tcW w:w="0" w:type="dxa"/>
            <w:vAlign w:val="bottom"/>
          </w:tcPr>
          <w:p>
            <w:pPr>
              <w:spacing w:after="0"/>
              <w:rPr>
                <w:sz w:val="1"/>
                <w:szCs w:val="1"/>
                <w:color w:val="auto"/>
              </w:rPr>
            </w:pPr>
          </w:p>
        </w:tc>
      </w:tr>
      <w:tr>
        <w:trPr>
          <w:trHeight w:val="225"/>
        </w:trPr>
        <w:tc>
          <w:tcPr>
            <w:tcW w:w="4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Noncurrent liability</w:t>
            </w:r>
          </w:p>
        </w:tc>
        <w:tc>
          <w:tcPr>
            <w:tcW w:w="154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rPr>
              <w:t>(40,981)</w:t>
            </w:r>
          </w:p>
        </w:tc>
        <w:tc>
          <w:tcPr>
            <w:tcW w:w="16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(56,052)</w:t>
            </w:r>
          </w:p>
        </w:tc>
        <w:tc>
          <w:tcPr>
            <w:tcW w:w="14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(49,820)</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(78,821)</w:t>
            </w:r>
          </w:p>
        </w:tc>
        <w:tc>
          <w:tcPr>
            <w:tcW w:w="0" w:type="dxa"/>
            <w:vAlign w:val="bottom"/>
          </w:tcPr>
          <w:p>
            <w:pPr>
              <w:spacing w:after="0"/>
              <w:rPr>
                <w:sz w:val="1"/>
                <w:szCs w:val="1"/>
                <w:color w:val="auto"/>
              </w:rPr>
            </w:pPr>
          </w:p>
        </w:tc>
      </w:tr>
      <w:tr>
        <w:trPr>
          <w:trHeight w:val="196"/>
        </w:trPr>
        <w:tc>
          <w:tcPr>
            <w:tcW w:w="43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amount recognized</w:t>
            </w:r>
          </w:p>
        </w:tc>
        <w:tc>
          <w:tcPr>
            <w:tcW w:w="1540" w:type="dxa"/>
            <w:vAlign w:val="bottom"/>
            <w:tcBorders>
              <w:bottom w:val="single" w:sz="8" w:color="auto"/>
            </w:tcBorders>
          </w:tcPr>
          <w:p>
            <w:pPr>
              <w:jc w:val="right"/>
              <w:ind w:right="111"/>
              <w:spacing w:after="0" w:line="196" w:lineRule="exact"/>
              <w:rPr>
                <w:sz w:val="20"/>
                <w:szCs w:val="20"/>
                <w:color w:val="auto"/>
              </w:rPr>
            </w:pPr>
            <w:r>
              <w:rPr>
                <w:rFonts w:ascii="Arial" w:cs="Arial" w:eastAsia="Arial" w:hAnsi="Arial"/>
                <w:sz w:val="18"/>
                <w:szCs w:val="18"/>
                <w:b w:val="1"/>
                <w:bCs w:val="1"/>
                <w:color w:val="auto"/>
              </w:rPr>
              <w:t>($35,944)</w:t>
            </w:r>
          </w:p>
        </w:tc>
        <w:tc>
          <w:tcPr>
            <w:tcW w:w="1660" w:type="dxa"/>
            <w:vAlign w:val="bottom"/>
            <w:tcBorders>
              <w:bottom w:val="single" w:sz="8" w:color="auto"/>
            </w:tcBorders>
          </w:tcPr>
          <w:p>
            <w:pPr>
              <w:jc w:val="right"/>
              <w:ind w:right="212"/>
              <w:spacing w:after="0" w:line="196" w:lineRule="exact"/>
              <w:rPr>
                <w:sz w:val="20"/>
                <w:szCs w:val="20"/>
                <w:color w:val="auto"/>
              </w:rPr>
            </w:pPr>
            <w:r>
              <w:rPr>
                <w:rFonts w:ascii="Arial" w:cs="Arial" w:eastAsia="Arial" w:hAnsi="Arial"/>
                <w:sz w:val="18"/>
                <w:szCs w:val="18"/>
                <w:b w:val="1"/>
                <w:bCs w:val="1"/>
                <w:color w:val="auto"/>
              </w:rPr>
              <w:t>($61,108)</w:t>
            </w:r>
          </w:p>
        </w:tc>
        <w:tc>
          <w:tcPr>
            <w:tcW w:w="1400" w:type="dxa"/>
            <w:vAlign w:val="bottom"/>
            <w:tcBorders>
              <w:bottom w:val="single" w:sz="8" w:color="auto"/>
            </w:tcBorders>
          </w:tcPr>
          <w:p>
            <w:pPr>
              <w:jc w:val="right"/>
              <w:ind w:right="91"/>
              <w:spacing w:after="0" w:line="196" w:lineRule="exact"/>
              <w:rPr>
                <w:sz w:val="20"/>
                <w:szCs w:val="20"/>
                <w:color w:val="auto"/>
              </w:rPr>
            </w:pPr>
            <w:r>
              <w:rPr>
                <w:rFonts w:ascii="Arial" w:cs="Arial" w:eastAsia="Arial" w:hAnsi="Arial"/>
                <w:sz w:val="18"/>
                <w:szCs w:val="18"/>
                <w:color w:val="auto"/>
              </w:rPr>
              <w:t>($45,104)</w:t>
            </w: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($84,368)</w:t>
            </w:r>
          </w:p>
        </w:tc>
        <w:tc>
          <w:tcPr>
            <w:tcW w:w="0" w:type="dxa"/>
            <w:vAlign w:val="bottom"/>
          </w:tcPr>
          <w:p>
            <w:pPr>
              <w:spacing w:after="0"/>
              <w:rPr>
                <w:sz w:val="1"/>
                <w:szCs w:val="1"/>
                <w:color w:val="auto"/>
              </w:rPr>
            </w:pPr>
          </w:p>
        </w:tc>
      </w:tr>
      <w:tr>
        <w:trPr>
          <w:trHeight w:val="398"/>
        </w:trPr>
        <w:tc>
          <w:tcPr>
            <w:tcW w:w="4300" w:type="dxa"/>
            <w:vAlign w:val="bottom"/>
          </w:tcPr>
          <w:p>
            <w:pPr>
              <w:spacing w:after="0"/>
              <w:rPr>
                <w:sz w:val="20"/>
                <w:szCs w:val="20"/>
                <w:color w:val="auto"/>
              </w:rPr>
            </w:pPr>
            <w:r>
              <w:rPr>
                <w:rFonts w:ascii="Arial" w:cs="Arial" w:eastAsia="Arial" w:hAnsi="Arial"/>
                <w:sz w:val="18"/>
                <w:szCs w:val="18"/>
                <w:color w:val="auto"/>
              </w:rPr>
              <w:t>Amounts recognized in accumulated other</w:t>
            </w:r>
          </w:p>
        </w:tc>
        <w:tc>
          <w:tcPr>
            <w:tcW w:w="15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300" w:type="dxa"/>
            <w:vAlign w:val="bottom"/>
          </w:tcPr>
          <w:p>
            <w:pPr>
              <w:spacing w:after="0" w:line="202" w:lineRule="exact"/>
              <w:rPr>
                <w:sz w:val="20"/>
                <w:szCs w:val="20"/>
                <w:color w:val="auto"/>
              </w:rPr>
            </w:pPr>
            <w:r>
              <w:rPr>
                <w:rFonts w:ascii="Arial" w:cs="Arial" w:eastAsia="Arial" w:hAnsi="Arial"/>
                <w:sz w:val="18"/>
                <w:szCs w:val="18"/>
                <w:color w:val="auto"/>
              </w:rPr>
              <w:t>comprehensive income consist of:</w:t>
            </w:r>
          </w:p>
        </w:tc>
        <w:tc>
          <w:tcPr>
            <w:tcW w:w="1540" w:type="dxa"/>
            <w:vAlign w:val="bottom"/>
            <w:vMerge w:val="restart"/>
          </w:tcPr>
          <w:p>
            <w:pPr>
              <w:jc w:val="right"/>
              <w:ind w:right="171"/>
              <w:spacing w:after="0"/>
              <w:rPr>
                <w:sz w:val="20"/>
                <w:szCs w:val="20"/>
                <w:color w:val="auto"/>
              </w:rPr>
            </w:pPr>
            <w:r>
              <w:rPr>
                <w:rFonts w:ascii="Arial" w:cs="Arial" w:eastAsia="Arial" w:hAnsi="Arial"/>
                <w:sz w:val="18"/>
                <w:szCs w:val="18"/>
                <w:b w:val="1"/>
                <w:bCs w:val="1"/>
                <w:color w:val="auto"/>
              </w:rPr>
              <w:t>$73,908</w:t>
            </w:r>
          </w:p>
        </w:tc>
        <w:tc>
          <w:tcPr>
            <w:tcW w:w="1660" w:type="dxa"/>
            <w:vAlign w:val="bottom"/>
            <w:vMerge w:val="restart"/>
          </w:tcPr>
          <w:p>
            <w:pPr>
              <w:jc w:val="right"/>
              <w:ind w:right="272"/>
              <w:spacing w:after="0"/>
              <w:rPr>
                <w:sz w:val="20"/>
                <w:szCs w:val="20"/>
                <w:color w:val="auto"/>
              </w:rPr>
            </w:pPr>
            <w:r>
              <w:rPr>
                <w:rFonts w:ascii="Arial" w:cs="Arial" w:eastAsia="Arial" w:hAnsi="Arial"/>
                <w:sz w:val="18"/>
                <w:szCs w:val="18"/>
                <w:b w:val="1"/>
                <w:bCs w:val="1"/>
                <w:color w:val="auto"/>
              </w:rPr>
              <w:t>$41,175</w:t>
            </w:r>
          </w:p>
        </w:tc>
        <w:tc>
          <w:tcPr>
            <w:tcW w:w="1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300" w:type="dxa"/>
            <w:vAlign w:val="bottom"/>
          </w:tcPr>
          <w:p>
            <w:pPr>
              <w:spacing w:after="0" w:line="181" w:lineRule="exact"/>
              <w:rPr>
                <w:sz w:val="20"/>
                <w:szCs w:val="20"/>
                <w:color w:val="auto"/>
              </w:rPr>
            </w:pPr>
            <w:r>
              <w:rPr>
                <w:rFonts w:ascii="Arial" w:cs="Arial" w:eastAsia="Arial" w:hAnsi="Arial"/>
                <w:sz w:val="18"/>
                <w:szCs w:val="18"/>
                <w:color w:val="auto"/>
              </w:rPr>
              <w:t>Net actuarial loss</w:t>
            </w:r>
          </w:p>
        </w:tc>
        <w:tc>
          <w:tcPr>
            <w:tcW w:w="1540" w:type="dxa"/>
            <w:vAlign w:val="bottom"/>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1400" w:type="dxa"/>
            <w:vAlign w:val="bottom"/>
          </w:tcPr>
          <w:p>
            <w:pPr>
              <w:jc w:val="right"/>
              <w:ind w:right="151"/>
              <w:spacing w:after="0" w:line="181" w:lineRule="exact"/>
              <w:rPr>
                <w:sz w:val="20"/>
                <w:szCs w:val="20"/>
                <w:color w:val="auto"/>
              </w:rPr>
            </w:pPr>
            <w:r>
              <w:rPr>
                <w:rFonts w:ascii="Arial" w:cs="Arial" w:eastAsia="Arial" w:hAnsi="Arial"/>
                <w:sz w:val="18"/>
                <w:szCs w:val="18"/>
                <w:color w:val="auto"/>
              </w:rPr>
              <w:t>$84,784</w:t>
            </w:r>
          </w:p>
        </w:tc>
        <w:tc>
          <w:tcPr>
            <w:tcW w:w="1360" w:type="dxa"/>
            <w:vAlign w:val="bottom"/>
          </w:tcPr>
          <w:p>
            <w:pPr>
              <w:jc w:val="right"/>
              <w:ind w:right="12"/>
              <w:spacing w:after="0" w:line="181" w:lineRule="exact"/>
              <w:rPr>
                <w:sz w:val="20"/>
                <w:szCs w:val="20"/>
                <w:color w:val="auto"/>
              </w:rPr>
            </w:pPr>
            <w:r>
              <w:rPr>
                <w:rFonts w:ascii="Arial" w:cs="Arial" w:eastAsia="Arial" w:hAnsi="Arial"/>
                <w:sz w:val="18"/>
                <w:szCs w:val="18"/>
                <w:color w:val="auto"/>
              </w:rPr>
              <w:t>$57,966</w:t>
            </w:r>
          </w:p>
        </w:tc>
        <w:tc>
          <w:tcPr>
            <w:tcW w:w="0" w:type="dxa"/>
            <w:vAlign w:val="bottom"/>
          </w:tcPr>
          <w:p>
            <w:pPr>
              <w:spacing w:after="0"/>
              <w:rPr>
                <w:sz w:val="1"/>
                <w:szCs w:val="1"/>
                <w:color w:val="auto"/>
              </w:rPr>
            </w:pPr>
          </w:p>
        </w:tc>
      </w:tr>
      <w:tr>
        <w:trPr>
          <w:trHeight w:val="203"/>
        </w:trPr>
        <w:tc>
          <w:tcPr>
            <w:tcW w:w="4300" w:type="dxa"/>
            <w:vAlign w:val="bottom"/>
          </w:tcPr>
          <w:p>
            <w:pPr>
              <w:spacing w:after="0" w:line="202" w:lineRule="exact"/>
              <w:rPr>
                <w:sz w:val="20"/>
                <w:szCs w:val="20"/>
                <w:color w:val="auto"/>
              </w:rPr>
            </w:pPr>
            <w:r>
              <w:rPr>
                <w:rFonts w:ascii="Arial" w:cs="Arial" w:eastAsia="Arial" w:hAnsi="Arial"/>
                <w:sz w:val="18"/>
                <w:szCs w:val="18"/>
                <w:color w:val="auto"/>
              </w:rPr>
              <w:t>Prior service cost/(credit)</w:t>
            </w:r>
          </w:p>
        </w:tc>
        <w:tc>
          <w:tcPr>
            <w:tcW w:w="1540" w:type="dxa"/>
            <w:vAlign w:val="bottom"/>
          </w:tcPr>
          <w:p>
            <w:pPr>
              <w:jc w:val="right"/>
              <w:ind w:right="171"/>
              <w:spacing w:after="0" w:line="202" w:lineRule="exact"/>
              <w:rPr>
                <w:sz w:val="20"/>
                <w:szCs w:val="20"/>
                <w:color w:val="auto"/>
              </w:rPr>
            </w:pPr>
            <w:r>
              <w:rPr>
                <w:rFonts w:ascii="Arial" w:cs="Arial" w:eastAsia="Arial" w:hAnsi="Arial"/>
                <w:sz w:val="18"/>
                <w:szCs w:val="18"/>
                <w:b w:val="1"/>
                <w:bCs w:val="1"/>
                <w:color w:val="auto"/>
              </w:rPr>
              <w:t>866</w:t>
            </w:r>
          </w:p>
        </w:tc>
        <w:tc>
          <w:tcPr>
            <w:tcW w:w="1660" w:type="dxa"/>
            <w:vAlign w:val="bottom"/>
          </w:tcPr>
          <w:p>
            <w:pPr>
              <w:jc w:val="right"/>
              <w:ind w:right="212"/>
              <w:spacing w:after="0" w:line="202" w:lineRule="exact"/>
              <w:rPr>
                <w:sz w:val="20"/>
                <w:szCs w:val="20"/>
                <w:color w:val="auto"/>
              </w:rPr>
            </w:pPr>
            <w:r>
              <w:rPr>
                <w:rFonts w:ascii="Arial" w:cs="Arial" w:eastAsia="Arial" w:hAnsi="Arial"/>
                <w:sz w:val="18"/>
                <w:szCs w:val="18"/>
                <w:b w:val="1"/>
                <w:bCs w:val="1"/>
                <w:color w:val="auto"/>
              </w:rPr>
              <w:t>(44,364)</w:t>
            </w:r>
          </w:p>
        </w:tc>
        <w:tc>
          <w:tcPr>
            <w:tcW w:w="1400" w:type="dxa"/>
            <w:vAlign w:val="bottom"/>
          </w:tcPr>
          <w:p>
            <w:pPr>
              <w:jc w:val="right"/>
              <w:ind w:right="151"/>
              <w:spacing w:after="0" w:line="202" w:lineRule="exact"/>
              <w:rPr>
                <w:sz w:val="20"/>
                <w:szCs w:val="20"/>
                <w:color w:val="auto"/>
              </w:rPr>
            </w:pPr>
            <w:r>
              <w:rPr>
                <w:rFonts w:ascii="Arial" w:cs="Arial" w:eastAsia="Arial" w:hAnsi="Arial"/>
                <w:sz w:val="18"/>
                <w:szCs w:val="18"/>
                <w:color w:val="auto"/>
              </w:rPr>
              <w:t>405</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(40,329)</w:t>
            </w:r>
          </w:p>
        </w:tc>
        <w:tc>
          <w:tcPr>
            <w:tcW w:w="0" w:type="dxa"/>
            <w:vAlign w:val="bottom"/>
          </w:tcPr>
          <w:p>
            <w:pPr>
              <w:spacing w:after="0"/>
              <w:rPr>
                <w:sz w:val="1"/>
                <w:szCs w:val="1"/>
                <w:color w:val="auto"/>
              </w:rPr>
            </w:pPr>
          </w:p>
        </w:tc>
      </w:tr>
      <w:tr>
        <w:trPr>
          <w:trHeight w:val="225"/>
        </w:trPr>
        <w:tc>
          <w:tcPr>
            <w:tcW w:w="4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Transition obligation</w:t>
            </w:r>
          </w:p>
        </w:tc>
        <w:tc>
          <w:tcPr>
            <w:tcW w:w="154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rPr>
              <w:t>-</w:t>
            </w:r>
          </w:p>
        </w:tc>
        <w:tc>
          <w:tcPr>
            <w:tcW w:w="16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70</w:t>
            </w:r>
          </w:p>
        </w:tc>
        <w:tc>
          <w:tcPr>
            <w:tcW w:w="13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43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amount recognized</w:t>
            </w:r>
          </w:p>
        </w:tc>
        <w:tc>
          <w:tcPr>
            <w:tcW w:w="1540" w:type="dxa"/>
            <w:vAlign w:val="bottom"/>
            <w:tcBorders>
              <w:bottom w:val="single" w:sz="8" w:color="auto"/>
            </w:tcBorders>
          </w:tcPr>
          <w:p>
            <w:pPr>
              <w:jc w:val="right"/>
              <w:ind w:right="171"/>
              <w:spacing w:after="0" w:line="196" w:lineRule="exact"/>
              <w:rPr>
                <w:sz w:val="20"/>
                <w:szCs w:val="20"/>
                <w:color w:val="auto"/>
              </w:rPr>
            </w:pPr>
            <w:r>
              <w:rPr>
                <w:rFonts w:ascii="Arial" w:cs="Arial" w:eastAsia="Arial" w:hAnsi="Arial"/>
                <w:sz w:val="18"/>
                <w:szCs w:val="18"/>
                <w:b w:val="1"/>
                <w:bCs w:val="1"/>
                <w:color w:val="auto"/>
              </w:rPr>
              <w:t>$74,774</w:t>
            </w:r>
          </w:p>
        </w:tc>
        <w:tc>
          <w:tcPr>
            <w:tcW w:w="1660" w:type="dxa"/>
            <w:vAlign w:val="bottom"/>
            <w:tcBorders>
              <w:bottom w:val="single" w:sz="8" w:color="auto"/>
            </w:tcBorders>
          </w:tcPr>
          <w:p>
            <w:pPr>
              <w:jc w:val="right"/>
              <w:ind w:right="212"/>
              <w:spacing w:after="0" w:line="196" w:lineRule="exact"/>
              <w:rPr>
                <w:sz w:val="20"/>
                <w:szCs w:val="20"/>
                <w:color w:val="auto"/>
              </w:rPr>
            </w:pPr>
            <w:r>
              <w:rPr>
                <w:rFonts w:ascii="Arial" w:cs="Arial" w:eastAsia="Arial" w:hAnsi="Arial"/>
                <w:sz w:val="18"/>
                <w:szCs w:val="18"/>
                <w:b w:val="1"/>
                <w:bCs w:val="1"/>
                <w:color w:val="auto"/>
              </w:rPr>
              <w:t>($3,189)</w:t>
            </w:r>
          </w:p>
        </w:tc>
        <w:tc>
          <w:tcPr>
            <w:tcW w:w="1400" w:type="dxa"/>
            <w:vAlign w:val="bottom"/>
            <w:tcBorders>
              <w:bottom w:val="single" w:sz="8" w:color="auto"/>
            </w:tcBorders>
          </w:tcPr>
          <w:p>
            <w:pPr>
              <w:jc w:val="right"/>
              <w:ind w:right="151"/>
              <w:spacing w:after="0" w:line="196" w:lineRule="exact"/>
              <w:rPr>
                <w:sz w:val="20"/>
                <w:szCs w:val="20"/>
                <w:color w:val="auto"/>
              </w:rPr>
            </w:pPr>
            <w:r>
              <w:rPr>
                <w:rFonts w:ascii="Arial" w:cs="Arial" w:eastAsia="Arial" w:hAnsi="Arial"/>
                <w:sz w:val="18"/>
                <w:szCs w:val="18"/>
                <w:color w:val="auto"/>
              </w:rPr>
              <w:t>$85,259</w:t>
            </w:r>
          </w:p>
        </w:tc>
        <w:tc>
          <w:tcPr>
            <w:tcW w:w="136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$17,637</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246620" cy="431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760"/>
          </w:cols>
          <w:pgMar w:left="900" w:top="490" w:right="239" w:bottom="1440" w:gutter="0" w:footer="0" w:header="0"/>
        </w:sectPr>
      </w:pPr>
    </w:p>
    <w:bookmarkStart w:id="62" w:name="page63"/>
    <w:bookmarkEnd w:id="62"/>
    <w:p>
      <w:pPr>
        <w:ind w:left="80"/>
        <w:spacing w:after="0"/>
        <w:rPr>
          <w:sz w:val="20"/>
          <w:szCs w:val="20"/>
          <w:color w:val="auto"/>
        </w:rPr>
      </w:pPr>
      <w:r>
        <w:rPr>
          <w:rFonts w:ascii="Arial" w:cs="Arial" w:eastAsia="Arial" w:hAnsi="Arial"/>
          <w:sz w:val="18"/>
          <w:szCs w:val="18"/>
          <w:color w:val="auto"/>
        </w:rPr>
        <w:t>The composition of the net periodic benefit plan cost for the years ended December 31, 2013, 2012 and 2011, was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60" w:type="dxa"/>
            <w:vAlign w:val="bottom"/>
          </w:tcPr>
          <w:p>
            <w:pPr>
              <w:spacing w:after="0"/>
              <w:rPr>
                <w:sz w:val="17"/>
                <w:szCs w:val="17"/>
                <w:color w:val="auto"/>
              </w:rPr>
            </w:pPr>
          </w:p>
        </w:tc>
        <w:tc>
          <w:tcPr>
            <w:tcW w:w="2160" w:type="dxa"/>
            <w:vAlign w:val="bottom"/>
            <w:gridSpan w:val="2"/>
          </w:tcPr>
          <w:p>
            <w:pPr>
              <w:jc w:val="right"/>
              <w:spacing w:after="0"/>
              <w:rPr>
                <w:sz w:val="20"/>
                <w:szCs w:val="20"/>
                <w:color w:val="auto"/>
              </w:rPr>
            </w:pPr>
            <w:r>
              <w:rPr>
                <w:rFonts w:ascii="Arial" w:cs="Arial" w:eastAsia="Arial" w:hAnsi="Arial"/>
                <w:sz w:val="18"/>
                <w:szCs w:val="18"/>
                <w:b w:val="1"/>
                <w:bCs w:val="1"/>
                <w:color w:val="auto"/>
              </w:rPr>
              <w:t>Pension plans</w:t>
            </w:r>
          </w:p>
        </w:tc>
        <w:tc>
          <w:tcPr>
            <w:tcW w:w="920" w:type="dxa"/>
            <w:vAlign w:val="bottom"/>
          </w:tcPr>
          <w:p>
            <w:pPr>
              <w:spacing w:after="0"/>
              <w:rPr>
                <w:sz w:val="17"/>
                <w:szCs w:val="17"/>
                <w:color w:val="auto"/>
              </w:rPr>
            </w:pPr>
          </w:p>
        </w:tc>
        <w:tc>
          <w:tcPr>
            <w:tcW w:w="3040" w:type="dxa"/>
            <w:vAlign w:val="bottom"/>
            <w:gridSpan w:val="3"/>
          </w:tcPr>
          <w:p>
            <w:pPr>
              <w:jc w:val="right"/>
              <w:ind w:right="310"/>
              <w:spacing w:after="0"/>
              <w:rPr>
                <w:sz w:val="20"/>
                <w:szCs w:val="20"/>
                <w:color w:val="auto"/>
              </w:rPr>
            </w:pPr>
            <w:r>
              <w:rPr>
                <w:rFonts w:ascii="Arial" w:cs="Arial" w:eastAsia="Arial" w:hAnsi="Arial"/>
                <w:sz w:val="18"/>
                <w:szCs w:val="18"/>
                <w:b w:val="1"/>
                <w:bCs w:val="1"/>
                <w:color w:val="auto"/>
              </w:rPr>
              <w:t>Other postretirement benefits</w:t>
            </w:r>
          </w:p>
        </w:tc>
        <w:tc>
          <w:tcPr>
            <w:tcW w:w="0" w:type="dxa"/>
            <w:vAlign w:val="bottom"/>
          </w:tcPr>
          <w:p>
            <w:pPr>
              <w:spacing w:after="0"/>
              <w:rPr>
                <w:sz w:val="1"/>
                <w:szCs w:val="1"/>
                <w:color w:val="auto"/>
              </w:rPr>
            </w:pPr>
          </w:p>
        </w:tc>
      </w:tr>
      <w:tr>
        <w:trPr>
          <w:trHeight w:val="225"/>
        </w:trPr>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2013</w:t>
            </w:r>
          </w:p>
        </w:tc>
        <w:tc>
          <w:tcPr>
            <w:tcW w:w="10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2012</w:t>
            </w: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2011</w:t>
            </w: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2013</w:t>
            </w:r>
          </w:p>
        </w:tc>
        <w:tc>
          <w:tcPr>
            <w:tcW w:w="1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406"/>
        </w:trPr>
        <w:tc>
          <w:tcPr>
            <w:tcW w:w="4160" w:type="dxa"/>
            <w:vAlign w:val="bottom"/>
          </w:tcPr>
          <w:p>
            <w:pPr>
              <w:spacing w:after="0"/>
              <w:rPr>
                <w:sz w:val="20"/>
                <w:szCs w:val="20"/>
                <w:color w:val="auto"/>
              </w:rPr>
            </w:pPr>
            <w:r>
              <w:rPr>
                <w:rFonts w:ascii="Arial" w:cs="Arial" w:eastAsia="Arial" w:hAnsi="Arial"/>
                <w:sz w:val="16"/>
                <w:szCs w:val="16"/>
                <w:color w:val="auto"/>
              </w:rPr>
              <w:t>Components of net periodic benefit cost:</w:t>
            </w:r>
          </w:p>
        </w:tc>
        <w:tc>
          <w:tcPr>
            <w:tcW w:w="10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$3,662</w:t>
            </w:r>
          </w:p>
        </w:tc>
        <w:tc>
          <w:tcPr>
            <w:tcW w:w="1080" w:type="dxa"/>
            <w:vAlign w:val="bottom"/>
            <w:vMerge w:val="restart"/>
          </w:tcPr>
          <w:p>
            <w:pPr>
              <w:jc w:val="right"/>
              <w:ind w:right="170"/>
              <w:spacing w:after="0"/>
              <w:rPr>
                <w:sz w:val="20"/>
                <w:szCs w:val="20"/>
                <w:color w:val="auto"/>
              </w:rPr>
            </w:pPr>
            <w:r>
              <w:rPr>
                <w:rFonts w:ascii="Arial" w:cs="Arial" w:eastAsia="Arial" w:hAnsi="Arial"/>
                <w:sz w:val="18"/>
                <w:szCs w:val="18"/>
                <w:color w:val="auto"/>
              </w:rPr>
              <w:t>$3,486</w:t>
            </w:r>
          </w:p>
        </w:tc>
        <w:tc>
          <w:tcPr>
            <w:tcW w:w="920" w:type="dxa"/>
            <w:vAlign w:val="bottom"/>
            <w:vMerge w:val="restart"/>
          </w:tcPr>
          <w:p>
            <w:pPr>
              <w:jc w:val="right"/>
              <w:ind w:right="170"/>
              <w:spacing w:after="0"/>
              <w:rPr>
                <w:sz w:val="20"/>
                <w:szCs w:val="20"/>
                <w:color w:val="auto"/>
              </w:rPr>
            </w:pPr>
            <w:r>
              <w:rPr>
                <w:rFonts w:ascii="Arial" w:cs="Arial" w:eastAsia="Arial" w:hAnsi="Arial"/>
                <w:sz w:val="18"/>
                <w:szCs w:val="18"/>
                <w:color w:val="auto"/>
              </w:rPr>
              <w:t>$3,117</w:t>
            </w:r>
          </w:p>
        </w:tc>
        <w:tc>
          <w:tcPr>
            <w:tcW w:w="104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$875</w:t>
            </w:r>
          </w:p>
        </w:tc>
        <w:tc>
          <w:tcPr>
            <w:tcW w:w="1060" w:type="dxa"/>
            <w:vAlign w:val="bottom"/>
            <w:vMerge w:val="restart"/>
          </w:tcPr>
          <w:p>
            <w:pPr>
              <w:jc w:val="right"/>
              <w:ind w:right="250"/>
              <w:spacing w:after="0"/>
              <w:rPr>
                <w:sz w:val="20"/>
                <w:szCs w:val="20"/>
                <w:color w:val="auto"/>
              </w:rPr>
            </w:pPr>
            <w:r>
              <w:rPr>
                <w:rFonts w:ascii="Arial" w:cs="Arial" w:eastAsia="Arial" w:hAnsi="Arial"/>
                <w:sz w:val="18"/>
                <w:szCs w:val="18"/>
                <w:color w:val="auto"/>
              </w:rPr>
              <w:t>$1,071</w:t>
            </w:r>
          </w:p>
        </w:tc>
        <w:tc>
          <w:tcPr>
            <w:tcW w:w="940" w:type="dxa"/>
            <w:vAlign w:val="bottom"/>
            <w:vMerge w:val="restart"/>
          </w:tcPr>
          <w:p>
            <w:pPr>
              <w:jc w:val="right"/>
              <w:ind w:right="110"/>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172"/>
        </w:trPr>
        <w:tc>
          <w:tcPr>
            <w:tcW w:w="4160" w:type="dxa"/>
            <w:vAlign w:val="bottom"/>
          </w:tcPr>
          <w:p>
            <w:pPr>
              <w:spacing w:after="0" w:line="172" w:lineRule="exact"/>
              <w:rPr>
                <w:sz w:val="20"/>
                <w:szCs w:val="20"/>
                <w:color w:val="auto"/>
              </w:rPr>
            </w:pPr>
            <w:r>
              <w:rPr>
                <w:rFonts w:ascii="Arial" w:cs="Arial" w:eastAsia="Arial" w:hAnsi="Arial"/>
                <w:sz w:val="16"/>
                <w:szCs w:val="16"/>
                <w:color w:val="auto"/>
              </w:rPr>
              <w:t>Service cost</w:t>
            </w:r>
          </w:p>
        </w:tc>
        <w:tc>
          <w:tcPr>
            <w:tcW w:w="10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Interest cost</w:t>
            </w:r>
          </w:p>
        </w:tc>
        <w:tc>
          <w:tcPr>
            <w:tcW w:w="1080" w:type="dxa"/>
            <w:vAlign w:val="bottom"/>
          </w:tcPr>
          <w:p>
            <w:pPr>
              <w:jc w:val="right"/>
              <w:ind w:right="130"/>
              <w:spacing w:after="0" w:line="202" w:lineRule="exact"/>
              <w:rPr>
                <w:sz w:val="20"/>
                <w:szCs w:val="20"/>
                <w:color w:val="auto"/>
              </w:rPr>
            </w:pPr>
            <w:r>
              <w:rPr>
                <w:rFonts w:ascii="Arial" w:cs="Arial" w:eastAsia="Arial" w:hAnsi="Arial"/>
                <w:sz w:val="18"/>
                <w:szCs w:val="18"/>
                <w:b w:val="1"/>
                <w:bCs w:val="1"/>
                <w:color w:val="auto"/>
              </w:rPr>
              <w:t>8,852</w:t>
            </w:r>
          </w:p>
        </w:tc>
        <w:tc>
          <w:tcPr>
            <w:tcW w:w="108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12,180</w:t>
            </w:r>
          </w:p>
        </w:tc>
        <w:tc>
          <w:tcPr>
            <w:tcW w:w="9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19,958</w:t>
            </w:r>
          </w:p>
        </w:tc>
        <w:tc>
          <w:tcPr>
            <w:tcW w:w="104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3,080</w:t>
            </w:r>
          </w:p>
        </w:tc>
        <w:tc>
          <w:tcPr>
            <w:tcW w:w="106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3,691</w:t>
            </w:r>
          </w:p>
        </w:tc>
        <w:tc>
          <w:tcPr>
            <w:tcW w:w="9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3,869</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Other adjustments</w:t>
            </w:r>
          </w:p>
        </w:tc>
        <w:tc>
          <w:tcPr>
            <w:tcW w:w="1080" w:type="dxa"/>
            <w:vAlign w:val="bottom"/>
          </w:tcPr>
          <w:p>
            <w:pPr>
              <w:jc w:val="right"/>
              <w:ind w:right="130"/>
              <w:spacing w:after="0" w:line="202" w:lineRule="exact"/>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Expected return on assets</w:t>
            </w:r>
          </w:p>
        </w:tc>
        <w:tc>
          <w:tcPr>
            <w:tcW w:w="108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(8,677)</w:t>
            </w:r>
          </w:p>
        </w:tc>
        <w:tc>
          <w:tcPr>
            <w:tcW w:w="10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(11,799)</w:t>
            </w:r>
          </w:p>
        </w:tc>
        <w:tc>
          <w:tcPr>
            <w:tcW w:w="9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(15,858)</w:t>
            </w:r>
          </w:p>
        </w:tc>
        <w:tc>
          <w:tcPr>
            <w:tcW w:w="104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Amortization of prior service cost/(credit)</w:t>
            </w:r>
          </w:p>
        </w:tc>
        <w:tc>
          <w:tcPr>
            <w:tcW w:w="1080" w:type="dxa"/>
            <w:vAlign w:val="bottom"/>
          </w:tcPr>
          <w:p>
            <w:pPr>
              <w:jc w:val="right"/>
              <w:ind w:right="130"/>
              <w:spacing w:after="0" w:line="202" w:lineRule="exact"/>
              <w:rPr>
                <w:sz w:val="20"/>
                <w:szCs w:val="20"/>
                <w:color w:val="auto"/>
              </w:rPr>
            </w:pPr>
            <w:r>
              <w:rPr>
                <w:rFonts w:ascii="Arial" w:cs="Arial" w:eastAsia="Arial" w:hAnsi="Arial"/>
                <w:sz w:val="18"/>
                <w:szCs w:val="18"/>
                <w:b w:val="1"/>
                <w:bCs w:val="1"/>
                <w:color w:val="auto"/>
              </w:rPr>
              <w:t>35</w:t>
            </w:r>
          </w:p>
        </w:tc>
        <w:tc>
          <w:tcPr>
            <w:tcW w:w="108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35</w:t>
            </w:r>
          </w:p>
        </w:tc>
        <w:tc>
          <w:tcPr>
            <w:tcW w:w="9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37</w:t>
            </w:r>
          </w:p>
        </w:tc>
        <w:tc>
          <w:tcPr>
            <w:tcW w:w="1040" w:type="dxa"/>
            <w:vAlign w:val="bottom"/>
          </w:tcPr>
          <w:p>
            <w:pPr>
              <w:jc w:val="right"/>
              <w:ind w:right="170"/>
              <w:spacing w:after="0" w:line="202" w:lineRule="exact"/>
              <w:rPr>
                <w:sz w:val="20"/>
                <w:szCs w:val="20"/>
                <w:color w:val="auto"/>
              </w:rPr>
            </w:pPr>
            <w:r>
              <w:rPr>
                <w:rFonts w:ascii="Arial" w:cs="Arial" w:eastAsia="Arial" w:hAnsi="Arial"/>
                <w:sz w:val="18"/>
                <w:szCs w:val="18"/>
                <w:b w:val="1"/>
                <w:bCs w:val="1"/>
                <w:color w:val="auto"/>
              </w:rPr>
              <w:t>(3,940)</w:t>
            </w:r>
          </w:p>
        </w:tc>
        <w:tc>
          <w:tcPr>
            <w:tcW w:w="10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(3,666)</w:t>
            </w:r>
          </w:p>
        </w:tc>
        <w:tc>
          <w:tcPr>
            <w:tcW w:w="9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(3,666)</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Amortization of transition obligation</w:t>
            </w:r>
          </w:p>
        </w:tc>
        <w:tc>
          <w:tcPr>
            <w:tcW w:w="1080" w:type="dxa"/>
            <w:vAlign w:val="bottom"/>
          </w:tcPr>
          <w:p>
            <w:pPr>
              <w:jc w:val="right"/>
              <w:ind w:right="130"/>
              <w:spacing w:after="0" w:line="202" w:lineRule="exact"/>
              <w:rPr>
                <w:sz w:val="20"/>
                <w:szCs w:val="20"/>
                <w:color w:val="auto"/>
              </w:rPr>
            </w:pPr>
            <w:r>
              <w:rPr>
                <w:rFonts w:ascii="Arial" w:cs="Arial" w:eastAsia="Arial" w:hAnsi="Arial"/>
                <w:sz w:val="18"/>
                <w:szCs w:val="18"/>
                <w:b w:val="1"/>
                <w:bCs w:val="1"/>
                <w:color w:val="auto"/>
              </w:rPr>
              <w:t>70</w:t>
            </w:r>
          </w:p>
        </w:tc>
        <w:tc>
          <w:tcPr>
            <w:tcW w:w="108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79</w:t>
            </w:r>
          </w:p>
        </w:tc>
        <w:tc>
          <w:tcPr>
            <w:tcW w:w="9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83</w:t>
            </w:r>
          </w:p>
        </w:tc>
        <w:tc>
          <w:tcPr>
            <w:tcW w:w="104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Amortization of net actuarial loss</w:t>
            </w:r>
          </w:p>
        </w:tc>
        <w:tc>
          <w:tcPr>
            <w:tcW w:w="1080" w:type="dxa"/>
            <w:vAlign w:val="bottom"/>
          </w:tcPr>
          <w:p>
            <w:pPr>
              <w:jc w:val="right"/>
              <w:ind w:right="130"/>
              <w:spacing w:after="0" w:line="202" w:lineRule="exact"/>
              <w:rPr>
                <w:sz w:val="20"/>
                <w:szCs w:val="20"/>
                <w:color w:val="auto"/>
              </w:rPr>
            </w:pPr>
            <w:r>
              <w:rPr>
                <w:rFonts w:ascii="Arial" w:cs="Arial" w:eastAsia="Arial" w:hAnsi="Arial"/>
                <w:sz w:val="18"/>
                <w:szCs w:val="18"/>
                <w:b w:val="1"/>
                <w:bCs w:val="1"/>
                <w:color w:val="auto"/>
              </w:rPr>
              <w:t>3,117</w:t>
            </w:r>
          </w:p>
        </w:tc>
        <w:tc>
          <w:tcPr>
            <w:tcW w:w="108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4,223</w:t>
            </w:r>
          </w:p>
        </w:tc>
        <w:tc>
          <w:tcPr>
            <w:tcW w:w="9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5,672</w:t>
            </w:r>
          </w:p>
        </w:tc>
        <w:tc>
          <w:tcPr>
            <w:tcW w:w="104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3,395</w:t>
            </w:r>
          </w:p>
        </w:tc>
        <w:tc>
          <w:tcPr>
            <w:tcW w:w="106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3,215</w:t>
            </w:r>
          </w:p>
        </w:tc>
        <w:tc>
          <w:tcPr>
            <w:tcW w:w="9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3,022</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Settlement</w:t>
            </w:r>
          </w:p>
        </w:tc>
        <w:tc>
          <w:tcPr>
            <w:tcW w:w="1080" w:type="dxa"/>
            <w:vAlign w:val="bottom"/>
          </w:tcPr>
          <w:p>
            <w:pPr>
              <w:jc w:val="right"/>
              <w:ind w:right="130"/>
              <w:spacing w:after="0" w:line="202" w:lineRule="exact"/>
              <w:rPr>
                <w:sz w:val="20"/>
                <w:szCs w:val="20"/>
                <w:color w:val="auto"/>
              </w:rPr>
            </w:pPr>
            <w:r>
              <w:rPr>
                <w:rFonts w:ascii="Arial" w:cs="Arial" w:eastAsia="Arial" w:hAnsi="Arial"/>
                <w:sz w:val="18"/>
                <w:szCs w:val="18"/>
                <w:b w:val="1"/>
                <w:bCs w:val="1"/>
                <w:color w:val="auto"/>
              </w:rPr>
              <w:t>502</w:t>
            </w:r>
          </w:p>
        </w:tc>
        <w:tc>
          <w:tcPr>
            <w:tcW w:w="108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119,986</w:t>
            </w:r>
          </w:p>
        </w:tc>
        <w:tc>
          <w:tcPr>
            <w:tcW w:w="9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327</w:t>
            </w:r>
          </w:p>
        </w:tc>
        <w:tc>
          <w:tcPr>
            <w:tcW w:w="104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Curtailment (gain)/loss</w:t>
            </w:r>
          </w:p>
        </w:tc>
        <w:tc>
          <w:tcPr>
            <w:tcW w:w="108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(1,143)</w:t>
            </w:r>
          </w:p>
        </w:tc>
        <w:tc>
          <w:tcPr>
            <w:tcW w:w="108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1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Special / contractual termination benefits</w:t>
            </w: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233</w:t>
            </w: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41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Net periodic benefit cost</w:t>
            </w:r>
          </w:p>
        </w:tc>
        <w:tc>
          <w:tcPr>
            <w:tcW w:w="108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$6,418</w:t>
            </w:r>
          </w:p>
        </w:tc>
        <w:tc>
          <w:tcPr>
            <w:tcW w:w="108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$128,190</w:t>
            </w:r>
          </w:p>
        </w:tc>
        <w:tc>
          <w:tcPr>
            <w:tcW w:w="92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98"/>
              </w:rPr>
              <w:t>$13,569</w:t>
            </w:r>
          </w:p>
        </w:tc>
        <w:tc>
          <w:tcPr>
            <w:tcW w:w="104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$3,410</w:t>
            </w:r>
          </w:p>
        </w:tc>
        <w:tc>
          <w:tcPr>
            <w:tcW w:w="106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rPr>
              <w:t>$4,311</w:t>
            </w:r>
          </w:p>
        </w:tc>
        <w:tc>
          <w:tcPr>
            <w:tcW w:w="94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$5,101</w:t>
            </w:r>
          </w:p>
        </w:tc>
        <w:tc>
          <w:tcPr>
            <w:tcW w:w="0" w:type="dxa"/>
            <w:vAlign w:val="bottom"/>
          </w:tcPr>
          <w:p>
            <w:pPr>
              <w:spacing w:after="0"/>
              <w:rPr>
                <w:sz w:val="1"/>
                <w:szCs w:val="1"/>
                <w:color w:val="auto"/>
              </w:rPr>
            </w:pPr>
          </w:p>
        </w:tc>
      </w:tr>
      <w:tr>
        <w:trPr>
          <w:trHeight w:val="387"/>
        </w:trPr>
        <w:tc>
          <w:tcPr>
            <w:tcW w:w="4160" w:type="dxa"/>
            <w:vAlign w:val="bottom"/>
          </w:tcPr>
          <w:p>
            <w:pPr>
              <w:spacing w:after="0"/>
              <w:rPr>
                <w:sz w:val="20"/>
                <w:szCs w:val="20"/>
                <w:color w:val="auto"/>
              </w:rPr>
            </w:pPr>
            <w:r>
              <w:rPr>
                <w:rFonts w:ascii="Arial" w:cs="Arial" w:eastAsia="Arial" w:hAnsi="Arial"/>
                <w:sz w:val="16"/>
                <w:szCs w:val="16"/>
                <w:color w:val="auto"/>
              </w:rPr>
              <w:t>Weighted average assumptions used to</w:t>
            </w:r>
          </w:p>
        </w:tc>
        <w:tc>
          <w:tcPr>
            <w:tcW w:w="1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160" w:type="dxa"/>
            <w:vAlign w:val="bottom"/>
          </w:tcPr>
          <w:p>
            <w:pPr>
              <w:spacing w:after="0"/>
              <w:rPr>
                <w:sz w:val="20"/>
                <w:szCs w:val="20"/>
                <w:color w:val="auto"/>
              </w:rPr>
            </w:pPr>
            <w:r>
              <w:rPr>
                <w:rFonts w:ascii="Arial" w:cs="Arial" w:eastAsia="Arial" w:hAnsi="Arial"/>
                <w:sz w:val="16"/>
                <w:szCs w:val="16"/>
                <w:color w:val="auto"/>
              </w:rPr>
              <w:t>determine net cost:</w:t>
            </w:r>
          </w:p>
        </w:tc>
        <w:tc>
          <w:tcPr>
            <w:tcW w:w="10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4.28%</w:t>
            </w:r>
          </w:p>
        </w:tc>
        <w:tc>
          <w:tcPr>
            <w:tcW w:w="1080" w:type="dxa"/>
            <w:vAlign w:val="bottom"/>
            <w:vMerge w:val="restart"/>
          </w:tcPr>
          <w:p>
            <w:pPr>
              <w:jc w:val="right"/>
              <w:ind w:right="10"/>
              <w:spacing w:after="0"/>
              <w:rPr>
                <w:sz w:val="20"/>
                <w:szCs w:val="20"/>
                <w:color w:val="auto"/>
              </w:rPr>
            </w:pPr>
            <w:r>
              <w:rPr>
                <w:rFonts w:ascii="Arial" w:cs="Arial" w:eastAsia="Arial" w:hAnsi="Arial"/>
                <w:sz w:val="18"/>
                <w:szCs w:val="18"/>
                <w:color w:val="auto"/>
              </w:rPr>
              <w:t>4.82%</w:t>
            </w:r>
          </w:p>
        </w:tc>
        <w:tc>
          <w:tcPr>
            <w:tcW w:w="920" w:type="dxa"/>
            <w:vAlign w:val="bottom"/>
            <w:vMerge w:val="restart"/>
          </w:tcPr>
          <w:p>
            <w:pPr>
              <w:jc w:val="right"/>
              <w:ind w:right="10"/>
              <w:spacing w:after="0"/>
              <w:rPr>
                <w:sz w:val="20"/>
                <w:szCs w:val="20"/>
                <w:color w:val="auto"/>
              </w:rPr>
            </w:pPr>
            <w:r>
              <w:rPr>
                <w:rFonts w:ascii="Arial" w:cs="Arial" w:eastAsia="Arial" w:hAnsi="Arial"/>
                <w:sz w:val="18"/>
                <w:szCs w:val="18"/>
                <w:color w:val="auto"/>
              </w:rPr>
              <w:t>5.59%</w:t>
            </w:r>
          </w:p>
        </w:tc>
        <w:tc>
          <w:tcPr>
            <w:tcW w:w="104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3.93%</w:t>
            </w:r>
          </w:p>
        </w:tc>
        <w:tc>
          <w:tcPr>
            <w:tcW w:w="1060" w:type="dxa"/>
            <w:vAlign w:val="bottom"/>
            <w:vMerge w:val="restart"/>
          </w:tcPr>
          <w:p>
            <w:pPr>
              <w:jc w:val="right"/>
              <w:ind w:right="90"/>
              <w:spacing w:after="0"/>
              <w:rPr>
                <w:sz w:val="20"/>
                <w:szCs w:val="20"/>
                <w:color w:val="auto"/>
              </w:rPr>
            </w:pPr>
            <w:r>
              <w:rPr>
                <w:rFonts w:ascii="Arial" w:cs="Arial" w:eastAsia="Arial" w:hAnsi="Arial"/>
                <w:sz w:val="18"/>
                <w:szCs w:val="18"/>
                <w:color w:val="auto"/>
              </w:rPr>
              <w:t>4.86%</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172"/>
        </w:trPr>
        <w:tc>
          <w:tcPr>
            <w:tcW w:w="4160" w:type="dxa"/>
            <w:vAlign w:val="bottom"/>
          </w:tcPr>
          <w:p>
            <w:pPr>
              <w:spacing w:after="0" w:line="172" w:lineRule="exact"/>
              <w:rPr>
                <w:sz w:val="20"/>
                <w:szCs w:val="20"/>
                <w:color w:val="auto"/>
              </w:rPr>
            </w:pPr>
            <w:r>
              <w:rPr>
                <w:rFonts w:ascii="Arial" w:cs="Arial" w:eastAsia="Arial" w:hAnsi="Arial"/>
                <w:sz w:val="16"/>
                <w:szCs w:val="16"/>
                <w:color w:val="auto"/>
              </w:rPr>
              <w:t>Discount rate - U.S. plan</w:t>
            </w:r>
          </w:p>
        </w:tc>
        <w:tc>
          <w:tcPr>
            <w:tcW w:w="10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Discount rate - non-U.S. plan</w:t>
            </w:r>
          </w:p>
        </w:tc>
        <w:tc>
          <w:tcPr>
            <w:tcW w:w="10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4.09%</w:t>
            </w: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4.48%</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5.29%</w:t>
            </w:r>
          </w:p>
        </w:tc>
        <w:tc>
          <w:tcPr>
            <w:tcW w:w="104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4.00%</w:t>
            </w:r>
          </w:p>
        </w:tc>
        <w:tc>
          <w:tcPr>
            <w:tcW w:w="1060" w:type="dxa"/>
            <w:vAlign w:val="bottom"/>
          </w:tcPr>
          <w:p>
            <w:pPr>
              <w:jc w:val="right"/>
              <w:ind w:right="90"/>
              <w:spacing w:after="0" w:line="202" w:lineRule="exact"/>
              <w:rPr>
                <w:sz w:val="20"/>
                <w:szCs w:val="20"/>
                <w:color w:val="auto"/>
              </w:rPr>
            </w:pPr>
            <w:r>
              <w:rPr>
                <w:rFonts w:ascii="Arial" w:cs="Arial" w:eastAsia="Arial" w:hAnsi="Arial"/>
                <w:sz w:val="18"/>
                <w:szCs w:val="18"/>
                <w:color w:val="auto"/>
              </w:rPr>
              <w:t>4.20%</w:t>
            </w:r>
          </w:p>
        </w:tc>
        <w:tc>
          <w:tcPr>
            <w:tcW w:w="9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Expected return on plan assets - U.S. plan</w:t>
            </w:r>
          </w:p>
        </w:tc>
        <w:tc>
          <w:tcPr>
            <w:tcW w:w="10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4.61%</w:t>
            </w: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4.82%</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5.80%</w:t>
            </w:r>
          </w:p>
        </w:tc>
        <w:tc>
          <w:tcPr>
            <w:tcW w:w="104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Expected return on plan assets - non-U.S. plans</w:t>
            </w:r>
          </w:p>
        </w:tc>
        <w:tc>
          <w:tcPr>
            <w:tcW w:w="10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5.53%</w:t>
            </w: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6.26%</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6.80%</w:t>
            </w:r>
          </w:p>
        </w:tc>
        <w:tc>
          <w:tcPr>
            <w:tcW w:w="104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Rate of compensation increase - U.S. plan</w:t>
            </w:r>
          </w:p>
        </w:tc>
        <w:tc>
          <w:tcPr>
            <w:tcW w:w="108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70"/>
              <w:spacing w:after="0" w:line="202" w:lineRule="exact"/>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3.00%</w:t>
            </w:r>
          </w:p>
        </w:tc>
        <w:tc>
          <w:tcPr>
            <w:tcW w:w="1060" w:type="dxa"/>
            <w:vAlign w:val="bottom"/>
          </w:tcPr>
          <w:p>
            <w:pPr>
              <w:jc w:val="right"/>
              <w:ind w:right="90"/>
              <w:spacing w:after="0" w:line="202" w:lineRule="exact"/>
              <w:rPr>
                <w:sz w:val="20"/>
                <w:szCs w:val="20"/>
                <w:color w:val="auto"/>
              </w:rPr>
            </w:pPr>
            <w:r>
              <w:rPr>
                <w:rFonts w:ascii="Arial" w:cs="Arial" w:eastAsia="Arial" w:hAnsi="Arial"/>
                <w:sz w:val="18"/>
                <w:szCs w:val="18"/>
                <w:color w:val="auto"/>
              </w:rPr>
              <w:t>3.00%</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39"/>
        </w:trPr>
        <w:tc>
          <w:tcPr>
            <w:tcW w:w="4160" w:type="dxa"/>
            <w:vAlign w:val="bottom"/>
          </w:tcPr>
          <w:p>
            <w:pPr>
              <w:spacing w:after="0"/>
              <w:rPr>
                <w:sz w:val="20"/>
                <w:szCs w:val="20"/>
                <w:color w:val="auto"/>
              </w:rPr>
            </w:pPr>
            <w:r>
              <w:rPr>
                <w:rFonts w:ascii="Arial" w:cs="Arial" w:eastAsia="Arial" w:hAnsi="Arial"/>
                <w:sz w:val="16"/>
                <w:szCs w:val="16"/>
                <w:color w:val="auto"/>
              </w:rPr>
              <w:t>Rate of compensation increase - non-U.S. plans</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3.26%</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3.19%</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3.47%</w:t>
            </w:r>
          </w:p>
        </w:tc>
        <w:tc>
          <w:tcPr>
            <w:tcW w:w="1040" w:type="dxa"/>
            <w:vAlign w:val="bottom"/>
          </w:tcPr>
          <w:p>
            <w:pPr>
              <w:jc w:val="right"/>
              <w:ind w:right="70"/>
              <w:spacing w:after="0"/>
              <w:rPr>
                <w:sz w:val="20"/>
                <w:szCs w:val="20"/>
                <w:color w:val="auto"/>
              </w:rPr>
            </w:pPr>
            <w:r>
              <w:rPr>
                <w:rFonts w:ascii="Arial" w:cs="Arial" w:eastAsia="Arial" w:hAnsi="Arial"/>
                <w:sz w:val="18"/>
                <w:szCs w:val="18"/>
                <w:b w:val="1"/>
                <w:bCs w:val="1"/>
                <w:color w:val="auto"/>
              </w:rPr>
              <w:t>3.00%</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3.00%</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4160" w:type="dxa"/>
            <w:vAlign w:val="bottom"/>
          </w:tcPr>
          <w:p>
            <w:pPr>
              <w:spacing w:after="0"/>
              <w:rPr>
                <w:sz w:val="20"/>
                <w:szCs w:val="20"/>
                <w:color w:val="auto"/>
              </w:rPr>
            </w:pPr>
            <w:r>
              <w:rPr>
                <w:rFonts w:ascii="Arial" w:cs="Arial" w:eastAsia="Arial" w:hAnsi="Arial"/>
                <w:sz w:val="16"/>
                <w:szCs w:val="16"/>
                <w:color w:val="auto"/>
              </w:rPr>
              <w:t>Health care cost trend rate (U.S. and non-U.S. plans):</w:t>
            </w:r>
          </w:p>
        </w:tc>
        <w:tc>
          <w:tcPr>
            <w:tcW w:w="10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w:t>
            </w:r>
          </w:p>
        </w:tc>
        <w:tc>
          <w:tcPr>
            <w:tcW w:w="1080" w:type="dxa"/>
            <w:vAlign w:val="bottom"/>
            <w:vMerge w:val="restart"/>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w:t>
            </w:r>
          </w:p>
        </w:tc>
        <w:tc>
          <w:tcPr>
            <w:tcW w:w="1060" w:type="dxa"/>
            <w:vAlign w:val="bottom"/>
            <w:vMerge w:val="restart"/>
          </w:tcPr>
          <w:p>
            <w:pPr>
              <w:jc w:val="right"/>
              <w:ind w:right="250"/>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2"/>
        </w:trPr>
        <w:tc>
          <w:tcPr>
            <w:tcW w:w="4160" w:type="dxa"/>
            <w:vAlign w:val="bottom"/>
          </w:tcPr>
          <w:p>
            <w:pPr>
              <w:spacing w:after="0" w:line="172" w:lineRule="exact"/>
              <w:rPr>
                <w:sz w:val="20"/>
                <w:szCs w:val="20"/>
                <w:color w:val="auto"/>
              </w:rPr>
            </w:pPr>
            <w:r>
              <w:rPr>
                <w:rFonts w:ascii="Arial" w:cs="Arial" w:eastAsia="Arial" w:hAnsi="Arial"/>
                <w:sz w:val="16"/>
                <w:szCs w:val="16"/>
                <w:color w:val="auto"/>
              </w:rPr>
              <w:t>Initial rate</w:t>
            </w:r>
          </w:p>
        </w:tc>
        <w:tc>
          <w:tcPr>
            <w:tcW w:w="10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Ultimate rate</w:t>
            </w:r>
          </w:p>
        </w:tc>
        <w:tc>
          <w:tcPr>
            <w:tcW w:w="1080" w:type="dxa"/>
            <w:vAlign w:val="bottom"/>
          </w:tcPr>
          <w:p>
            <w:pPr>
              <w:jc w:val="right"/>
              <w:ind w:right="130"/>
              <w:spacing w:after="0" w:line="202" w:lineRule="exact"/>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1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Years to ultimate</w:t>
            </w: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80"/>
        <w:spacing w:after="0"/>
        <w:rPr>
          <w:sz w:val="20"/>
          <w:szCs w:val="20"/>
          <w:color w:val="auto"/>
        </w:rPr>
      </w:pPr>
      <w:r>
        <w:rPr>
          <w:rFonts w:ascii="Arial" w:cs="Arial" w:eastAsia="Arial" w:hAnsi="Arial"/>
          <w:sz w:val="18"/>
          <w:szCs w:val="18"/>
          <w:color w:val="auto"/>
        </w:rPr>
        <w:t>Other changes in plan assets and benefit obligations recognized in other comprehensive income during 2013 were as follows: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240" w:type="dxa"/>
            <w:vAlign w:val="bottom"/>
            <w:tcBorders>
              <w:top w:val="single" w:sz="8" w:color="auto"/>
            </w:tcBorders>
          </w:tcPr>
          <w:p>
            <w:pPr>
              <w:spacing w:after="0"/>
              <w:rPr>
                <w:sz w:val="16"/>
                <w:szCs w:val="16"/>
                <w:color w:val="auto"/>
              </w:rPr>
            </w:pPr>
          </w:p>
        </w:tc>
        <w:tc>
          <w:tcPr>
            <w:tcW w:w="2220" w:type="dxa"/>
            <w:vAlign w:val="bottom"/>
            <w:tcBorders>
              <w:top w:val="single" w:sz="8" w:color="auto"/>
            </w:tcBorders>
          </w:tcPr>
          <w:p>
            <w:pPr>
              <w:spacing w:after="0"/>
              <w:rPr>
                <w:sz w:val="16"/>
                <w:szCs w:val="16"/>
                <w:color w:val="auto"/>
              </w:rPr>
            </w:pPr>
          </w:p>
        </w:tc>
        <w:tc>
          <w:tcPr>
            <w:tcW w:w="1820" w:type="dxa"/>
            <w:vAlign w:val="bottom"/>
            <w:tcBorders>
              <w:top w:val="single" w:sz="8" w:color="auto"/>
            </w:tcBorders>
          </w:tcPr>
          <w:p>
            <w:pPr>
              <w:jc w:val="center"/>
              <w:ind w:left="290"/>
              <w:spacing w:after="0" w:line="194" w:lineRule="exact"/>
              <w:rPr>
                <w:sz w:val="20"/>
                <w:szCs w:val="20"/>
                <w:color w:val="auto"/>
              </w:rPr>
            </w:pPr>
            <w:r>
              <w:rPr>
                <w:rFonts w:ascii="Arial" w:cs="Arial" w:eastAsia="Arial" w:hAnsi="Arial"/>
                <w:sz w:val="18"/>
                <w:szCs w:val="18"/>
                <w:b w:val="1"/>
                <w:bCs w:val="1"/>
                <w:color w:val="auto"/>
                <w:w w:val="99"/>
              </w:rPr>
              <w:t>Other</w:t>
            </w:r>
          </w:p>
        </w:tc>
      </w:tr>
      <w:tr>
        <w:trPr>
          <w:trHeight w:val="203"/>
        </w:trPr>
        <w:tc>
          <w:tcPr>
            <w:tcW w:w="6240" w:type="dxa"/>
            <w:vAlign w:val="bottom"/>
          </w:tcPr>
          <w:p>
            <w:pPr>
              <w:spacing w:after="0"/>
              <w:rPr>
                <w:sz w:val="17"/>
                <w:szCs w:val="17"/>
                <w:color w:val="auto"/>
              </w:rPr>
            </w:pPr>
          </w:p>
        </w:tc>
        <w:tc>
          <w:tcPr>
            <w:tcW w:w="2220" w:type="dxa"/>
            <w:vAlign w:val="bottom"/>
          </w:tcPr>
          <w:p>
            <w:pPr>
              <w:jc w:val="right"/>
              <w:ind w:right="710"/>
              <w:spacing w:after="0" w:line="202" w:lineRule="exact"/>
              <w:rPr>
                <w:sz w:val="20"/>
                <w:szCs w:val="20"/>
                <w:color w:val="auto"/>
              </w:rPr>
            </w:pPr>
            <w:r>
              <w:rPr>
                <w:rFonts w:ascii="Arial" w:cs="Arial" w:eastAsia="Arial" w:hAnsi="Arial"/>
                <w:sz w:val="18"/>
                <w:szCs w:val="18"/>
                <w:b w:val="1"/>
                <w:bCs w:val="1"/>
                <w:color w:val="auto"/>
              </w:rPr>
              <w:t>Pension</w:t>
            </w:r>
          </w:p>
        </w:tc>
        <w:tc>
          <w:tcPr>
            <w:tcW w:w="1820" w:type="dxa"/>
            <w:vAlign w:val="bottom"/>
          </w:tcPr>
          <w:p>
            <w:pPr>
              <w:jc w:val="center"/>
              <w:ind w:left="270"/>
              <w:spacing w:after="0" w:line="202" w:lineRule="exact"/>
              <w:rPr>
                <w:sz w:val="20"/>
                <w:szCs w:val="20"/>
                <w:color w:val="auto"/>
              </w:rPr>
            </w:pPr>
            <w:r>
              <w:rPr>
                <w:rFonts w:ascii="Arial" w:cs="Arial" w:eastAsia="Arial" w:hAnsi="Arial"/>
                <w:sz w:val="18"/>
                <w:szCs w:val="18"/>
                <w:b w:val="1"/>
                <w:bCs w:val="1"/>
                <w:color w:val="auto"/>
                <w:w w:val="99"/>
              </w:rPr>
              <w:t>postretirement</w:t>
            </w:r>
          </w:p>
        </w:tc>
      </w:tr>
      <w:tr>
        <w:trPr>
          <w:trHeight w:val="225"/>
        </w:trPr>
        <w:tc>
          <w:tcPr>
            <w:tcW w:w="6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22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plan</w:t>
            </w:r>
          </w:p>
        </w:tc>
        <w:tc>
          <w:tcPr>
            <w:tcW w:w="1820" w:type="dxa"/>
            <w:vAlign w:val="bottom"/>
            <w:tcBorders>
              <w:bottom w:val="single" w:sz="8" w:color="auto"/>
            </w:tcBorders>
          </w:tcPr>
          <w:p>
            <w:pPr>
              <w:jc w:val="center"/>
              <w:ind w:left="290"/>
              <w:spacing w:after="0"/>
              <w:rPr>
                <w:sz w:val="20"/>
                <w:szCs w:val="20"/>
                <w:color w:val="auto"/>
              </w:rPr>
            </w:pPr>
            <w:r>
              <w:rPr>
                <w:rFonts w:ascii="Arial" w:cs="Arial" w:eastAsia="Arial" w:hAnsi="Arial"/>
                <w:sz w:val="18"/>
                <w:szCs w:val="18"/>
                <w:b w:val="1"/>
                <w:bCs w:val="1"/>
                <w:color w:val="auto"/>
                <w:w w:val="98"/>
              </w:rPr>
              <w:t>benefits</w:t>
            </w:r>
          </w:p>
        </w:tc>
      </w:tr>
      <w:tr>
        <w:trPr>
          <w:trHeight w:val="398"/>
        </w:trPr>
        <w:tc>
          <w:tcPr>
            <w:tcW w:w="6240" w:type="dxa"/>
            <w:vAlign w:val="bottom"/>
          </w:tcPr>
          <w:p>
            <w:pPr>
              <w:spacing w:after="0"/>
              <w:rPr>
                <w:sz w:val="20"/>
                <w:szCs w:val="20"/>
                <w:color w:val="auto"/>
              </w:rPr>
            </w:pPr>
            <w:r>
              <w:rPr>
                <w:rFonts w:ascii="Arial" w:cs="Arial" w:eastAsia="Arial" w:hAnsi="Arial"/>
                <w:sz w:val="18"/>
                <w:szCs w:val="18"/>
                <w:color w:val="auto"/>
              </w:rPr>
              <w:t>Settlements/curtailments</w:t>
            </w:r>
          </w:p>
        </w:tc>
        <w:tc>
          <w:tcPr>
            <w:tcW w:w="2220" w:type="dxa"/>
            <w:vAlign w:val="bottom"/>
          </w:tcPr>
          <w:p>
            <w:pPr>
              <w:jc w:val="right"/>
              <w:ind w:right="390"/>
              <w:spacing w:after="0"/>
              <w:rPr>
                <w:sz w:val="20"/>
                <w:szCs w:val="20"/>
                <w:color w:val="auto"/>
              </w:rPr>
            </w:pPr>
            <w:r>
              <w:rPr>
                <w:rFonts w:ascii="Arial" w:cs="Arial" w:eastAsia="Arial" w:hAnsi="Arial"/>
                <w:sz w:val="18"/>
                <w:szCs w:val="18"/>
                <w:color w:val="auto"/>
              </w:rPr>
              <w:t>($46)</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03"/>
        </w:trPr>
        <w:tc>
          <w:tcPr>
            <w:tcW w:w="6240" w:type="dxa"/>
            <w:vAlign w:val="bottom"/>
          </w:tcPr>
          <w:p>
            <w:pPr>
              <w:spacing w:after="0" w:line="202" w:lineRule="exact"/>
              <w:rPr>
                <w:sz w:val="20"/>
                <w:szCs w:val="20"/>
                <w:color w:val="auto"/>
              </w:rPr>
            </w:pPr>
            <w:r>
              <w:rPr>
                <w:rFonts w:ascii="Arial" w:cs="Arial" w:eastAsia="Arial" w:hAnsi="Arial"/>
                <w:sz w:val="18"/>
                <w:szCs w:val="18"/>
                <w:color w:val="auto"/>
              </w:rPr>
              <w:t>Asset/liabilty loss (gain)</w:t>
            </w:r>
          </w:p>
        </w:tc>
        <w:tc>
          <w:tcPr>
            <w:tcW w:w="2220" w:type="dxa"/>
            <w:vAlign w:val="bottom"/>
          </w:tcPr>
          <w:p>
            <w:pPr>
              <w:jc w:val="right"/>
              <w:ind w:right="390"/>
              <w:spacing w:after="0" w:line="202" w:lineRule="exact"/>
              <w:rPr>
                <w:sz w:val="20"/>
                <w:szCs w:val="20"/>
                <w:color w:val="auto"/>
              </w:rPr>
            </w:pPr>
            <w:r>
              <w:rPr>
                <w:rFonts w:ascii="Arial" w:cs="Arial" w:eastAsia="Arial" w:hAnsi="Arial"/>
                <w:sz w:val="18"/>
                <w:szCs w:val="18"/>
                <w:color w:val="auto"/>
              </w:rPr>
              <w:t>(6,492)</w:t>
            </w:r>
          </w:p>
        </w:tc>
        <w:tc>
          <w:tcPr>
            <w:tcW w:w="1820" w:type="dxa"/>
            <w:vAlign w:val="bottom"/>
          </w:tcPr>
          <w:p>
            <w:pPr>
              <w:jc w:val="right"/>
              <w:spacing w:after="0" w:line="202" w:lineRule="exact"/>
              <w:rPr>
                <w:sz w:val="20"/>
                <w:szCs w:val="20"/>
                <w:color w:val="auto"/>
              </w:rPr>
            </w:pPr>
            <w:r>
              <w:rPr>
                <w:rFonts w:ascii="Arial" w:cs="Arial" w:eastAsia="Arial" w:hAnsi="Arial"/>
                <w:sz w:val="18"/>
                <w:szCs w:val="18"/>
                <w:color w:val="auto"/>
              </w:rPr>
              <w:t>(21,370)</w:t>
            </w:r>
          </w:p>
        </w:tc>
      </w:tr>
      <w:tr>
        <w:trPr>
          <w:trHeight w:val="203"/>
        </w:trPr>
        <w:tc>
          <w:tcPr>
            <w:tcW w:w="6240" w:type="dxa"/>
            <w:vAlign w:val="bottom"/>
          </w:tcPr>
          <w:p>
            <w:pPr>
              <w:spacing w:after="0" w:line="202" w:lineRule="exact"/>
              <w:rPr>
                <w:sz w:val="20"/>
                <w:szCs w:val="20"/>
                <w:color w:val="auto"/>
              </w:rPr>
            </w:pPr>
            <w:r>
              <w:rPr>
                <w:rFonts w:ascii="Arial" w:cs="Arial" w:eastAsia="Arial" w:hAnsi="Arial"/>
                <w:sz w:val="18"/>
                <w:szCs w:val="18"/>
                <w:color w:val="auto"/>
              </w:rPr>
              <w:t>Amortization of actuarial (loss)</w:t>
            </w:r>
          </w:p>
        </w:tc>
        <w:tc>
          <w:tcPr>
            <w:tcW w:w="2220" w:type="dxa"/>
            <w:vAlign w:val="bottom"/>
          </w:tcPr>
          <w:p>
            <w:pPr>
              <w:jc w:val="right"/>
              <w:ind w:right="390"/>
              <w:spacing w:after="0" w:line="202" w:lineRule="exact"/>
              <w:rPr>
                <w:sz w:val="20"/>
                <w:szCs w:val="20"/>
                <w:color w:val="auto"/>
              </w:rPr>
            </w:pPr>
            <w:r>
              <w:rPr>
                <w:rFonts w:ascii="Arial" w:cs="Arial" w:eastAsia="Arial" w:hAnsi="Arial"/>
                <w:sz w:val="18"/>
                <w:szCs w:val="18"/>
                <w:color w:val="auto"/>
              </w:rPr>
              <w:t>(3,117)</w:t>
            </w:r>
          </w:p>
        </w:tc>
        <w:tc>
          <w:tcPr>
            <w:tcW w:w="1820" w:type="dxa"/>
            <w:vAlign w:val="bottom"/>
          </w:tcPr>
          <w:p>
            <w:pPr>
              <w:jc w:val="right"/>
              <w:spacing w:after="0" w:line="202" w:lineRule="exact"/>
              <w:rPr>
                <w:sz w:val="20"/>
                <w:szCs w:val="20"/>
                <w:color w:val="auto"/>
              </w:rPr>
            </w:pPr>
            <w:r>
              <w:rPr>
                <w:rFonts w:ascii="Arial" w:cs="Arial" w:eastAsia="Arial" w:hAnsi="Arial"/>
                <w:sz w:val="18"/>
                <w:szCs w:val="18"/>
                <w:color w:val="auto"/>
              </w:rPr>
              <w:t>(3,395)</w:t>
            </w:r>
          </w:p>
        </w:tc>
      </w:tr>
      <w:tr>
        <w:trPr>
          <w:trHeight w:val="203"/>
        </w:trPr>
        <w:tc>
          <w:tcPr>
            <w:tcW w:w="6240" w:type="dxa"/>
            <w:vAlign w:val="bottom"/>
          </w:tcPr>
          <w:p>
            <w:pPr>
              <w:spacing w:after="0" w:line="202" w:lineRule="exact"/>
              <w:rPr>
                <w:sz w:val="20"/>
                <w:szCs w:val="20"/>
                <w:color w:val="auto"/>
              </w:rPr>
            </w:pPr>
            <w:r>
              <w:rPr>
                <w:rFonts w:ascii="Arial" w:cs="Arial" w:eastAsia="Arial" w:hAnsi="Arial"/>
                <w:sz w:val="18"/>
                <w:szCs w:val="18"/>
                <w:color w:val="auto"/>
              </w:rPr>
              <w:t>Amortization of prior service (cost)/credit</w:t>
            </w:r>
          </w:p>
        </w:tc>
        <w:tc>
          <w:tcPr>
            <w:tcW w:w="2220" w:type="dxa"/>
            <w:vAlign w:val="bottom"/>
          </w:tcPr>
          <w:p>
            <w:pPr>
              <w:jc w:val="right"/>
              <w:ind w:right="390"/>
              <w:spacing w:after="0" w:line="202" w:lineRule="exact"/>
              <w:rPr>
                <w:sz w:val="20"/>
                <w:szCs w:val="20"/>
                <w:color w:val="auto"/>
              </w:rPr>
            </w:pPr>
            <w:r>
              <w:rPr>
                <w:rFonts w:ascii="Arial" w:cs="Arial" w:eastAsia="Arial" w:hAnsi="Arial"/>
                <w:sz w:val="18"/>
                <w:szCs w:val="18"/>
                <w:color w:val="auto"/>
              </w:rPr>
              <w:t>(35)</w:t>
            </w:r>
          </w:p>
        </w:tc>
        <w:tc>
          <w:tcPr>
            <w:tcW w:w="18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3,940</w:t>
            </w:r>
          </w:p>
        </w:tc>
      </w:tr>
      <w:tr>
        <w:trPr>
          <w:trHeight w:val="203"/>
        </w:trPr>
        <w:tc>
          <w:tcPr>
            <w:tcW w:w="6240" w:type="dxa"/>
            <w:vAlign w:val="bottom"/>
          </w:tcPr>
          <w:p>
            <w:pPr>
              <w:spacing w:after="0" w:line="202" w:lineRule="exact"/>
              <w:rPr>
                <w:sz w:val="20"/>
                <w:szCs w:val="20"/>
                <w:color w:val="auto"/>
              </w:rPr>
            </w:pPr>
            <w:r>
              <w:rPr>
                <w:rFonts w:ascii="Arial" w:cs="Arial" w:eastAsia="Arial" w:hAnsi="Arial"/>
                <w:sz w:val="18"/>
                <w:szCs w:val="18"/>
                <w:color w:val="auto"/>
              </w:rPr>
              <w:t>Amortization of transition (obligation)</w:t>
            </w:r>
          </w:p>
        </w:tc>
        <w:tc>
          <w:tcPr>
            <w:tcW w:w="2220" w:type="dxa"/>
            <w:vAlign w:val="bottom"/>
          </w:tcPr>
          <w:p>
            <w:pPr>
              <w:jc w:val="right"/>
              <w:ind w:right="390"/>
              <w:spacing w:after="0" w:line="202" w:lineRule="exact"/>
              <w:rPr>
                <w:sz w:val="20"/>
                <w:szCs w:val="20"/>
                <w:color w:val="auto"/>
              </w:rPr>
            </w:pPr>
            <w:r>
              <w:rPr>
                <w:rFonts w:ascii="Arial" w:cs="Arial" w:eastAsia="Arial" w:hAnsi="Arial"/>
                <w:sz w:val="18"/>
                <w:szCs w:val="18"/>
                <w:color w:val="auto"/>
              </w:rPr>
              <w:t>(70)</w:t>
            </w:r>
          </w:p>
        </w:tc>
        <w:tc>
          <w:tcPr>
            <w:tcW w:w="18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62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Currency impact</w:t>
            </w:r>
          </w:p>
        </w:tc>
        <w:tc>
          <w:tcPr>
            <w:tcW w:w="2220" w:type="dxa"/>
            <w:vAlign w:val="bottom"/>
            <w:tcBorders>
              <w:bottom w:val="single" w:sz="8" w:color="auto"/>
            </w:tcBorders>
          </w:tcPr>
          <w:p>
            <w:pPr>
              <w:jc w:val="right"/>
              <w:ind w:right="390"/>
              <w:spacing w:after="0" w:line="203" w:lineRule="exact"/>
              <w:rPr>
                <w:sz w:val="20"/>
                <w:szCs w:val="20"/>
                <w:color w:val="auto"/>
              </w:rPr>
            </w:pPr>
            <w:r>
              <w:rPr>
                <w:rFonts w:ascii="Arial" w:cs="Arial" w:eastAsia="Arial" w:hAnsi="Arial"/>
                <w:sz w:val="18"/>
                <w:szCs w:val="18"/>
                <w:color w:val="auto"/>
              </w:rPr>
              <w:t>(726)</w:t>
            </w:r>
          </w:p>
        </w:tc>
        <w:tc>
          <w:tcPr>
            <w:tcW w:w="1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(285)</w:t>
            </w:r>
          </w:p>
        </w:tc>
      </w:tr>
      <w:tr>
        <w:trPr>
          <w:trHeight w:val="196"/>
        </w:trPr>
        <w:tc>
          <w:tcPr>
            <w:tcW w:w="62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recognized in other comprehensive income</w:t>
            </w:r>
          </w:p>
        </w:tc>
        <w:tc>
          <w:tcPr>
            <w:tcW w:w="222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color w:val="auto"/>
              </w:rPr>
              <w:t>($10,486)</w:t>
            </w:r>
          </w:p>
        </w:tc>
        <w:tc>
          <w:tcPr>
            <w:tcW w:w="1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($21,110)</w:t>
            </w:r>
          </w:p>
        </w:tc>
      </w:tr>
      <w:tr>
        <w:trPr>
          <w:trHeight w:val="196"/>
        </w:trPr>
        <w:tc>
          <w:tcPr>
            <w:tcW w:w="624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spacing w:after="0"/>
              <w:rPr>
                <w:sz w:val="17"/>
                <w:szCs w:val="17"/>
                <w:color w:val="auto"/>
              </w:rPr>
            </w:pPr>
          </w:p>
        </w:tc>
      </w:tr>
      <w:tr>
        <w:trPr>
          <w:trHeight w:val="195"/>
        </w:trPr>
        <w:tc>
          <w:tcPr>
            <w:tcW w:w="6240" w:type="dxa"/>
            <w:vAlign w:val="bottom"/>
          </w:tcPr>
          <w:p>
            <w:pPr>
              <w:spacing w:after="0" w:line="195" w:lineRule="exact"/>
              <w:rPr>
                <w:sz w:val="20"/>
                <w:szCs w:val="20"/>
                <w:color w:val="auto"/>
              </w:rPr>
            </w:pPr>
            <w:r>
              <w:rPr>
                <w:rFonts w:ascii="Arial" w:cs="Arial" w:eastAsia="Arial" w:hAnsi="Arial"/>
                <w:sz w:val="18"/>
                <w:szCs w:val="18"/>
                <w:color w:val="auto"/>
              </w:rPr>
              <w:t>Total recognized in net periodic benefit cost and other comprehensive</w:t>
            </w:r>
          </w:p>
        </w:tc>
        <w:tc>
          <w:tcPr>
            <w:tcW w:w="2220" w:type="dxa"/>
            <w:vAlign w:val="bottom"/>
          </w:tcPr>
          <w:p>
            <w:pPr>
              <w:spacing w:after="0"/>
              <w:rPr>
                <w:sz w:val="16"/>
                <w:szCs w:val="16"/>
                <w:color w:val="auto"/>
              </w:rPr>
            </w:pPr>
          </w:p>
        </w:tc>
        <w:tc>
          <w:tcPr>
            <w:tcW w:w="1820" w:type="dxa"/>
            <w:vAlign w:val="bottom"/>
          </w:tcPr>
          <w:p>
            <w:pPr>
              <w:spacing w:after="0"/>
              <w:rPr>
                <w:sz w:val="16"/>
                <w:szCs w:val="16"/>
                <w:color w:val="auto"/>
              </w:rPr>
            </w:pPr>
          </w:p>
        </w:tc>
      </w:tr>
      <w:tr>
        <w:trPr>
          <w:trHeight w:val="203"/>
        </w:trPr>
        <w:tc>
          <w:tcPr>
            <w:tcW w:w="62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income</w:t>
            </w:r>
          </w:p>
        </w:tc>
        <w:tc>
          <w:tcPr>
            <w:tcW w:w="2220" w:type="dxa"/>
            <w:vAlign w:val="bottom"/>
            <w:tcBorders>
              <w:bottom w:val="single" w:sz="8" w:color="auto"/>
            </w:tcBorders>
          </w:tcPr>
          <w:p>
            <w:pPr>
              <w:jc w:val="right"/>
              <w:ind w:right="390"/>
              <w:spacing w:after="0" w:line="203" w:lineRule="exact"/>
              <w:rPr>
                <w:sz w:val="20"/>
                <w:szCs w:val="20"/>
                <w:color w:val="auto"/>
              </w:rPr>
            </w:pPr>
            <w:r>
              <w:rPr>
                <w:rFonts w:ascii="Arial" w:cs="Arial" w:eastAsia="Arial" w:hAnsi="Arial"/>
                <w:sz w:val="18"/>
                <w:szCs w:val="18"/>
                <w:color w:val="auto"/>
              </w:rPr>
              <w:t>($4,068)</w:t>
            </w:r>
          </w:p>
        </w:tc>
        <w:tc>
          <w:tcPr>
            <w:tcW w:w="1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($17,700)</w:t>
            </w:r>
          </w:p>
        </w:tc>
      </w:tr>
    </w:tbl>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31750</wp:posOffset>
            </wp:positionV>
            <wp:extent cx="7246620" cy="431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840"/>
          </w:cols>
          <w:pgMar w:left="820" w:top="490" w:right="239" w:bottom="1440" w:gutter="0" w:footer="0" w:header="0"/>
        </w:sectPr>
      </w:pPr>
    </w:p>
    <w:bookmarkStart w:id="63" w:name="page64"/>
    <w:bookmarkEnd w:id="63"/>
    <w:p>
      <w:pPr>
        <w:ind w:right="60" w:firstLine="648"/>
        <w:spacing w:after="0" w:line="246" w:lineRule="auto"/>
        <w:rPr>
          <w:sz w:val="20"/>
          <w:szCs w:val="20"/>
          <w:color w:val="auto"/>
        </w:rPr>
      </w:pPr>
      <w:r>
        <w:rPr>
          <w:rFonts w:ascii="Arial" w:cs="Arial" w:eastAsia="Arial" w:hAnsi="Arial"/>
          <w:sz w:val="18"/>
          <w:szCs w:val="18"/>
          <w:color w:val="auto"/>
        </w:rPr>
        <w:t>The estimated amounts that will be amortized from accumulated other comprehensive income into net periodic benefit cost in 2014 are as follows:</w:t>
      </w:r>
    </w:p>
    <w:p>
      <w:pPr>
        <w:spacing w:after="0" w:line="130"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448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7"/>
              </w:rPr>
              <w:t>Total</w:t>
            </w:r>
          </w:p>
        </w:tc>
      </w:tr>
      <w:tr>
        <w:trPr>
          <w:trHeight w:val="203"/>
        </w:trPr>
        <w:tc>
          <w:tcPr>
            <w:tcW w:w="4480" w:type="dxa"/>
            <w:vAlign w:val="bottom"/>
          </w:tcPr>
          <w:p>
            <w:pPr>
              <w:spacing w:after="0"/>
              <w:rPr>
                <w:sz w:val="17"/>
                <w:szCs w:val="17"/>
                <w:color w:val="auto"/>
              </w:rPr>
            </w:pPr>
          </w:p>
        </w:tc>
        <w:tc>
          <w:tcPr>
            <w:tcW w:w="3340" w:type="dxa"/>
            <w:vAlign w:val="bottom"/>
          </w:tcPr>
          <w:p>
            <w:pPr>
              <w:jc w:val="right"/>
              <w:ind w:right="310"/>
              <w:spacing w:after="0" w:line="202" w:lineRule="exact"/>
              <w:rPr>
                <w:sz w:val="20"/>
                <w:szCs w:val="20"/>
                <w:color w:val="auto"/>
              </w:rPr>
            </w:pPr>
            <w:r>
              <w:rPr>
                <w:rFonts w:ascii="Arial" w:cs="Arial" w:eastAsia="Arial" w:hAnsi="Arial"/>
                <w:sz w:val="18"/>
                <w:szCs w:val="18"/>
                <w:b w:val="1"/>
                <w:bCs w:val="1"/>
                <w:color w:val="auto"/>
              </w:rPr>
              <w:t>Total</w:t>
            </w:r>
          </w:p>
        </w:tc>
        <w:tc>
          <w:tcPr>
            <w:tcW w:w="13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postretirement</w:t>
            </w:r>
          </w:p>
        </w:tc>
      </w:tr>
      <w:tr>
        <w:trPr>
          <w:trHeight w:val="225"/>
        </w:trPr>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33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pension</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benefits</w:t>
            </w:r>
          </w:p>
        </w:tc>
      </w:tr>
      <w:tr>
        <w:trPr>
          <w:trHeight w:val="195"/>
        </w:trPr>
        <w:tc>
          <w:tcPr>
            <w:tcW w:w="4480" w:type="dxa"/>
            <w:vAlign w:val="bottom"/>
          </w:tcPr>
          <w:p>
            <w:pPr>
              <w:spacing w:after="0" w:line="195" w:lineRule="exact"/>
              <w:rPr>
                <w:sz w:val="20"/>
                <w:szCs w:val="20"/>
                <w:color w:val="auto"/>
              </w:rPr>
            </w:pPr>
            <w:r>
              <w:rPr>
                <w:rFonts w:ascii="Arial" w:cs="Arial" w:eastAsia="Arial" w:hAnsi="Arial"/>
                <w:sz w:val="18"/>
                <w:szCs w:val="18"/>
                <w:color w:val="auto"/>
              </w:rPr>
              <w:t>Actuarial loss</w:t>
            </w:r>
          </w:p>
        </w:tc>
        <w:tc>
          <w:tcPr>
            <w:tcW w:w="3340" w:type="dxa"/>
            <w:vAlign w:val="bottom"/>
          </w:tcPr>
          <w:p>
            <w:pPr>
              <w:jc w:val="right"/>
              <w:spacing w:after="0" w:line="195" w:lineRule="exact"/>
              <w:rPr>
                <w:sz w:val="20"/>
                <w:szCs w:val="20"/>
                <w:color w:val="auto"/>
              </w:rPr>
            </w:pPr>
            <w:r>
              <w:rPr>
                <w:rFonts w:ascii="Arial" w:cs="Arial" w:eastAsia="Arial" w:hAnsi="Arial"/>
                <w:sz w:val="18"/>
                <w:szCs w:val="18"/>
                <w:color w:val="auto"/>
              </w:rPr>
              <w:t>$2,456</w:t>
            </w:r>
          </w:p>
        </w:tc>
        <w:tc>
          <w:tcPr>
            <w:tcW w:w="1300" w:type="dxa"/>
            <w:vAlign w:val="bottom"/>
          </w:tcPr>
          <w:p>
            <w:pPr>
              <w:jc w:val="right"/>
              <w:spacing w:after="0" w:line="195" w:lineRule="exact"/>
              <w:rPr>
                <w:sz w:val="20"/>
                <w:szCs w:val="20"/>
                <w:color w:val="auto"/>
              </w:rPr>
            </w:pPr>
            <w:r>
              <w:rPr>
                <w:rFonts w:ascii="Arial" w:cs="Arial" w:eastAsia="Arial" w:hAnsi="Arial"/>
                <w:sz w:val="18"/>
                <w:szCs w:val="18"/>
                <w:color w:val="auto"/>
              </w:rPr>
              <w:t>$2,908</w:t>
            </w:r>
          </w:p>
        </w:tc>
      </w:tr>
      <w:tr>
        <w:trPr>
          <w:trHeight w:val="203"/>
        </w:trPr>
        <w:tc>
          <w:tcPr>
            <w:tcW w:w="448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Prior service cost/(benefit)</w:t>
            </w:r>
          </w:p>
        </w:tc>
        <w:tc>
          <w:tcPr>
            <w:tcW w:w="33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w:t>
            </w: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(4,488)</w:t>
            </w:r>
          </w:p>
        </w:tc>
      </w:tr>
      <w:tr>
        <w:trPr>
          <w:trHeight w:val="196"/>
        </w:trPr>
        <w:tc>
          <w:tcPr>
            <w:tcW w:w="44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3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$2,511</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($1,580)</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Strategy</w:t>
      </w:r>
    </w:p>
    <w:p>
      <w:pPr>
        <w:spacing w:after="0" w:line="203" w:lineRule="exact"/>
        <w:rPr>
          <w:sz w:val="20"/>
          <w:szCs w:val="20"/>
          <w:color w:val="auto"/>
        </w:rPr>
      </w:pPr>
    </w:p>
    <w:p>
      <w:pPr>
        <w:jc w:val="both"/>
        <w:ind w:right="260" w:firstLine="648"/>
        <w:spacing w:after="0"/>
        <w:rPr>
          <w:sz w:val="20"/>
          <w:szCs w:val="20"/>
          <w:color w:val="auto"/>
        </w:rPr>
      </w:pPr>
      <w:r>
        <w:rPr>
          <w:rFonts w:ascii="Arial" w:cs="Arial" w:eastAsia="Arial" w:hAnsi="Arial"/>
          <w:sz w:val="18"/>
          <w:szCs w:val="18"/>
          <w:color w:val="auto"/>
        </w:rPr>
        <w:t>Our investment strategy for pension assets differs for the various countries in which we have defined benefit pension plans. Some of our defined benefit plans do not require funded trusts and, in those arrangements, the Company funds the plans on a “pay as you go” basis. The largest of the funded defined benefit plans is the United States plan.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United States plan:</w:t>
      </w:r>
    </w:p>
    <w:p>
      <w:pPr>
        <w:spacing w:after="0" w:line="171" w:lineRule="exact"/>
        <w:rPr>
          <w:sz w:val="20"/>
          <w:szCs w:val="20"/>
          <w:color w:val="auto"/>
        </w:rPr>
      </w:pPr>
    </w:p>
    <w:p>
      <w:pPr>
        <w:ind w:right="120" w:firstLine="648"/>
        <w:spacing w:after="0" w:line="239" w:lineRule="auto"/>
        <w:rPr>
          <w:sz w:val="20"/>
          <w:szCs w:val="20"/>
          <w:color w:val="auto"/>
        </w:rPr>
      </w:pPr>
      <w:r>
        <w:rPr>
          <w:rFonts w:ascii="Arial" w:cs="Arial" w:eastAsia="Arial" w:hAnsi="Arial"/>
          <w:sz w:val="18"/>
          <w:szCs w:val="18"/>
          <w:color w:val="auto"/>
        </w:rPr>
        <w:t>During 2009, we changed our investment strategy for the United States pension plan by adopting a liability-driven investment strategy. Under this arrangement, the Company seeks to invest in assets that track closely to the discount rate that is used to measure the plan liabilities. Accordingly, the plan assets are primarily debt securities. The change in investment strategy is reflective of the Company’s 2008 decision to freeze benefit accruals under the plan.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Non-United States plans:</w:t>
      </w:r>
    </w:p>
    <w:p>
      <w:pPr>
        <w:spacing w:after="0" w:line="171" w:lineRule="exact"/>
        <w:rPr>
          <w:sz w:val="20"/>
          <w:szCs w:val="20"/>
          <w:color w:val="auto"/>
        </w:rPr>
      </w:pPr>
    </w:p>
    <w:p>
      <w:pPr>
        <w:ind w:right="220" w:firstLine="648"/>
        <w:spacing w:after="0" w:line="238" w:lineRule="auto"/>
        <w:rPr>
          <w:sz w:val="20"/>
          <w:szCs w:val="20"/>
          <w:color w:val="auto"/>
        </w:rPr>
      </w:pPr>
      <w:r>
        <w:rPr>
          <w:rFonts w:ascii="Arial" w:cs="Arial" w:eastAsia="Arial" w:hAnsi="Arial"/>
          <w:sz w:val="18"/>
          <w:szCs w:val="18"/>
          <w:color w:val="auto"/>
        </w:rPr>
        <w:t>For the countries in which the Company has funded pension trusts, the investment strategy is to achieve a competitive, total investment return, achieving diversification between and within asset classes and managing other risks. Investment objectives for each asset class are determined based on specific risks and investment opportunities identified. Actual allocations to each asset class vary from target allocations due to periodic investment strategy changes, market value fluctuations, the length of time it takes to fully implement investment allocation positions, and the timing of benefit payments and contributions.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Fair-Value Measurements</w:t>
      </w:r>
    </w:p>
    <w:p>
      <w:pPr>
        <w:spacing w:after="0" w:line="203" w:lineRule="exact"/>
        <w:rPr>
          <w:sz w:val="20"/>
          <w:szCs w:val="20"/>
          <w:color w:val="auto"/>
        </w:rPr>
      </w:pPr>
    </w:p>
    <w:p>
      <w:pPr>
        <w:ind w:right="420" w:firstLine="648"/>
        <w:spacing w:after="0" w:line="246" w:lineRule="auto"/>
        <w:rPr>
          <w:sz w:val="20"/>
          <w:szCs w:val="20"/>
          <w:color w:val="auto"/>
        </w:rPr>
      </w:pPr>
      <w:r>
        <w:rPr>
          <w:rFonts w:ascii="Arial" w:cs="Arial" w:eastAsia="Arial" w:hAnsi="Arial"/>
          <w:sz w:val="18"/>
          <w:szCs w:val="18"/>
          <w:color w:val="auto"/>
        </w:rPr>
        <w:t>The following tables present plan assets as of December 31, 2013 and 2012, using the fair-value hierarchy, which has three levels based on the reliability of inputs used, as described in Note 15:</w:t>
      </w:r>
    </w:p>
    <w:p>
      <w:pPr>
        <w:spacing w:after="0" w:line="178" w:lineRule="exact"/>
        <w:rPr>
          <w:sz w:val="20"/>
          <w:szCs w:val="20"/>
          <w:color w:val="auto"/>
        </w:rPr>
      </w:pPr>
    </w:p>
    <w:tbl>
      <w:tblPr>
        <w:tblLayout w:type="fixed"/>
        <w:tblInd w:w="660" w:type="dxa"/>
        <w:tblCellMar>
          <w:top w:w="0" w:type="dxa"/>
          <w:left w:w="0" w:type="dxa"/>
          <w:bottom w:w="0" w:type="dxa"/>
          <w:right w:w="0" w:type="dxa"/>
        </w:tblCellMar>
      </w:tblPr>
      <w:tr>
        <w:trPr>
          <w:trHeight w:val="193"/>
        </w:trPr>
        <w:tc>
          <w:tcPr>
            <w:tcW w:w="2800" w:type="dxa"/>
            <w:vAlign w:val="bottom"/>
            <w:tcBorders>
              <w:top w:val="single" w:sz="8" w:color="auto"/>
            </w:tcBorders>
          </w:tcPr>
          <w:p>
            <w:pPr>
              <w:spacing w:after="0"/>
              <w:rPr>
                <w:sz w:val="16"/>
                <w:szCs w:val="16"/>
                <w:color w:val="auto"/>
              </w:rPr>
            </w:pPr>
          </w:p>
        </w:tc>
        <w:tc>
          <w:tcPr>
            <w:tcW w:w="1900" w:type="dxa"/>
            <w:vAlign w:val="bottom"/>
            <w:tcBorders>
              <w:top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99"/>
              </w:rPr>
              <w:t>Total fair</w:t>
            </w:r>
          </w:p>
        </w:tc>
        <w:tc>
          <w:tcPr>
            <w:tcW w:w="1740" w:type="dxa"/>
            <w:vAlign w:val="bottom"/>
            <w:tcBorders>
              <w:top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rPr>
              <w:t>Quoted prices</w:t>
            </w:r>
          </w:p>
        </w:tc>
        <w:tc>
          <w:tcPr>
            <w:tcW w:w="1820" w:type="dxa"/>
            <w:vAlign w:val="bottom"/>
            <w:tcBorders>
              <w:top w:val="single" w:sz="8" w:color="auto"/>
            </w:tcBorders>
            <w:gridSpan w:val="2"/>
          </w:tcPr>
          <w:p>
            <w:pPr>
              <w:jc w:val="center"/>
              <w:spacing w:after="0" w:line="194" w:lineRule="exact"/>
              <w:rPr>
                <w:sz w:val="20"/>
                <w:szCs w:val="20"/>
                <w:color w:val="auto"/>
              </w:rPr>
            </w:pPr>
            <w:r>
              <w:rPr>
                <w:rFonts w:ascii="Arial" w:cs="Arial" w:eastAsia="Arial" w:hAnsi="Arial"/>
                <w:sz w:val="18"/>
                <w:szCs w:val="18"/>
                <w:b w:val="1"/>
                <w:bCs w:val="1"/>
                <w:color w:val="auto"/>
                <w:w w:val="99"/>
              </w:rPr>
              <w:t>Significant other</w:t>
            </w:r>
          </w:p>
        </w:tc>
        <w:tc>
          <w:tcPr>
            <w:tcW w:w="2000" w:type="dxa"/>
            <w:vAlign w:val="bottom"/>
            <w:tcBorders>
              <w:top w:val="single" w:sz="8" w:color="auto"/>
            </w:tcBorders>
            <w:gridSpan w:val="2"/>
          </w:tcPr>
          <w:p>
            <w:pPr>
              <w:jc w:val="center"/>
              <w:spacing w:after="0" w:line="194" w:lineRule="exact"/>
              <w:rPr>
                <w:sz w:val="20"/>
                <w:szCs w:val="20"/>
                <w:color w:val="auto"/>
              </w:rPr>
            </w:pPr>
            <w:r>
              <w:rPr>
                <w:rFonts w:ascii="Arial" w:cs="Arial" w:eastAsia="Arial" w:hAnsi="Arial"/>
                <w:sz w:val="18"/>
                <w:szCs w:val="18"/>
                <w:b w:val="1"/>
                <w:bCs w:val="1"/>
                <w:color w:val="auto"/>
                <w:w w:val="99"/>
              </w:rPr>
              <w:t>Significant</w:t>
            </w:r>
          </w:p>
        </w:tc>
      </w:tr>
      <w:tr>
        <w:trPr>
          <w:trHeight w:val="203"/>
        </w:trPr>
        <w:tc>
          <w:tcPr>
            <w:tcW w:w="2800" w:type="dxa"/>
            <w:vAlign w:val="bottom"/>
          </w:tcPr>
          <w:p>
            <w:pPr>
              <w:spacing w:after="0"/>
              <w:rPr>
                <w:sz w:val="17"/>
                <w:szCs w:val="17"/>
                <w:color w:val="auto"/>
              </w:rPr>
            </w:pPr>
          </w:p>
        </w:tc>
        <w:tc>
          <w:tcPr>
            <w:tcW w:w="19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value at</w:t>
            </w:r>
          </w:p>
        </w:tc>
        <w:tc>
          <w:tcPr>
            <w:tcW w:w="17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in active markets</w:t>
            </w:r>
          </w:p>
        </w:tc>
        <w:tc>
          <w:tcPr>
            <w:tcW w:w="182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observable inputs</w:t>
            </w:r>
          </w:p>
        </w:tc>
        <w:tc>
          <w:tcPr>
            <w:tcW w:w="200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unobservable inputs</w:t>
            </w:r>
          </w:p>
        </w:tc>
      </w:tr>
      <w:tr>
        <w:trPr>
          <w:trHeight w:val="225"/>
        </w:trPr>
        <w:tc>
          <w:tcPr>
            <w:tcW w:w="2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December 31, 2013</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(Level 1)</w:t>
            </w:r>
          </w:p>
        </w:tc>
        <w:tc>
          <w:tcPr>
            <w:tcW w:w="1420" w:type="dxa"/>
            <w:vAlign w:val="bottom"/>
            <w:tcBorders>
              <w:bottom w:val="single" w:sz="8" w:color="auto"/>
            </w:tcBorders>
          </w:tcPr>
          <w:p>
            <w:pPr>
              <w:jc w:val="center"/>
              <w:ind w:left="290"/>
              <w:spacing w:after="0"/>
              <w:rPr>
                <w:sz w:val="20"/>
                <w:szCs w:val="20"/>
                <w:color w:val="auto"/>
              </w:rPr>
            </w:pPr>
            <w:r>
              <w:rPr>
                <w:rFonts w:ascii="Arial" w:cs="Arial" w:eastAsia="Arial" w:hAnsi="Arial"/>
                <w:sz w:val="18"/>
                <w:szCs w:val="18"/>
                <w:b w:val="1"/>
                <w:bCs w:val="1"/>
                <w:color w:val="auto"/>
                <w:w w:val="98"/>
              </w:rPr>
              <w:t>(Level 2)</w:t>
            </w:r>
          </w:p>
        </w:tc>
        <w:tc>
          <w:tcPr>
            <w:tcW w:w="4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left="510"/>
              <w:spacing w:after="0"/>
              <w:rPr>
                <w:sz w:val="20"/>
                <w:szCs w:val="20"/>
                <w:color w:val="auto"/>
              </w:rPr>
            </w:pPr>
            <w:r>
              <w:rPr>
                <w:rFonts w:ascii="Arial" w:cs="Arial" w:eastAsia="Arial" w:hAnsi="Arial"/>
                <w:sz w:val="18"/>
                <w:szCs w:val="18"/>
                <w:b w:val="1"/>
                <w:bCs w:val="1"/>
                <w:color w:val="auto"/>
              </w:rPr>
              <w:t>(Level 3)</w:t>
            </w:r>
          </w:p>
        </w:tc>
        <w:tc>
          <w:tcPr>
            <w:tcW w:w="540" w:type="dxa"/>
            <w:vAlign w:val="bottom"/>
            <w:tcBorders>
              <w:bottom w:val="single" w:sz="8" w:color="auto"/>
            </w:tcBorders>
          </w:tcPr>
          <w:p>
            <w:pPr>
              <w:spacing w:after="0"/>
              <w:rPr>
                <w:sz w:val="19"/>
                <w:szCs w:val="19"/>
                <w:color w:val="auto"/>
              </w:rPr>
            </w:pPr>
          </w:p>
        </w:tc>
      </w:tr>
      <w:tr>
        <w:trPr>
          <w:trHeight w:val="195"/>
        </w:trPr>
        <w:tc>
          <w:tcPr>
            <w:tcW w:w="2800" w:type="dxa"/>
            <w:vAlign w:val="bottom"/>
          </w:tcPr>
          <w:p>
            <w:pPr>
              <w:spacing w:after="0" w:line="195" w:lineRule="exact"/>
              <w:rPr>
                <w:sz w:val="20"/>
                <w:szCs w:val="20"/>
                <w:color w:val="auto"/>
              </w:rPr>
            </w:pPr>
            <w:r>
              <w:rPr>
                <w:rFonts w:ascii="Arial" w:cs="Arial" w:eastAsia="Arial" w:hAnsi="Arial"/>
                <w:sz w:val="18"/>
                <w:szCs w:val="18"/>
                <w:color w:val="auto"/>
              </w:rPr>
              <w:t>Common stocks</w:t>
            </w:r>
          </w:p>
        </w:tc>
        <w:tc>
          <w:tcPr>
            <w:tcW w:w="1900" w:type="dxa"/>
            <w:vAlign w:val="bottom"/>
          </w:tcPr>
          <w:p>
            <w:pPr>
              <w:jc w:val="right"/>
              <w:ind w:right="70"/>
              <w:spacing w:after="0" w:line="195" w:lineRule="exact"/>
              <w:rPr>
                <w:sz w:val="20"/>
                <w:szCs w:val="20"/>
                <w:color w:val="auto"/>
              </w:rPr>
            </w:pPr>
            <w:r>
              <w:rPr>
                <w:rFonts w:ascii="Arial" w:cs="Arial" w:eastAsia="Arial" w:hAnsi="Arial"/>
                <w:sz w:val="18"/>
                <w:szCs w:val="18"/>
                <w:color w:val="auto"/>
              </w:rPr>
              <w:t>$33,685</w:t>
            </w:r>
          </w:p>
        </w:tc>
        <w:tc>
          <w:tcPr>
            <w:tcW w:w="1740" w:type="dxa"/>
            <w:vAlign w:val="bottom"/>
          </w:tcPr>
          <w:p>
            <w:pPr>
              <w:jc w:val="right"/>
              <w:ind w:right="90"/>
              <w:spacing w:after="0" w:line="195" w:lineRule="exact"/>
              <w:rPr>
                <w:sz w:val="20"/>
                <w:szCs w:val="20"/>
                <w:color w:val="auto"/>
              </w:rPr>
            </w:pPr>
            <w:r>
              <w:rPr>
                <w:rFonts w:ascii="Arial" w:cs="Arial" w:eastAsia="Arial" w:hAnsi="Arial"/>
                <w:sz w:val="18"/>
                <w:szCs w:val="18"/>
                <w:color w:val="auto"/>
              </w:rPr>
              <w:t>$33,685</w:t>
            </w:r>
          </w:p>
        </w:tc>
        <w:tc>
          <w:tcPr>
            <w:tcW w:w="1420" w:type="dxa"/>
            <w:vAlign w:val="bottom"/>
          </w:tcPr>
          <w:p>
            <w:pPr>
              <w:jc w:val="right"/>
              <w:ind w:right="230"/>
              <w:spacing w:after="0" w:line="195" w:lineRule="exact"/>
              <w:rPr>
                <w:sz w:val="20"/>
                <w:szCs w:val="20"/>
                <w:color w:val="auto"/>
              </w:rPr>
            </w:pPr>
            <w:r>
              <w:rPr>
                <w:rFonts w:ascii="Arial" w:cs="Arial" w:eastAsia="Arial" w:hAnsi="Arial"/>
                <w:sz w:val="18"/>
                <w:szCs w:val="18"/>
                <w:color w:val="auto"/>
              </w:rPr>
              <w:t>$</w:t>
            </w:r>
          </w:p>
        </w:tc>
        <w:tc>
          <w:tcPr>
            <w:tcW w:w="400" w:type="dxa"/>
            <w:vAlign w:val="bottom"/>
          </w:tcPr>
          <w:p>
            <w:pPr>
              <w:jc w:val="right"/>
              <w:ind w:right="70"/>
              <w:spacing w:after="0" w:line="195" w:lineRule="exact"/>
              <w:rPr>
                <w:sz w:val="20"/>
                <w:szCs w:val="20"/>
                <w:color w:val="auto"/>
              </w:rPr>
            </w:pPr>
            <w:r>
              <w:rPr>
                <w:rFonts w:ascii="Arial" w:cs="Arial" w:eastAsia="Arial" w:hAnsi="Arial"/>
                <w:sz w:val="18"/>
                <w:szCs w:val="18"/>
                <w:color w:val="auto"/>
              </w:rPr>
              <w:t>-</w:t>
            </w:r>
          </w:p>
        </w:tc>
        <w:tc>
          <w:tcPr>
            <w:tcW w:w="146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r>
      <w:tr>
        <w:trPr>
          <w:trHeight w:val="203"/>
        </w:trPr>
        <w:tc>
          <w:tcPr>
            <w:tcW w:w="2800" w:type="dxa"/>
            <w:vAlign w:val="bottom"/>
          </w:tcPr>
          <w:p>
            <w:pPr>
              <w:spacing w:after="0" w:line="202" w:lineRule="exact"/>
              <w:rPr>
                <w:sz w:val="20"/>
                <w:szCs w:val="20"/>
                <w:color w:val="auto"/>
              </w:rPr>
            </w:pPr>
            <w:r>
              <w:rPr>
                <w:rFonts w:ascii="Arial" w:cs="Arial" w:eastAsia="Arial" w:hAnsi="Arial"/>
                <w:sz w:val="18"/>
                <w:szCs w:val="18"/>
                <w:color w:val="auto"/>
              </w:rPr>
              <w:t>Debt securities</w:t>
            </w:r>
          </w:p>
        </w:tc>
        <w:tc>
          <w:tcPr>
            <w:tcW w:w="19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122,699</w:t>
            </w:r>
          </w:p>
        </w:tc>
        <w:tc>
          <w:tcPr>
            <w:tcW w:w="17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122,699</w:t>
            </w:r>
          </w:p>
        </w:tc>
        <w:tc>
          <w:tcPr>
            <w:tcW w:w="146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2800" w:type="dxa"/>
            <w:vAlign w:val="bottom"/>
          </w:tcPr>
          <w:p>
            <w:pPr>
              <w:spacing w:after="0" w:line="202" w:lineRule="exact"/>
              <w:rPr>
                <w:sz w:val="20"/>
                <w:szCs w:val="20"/>
                <w:color w:val="auto"/>
              </w:rPr>
            </w:pPr>
            <w:r>
              <w:rPr>
                <w:rFonts w:ascii="Arial" w:cs="Arial" w:eastAsia="Arial" w:hAnsi="Arial"/>
                <w:sz w:val="18"/>
                <w:szCs w:val="18"/>
                <w:color w:val="auto"/>
              </w:rPr>
              <w:t>Insurance contracts</w:t>
            </w:r>
          </w:p>
        </w:tc>
        <w:tc>
          <w:tcPr>
            <w:tcW w:w="19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2,875</w:t>
            </w:r>
          </w:p>
        </w:tc>
        <w:tc>
          <w:tcPr>
            <w:tcW w:w="17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420" w:type="dxa"/>
            <w:vAlign w:val="bottom"/>
          </w:tcPr>
          <w:p>
            <w:pPr>
              <w:spacing w:after="0"/>
              <w:rPr>
                <w:sz w:val="17"/>
                <w:szCs w:val="17"/>
                <w:color w:val="auto"/>
              </w:rPr>
            </w:pPr>
          </w:p>
        </w:tc>
        <w:tc>
          <w:tcPr>
            <w:tcW w:w="4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46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w w:val="97"/>
              </w:rPr>
              <w:t>2,875</w:t>
            </w:r>
          </w:p>
        </w:tc>
      </w:tr>
      <w:tr>
        <w:trPr>
          <w:trHeight w:val="203"/>
        </w:trPr>
        <w:tc>
          <w:tcPr>
            <w:tcW w:w="2800" w:type="dxa"/>
            <w:vAlign w:val="bottom"/>
          </w:tcPr>
          <w:p>
            <w:pPr>
              <w:spacing w:after="0" w:line="202" w:lineRule="exact"/>
              <w:rPr>
                <w:sz w:val="20"/>
                <w:szCs w:val="20"/>
                <w:color w:val="auto"/>
              </w:rPr>
            </w:pPr>
            <w:r>
              <w:rPr>
                <w:rFonts w:ascii="Arial" w:cs="Arial" w:eastAsia="Arial" w:hAnsi="Arial"/>
                <w:sz w:val="18"/>
                <w:szCs w:val="18"/>
                <w:color w:val="auto"/>
              </w:rPr>
              <w:t>Limited partnerships</w:t>
            </w:r>
          </w:p>
        </w:tc>
        <w:tc>
          <w:tcPr>
            <w:tcW w:w="19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7,034</w:t>
            </w:r>
          </w:p>
        </w:tc>
        <w:tc>
          <w:tcPr>
            <w:tcW w:w="17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420" w:type="dxa"/>
            <w:vAlign w:val="bottom"/>
          </w:tcPr>
          <w:p>
            <w:pPr>
              <w:spacing w:after="0"/>
              <w:rPr>
                <w:sz w:val="17"/>
                <w:szCs w:val="17"/>
                <w:color w:val="auto"/>
              </w:rPr>
            </w:pPr>
          </w:p>
        </w:tc>
        <w:tc>
          <w:tcPr>
            <w:tcW w:w="4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46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w w:val="97"/>
              </w:rPr>
              <w:t>7,034</w:t>
            </w:r>
          </w:p>
        </w:tc>
      </w:tr>
      <w:tr>
        <w:trPr>
          <w:trHeight w:val="203"/>
        </w:trPr>
        <w:tc>
          <w:tcPr>
            <w:tcW w:w="2800" w:type="dxa"/>
            <w:vAlign w:val="bottom"/>
          </w:tcPr>
          <w:p>
            <w:pPr>
              <w:spacing w:after="0" w:line="202" w:lineRule="exact"/>
              <w:rPr>
                <w:sz w:val="20"/>
                <w:szCs w:val="20"/>
                <w:color w:val="auto"/>
              </w:rPr>
            </w:pPr>
            <w:r>
              <w:rPr>
                <w:rFonts w:ascii="Arial" w:cs="Arial" w:eastAsia="Arial" w:hAnsi="Arial"/>
                <w:sz w:val="18"/>
                <w:szCs w:val="18"/>
                <w:color w:val="auto"/>
              </w:rPr>
              <w:t>Hedge funds</w:t>
            </w:r>
          </w:p>
        </w:tc>
        <w:tc>
          <w:tcPr>
            <w:tcW w:w="19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392</w:t>
            </w:r>
          </w:p>
        </w:tc>
        <w:tc>
          <w:tcPr>
            <w:tcW w:w="17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420" w:type="dxa"/>
            <w:vAlign w:val="bottom"/>
          </w:tcPr>
          <w:p>
            <w:pPr>
              <w:spacing w:after="0"/>
              <w:rPr>
                <w:sz w:val="17"/>
                <w:szCs w:val="17"/>
                <w:color w:val="auto"/>
              </w:rPr>
            </w:pPr>
          </w:p>
        </w:tc>
        <w:tc>
          <w:tcPr>
            <w:tcW w:w="4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46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392</w:t>
            </w:r>
          </w:p>
        </w:tc>
      </w:tr>
      <w:tr>
        <w:trPr>
          <w:trHeight w:val="203"/>
        </w:trPr>
        <w:tc>
          <w:tcPr>
            <w:tcW w:w="28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Cash and short-term investments</w:t>
            </w:r>
          </w:p>
        </w:tc>
        <w:tc>
          <w:tcPr>
            <w:tcW w:w="190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rPr>
              <w:t>1,705</w:t>
            </w:r>
          </w:p>
        </w:tc>
        <w:tc>
          <w:tcPr>
            <w:tcW w:w="174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1,705</w:t>
            </w:r>
          </w:p>
        </w:tc>
        <w:tc>
          <w:tcPr>
            <w:tcW w:w="14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r>
      <w:tr>
        <w:trPr>
          <w:trHeight w:val="196"/>
        </w:trPr>
        <w:tc>
          <w:tcPr>
            <w:tcW w:w="28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plan assets</w:t>
            </w:r>
          </w:p>
        </w:tc>
        <w:tc>
          <w:tcPr>
            <w:tcW w:w="190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$168,390</w:t>
            </w:r>
          </w:p>
        </w:tc>
        <w:tc>
          <w:tcPr>
            <w:tcW w:w="174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$35,390</w:t>
            </w:r>
          </w:p>
        </w:tc>
        <w:tc>
          <w:tcPr>
            <w:tcW w:w="1820" w:type="dxa"/>
            <w:vAlign w:val="bottom"/>
            <w:tcBorders>
              <w:bottom w:val="single" w:sz="8" w:color="auto"/>
            </w:tcBorders>
            <w:gridSpan w:val="2"/>
          </w:tcPr>
          <w:p>
            <w:pPr>
              <w:jc w:val="right"/>
              <w:ind w:right="70"/>
              <w:spacing w:after="0" w:line="196" w:lineRule="exact"/>
              <w:rPr>
                <w:sz w:val="20"/>
                <w:szCs w:val="20"/>
                <w:color w:val="auto"/>
              </w:rPr>
            </w:pPr>
            <w:r>
              <w:rPr>
                <w:rFonts w:ascii="Arial" w:cs="Arial" w:eastAsia="Arial" w:hAnsi="Arial"/>
                <w:sz w:val="18"/>
                <w:szCs w:val="18"/>
                <w:color w:val="auto"/>
              </w:rPr>
              <w:t>$122,699</w:t>
            </w:r>
          </w:p>
        </w:tc>
        <w:tc>
          <w:tcPr>
            <w:tcW w:w="200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$10,301</w:t>
            </w:r>
          </w:p>
        </w:tc>
      </w:tr>
    </w:tbl>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431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89"/>
        </w:trPr>
        <w:tc>
          <w:tcPr>
            <w:tcW w:w="3260" w:type="dxa"/>
            <w:vAlign w:val="bottom"/>
          </w:tcPr>
          <w:p>
            <w:pPr>
              <w:spacing w:after="0"/>
              <w:rPr>
                <w:sz w:val="16"/>
                <w:szCs w:val="16"/>
                <w:color w:val="auto"/>
              </w:rPr>
            </w:pPr>
          </w:p>
        </w:tc>
        <w:tc>
          <w:tcPr>
            <w:tcW w:w="2160" w:type="dxa"/>
            <w:vAlign w:val="bottom"/>
          </w:tcPr>
          <w:p>
            <w:pPr>
              <w:jc w:val="center"/>
              <w:ind w:left="393"/>
              <w:spacing w:after="0"/>
              <w:rPr>
                <w:sz w:val="20"/>
                <w:szCs w:val="20"/>
                <w:color w:val="auto"/>
              </w:rPr>
            </w:pPr>
            <w:r>
              <w:rPr>
                <w:rFonts w:ascii="Arial" w:cs="Arial" w:eastAsia="Arial" w:hAnsi="Arial"/>
                <w:sz w:val="16"/>
                <w:szCs w:val="16"/>
                <w:b w:val="1"/>
                <w:bCs w:val="1"/>
                <w:color w:val="auto"/>
              </w:rPr>
              <w:t>Total fair</w:t>
            </w: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rPr>
              <w:t>Quoted prices</w:t>
            </w: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rPr>
              <w:t>Significant other</w:t>
            </w: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rPr>
              <w:t>Significant</w:t>
            </w:r>
          </w:p>
        </w:tc>
      </w:tr>
      <w:tr>
        <w:trPr>
          <w:trHeight w:val="189"/>
        </w:trPr>
        <w:tc>
          <w:tcPr>
            <w:tcW w:w="3260" w:type="dxa"/>
            <w:vAlign w:val="bottom"/>
          </w:tcPr>
          <w:p>
            <w:pPr>
              <w:spacing w:after="0"/>
              <w:rPr>
                <w:sz w:val="16"/>
                <w:szCs w:val="16"/>
                <w:color w:val="auto"/>
              </w:rPr>
            </w:pPr>
          </w:p>
        </w:tc>
        <w:tc>
          <w:tcPr>
            <w:tcW w:w="2160" w:type="dxa"/>
            <w:vAlign w:val="bottom"/>
          </w:tcPr>
          <w:p>
            <w:pPr>
              <w:jc w:val="center"/>
              <w:ind w:left="393"/>
              <w:spacing w:after="0"/>
              <w:rPr>
                <w:sz w:val="20"/>
                <w:szCs w:val="20"/>
                <w:color w:val="auto"/>
              </w:rPr>
            </w:pPr>
            <w:r>
              <w:rPr>
                <w:rFonts w:ascii="Arial" w:cs="Arial" w:eastAsia="Arial" w:hAnsi="Arial"/>
                <w:sz w:val="16"/>
                <w:szCs w:val="16"/>
                <w:b w:val="1"/>
                <w:bCs w:val="1"/>
                <w:color w:val="auto"/>
              </w:rPr>
              <w:t>value at</w:t>
            </w: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rPr>
              <w:t>in active markets</w:t>
            </w: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rPr>
              <w:t>observable inputs</w:t>
            </w: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rPr>
              <w:t>unobservable inputs</w:t>
            </w:r>
          </w:p>
        </w:tc>
      </w:tr>
      <w:tr>
        <w:trPr>
          <w:trHeight w:val="207"/>
        </w:trPr>
        <w:tc>
          <w:tcPr>
            <w:tcW w:w="32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(in thousands)</w:t>
            </w:r>
          </w:p>
        </w:tc>
        <w:tc>
          <w:tcPr>
            <w:tcW w:w="2160" w:type="dxa"/>
            <w:vAlign w:val="bottom"/>
            <w:tcBorders>
              <w:bottom w:val="single" w:sz="8" w:color="auto"/>
            </w:tcBorders>
          </w:tcPr>
          <w:p>
            <w:pPr>
              <w:jc w:val="center"/>
              <w:ind w:left="413"/>
              <w:spacing w:after="0"/>
              <w:rPr>
                <w:sz w:val="20"/>
                <w:szCs w:val="20"/>
                <w:color w:val="auto"/>
              </w:rPr>
            </w:pPr>
            <w:r>
              <w:rPr>
                <w:rFonts w:ascii="Arial" w:cs="Arial" w:eastAsia="Arial" w:hAnsi="Arial"/>
                <w:sz w:val="16"/>
                <w:szCs w:val="16"/>
                <w:b w:val="1"/>
                <w:bCs w:val="1"/>
                <w:color w:val="auto"/>
              </w:rPr>
              <w:t>December 31, 2012</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(Level 1)</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(Level 2)</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(Level 3)</w:t>
            </w:r>
          </w:p>
        </w:tc>
      </w:tr>
      <w:tr>
        <w:trPr>
          <w:trHeight w:val="195"/>
        </w:trPr>
        <w:tc>
          <w:tcPr>
            <w:tcW w:w="3260" w:type="dxa"/>
            <w:vAlign w:val="bottom"/>
          </w:tcPr>
          <w:p>
            <w:pPr>
              <w:spacing w:after="0" w:line="195" w:lineRule="exact"/>
              <w:rPr>
                <w:sz w:val="20"/>
                <w:szCs w:val="20"/>
                <w:color w:val="auto"/>
              </w:rPr>
            </w:pPr>
            <w:r>
              <w:rPr>
                <w:rFonts w:ascii="Arial" w:cs="Arial" w:eastAsia="Arial" w:hAnsi="Arial"/>
                <w:sz w:val="18"/>
                <w:szCs w:val="18"/>
                <w:color w:val="auto"/>
              </w:rPr>
              <w:t>Common stocks</w:t>
            </w:r>
          </w:p>
        </w:tc>
        <w:tc>
          <w:tcPr>
            <w:tcW w:w="2160" w:type="dxa"/>
            <w:vAlign w:val="bottom"/>
          </w:tcPr>
          <w:p>
            <w:pPr>
              <w:jc w:val="right"/>
              <w:ind w:right="153"/>
              <w:spacing w:after="0" w:line="195" w:lineRule="exact"/>
              <w:rPr>
                <w:sz w:val="20"/>
                <w:szCs w:val="20"/>
                <w:color w:val="auto"/>
              </w:rPr>
            </w:pPr>
            <w:r>
              <w:rPr>
                <w:rFonts w:ascii="Arial" w:cs="Arial" w:eastAsia="Arial" w:hAnsi="Arial"/>
                <w:sz w:val="18"/>
                <w:szCs w:val="18"/>
                <w:color w:val="auto"/>
              </w:rPr>
              <w:t>$46,625</w:t>
            </w:r>
          </w:p>
        </w:tc>
        <w:tc>
          <w:tcPr>
            <w:tcW w:w="1540" w:type="dxa"/>
            <w:vAlign w:val="bottom"/>
          </w:tcPr>
          <w:p>
            <w:pPr>
              <w:jc w:val="right"/>
              <w:ind w:right="133"/>
              <w:spacing w:after="0" w:line="195" w:lineRule="exact"/>
              <w:rPr>
                <w:sz w:val="20"/>
                <w:szCs w:val="20"/>
                <w:color w:val="auto"/>
              </w:rPr>
            </w:pPr>
            <w:r>
              <w:rPr>
                <w:rFonts w:ascii="Arial" w:cs="Arial" w:eastAsia="Arial" w:hAnsi="Arial"/>
                <w:sz w:val="18"/>
                <w:szCs w:val="18"/>
                <w:color w:val="auto"/>
              </w:rPr>
              <w:t>$46,625</w:t>
            </w:r>
          </w:p>
        </w:tc>
        <w:tc>
          <w:tcPr>
            <w:tcW w:w="1620" w:type="dxa"/>
            <w:vAlign w:val="bottom"/>
          </w:tcPr>
          <w:p>
            <w:pPr>
              <w:jc w:val="right"/>
              <w:ind w:right="153"/>
              <w:spacing w:after="0" w:line="195" w:lineRule="exact"/>
              <w:rPr>
                <w:sz w:val="20"/>
                <w:szCs w:val="20"/>
                <w:color w:val="auto"/>
              </w:rPr>
            </w:pPr>
            <w:r>
              <w:rPr>
                <w:rFonts w:ascii="Arial" w:cs="Arial" w:eastAsia="Arial" w:hAnsi="Arial"/>
                <w:sz w:val="18"/>
                <w:szCs w:val="18"/>
                <w:color w:val="auto"/>
              </w:rPr>
              <w:t>$-</w:t>
            </w:r>
          </w:p>
        </w:tc>
        <w:tc>
          <w:tcPr>
            <w:tcW w:w="170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r>
      <w:tr>
        <w:trPr>
          <w:trHeight w:val="203"/>
        </w:trPr>
        <w:tc>
          <w:tcPr>
            <w:tcW w:w="3260" w:type="dxa"/>
            <w:vAlign w:val="bottom"/>
          </w:tcPr>
          <w:p>
            <w:pPr>
              <w:spacing w:after="0" w:line="202" w:lineRule="exact"/>
              <w:rPr>
                <w:sz w:val="20"/>
                <w:szCs w:val="20"/>
                <w:color w:val="auto"/>
              </w:rPr>
            </w:pPr>
            <w:r>
              <w:rPr>
                <w:rFonts w:ascii="Arial" w:cs="Arial" w:eastAsia="Arial" w:hAnsi="Arial"/>
                <w:sz w:val="18"/>
                <w:szCs w:val="18"/>
                <w:color w:val="auto"/>
              </w:rPr>
              <w:t>Debt securities</w:t>
            </w:r>
          </w:p>
        </w:tc>
        <w:tc>
          <w:tcPr>
            <w:tcW w:w="216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114,136</w:t>
            </w:r>
          </w:p>
        </w:tc>
        <w:tc>
          <w:tcPr>
            <w:tcW w:w="154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w:t>
            </w:r>
          </w:p>
        </w:tc>
        <w:tc>
          <w:tcPr>
            <w:tcW w:w="162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114,136</w:t>
            </w: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3260" w:type="dxa"/>
            <w:vAlign w:val="bottom"/>
          </w:tcPr>
          <w:p>
            <w:pPr>
              <w:spacing w:after="0" w:line="202" w:lineRule="exact"/>
              <w:rPr>
                <w:sz w:val="20"/>
                <w:szCs w:val="20"/>
                <w:color w:val="auto"/>
              </w:rPr>
            </w:pPr>
            <w:r>
              <w:rPr>
                <w:rFonts w:ascii="Arial" w:cs="Arial" w:eastAsia="Arial" w:hAnsi="Arial"/>
                <w:sz w:val="18"/>
                <w:szCs w:val="18"/>
                <w:color w:val="auto"/>
              </w:rPr>
              <w:t>Insurance contracts</w:t>
            </w:r>
          </w:p>
        </w:tc>
        <w:tc>
          <w:tcPr>
            <w:tcW w:w="216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2,542</w:t>
            </w:r>
          </w:p>
        </w:tc>
        <w:tc>
          <w:tcPr>
            <w:tcW w:w="154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w:t>
            </w:r>
          </w:p>
        </w:tc>
        <w:tc>
          <w:tcPr>
            <w:tcW w:w="162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w:t>
            </w: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2,542</w:t>
            </w:r>
          </w:p>
        </w:tc>
      </w:tr>
      <w:tr>
        <w:trPr>
          <w:trHeight w:val="203"/>
        </w:trPr>
        <w:tc>
          <w:tcPr>
            <w:tcW w:w="3260" w:type="dxa"/>
            <w:vAlign w:val="bottom"/>
          </w:tcPr>
          <w:p>
            <w:pPr>
              <w:spacing w:after="0" w:line="202" w:lineRule="exact"/>
              <w:rPr>
                <w:sz w:val="20"/>
                <w:szCs w:val="20"/>
                <w:color w:val="auto"/>
              </w:rPr>
            </w:pPr>
            <w:r>
              <w:rPr>
                <w:rFonts w:ascii="Arial" w:cs="Arial" w:eastAsia="Arial" w:hAnsi="Arial"/>
                <w:sz w:val="18"/>
                <w:szCs w:val="18"/>
                <w:color w:val="auto"/>
              </w:rPr>
              <w:t>Limited partnerships</w:t>
            </w:r>
          </w:p>
        </w:tc>
        <w:tc>
          <w:tcPr>
            <w:tcW w:w="216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7,556</w:t>
            </w:r>
          </w:p>
        </w:tc>
        <w:tc>
          <w:tcPr>
            <w:tcW w:w="154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w:t>
            </w:r>
          </w:p>
        </w:tc>
        <w:tc>
          <w:tcPr>
            <w:tcW w:w="162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w:t>
            </w: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7,556</w:t>
            </w:r>
          </w:p>
        </w:tc>
      </w:tr>
      <w:tr>
        <w:trPr>
          <w:trHeight w:val="203"/>
        </w:trPr>
        <w:tc>
          <w:tcPr>
            <w:tcW w:w="3260" w:type="dxa"/>
            <w:vAlign w:val="bottom"/>
          </w:tcPr>
          <w:p>
            <w:pPr>
              <w:spacing w:after="0" w:line="202" w:lineRule="exact"/>
              <w:rPr>
                <w:sz w:val="20"/>
                <w:szCs w:val="20"/>
                <w:color w:val="auto"/>
              </w:rPr>
            </w:pPr>
            <w:r>
              <w:rPr>
                <w:rFonts w:ascii="Arial" w:cs="Arial" w:eastAsia="Arial" w:hAnsi="Arial"/>
                <w:sz w:val="18"/>
                <w:szCs w:val="18"/>
                <w:color w:val="auto"/>
              </w:rPr>
              <w:t>Hedge funds</w:t>
            </w:r>
          </w:p>
        </w:tc>
        <w:tc>
          <w:tcPr>
            <w:tcW w:w="216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536</w:t>
            </w:r>
          </w:p>
        </w:tc>
        <w:tc>
          <w:tcPr>
            <w:tcW w:w="154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w:t>
            </w:r>
          </w:p>
        </w:tc>
        <w:tc>
          <w:tcPr>
            <w:tcW w:w="162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w:t>
            </w: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536</w:t>
            </w:r>
          </w:p>
        </w:tc>
      </w:tr>
      <w:tr>
        <w:trPr>
          <w:trHeight w:val="203"/>
        </w:trPr>
        <w:tc>
          <w:tcPr>
            <w:tcW w:w="326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Cash and short-term investments</w:t>
            </w:r>
          </w:p>
        </w:tc>
        <w:tc>
          <w:tcPr>
            <w:tcW w:w="2160" w:type="dxa"/>
            <w:vAlign w:val="bottom"/>
            <w:tcBorders>
              <w:bottom w:val="single" w:sz="8" w:color="auto"/>
            </w:tcBorders>
          </w:tcPr>
          <w:p>
            <w:pPr>
              <w:jc w:val="right"/>
              <w:ind w:right="153"/>
              <w:spacing w:after="0" w:line="203" w:lineRule="exact"/>
              <w:rPr>
                <w:sz w:val="20"/>
                <w:szCs w:val="20"/>
                <w:color w:val="auto"/>
              </w:rPr>
            </w:pPr>
            <w:r>
              <w:rPr>
                <w:rFonts w:ascii="Arial" w:cs="Arial" w:eastAsia="Arial" w:hAnsi="Arial"/>
                <w:sz w:val="18"/>
                <w:szCs w:val="18"/>
                <w:color w:val="auto"/>
              </w:rPr>
              <w:t>2,039</w:t>
            </w:r>
          </w:p>
        </w:tc>
        <w:tc>
          <w:tcPr>
            <w:tcW w:w="1540" w:type="dxa"/>
            <w:vAlign w:val="bottom"/>
            <w:tcBorders>
              <w:bottom w:val="single" w:sz="8" w:color="auto"/>
            </w:tcBorders>
          </w:tcPr>
          <w:p>
            <w:pPr>
              <w:jc w:val="right"/>
              <w:ind w:right="133"/>
              <w:spacing w:after="0" w:line="203" w:lineRule="exact"/>
              <w:rPr>
                <w:sz w:val="20"/>
                <w:szCs w:val="20"/>
                <w:color w:val="auto"/>
              </w:rPr>
            </w:pPr>
            <w:r>
              <w:rPr>
                <w:rFonts w:ascii="Arial" w:cs="Arial" w:eastAsia="Arial" w:hAnsi="Arial"/>
                <w:sz w:val="18"/>
                <w:szCs w:val="18"/>
                <w:color w:val="auto"/>
              </w:rPr>
              <w:t>2,039</w:t>
            </w:r>
          </w:p>
        </w:tc>
        <w:tc>
          <w:tcPr>
            <w:tcW w:w="1620" w:type="dxa"/>
            <w:vAlign w:val="bottom"/>
            <w:tcBorders>
              <w:bottom w:val="single" w:sz="8" w:color="auto"/>
            </w:tcBorders>
          </w:tcPr>
          <w:p>
            <w:pPr>
              <w:jc w:val="right"/>
              <w:ind w:right="153"/>
              <w:spacing w:after="0" w:line="203" w:lineRule="exact"/>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r>
      <w:tr>
        <w:trPr>
          <w:trHeight w:val="196"/>
        </w:trPr>
        <w:tc>
          <w:tcPr>
            <w:tcW w:w="32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plan assets</w:t>
            </w:r>
          </w:p>
        </w:tc>
        <w:tc>
          <w:tcPr>
            <w:tcW w:w="2160" w:type="dxa"/>
            <w:vAlign w:val="bottom"/>
            <w:tcBorders>
              <w:bottom w:val="single" w:sz="8" w:color="auto"/>
            </w:tcBorders>
          </w:tcPr>
          <w:p>
            <w:pPr>
              <w:jc w:val="right"/>
              <w:ind w:right="153"/>
              <w:spacing w:after="0" w:line="196" w:lineRule="exact"/>
              <w:rPr>
                <w:sz w:val="20"/>
                <w:szCs w:val="20"/>
                <w:color w:val="auto"/>
              </w:rPr>
            </w:pPr>
            <w:r>
              <w:rPr>
                <w:rFonts w:ascii="Arial" w:cs="Arial" w:eastAsia="Arial" w:hAnsi="Arial"/>
                <w:sz w:val="18"/>
                <w:szCs w:val="18"/>
                <w:color w:val="auto"/>
              </w:rPr>
              <w:t>$173,434</w:t>
            </w:r>
          </w:p>
        </w:tc>
        <w:tc>
          <w:tcPr>
            <w:tcW w:w="1540" w:type="dxa"/>
            <w:vAlign w:val="bottom"/>
            <w:tcBorders>
              <w:bottom w:val="single" w:sz="8" w:color="auto"/>
            </w:tcBorders>
          </w:tcPr>
          <w:p>
            <w:pPr>
              <w:jc w:val="right"/>
              <w:ind w:right="133"/>
              <w:spacing w:after="0" w:line="196" w:lineRule="exact"/>
              <w:rPr>
                <w:sz w:val="20"/>
                <w:szCs w:val="20"/>
                <w:color w:val="auto"/>
              </w:rPr>
            </w:pPr>
            <w:r>
              <w:rPr>
                <w:rFonts w:ascii="Arial" w:cs="Arial" w:eastAsia="Arial" w:hAnsi="Arial"/>
                <w:sz w:val="18"/>
                <w:szCs w:val="18"/>
                <w:color w:val="auto"/>
              </w:rPr>
              <w:t>$48,664</w:t>
            </w:r>
          </w:p>
        </w:tc>
        <w:tc>
          <w:tcPr>
            <w:tcW w:w="1620" w:type="dxa"/>
            <w:vAlign w:val="bottom"/>
            <w:tcBorders>
              <w:bottom w:val="single" w:sz="8" w:color="auto"/>
            </w:tcBorders>
          </w:tcPr>
          <w:p>
            <w:pPr>
              <w:jc w:val="right"/>
              <w:ind w:right="153"/>
              <w:spacing w:after="0" w:line="196" w:lineRule="exact"/>
              <w:rPr>
                <w:sz w:val="20"/>
                <w:szCs w:val="20"/>
                <w:color w:val="auto"/>
              </w:rPr>
            </w:pPr>
            <w:r>
              <w:rPr>
                <w:rFonts w:ascii="Arial" w:cs="Arial" w:eastAsia="Arial" w:hAnsi="Arial"/>
                <w:sz w:val="18"/>
                <w:szCs w:val="18"/>
                <w:color w:val="auto"/>
              </w:rPr>
              <w:t>$114,136</w:t>
            </w:r>
          </w:p>
        </w:tc>
        <w:tc>
          <w:tcPr>
            <w:tcW w:w="1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$10,634</w:t>
            </w:r>
          </w:p>
        </w:tc>
      </w:tr>
    </w:tbl>
    <w:p>
      <w:pPr>
        <w:spacing w:after="0" w:line="215" w:lineRule="exact"/>
        <w:rPr>
          <w:sz w:val="20"/>
          <w:szCs w:val="20"/>
          <w:color w:val="auto"/>
        </w:rPr>
      </w:pPr>
    </w:p>
    <w:p>
      <w:pPr>
        <w:ind w:left="80"/>
        <w:spacing w:after="0"/>
        <w:rPr>
          <w:sz w:val="20"/>
          <w:szCs w:val="20"/>
          <w:color w:val="auto"/>
        </w:rPr>
      </w:pPr>
      <w:r>
        <w:rPr>
          <w:rFonts w:ascii="Arial" w:cs="Arial" w:eastAsia="Arial" w:hAnsi="Arial"/>
          <w:sz w:val="18"/>
          <w:szCs w:val="18"/>
          <w:color w:val="auto"/>
        </w:rPr>
        <w:t>The following tables present a reconciliation of Level 3 assets held during the years ended December 31, 2013 and 2012:</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rPr>
              <w:t>Net</w:t>
            </w:r>
          </w:p>
        </w:tc>
        <w:tc>
          <w:tcPr>
            <w:tcW w:w="9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rPr>
              <w:t>purchases,</w:t>
            </w: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rPr>
              <w:t>Net</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60" w:type="dxa"/>
            <w:vAlign w:val="bottom"/>
          </w:tcPr>
          <w:p>
            <w:pPr>
              <w:jc w:val="center"/>
              <w:ind w:right="34"/>
              <w:spacing w:after="0"/>
              <w:rPr>
                <w:sz w:val="20"/>
                <w:szCs w:val="20"/>
                <w:color w:val="auto"/>
              </w:rPr>
            </w:pPr>
            <w:r>
              <w:rPr>
                <w:rFonts w:ascii="Arial" w:cs="Arial" w:eastAsia="Arial" w:hAnsi="Arial"/>
                <w:sz w:val="16"/>
                <w:szCs w:val="16"/>
                <w:b w:val="1"/>
                <w:bCs w:val="1"/>
                <w:color w:val="auto"/>
              </w:rPr>
              <w:t>Net</w:t>
            </w:r>
          </w:p>
        </w:tc>
        <w:tc>
          <w:tcPr>
            <w:tcW w:w="1100" w:type="dxa"/>
            <w:vAlign w:val="bottom"/>
          </w:tcPr>
          <w:p>
            <w:pPr>
              <w:jc w:val="center"/>
              <w:ind w:right="35"/>
              <w:spacing w:after="0"/>
              <w:rPr>
                <w:sz w:val="20"/>
                <w:szCs w:val="20"/>
                <w:color w:val="auto"/>
              </w:rPr>
            </w:pPr>
            <w:r>
              <w:rPr>
                <w:rFonts w:ascii="Arial" w:cs="Arial" w:eastAsia="Arial" w:hAnsi="Arial"/>
                <w:sz w:val="16"/>
                <w:szCs w:val="16"/>
                <w:b w:val="1"/>
                <w:bCs w:val="1"/>
                <w:color w:val="auto"/>
              </w:rPr>
              <w:t>issuances</w:t>
            </w: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rPr>
              <w:t>transfers</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40" w:type="dxa"/>
            <w:vAlign w:val="bottom"/>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2120" w:type="dxa"/>
            <w:vAlign w:val="bottom"/>
          </w:tcPr>
          <w:p>
            <w:pPr>
              <w:jc w:val="center"/>
              <w:ind w:left="853"/>
              <w:spacing w:after="0"/>
              <w:rPr>
                <w:sz w:val="20"/>
                <w:szCs w:val="20"/>
                <w:color w:val="auto"/>
              </w:rPr>
            </w:pPr>
            <w:r>
              <w:rPr>
                <w:rFonts w:ascii="Arial" w:cs="Arial" w:eastAsia="Arial" w:hAnsi="Arial"/>
                <w:sz w:val="16"/>
                <w:szCs w:val="16"/>
                <w:b w:val="1"/>
                <w:bCs w:val="1"/>
                <w:color w:val="auto"/>
              </w:rPr>
              <w:t>December</w:t>
            </w:r>
          </w:p>
        </w:tc>
        <w:tc>
          <w:tcPr>
            <w:tcW w:w="1260" w:type="dxa"/>
            <w:vAlign w:val="bottom"/>
          </w:tcPr>
          <w:p>
            <w:pPr>
              <w:jc w:val="right"/>
              <w:ind w:right="153"/>
              <w:spacing w:after="0"/>
              <w:rPr>
                <w:sz w:val="20"/>
                <w:szCs w:val="20"/>
                <w:color w:val="auto"/>
              </w:rPr>
            </w:pPr>
            <w:r>
              <w:rPr>
                <w:rFonts w:ascii="Arial" w:cs="Arial" w:eastAsia="Arial" w:hAnsi="Arial"/>
                <w:sz w:val="16"/>
                <w:szCs w:val="16"/>
                <w:b w:val="1"/>
                <w:bCs w:val="1"/>
                <w:color w:val="auto"/>
              </w:rPr>
              <w:t>Net realized</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rPr>
              <w:t>unrealized</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8"/>
              </w:rPr>
              <w:t>and</w:t>
            </w:r>
          </w:p>
        </w:tc>
        <w:tc>
          <w:tcPr>
            <w:tcW w:w="940" w:type="dxa"/>
            <w:vAlign w:val="bottom"/>
          </w:tcPr>
          <w:p>
            <w:pPr>
              <w:jc w:val="center"/>
              <w:ind w:right="14"/>
              <w:spacing w:after="0"/>
              <w:rPr>
                <w:sz w:val="20"/>
                <w:szCs w:val="20"/>
                <w:color w:val="auto"/>
              </w:rPr>
            </w:pPr>
            <w:r>
              <w:rPr>
                <w:rFonts w:ascii="Arial" w:cs="Arial" w:eastAsia="Arial" w:hAnsi="Arial"/>
                <w:sz w:val="16"/>
                <w:szCs w:val="16"/>
                <w:b w:val="1"/>
                <w:bCs w:val="1"/>
                <w:color w:val="auto"/>
              </w:rPr>
              <w:t>(out of)</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rPr>
              <w:t>December</w:t>
            </w:r>
          </w:p>
        </w:tc>
        <w:tc>
          <w:tcPr>
            <w:tcW w:w="0" w:type="dxa"/>
            <w:vAlign w:val="bottom"/>
          </w:tcPr>
          <w:p>
            <w:pPr>
              <w:spacing w:after="0"/>
              <w:rPr>
                <w:sz w:val="1"/>
                <w:szCs w:val="1"/>
                <w:color w:val="auto"/>
              </w:rPr>
            </w:pPr>
          </w:p>
        </w:tc>
      </w:tr>
      <w:tr>
        <w:trPr>
          <w:trHeight w:val="207"/>
        </w:trPr>
        <w:tc>
          <w:tcPr>
            <w:tcW w:w="2640" w:type="dxa"/>
            <w:vAlign w:val="bottom"/>
            <w:tcBorders>
              <w:bottom w:val="single" w:sz="8" w:color="auto"/>
            </w:tcBorders>
            <w:vMerge w:val="continue"/>
          </w:tcPr>
          <w:p>
            <w:pPr>
              <w:spacing w:after="0"/>
              <w:rPr>
                <w:sz w:val="18"/>
                <w:szCs w:val="18"/>
                <w:color w:val="auto"/>
              </w:rPr>
            </w:pPr>
          </w:p>
        </w:tc>
        <w:tc>
          <w:tcPr>
            <w:tcW w:w="2120" w:type="dxa"/>
            <w:vAlign w:val="bottom"/>
            <w:tcBorders>
              <w:bottom w:val="single" w:sz="8" w:color="auto"/>
            </w:tcBorders>
          </w:tcPr>
          <w:p>
            <w:pPr>
              <w:jc w:val="center"/>
              <w:ind w:left="913"/>
              <w:spacing w:after="0"/>
              <w:rPr>
                <w:sz w:val="20"/>
                <w:szCs w:val="20"/>
                <w:color w:val="auto"/>
              </w:rPr>
            </w:pPr>
            <w:r>
              <w:rPr>
                <w:rFonts w:ascii="Arial" w:cs="Arial" w:eastAsia="Arial" w:hAnsi="Arial"/>
                <w:sz w:val="16"/>
                <w:szCs w:val="16"/>
                <w:b w:val="1"/>
                <w:bCs w:val="1"/>
                <w:color w:val="auto"/>
              </w:rPr>
              <w:t>31, 2012</w:t>
            </w:r>
          </w:p>
        </w:tc>
        <w:tc>
          <w:tcPr>
            <w:tcW w:w="1260" w:type="dxa"/>
            <w:vAlign w:val="bottom"/>
            <w:tcBorders>
              <w:bottom w:val="single" w:sz="8" w:color="auto"/>
            </w:tcBorders>
          </w:tcPr>
          <w:p>
            <w:pPr>
              <w:jc w:val="right"/>
              <w:ind w:right="33"/>
              <w:spacing w:after="0"/>
              <w:rPr>
                <w:sz w:val="20"/>
                <w:szCs w:val="20"/>
                <w:color w:val="auto"/>
              </w:rPr>
            </w:pPr>
            <w:r>
              <w:rPr>
                <w:rFonts w:ascii="Arial" w:cs="Arial" w:eastAsia="Arial" w:hAnsi="Arial"/>
                <w:sz w:val="16"/>
                <w:szCs w:val="16"/>
                <w:b w:val="1"/>
                <w:bCs w:val="1"/>
                <w:color w:val="auto"/>
              </w:rPr>
              <w:t>gains/(losses)</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gains/(losses)</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settlements</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Level 3</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31, 2013</w:t>
            </w:r>
          </w:p>
        </w:tc>
        <w:tc>
          <w:tcPr>
            <w:tcW w:w="0" w:type="dxa"/>
            <w:vAlign w:val="bottom"/>
          </w:tcPr>
          <w:p>
            <w:pPr>
              <w:spacing w:after="0"/>
              <w:rPr>
                <w:sz w:val="1"/>
                <w:szCs w:val="1"/>
                <w:color w:val="auto"/>
              </w:rPr>
            </w:pPr>
          </w:p>
        </w:tc>
      </w:tr>
      <w:tr>
        <w:trPr>
          <w:trHeight w:val="195"/>
        </w:trPr>
        <w:tc>
          <w:tcPr>
            <w:tcW w:w="2640" w:type="dxa"/>
            <w:vAlign w:val="bottom"/>
          </w:tcPr>
          <w:p>
            <w:pPr>
              <w:spacing w:after="0" w:line="195" w:lineRule="exact"/>
              <w:rPr>
                <w:sz w:val="20"/>
                <w:szCs w:val="20"/>
                <w:color w:val="auto"/>
              </w:rPr>
            </w:pPr>
            <w:r>
              <w:rPr>
                <w:rFonts w:ascii="Arial" w:cs="Arial" w:eastAsia="Arial" w:hAnsi="Arial"/>
                <w:sz w:val="18"/>
                <w:szCs w:val="18"/>
                <w:color w:val="auto"/>
              </w:rPr>
              <w:t>Insurance contracts</w:t>
            </w:r>
          </w:p>
        </w:tc>
        <w:tc>
          <w:tcPr>
            <w:tcW w:w="2120" w:type="dxa"/>
            <w:vAlign w:val="bottom"/>
          </w:tcPr>
          <w:p>
            <w:pPr>
              <w:jc w:val="right"/>
              <w:ind w:right="153"/>
              <w:spacing w:after="0" w:line="195" w:lineRule="exact"/>
              <w:rPr>
                <w:sz w:val="20"/>
                <w:szCs w:val="20"/>
                <w:color w:val="auto"/>
              </w:rPr>
            </w:pPr>
            <w:r>
              <w:rPr>
                <w:rFonts w:ascii="Arial" w:cs="Arial" w:eastAsia="Arial" w:hAnsi="Arial"/>
                <w:sz w:val="18"/>
                <w:szCs w:val="18"/>
                <w:color w:val="auto"/>
              </w:rPr>
              <w:t>$2,542</w:t>
            </w:r>
          </w:p>
        </w:tc>
        <w:tc>
          <w:tcPr>
            <w:tcW w:w="1260" w:type="dxa"/>
            <w:vAlign w:val="bottom"/>
          </w:tcPr>
          <w:p>
            <w:pPr>
              <w:jc w:val="right"/>
              <w:ind w:right="173"/>
              <w:spacing w:after="0" w:line="195"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174"/>
              <w:spacing w:after="0" w:line="195" w:lineRule="exact"/>
              <w:rPr>
                <w:sz w:val="20"/>
                <w:szCs w:val="20"/>
                <w:color w:val="auto"/>
              </w:rPr>
            </w:pPr>
            <w:r>
              <w:rPr>
                <w:rFonts w:ascii="Arial" w:cs="Arial" w:eastAsia="Arial" w:hAnsi="Arial"/>
                <w:sz w:val="18"/>
                <w:szCs w:val="18"/>
                <w:color w:val="auto"/>
              </w:rPr>
              <w:t>$41</w:t>
            </w:r>
          </w:p>
        </w:tc>
        <w:tc>
          <w:tcPr>
            <w:tcW w:w="1100" w:type="dxa"/>
            <w:vAlign w:val="bottom"/>
          </w:tcPr>
          <w:p>
            <w:pPr>
              <w:jc w:val="right"/>
              <w:ind w:right="155"/>
              <w:spacing w:after="0" w:line="195" w:lineRule="exact"/>
              <w:rPr>
                <w:sz w:val="20"/>
                <w:szCs w:val="20"/>
                <w:color w:val="auto"/>
              </w:rPr>
            </w:pPr>
            <w:r>
              <w:rPr>
                <w:rFonts w:ascii="Arial" w:cs="Arial" w:eastAsia="Arial" w:hAnsi="Arial"/>
                <w:sz w:val="18"/>
                <w:szCs w:val="18"/>
                <w:color w:val="auto"/>
              </w:rPr>
              <w:t>$292</w:t>
            </w:r>
          </w:p>
        </w:tc>
        <w:tc>
          <w:tcPr>
            <w:tcW w:w="940" w:type="dxa"/>
            <w:vAlign w:val="bottom"/>
          </w:tcPr>
          <w:p>
            <w:pPr>
              <w:jc w:val="right"/>
              <w:ind w:right="94"/>
              <w:spacing w:after="0" w:line="195"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3"/>
              <w:spacing w:after="0" w:line="195" w:lineRule="exact"/>
              <w:rPr>
                <w:sz w:val="20"/>
                <w:szCs w:val="20"/>
                <w:color w:val="auto"/>
              </w:rPr>
            </w:pPr>
            <w:r>
              <w:rPr>
                <w:rFonts w:ascii="Arial" w:cs="Arial" w:eastAsia="Arial" w:hAnsi="Arial"/>
                <w:sz w:val="18"/>
                <w:szCs w:val="18"/>
                <w:color w:val="auto"/>
              </w:rPr>
              <w:t>$2,875</w:t>
            </w:r>
          </w:p>
        </w:tc>
        <w:tc>
          <w:tcPr>
            <w:tcW w:w="0" w:type="dxa"/>
            <w:vAlign w:val="bottom"/>
          </w:tcPr>
          <w:p>
            <w:pPr>
              <w:spacing w:after="0"/>
              <w:rPr>
                <w:sz w:val="1"/>
                <w:szCs w:val="1"/>
                <w:color w:val="auto"/>
              </w:rPr>
            </w:pPr>
          </w:p>
        </w:tc>
      </w:tr>
      <w:tr>
        <w:trPr>
          <w:trHeight w:val="203"/>
        </w:trPr>
        <w:tc>
          <w:tcPr>
            <w:tcW w:w="2640" w:type="dxa"/>
            <w:vAlign w:val="bottom"/>
          </w:tcPr>
          <w:p>
            <w:pPr>
              <w:spacing w:after="0" w:line="202" w:lineRule="exact"/>
              <w:rPr>
                <w:sz w:val="20"/>
                <w:szCs w:val="20"/>
                <w:color w:val="auto"/>
              </w:rPr>
            </w:pPr>
            <w:r>
              <w:rPr>
                <w:rFonts w:ascii="Arial" w:cs="Arial" w:eastAsia="Arial" w:hAnsi="Arial"/>
                <w:sz w:val="18"/>
                <w:szCs w:val="18"/>
                <w:color w:val="auto"/>
              </w:rPr>
              <w:t>Limited partnerships</w:t>
            </w:r>
          </w:p>
        </w:tc>
        <w:tc>
          <w:tcPr>
            <w:tcW w:w="212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7,556</w:t>
            </w:r>
          </w:p>
        </w:tc>
        <w:tc>
          <w:tcPr>
            <w:tcW w:w="1260" w:type="dxa"/>
            <w:vAlign w:val="bottom"/>
          </w:tcPr>
          <w:p>
            <w:pPr>
              <w:jc w:val="right"/>
              <w:ind w:right="173"/>
              <w:spacing w:after="0" w:line="202" w:lineRule="exact"/>
              <w:rPr>
                <w:sz w:val="20"/>
                <w:szCs w:val="20"/>
                <w:color w:val="auto"/>
              </w:rPr>
            </w:pPr>
            <w:r>
              <w:rPr>
                <w:rFonts w:ascii="Arial" w:cs="Arial" w:eastAsia="Arial" w:hAnsi="Arial"/>
                <w:sz w:val="18"/>
                <w:szCs w:val="18"/>
                <w:color w:val="auto"/>
              </w:rPr>
              <w:t>94</w:t>
            </w:r>
          </w:p>
        </w:tc>
        <w:tc>
          <w:tcPr>
            <w:tcW w:w="1260" w:type="dxa"/>
            <w:vAlign w:val="bottom"/>
          </w:tcPr>
          <w:p>
            <w:pPr>
              <w:jc w:val="right"/>
              <w:ind w:right="174"/>
              <w:spacing w:after="0" w:line="202" w:lineRule="exact"/>
              <w:rPr>
                <w:sz w:val="20"/>
                <w:szCs w:val="20"/>
                <w:color w:val="auto"/>
              </w:rPr>
            </w:pPr>
            <w:r>
              <w:rPr>
                <w:rFonts w:ascii="Arial" w:cs="Arial" w:eastAsia="Arial" w:hAnsi="Arial"/>
                <w:sz w:val="18"/>
                <w:szCs w:val="18"/>
                <w:color w:val="auto"/>
              </w:rPr>
              <w:t>533</w:t>
            </w:r>
          </w:p>
        </w:tc>
        <w:tc>
          <w:tcPr>
            <w:tcW w:w="1100" w:type="dxa"/>
            <w:vAlign w:val="bottom"/>
          </w:tcPr>
          <w:p>
            <w:pPr>
              <w:jc w:val="right"/>
              <w:ind w:right="95"/>
              <w:spacing w:after="0" w:line="202" w:lineRule="exact"/>
              <w:rPr>
                <w:sz w:val="20"/>
                <w:szCs w:val="20"/>
                <w:color w:val="auto"/>
              </w:rPr>
            </w:pPr>
            <w:r>
              <w:rPr>
                <w:rFonts w:ascii="Arial" w:cs="Arial" w:eastAsia="Arial" w:hAnsi="Arial"/>
                <w:sz w:val="18"/>
                <w:szCs w:val="18"/>
                <w:color w:val="auto"/>
              </w:rPr>
              <w:t>(1,149)</w:t>
            </w:r>
          </w:p>
        </w:tc>
        <w:tc>
          <w:tcPr>
            <w:tcW w:w="940" w:type="dxa"/>
            <w:vAlign w:val="bottom"/>
          </w:tcPr>
          <w:p>
            <w:pPr>
              <w:jc w:val="right"/>
              <w:ind w:right="94"/>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7,034</w:t>
            </w:r>
          </w:p>
        </w:tc>
        <w:tc>
          <w:tcPr>
            <w:tcW w:w="0" w:type="dxa"/>
            <w:vAlign w:val="bottom"/>
          </w:tcPr>
          <w:p>
            <w:pPr>
              <w:spacing w:after="0"/>
              <w:rPr>
                <w:sz w:val="1"/>
                <w:szCs w:val="1"/>
                <w:color w:val="auto"/>
              </w:rPr>
            </w:pPr>
          </w:p>
        </w:tc>
      </w:tr>
      <w:tr>
        <w:trPr>
          <w:trHeight w:val="203"/>
        </w:trPr>
        <w:tc>
          <w:tcPr>
            <w:tcW w:w="26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Hedge funds</w:t>
            </w:r>
          </w:p>
        </w:tc>
        <w:tc>
          <w:tcPr>
            <w:tcW w:w="2120" w:type="dxa"/>
            <w:vAlign w:val="bottom"/>
            <w:tcBorders>
              <w:bottom w:val="single" w:sz="8" w:color="auto"/>
            </w:tcBorders>
          </w:tcPr>
          <w:p>
            <w:pPr>
              <w:jc w:val="right"/>
              <w:ind w:right="153"/>
              <w:spacing w:after="0" w:line="203" w:lineRule="exact"/>
              <w:rPr>
                <w:sz w:val="20"/>
                <w:szCs w:val="20"/>
                <w:color w:val="auto"/>
              </w:rPr>
            </w:pPr>
            <w:r>
              <w:rPr>
                <w:rFonts w:ascii="Arial" w:cs="Arial" w:eastAsia="Arial" w:hAnsi="Arial"/>
                <w:sz w:val="18"/>
                <w:szCs w:val="18"/>
                <w:color w:val="auto"/>
              </w:rPr>
              <w:t>536</w:t>
            </w:r>
          </w:p>
        </w:tc>
        <w:tc>
          <w:tcPr>
            <w:tcW w:w="1260" w:type="dxa"/>
            <w:vAlign w:val="bottom"/>
            <w:tcBorders>
              <w:bottom w:val="single" w:sz="8" w:color="auto"/>
            </w:tcBorders>
          </w:tcPr>
          <w:p>
            <w:pPr>
              <w:jc w:val="right"/>
              <w:ind w:right="173"/>
              <w:spacing w:after="0" w:line="203"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74"/>
              <w:spacing w:after="0" w:line="203" w:lineRule="exact"/>
              <w:rPr>
                <w:sz w:val="20"/>
                <w:szCs w:val="20"/>
                <w:color w:val="auto"/>
              </w:rPr>
            </w:pPr>
            <w:r>
              <w:rPr>
                <w:rFonts w:ascii="Arial" w:cs="Arial" w:eastAsia="Arial" w:hAnsi="Arial"/>
                <w:sz w:val="18"/>
                <w:szCs w:val="18"/>
                <w:color w:val="auto"/>
              </w:rPr>
              <w:t>15</w:t>
            </w:r>
          </w:p>
        </w:tc>
        <w:tc>
          <w:tcPr>
            <w:tcW w:w="1100" w:type="dxa"/>
            <w:vAlign w:val="bottom"/>
            <w:tcBorders>
              <w:bottom w:val="single" w:sz="8" w:color="auto"/>
            </w:tcBorders>
          </w:tcPr>
          <w:p>
            <w:pPr>
              <w:jc w:val="right"/>
              <w:ind w:right="95"/>
              <w:spacing w:after="0" w:line="203" w:lineRule="exact"/>
              <w:rPr>
                <w:sz w:val="20"/>
                <w:szCs w:val="20"/>
                <w:color w:val="auto"/>
              </w:rPr>
            </w:pPr>
            <w:r>
              <w:rPr>
                <w:rFonts w:ascii="Arial" w:cs="Arial" w:eastAsia="Arial" w:hAnsi="Arial"/>
                <w:sz w:val="18"/>
                <w:szCs w:val="18"/>
                <w:color w:val="auto"/>
              </w:rPr>
              <w:t>(159)</w:t>
            </w:r>
          </w:p>
        </w:tc>
        <w:tc>
          <w:tcPr>
            <w:tcW w:w="940" w:type="dxa"/>
            <w:vAlign w:val="bottom"/>
            <w:tcBorders>
              <w:bottom w:val="single" w:sz="8" w:color="auto"/>
            </w:tcBorders>
          </w:tcPr>
          <w:p>
            <w:pPr>
              <w:jc w:val="right"/>
              <w:ind w:right="94"/>
              <w:spacing w:after="0" w:line="203"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3"/>
              <w:spacing w:after="0" w:line="203" w:lineRule="exact"/>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196"/>
        </w:trPr>
        <w:tc>
          <w:tcPr>
            <w:tcW w:w="26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2120" w:type="dxa"/>
            <w:vAlign w:val="bottom"/>
            <w:tcBorders>
              <w:bottom w:val="single" w:sz="8" w:color="auto"/>
            </w:tcBorders>
          </w:tcPr>
          <w:p>
            <w:pPr>
              <w:jc w:val="right"/>
              <w:ind w:right="153"/>
              <w:spacing w:after="0" w:line="196" w:lineRule="exact"/>
              <w:rPr>
                <w:sz w:val="20"/>
                <w:szCs w:val="20"/>
                <w:color w:val="auto"/>
              </w:rPr>
            </w:pPr>
            <w:r>
              <w:rPr>
                <w:rFonts w:ascii="Arial" w:cs="Arial" w:eastAsia="Arial" w:hAnsi="Arial"/>
                <w:sz w:val="18"/>
                <w:szCs w:val="18"/>
                <w:color w:val="auto"/>
              </w:rPr>
              <w:t>$10,634</w:t>
            </w:r>
          </w:p>
        </w:tc>
        <w:tc>
          <w:tcPr>
            <w:tcW w:w="1260" w:type="dxa"/>
            <w:vAlign w:val="bottom"/>
            <w:tcBorders>
              <w:bottom w:val="single" w:sz="8" w:color="auto"/>
            </w:tcBorders>
          </w:tcPr>
          <w:p>
            <w:pPr>
              <w:jc w:val="right"/>
              <w:ind w:right="173"/>
              <w:spacing w:after="0" w:line="196" w:lineRule="exact"/>
              <w:rPr>
                <w:sz w:val="20"/>
                <w:szCs w:val="20"/>
                <w:color w:val="auto"/>
              </w:rPr>
            </w:pPr>
            <w:r>
              <w:rPr>
                <w:rFonts w:ascii="Arial" w:cs="Arial" w:eastAsia="Arial" w:hAnsi="Arial"/>
                <w:sz w:val="18"/>
                <w:szCs w:val="18"/>
                <w:color w:val="auto"/>
              </w:rPr>
              <w:t>$94</w:t>
            </w:r>
          </w:p>
        </w:tc>
        <w:tc>
          <w:tcPr>
            <w:tcW w:w="1260" w:type="dxa"/>
            <w:vAlign w:val="bottom"/>
            <w:tcBorders>
              <w:bottom w:val="single" w:sz="8" w:color="auto"/>
            </w:tcBorders>
          </w:tcPr>
          <w:p>
            <w:pPr>
              <w:jc w:val="right"/>
              <w:ind w:right="174"/>
              <w:spacing w:after="0" w:line="196" w:lineRule="exact"/>
              <w:rPr>
                <w:sz w:val="20"/>
                <w:szCs w:val="20"/>
                <w:color w:val="auto"/>
              </w:rPr>
            </w:pPr>
            <w:r>
              <w:rPr>
                <w:rFonts w:ascii="Arial" w:cs="Arial" w:eastAsia="Arial" w:hAnsi="Arial"/>
                <w:sz w:val="18"/>
                <w:szCs w:val="18"/>
                <w:color w:val="auto"/>
              </w:rPr>
              <w:t>$589</w:t>
            </w:r>
          </w:p>
        </w:tc>
        <w:tc>
          <w:tcPr>
            <w:tcW w:w="1100" w:type="dxa"/>
            <w:vAlign w:val="bottom"/>
            <w:tcBorders>
              <w:bottom w:val="single" w:sz="8" w:color="auto"/>
            </w:tcBorders>
          </w:tcPr>
          <w:p>
            <w:pPr>
              <w:jc w:val="right"/>
              <w:ind w:right="95"/>
              <w:spacing w:after="0" w:line="196" w:lineRule="exact"/>
              <w:rPr>
                <w:sz w:val="20"/>
                <w:szCs w:val="20"/>
                <w:color w:val="auto"/>
              </w:rPr>
            </w:pPr>
            <w:r>
              <w:rPr>
                <w:rFonts w:ascii="Arial" w:cs="Arial" w:eastAsia="Arial" w:hAnsi="Arial"/>
                <w:sz w:val="18"/>
                <w:szCs w:val="18"/>
                <w:color w:val="auto"/>
              </w:rPr>
              <w:t>($1,016)</w:t>
            </w:r>
          </w:p>
        </w:tc>
        <w:tc>
          <w:tcPr>
            <w:tcW w:w="940" w:type="dxa"/>
            <w:vAlign w:val="bottom"/>
            <w:tcBorders>
              <w:bottom w:val="single" w:sz="8" w:color="auto"/>
            </w:tcBorders>
          </w:tcPr>
          <w:p>
            <w:pPr>
              <w:jc w:val="right"/>
              <w:ind w:right="94"/>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$10,301</w:t>
            </w:r>
          </w:p>
        </w:tc>
        <w:tc>
          <w:tcPr>
            <w:tcW w:w="0" w:type="dxa"/>
            <w:vAlign w:val="bottom"/>
          </w:tcPr>
          <w:p>
            <w:pPr>
              <w:spacing w:after="0"/>
              <w:rPr>
                <w:sz w:val="1"/>
                <w:szCs w:val="1"/>
                <w:color w:val="auto"/>
              </w:rPr>
            </w:pPr>
          </w:p>
        </w:tc>
      </w:tr>
      <w:tr>
        <w:trPr>
          <w:trHeight w:val="367"/>
        </w:trPr>
        <w:tc>
          <w:tcPr>
            <w:tcW w:w="26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rPr>
              <w:t>Net</w:t>
            </w: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6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9"/>
              </w:rPr>
              <w:t>purchases,</w:t>
            </w: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rPr>
              <w:t>Net</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rPr>
              <w:t>Net</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rPr>
              <w:t>issuances</w:t>
            </w: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rPr>
              <w:t>transfers</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40" w:type="dxa"/>
            <w:vAlign w:val="bottom"/>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2120" w:type="dxa"/>
            <w:vAlign w:val="bottom"/>
          </w:tcPr>
          <w:p>
            <w:pPr>
              <w:jc w:val="center"/>
              <w:ind w:left="853"/>
              <w:spacing w:after="0"/>
              <w:rPr>
                <w:sz w:val="20"/>
                <w:szCs w:val="20"/>
                <w:color w:val="auto"/>
              </w:rPr>
            </w:pPr>
            <w:r>
              <w:rPr>
                <w:rFonts w:ascii="Arial" w:cs="Arial" w:eastAsia="Arial" w:hAnsi="Arial"/>
                <w:sz w:val="16"/>
                <w:szCs w:val="16"/>
                <w:b w:val="1"/>
                <w:bCs w:val="1"/>
                <w:color w:val="auto"/>
              </w:rPr>
              <w:t>December 31,</w:t>
            </w:r>
          </w:p>
        </w:tc>
        <w:tc>
          <w:tcPr>
            <w:tcW w:w="1260" w:type="dxa"/>
            <w:vAlign w:val="bottom"/>
          </w:tcPr>
          <w:p>
            <w:pPr>
              <w:jc w:val="right"/>
              <w:ind w:right="93"/>
              <w:spacing w:after="0"/>
              <w:rPr>
                <w:sz w:val="20"/>
                <w:szCs w:val="20"/>
                <w:color w:val="auto"/>
              </w:rPr>
            </w:pPr>
            <w:r>
              <w:rPr>
                <w:rFonts w:ascii="Arial" w:cs="Arial" w:eastAsia="Arial" w:hAnsi="Arial"/>
                <w:sz w:val="16"/>
                <w:szCs w:val="16"/>
                <w:b w:val="1"/>
                <w:bCs w:val="1"/>
                <w:color w:val="auto"/>
              </w:rPr>
              <w:t>Net realized</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rPr>
              <w:t>unrealized</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8"/>
              </w:rPr>
              <w:t>and</w:t>
            </w: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rPr>
              <w:t>(out of)</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rPr>
              <w:t>December</w:t>
            </w:r>
          </w:p>
        </w:tc>
        <w:tc>
          <w:tcPr>
            <w:tcW w:w="0" w:type="dxa"/>
            <w:vAlign w:val="bottom"/>
          </w:tcPr>
          <w:p>
            <w:pPr>
              <w:spacing w:after="0"/>
              <w:rPr>
                <w:sz w:val="1"/>
                <w:szCs w:val="1"/>
                <w:color w:val="auto"/>
              </w:rPr>
            </w:pPr>
          </w:p>
        </w:tc>
      </w:tr>
      <w:tr>
        <w:trPr>
          <w:trHeight w:val="207"/>
        </w:trPr>
        <w:tc>
          <w:tcPr>
            <w:tcW w:w="2640" w:type="dxa"/>
            <w:vAlign w:val="bottom"/>
            <w:tcBorders>
              <w:bottom w:val="single" w:sz="8" w:color="auto"/>
            </w:tcBorders>
            <w:vMerge w:val="continue"/>
          </w:tcPr>
          <w:p>
            <w:pPr>
              <w:spacing w:after="0"/>
              <w:rPr>
                <w:sz w:val="18"/>
                <w:szCs w:val="18"/>
                <w:color w:val="auto"/>
              </w:rPr>
            </w:pPr>
          </w:p>
        </w:tc>
        <w:tc>
          <w:tcPr>
            <w:tcW w:w="2120" w:type="dxa"/>
            <w:vAlign w:val="bottom"/>
            <w:tcBorders>
              <w:bottom w:val="single" w:sz="8" w:color="auto"/>
            </w:tcBorders>
          </w:tcPr>
          <w:p>
            <w:pPr>
              <w:jc w:val="center"/>
              <w:ind w:left="833"/>
              <w:spacing w:after="0"/>
              <w:rPr>
                <w:sz w:val="20"/>
                <w:szCs w:val="20"/>
                <w:color w:val="auto"/>
              </w:rPr>
            </w:pPr>
            <w:r>
              <w:rPr>
                <w:rFonts w:ascii="Arial" w:cs="Arial" w:eastAsia="Arial" w:hAnsi="Arial"/>
                <w:sz w:val="16"/>
                <w:szCs w:val="16"/>
                <w:b w:val="1"/>
                <w:bCs w:val="1"/>
                <w:color w:val="auto"/>
              </w:rPr>
              <w:t>2011</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gains/(losses)</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gains/(losses)</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settlements</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Level 3</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31, 2012</w:t>
            </w:r>
          </w:p>
        </w:tc>
        <w:tc>
          <w:tcPr>
            <w:tcW w:w="0" w:type="dxa"/>
            <w:vAlign w:val="bottom"/>
          </w:tcPr>
          <w:p>
            <w:pPr>
              <w:spacing w:after="0"/>
              <w:rPr>
                <w:sz w:val="1"/>
                <w:szCs w:val="1"/>
                <w:color w:val="auto"/>
              </w:rPr>
            </w:pPr>
          </w:p>
        </w:tc>
      </w:tr>
      <w:tr>
        <w:trPr>
          <w:trHeight w:val="195"/>
        </w:trPr>
        <w:tc>
          <w:tcPr>
            <w:tcW w:w="2640" w:type="dxa"/>
            <w:vAlign w:val="bottom"/>
          </w:tcPr>
          <w:p>
            <w:pPr>
              <w:spacing w:after="0" w:line="195" w:lineRule="exact"/>
              <w:rPr>
                <w:sz w:val="20"/>
                <w:szCs w:val="20"/>
                <w:color w:val="auto"/>
              </w:rPr>
            </w:pPr>
            <w:r>
              <w:rPr>
                <w:rFonts w:ascii="Arial" w:cs="Arial" w:eastAsia="Arial" w:hAnsi="Arial"/>
                <w:sz w:val="18"/>
                <w:szCs w:val="18"/>
                <w:color w:val="auto"/>
              </w:rPr>
              <w:t>Insurance contracts</w:t>
            </w:r>
          </w:p>
        </w:tc>
        <w:tc>
          <w:tcPr>
            <w:tcW w:w="2120" w:type="dxa"/>
            <w:vAlign w:val="bottom"/>
          </w:tcPr>
          <w:p>
            <w:pPr>
              <w:jc w:val="right"/>
              <w:ind w:right="113"/>
              <w:spacing w:after="0" w:line="195" w:lineRule="exact"/>
              <w:rPr>
                <w:sz w:val="20"/>
                <w:szCs w:val="20"/>
                <w:color w:val="auto"/>
              </w:rPr>
            </w:pPr>
            <w:r>
              <w:rPr>
                <w:rFonts w:ascii="Arial" w:cs="Arial" w:eastAsia="Arial" w:hAnsi="Arial"/>
                <w:sz w:val="18"/>
                <w:szCs w:val="18"/>
                <w:color w:val="auto"/>
              </w:rPr>
              <w:t>$2,361</w:t>
            </w:r>
          </w:p>
        </w:tc>
        <w:tc>
          <w:tcPr>
            <w:tcW w:w="1260" w:type="dxa"/>
            <w:vAlign w:val="bottom"/>
          </w:tcPr>
          <w:p>
            <w:pPr>
              <w:jc w:val="right"/>
              <w:ind w:right="133"/>
              <w:spacing w:after="0" w:line="195"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134"/>
              <w:spacing w:after="0" w:line="195" w:lineRule="exact"/>
              <w:rPr>
                <w:sz w:val="20"/>
                <w:szCs w:val="20"/>
                <w:color w:val="auto"/>
              </w:rPr>
            </w:pPr>
            <w:r>
              <w:rPr>
                <w:rFonts w:ascii="Arial" w:cs="Arial" w:eastAsia="Arial" w:hAnsi="Arial"/>
                <w:sz w:val="18"/>
                <w:szCs w:val="18"/>
                <w:color w:val="auto"/>
              </w:rPr>
              <w:t>$39</w:t>
            </w:r>
          </w:p>
        </w:tc>
        <w:tc>
          <w:tcPr>
            <w:tcW w:w="1100" w:type="dxa"/>
            <w:vAlign w:val="bottom"/>
          </w:tcPr>
          <w:p>
            <w:pPr>
              <w:jc w:val="right"/>
              <w:ind w:right="135"/>
              <w:spacing w:after="0" w:line="195" w:lineRule="exact"/>
              <w:rPr>
                <w:sz w:val="20"/>
                <w:szCs w:val="20"/>
                <w:color w:val="auto"/>
              </w:rPr>
            </w:pPr>
            <w:r>
              <w:rPr>
                <w:rFonts w:ascii="Arial" w:cs="Arial" w:eastAsia="Arial" w:hAnsi="Arial"/>
                <w:sz w:val="18"/>
                <w:szCs w:val="18"/>
                <w:color w:val="auto"/>
              </w:rPr>
              <w:t>$142</w:t>
            </w:r>
          </w:p>
        </w:tc>
        <w:tc>
          <w:tcPr>
            <w:tcW w:w="940" w:type="dxa"/>
            <w:vAlign w:val="bottom"/>
          </w:tcPr>
          <w:p>
            <w:pPr>
              <w:jc w:val="right"/>
              <w:ind w:right="94"/>
              <w:spacing w:after="0" w:line="195"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3"/>
              <w:spacing w:after="0" w:line="195" w:lineRule="exact"/>
              <w:rPr>
                <w:sz w:val="20"/>
                <w:szCs w:val="20"/>
                <w:color w:val="auto"/>
              </w:rPr>
            </w:pPr>
            <w:r>
              <w:rPr>
                <w:rFonts w:ascii="Arial" w:cs="Arial" w:eastAsia="Arial" w:hAnsi="Arial"/>
                <w:sz w:val="18"/>
                <w:szCs w:val="18"/>
                <w:color w:val="auto"/>
              </w:rPr>
              <w:t>$2,542</w:t>
            </w:r>
          </w:p>
        </w:tc>
        <w:tc>
          <w:tcPr>
            <w:tcW w:w="0" w:type="dxa"/>
            <w:vAlign w:val="bottom"/>
          </w:tcPr>
          <w:p>
            <w:pPr>
              <w:spacing w:after="0"/>
              <w:rPr>
                <w:sz w:val="1"/>
                <w:szCs w:val="1"/>
                <w:color w:val="auto"/>
              </w:rPr>
            </w:pPr>
          </w:p>
        </w:tc>
      </w:tr>
      <w:tr>
        <w:trPr>
          <w:trHeight w:val="203"/>
        </w:trPr>
        <w:tc>
          <w:tcPr>
            <w:tcW w:w="2640" w:type="dxa"/>
            <w:vAlign w:val="bottom"/>
          </w:tcPr>
          <w:p>
            <w:pPr>
              <w:spacing w:after="0" w:line="202" w:lineRule="exact"/>
              <w:rPr>
                <w:sz w:val="20"/>
                <w:szCs w:val="20"/>
                <w:color w:val="auto"/>
              </w:rPr>
            </w:pPr>
            <w:r>
              <w:rPr>
                <w:rFonts w:ascii="Arial" w:cs="Arial" w:eastAsia="Arial" w:hAnsi="Arial"/>
                <w:sz w:val="18"/>
                <w:szCs w:val="18"/>
                <w:color w:val="auto"/>
              </w:rPr>
              <w:t>Limited partnerships</w:t>
            </w:r>
          </w:p>
        </w:tc>
        <w:tc>
          <w:tcPr>
            <w:tcW w:w="212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8,676</w:t>
            </w:r>
          </w:p>
        </w:tc>
        <w:tc>
          <w:tcPr>
            <w:tcW w:w="126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521</w:t>
            </w:r>
          </w:p>
        </w:tc>
        <w:tc>
          <w:tcPr>
            <w:tcW w:w="1100" w:type="dxa"/>
            <w:vAlign w:val="bottom"/>
          </w:tcPr>
          <w:p>
            <w:pPr>
              <w:jc w:val="right"/>
              <w:ind w:right="75"/>
              <w:spacing w:after="0" w:line="202" w:lineRule="exact"/>
              <w:rPr>
                <w:sz w:val="20"/>
                <w:szCs w:val="20"/>
                <w:color w:val="auto"/>
              </w:rPr>
            </w:pPr>
            <w:r>
              <w:rPr>
                <w:rFonts w:ascii="Arial" w:cs="Arial" w:eastAsia="Arial" w:hAnsi="Arial"/>
                <w:sz w:val="18"/>
                <w:szCs w:val="18"/>
                <w:color w:val="auto"/>
              </w:rPr>
              <w:t>(1,641)</w:t>
            </w:r>
          </w:p>
        </w:tc>
        <w:tc>
          <w:tcPr>
            <w:tcW w:w="940" w:type="dxa"/>
            <w:vAlign w:val="bottom"/>
          </w:tcPr>
          <w:p>
            <w:pPr>
              <w:jc w:val="right"/>
              <w:ind w:right="94"/>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7,556</w:t>
            </w:r>
          </w:p>
        </w:tc>
        <w:tc>
          <w:tcPr>
            <w:tcW w:w="0" w:type="dxa"/>
            <w:vAlign w:val="bottom"/>
          </w:tcPr>
          <w:p>
            <w:pPr>
              <w:spacing w:after="0"/>
              <w:rPr>
                <w:sz w:val="1"/>
                <w:szCs w:val="1"/>
                <w:color w:val="auto"/>
              </w:rPr>
            </w:pPr>
          </w:p>
        </w:tc>
      </w:tr>
      <w:tr>
        <w:trPr>
          <w:trHeight w:val="203"/>
        </w:trPr>
        <w:tc>
          <w:tcPr>
            <w:tcW w:w="26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Hedge funds</w:t>
            </w:r>
          </w:p>
        </w:tc>
        <w:tc>
          <w:tcPr>
            <w:tcW w:w="2120" w:type="dxa"/>
            <w:vAlign w:val="bottom"/>
            <w:tcBorders>
              <w:bottom w:val="single" w:sz="8" w:color="auto"/>
            </w:tcBorders>
          </w:tcPr>
          <w:p>
            <w:pPr>
              <w:jc w:val="right"/>
              <w:ind w:right="113"/>
              <w:spacing w:after="0" w:line="203" w:lineRule="exact"/>
              <w:rPr>
                <w:sz w:val="20"/>
                <w:szCs w:val="20"/>
                <w:color w:val="auto"/>
              </w:rPr>
            </w:pPr>
            <w:r>
              <w:rPr>
                <w:rFonts w:ascii="Arial" w:cs="Arial" w:eastAsia="Arial" w:hAnsi="Arial"/>
                <w:sz w:val="18"/>
                <w:szCs w:val="18"/>
                <w:color w:val="auto"/>
              </w:rPr>
              <w:t>557</w:t>
            </w:r>
          </w:p>
        </w:tc>
        <w:tc>
          <w:tcPr>
            <w:tcW w:w="1260" w:type="dxa"/>
            <w:vAlign w:val="bottom"/>
            <w:tcBorders>
              <w:bottom w:val="single" w:sz="8" w:color="auto"/>
            </w:tcBorders>
          </w:tcPr>
          <w:p>
            <w:pPr>
              <w:jc w:val="right"/>
              <w:ind w:right="133"/>
              <w:spacing w:after="0" w:line="203"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34"/>
              <w:spacing w:after="0" w:line="203" w:lineRule="exact"/>
              <w:rPr>
                <w:sz w:val="20"/>
                <w:szCs w:val="20"/>
                <w:color w:val="auto"/>
              </w:rPr>
            </w:pPr>
            <w:r>
              <w:rPr>
                <w:rFonts w:ascii="Arial" w:cs="Arial" w:eastAsia="Arial" w:hAnsi="Arial"/>
                <w:sz w:val="18"/>
                <w:szCs w:val="18"/>
                <w:color w:val="auto"/>
              </w:rPr>
              <w:t>32</w:t>
            </w:r>
          </w:p>
        </w:tc>
        <w:tc>
          <w:tcPr>
            <w:tcW w:w="1100" w:type="dxa"/>
            <w:vAlign w:val="bottom"/>
            <w:tcBorders>
              <w:bottom w:val="single" w:sz="8" w:color="auto"/>
            </w:tcBorders>
          </w:tcPr>
          <w:p>
            <w:pPr>
              <w:jc w:val="right"/>
              <w:ind w:right="75"/>
              <w:spacing w:after="0" w:line="203" w:lineRule="exact"/>
              <w:rPr>
                <w:sz w:val="20"/>
                <w:szCs w:val="20"/>
                <w:color w:val="auto"/>
              </w:rPr>
            </w:pPr>
            <w:r>
              <w:rPr>
                <w:rFonts w:ascii="Arial" w:cs="Arial" w:eastAsia="Arial" w:hAnsi="Arial"/>
                <w:sz w:val="18"/>
                <w:szCs w:val="18"/>
                <w:color w:val="auto"/>
              </w:rPr>
              <w:t>(53)</w:t>
            </w:r>
          </w:p>
        </w:tc>
        <w:tc>
          <w:tcPr>
            <w:tcW w:w="940" w:type="dxa"/>
            <w:vAlign w:val="bottom"/>
            <w:tcBorders>
              <w:bottom w:val="single" w:sz="8" w:color="auto"/>
            </w:tcBorders>
          </w:tcPr>
          <w:p>
            <w:pPr>
              <w:jc w:val="right"/>
              <w:ind w:right="94"/>
              <w:spacing w:after="0" w:line="203"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3"/>
              <w:spacing w:after="0" w:line="203" w:lineRule="exact"/>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196"/>
        </w:trPr>
        <w:tc>
          <w:tcPr>
            <w:tcW w:w="26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2120" w:type="dxa"/>
            <w:vAlign w:val="bottom"/>
            <w:tcBorders>
              <w:bottom w:val="single" w:sz="8" w:color="auto"/>
            </w:tcBorders>
          </w:tcPr>
          <w:p>
            <w:pPr>
              <w:jc w:val="right"/>
              <w:ind w:right="113"/>
              <w:spacing w:after="0" w:line="196" w:lineRule="exact"/>
              <w:rPr>
                <w:sz w:val="20"/>
                <w:szCs w:val="20"/>
                <w:color w:val="auto"/>
              </w:rPr>
            </w:pPr>
            <w:r>
              <w:rPr>
                <w:rFonts w:ascii="Arial" w:cs="Arial" w:eastAsia="Arial" w:hAnsi="Arial"/>
                <w:sz w:val="18"/>
                <w:szCs w:val="18"/>
                <w:color w:val="auto"/>
              </w:rPr>
              <w:t>$11,594</w:t>
            </w:r>
          </w:p>
        </w:tc>
        <w:tc>
          <w:tcPr>
            <w:tcW w:w="1260" w:type="dxa"/>
            <w:vAlign w:val="bottom"/>
            <w:tcBorders>
              <w:bottom w:val="single" w:sz="8" w:color="auto"/>
            </w:tcBorders>
          </w:tcPr>
          <w:p>
            <w:pPr>
              <w:jc w:val="right"/>
              <w:ind w:right="133"/>
              <w:spacing w:after="0" w:line="196"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34"/>
              <w:spacing w:after="0" w:line="196" w:lineRule="exact"/>
              <w:rPr>
                <w:sz w:val="20"/>
                <w:szCs w:val="20"/>
                <w:color w:val="auto"/>
              </w:rPr>
            </w:pPr>
            <w:r>
              <w:rPr>
                <w:rFonts w:ascii="Arial" w:cs="Arial" w:eastAsia="Arial" w:hAnsi="Arial"/>
                <w:sz w:val="18"/>
                <w:szCs w:val="18"/>
                <w:color w:val="auto"/>
              </w:rPr>
              <w:t>$592</w:t>
            </w:r>
          </w:p>
        </w:tc>
        <w:tc>
          <w:tcPr>
            <w:tcW w:w="1100" w:type="dxa"/>
            <w:vAlign w:val="bottom"/>
            <w:tcBorders>
              <w:bottom w:val="single" w:sz="8" w:color="auto"/>
            </w:tcBorders>
          </w:tcPr>
          <w:p>
            <w:pPr>
              <w:jc w:val="right"/>
              <w:ind w:right="75"/>
              <w:spacing w:after="0" w:line="196" w:lineRule="exact"/>
              <w:rPr>
                <w:sz w:val="20"/>
                <w:szCs w:val="20"/>
                <w:color w:val="auto"/>
              </w:rPr>
            </w:pPr>
            <w:r>
              <w:rPr>
                <w:rFonts w:ascii="Arial" w:cs="Arial" w:eastAsia="Arial" w:hAnsi="Arial"/>
                <w:sz w:val="18"/>
                <w:szCs w:val="18"/>
                <w:color w:val="auto"/>
              </w:rPr>
              <w:t>($1,552)</w:t>
            </w:r>
          </w:p>
        </w:tc>
        <w:tc>
          <w:tcPr>
            <w:tcW w:w="940" w:type="dxa"/>
            <w:vAlign w:val="bottom"/>
            <w:tcBorders>
              <w:bottom w:val="single" w:sz="8" w:color="auto"/>
            </w:tcBorders>
          </w:tcPr>
          <w:p>
            <w:pPr>
              <w:jc w:val="right"/>
              <w:ind w:right="94"/>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$10,634</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31750</wp:posOffset>
            </wp:positionV>
            <wp:extent cx="7246620" cy="431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840"/>
          </w:cols>
          <w:pgMar w:left="820" w:top="689" w:right="239" w:bottom="1440" w:gutter="0" w:footer="0" w:header="0"/>
        </w:sectPr>
      </w:pPr>
    </w:p>
    <w:bookmarkStart w:id="65" w:name="page66"/>
    <w:bookmarkEnd w:id="65"/>
    <w:p>
      <w:pPr>
        <w:ind w:right="460" w:firstLine="648"/>
        <w:spacing w:after="0" w:line="246" w:lineRule="auto"/>
        <w:rPr>
          <w:sz w:val="20"/>
          <w:szCs w:val="20"/>
          <w:color w:val="auto"/>
        </w:rPr>
      </w:pPr>
      <w:r>
        <w:rPr>
          <w:rFonts w:ascii="Arial" w:cs="Arial" w:eastAsia="Arial" w:hAnsi="Arial"/>
          <w:sz w:val="18"/>
          <w:szCs w:val="18"/>
          <w:color w:val="auto"/>
        </w:rPr>
        <w:t>The asset allocation for the Company’s U.S. and non-U.S. pension plans for 2013 and 2012, and the target allocation for 2014, by asset category, are as follows: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8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spacing w:after="0"/>
              <w:rPr>
                <w:sz w:val="18"/>
                <w:szCs w:val="18"/>
                <w:color w:val="auto"/>
              </w:rPr>
            </w:pPr>
          </w:p>
        </w:tc>
        <w:tc>
          <w:tcPr>
            <w:tcW w:w="18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United States Plan</w:t>
            </w:r>
          </w:p>
        </w:tc>
        <w:tc>
          <w:tcPr>
            <w:tcW w:w="9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Non-U.S. Plans</w:t>
            </w:r>
          </w:p>
        </w:tc>
        <w:tc>
          <w:tcPr>
            <w:tcW w:w="84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95"/>
        </w:trPr>
        <w:tc>
          <w:tcPr>
            <w:tcW w:w="2080" w:type="dxa"/>
            <w:vAlign w:val="bottom"/>
          </w:tcPr>
          <w:p>
            <w:pPr>
              <w:spacing w:after="0"/>
              <w:rPr>
                <w:sz w:val="16"/>
                <w:szCs w:val="16"/>
                <w:color w:val="auto"/>
              </w:rPr>
            </w:pPr>
          </w:p>
        </w:tc>
        <w:tc>
          <w:tcPr>
            <w:tcW w:w="1600" w:type="dxa"/>
            <w:vAlign w:val="bottom"/>
          </w:tcPr>
          <w:p>
            <w:pPr>
              <w:jc w:val="right"/>
              <w:spacing w:after="0" w:line="195" w:lineRule="exact"/>
              <w:rPr>
                <w:sz w:val="20"/>
                <w:szCs w:val="20"/>
                <w:color w:val="auto"/>
              </w:rPr>
            </w:pPr>
            <w:r>
              <w:rPr>
                <w:rFonts w:ascii="Arial" w:cs="Arial" w:eastAsia="Arial" w:hAnsi="Arial"/>
                <w:sz w:val="18"/>
                <w:szCs w:val="18"/>
                <w:color w:val="auto"/>
              </w:rPr>
              <w:t>Target</w:t>
            </w:r>
          </w:p>
        </w:tc>
        <w:tc>
          <w:tcPr>
            <w:tcW w:w="2820" w:type="dxa"/>
            <w:vAlign w:val="bottom"/>
            <w:gridSpan w:val="2"/>
          </w:tcPr>
          <w:p>
            <w:pPr>
              <w:jc w:val="right"/>
              <w:ind w:right="310"/>
              <w:spacing w:after="0" w:line="195" w:lineRule="exact"/>
              <w:rPr>
                <w:sz w:val="20"/>
                <w:szCs w:val="20"/>
                <w:color w:val="auto"/>
              </w:rPr>
            </w:pPr>
            <w:r>
              <w:rPr>
                <w:rFonts w:ascii="Arial" w:cs="Arial" w:eastAsia="Arial" w:hAnsi="Arial"/>
                <w:sz w:val="18"/>
                <w:szCs w:val="18"/>
                <w:color w:val="auto"/>
              </w:rPr>
              <w:t>Percentage of plan assets</w:t>
            </w:r>
          </w:p>
        </w:tc>
        <w:tc>
          <w:tcPr>
            <w:tcW w:w="1160" w:type="dxa"/>
            <w:vAlign w:val="bottom"/>
          </w:tcPr>
          <w:p>
            <w:pPr>
              <w:jc w:val="right"/>
              <w:ind w:right="70"/>
              <w:spacing w:after="0" w:line="195" w:lineRule="exact"/>
              <w:rPr>
                <w:sz w:val="20"/>
                <w:szCs w:val="20"/>
                <w:color w:val="auto"/>
              </w:rPr>
            </w:pPr>
            <w:r>
              <w:rPr>
                <w:rFonts w:ascii="Arial" w:cs="Arial" w:eastAsia="Arial" w:hAnsi="Arial"/>
                <w:sz w:val="18"/>
                <w:szCs w:val="18"/>
                <w:color w:val="auto"/>
              </w:rPr>
              <w:t>Target</w:t>
            </w:r>
          </w:p>
        </w:tc>
        <w:tc>
          <w:tcPr>
            <w:tcW w:w="2600" w:type="dxa"/>
            <w:vAlign w:val="bottom"/>
            <w:gridSpan w:val="2"/>
          </w:tcPr>
          <w:p>
            <w:pPr>
              <w:jc w:val="right"/>
              <w:ind w:right="150"/>
              <w:spacing w:after="0" w:line="195" w:lineRule="exact"/>
              <w:rPr>
                <w:sz w:val="20"/>
                <w:szCs w:val="20"/>
                <w:color w:val="auto"/>
              </w:rPr>
            </w:pPr>
            <w:r>
              <w:rPr>
                <w:rFonts w:ascii="Arial" w:cs="Arial" w:eastAsia="Arial" w:hAnsi="Arial"/>
                <w:sz w:val="18"/>
                <w:szCs w:val="18"/>
                <w:color w:val="auto"/>
              </w:rPr>
              <w:t>Percentage of plan assets</w:t>
            </w:r>
          </w:p>
        </w:tc>
        <w:tc>
          <w:tcPr>
            <w:tcW w:w="20" w:type="dxa"/>
            <w:vAlign w:val="bottom"/>
          </w:tcPr>
          <w:p>
            <w:pPr>
              <w:spacing w:after="0"/>
              <w:rPr>
                <w:sz w:val="16"/>
                <w:szCs w:val="16"/>
                <w:color w:val="auto"/>
              </w:rPr>
            </w:pPr>
          </w:p>
        </w:tc>
      </w:tr>
      <w:tr>
        <w:trPr>
          <w:trHeight w:val="181"/>
        </w:trPr>
        <w:tc>
          <w:tcPr>
            <w:tcW w:w="2080" w:type="dxa"/>
            <w:vAlign w:val="bottom"/>
          </w:tcPr>
          <w:p>
            <w:pPr>
              <w:spacing w:after="0"/>
              <w:rPr>
                <w:sz w:val="15"/>
                <w:szCs w:val="15"/>
                <w:color w:val="auto"/>
              </w:rPr>
            </w:pPr>
          </w:p>
        </w:tc>
        <w:tc>
          <w:tcPr>
            <w:tcW w:w="1600" w:type="dxa"/>
            <w:vAlign w:val="bottom"/>
          </w:tcPr>
          <w:p>
            <w:pPr>
              <w:jc w:val="right"/>
              <w:spacing w:after="0" w:line="181" w:lineRule="exact"/>
              <w:rPr>
                <w:sz w:val="20"/>
                <w:szCs w:val="20"/>
                <w:color w:val="auto"/>
              </w:rPr>
            </w:pPr>
            <w:r>
              <w:rPr>
                <w:rFonts w:ascii="Arial" w:cs="Arial" w:eastAsia="Arial" w:hAnsi="Arial"/>
                <w:sz w:val="18"/>
                <w:szCs w:val="18"/>
                <w:color w:val="auto"/>
              </w:rPr>
              <w:t>Allocation</w:t>
            </w:r>
          </w:p>
        </w:tc>
        <w:tc>
          <w:tcPr>
            <w:tcW w:w="2820" w:type="dxa"/>
            <w:vAlign w:val="bottom"/>
            <w:gridSpan w:val="2"/>
          </w:tcPr>
          <w:p>
            <w:pPr>
              <w:jc w:val="right"/>
              <w:ind w:right="310"/>
              <w:spacing w:after="0" w:line="181" w:lineRule="exact"/>
              <w:rPr>
                <w:sz w:val="20"/>
                <w:szCs w:val="20"/>
                <w:color w:val="auto"/>
              </w:rPr>
            </w:pPr>
            <w:r>
              <w:rPr>
                <w:rFonts w:ascii="Arial" w:cs="Arial" w:eastAsia="Arial" w:hAnsi="Arial"/>
                <w:sz w:val="18"/>
                <w:szCs w:val="18"/>
                <w:color w:val="auto"/>
              </w:rPr>
              <w:t>at plan measurement date</w:t>
            </w:r>
          </w:p>
        </w:tc>
        <w:tc>
          <w:tcPr>
            <w:tcW w:w="1160" w:type="dxa"/>
            <w:vAlign w:val="bottom"/>
          </w:tcPr>
          <w:p>
            <w:pPr>
              <w:jc w:val="right"/>
              <w:ind w:right="70"/>
              <w:spacing w:after="0" w:line="181" w:lineRule="exact"/>
              <w:rPr>
                <w:sz w:val="20"/>
                <w:szCs w:val="20"/>
                <w:color w:val="auto"/>
              </w:rPr>
            </w:pPr>
            <w:r>
              <w:rPr>
                <w:rFonts w:ascii="Arial" w:cs="Arial" w:eastAsia="Arial" w:hAnsi="Arial"/>
                <w:sz w:val="18"/>
                <w:szCs w:val="18"/>
                <w:color w:val="auto"/>
              </w:rPr>
              <w:t>Allocation</w:t>
            </w:r>
          </w:p>
        </w:tc>
        <w:tc>
          <w:tcPr>
            <w:tcW w:w="2620" w:type="dxa"/>
            <w:vAlign w:val="bottom"/>
            <w:gridSpan w:val="3"/>
          </w:tcPr>
          <w:p>
            <w:pPr>
              <w:jc w:val="right"/>
              <w:ind w:right="260"/>
              <w:spacing w:after="0" w:line="181" w:lineRule="exact"/>
              <w:rPr>
                <w:sz w:val="20"/>
                <w:szCs w:val="20"/>
                <w:color w:val="auto"/>
              </w:rPr>
            </w:pPr>
            <w:r>
              <w:rPr>
                <w:rFonts w:ascii="Arial" w:cs="Arial" w:eastAsia="Arial" w:hAnsi="Arial"/>
                <w:sz w:val="18"/>
                <w:szCs w:val="18"/>
                <w:color w:val="auto"/>
              </w:rPr>
              <w:t>at plan measurement date</w:t>
            </w:r>
          </w:p>
        </w:tc>
      </w:tr>
      <w:tr>
        <w:trPr>
          <w:trHeight w:val="225"/>
        </w:trPr>
        <w:tc>
          <w:tcPr>
            <w:tcW w:w="2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Asset category</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18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2013</w:t>
            </w: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2012</w:t>
            </w: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2014</w:t>
            </w:r>
          </w:p>
        </w:tc>
        <w:tc>
          <w:tcPr>
            <w:tcW w:w="17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2013</w:t>
            </w: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2012</w:t>
            </w:r>
          </w:p>
        </w:tc>
      </w:tr>
      <w:tr>
        <w:trPr>
          <w:trHeight w:val="376"/>
        </w:trPr>
        <w:tc>
          <w:tcPr>
            <w:tcW w:w="2080" w:type="dxa"/>
            <w:vAlign w:val="bottom"/>
          </w:tcPr>
          <w:p>
            <w:pPr>
              <w:spacing w:after="0"/>
              <w:rPr>
                <w:sz w:val="20"/>
                <w:szCs w:val="20"/>
                <w:color w:val="auto"/>
              </w:rPr>
            </w:pPr>
            <w:r>
              <w:rPr>
                <w:rFonts w:ascii="Arial" w:cs="Arial" w:eastAsia="Arial" w:hAnsi="Arial"/>
                <w:sz w:val="18"/>
                <w:szCs w:val="18"/>
                <w:color w:val="auto"/>
              </w:rPr>
              <w:t>Equity securities</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860" w:type="dxa"/>
            <w:vAlign w:val="bottom"/>
          </w:tcPr>
          <w:p>
            <w:pPr>
              <w:jc w:val="right"/>
              <w:ind w:right="490"/>
              <w:spacing w:after="0"/>
              <w:rPr>
                <w:sz w:val="20"/>
                <w:szCs w:val="20"/>
                <w:color w:val="auto"/>
              </w:rPr>
            </w:pPr>
            <w:r>
              <w:rPr>
                <w:rFonts w:ascii="Arial" w:cs="Arial" w:eastAsia="Arial" w:hAnsi="Arial"/>
                <w:sz w:val="18"/>
                <w:szCs w:val="18"/>
                <w:color w:val="auto"/>
              </w:rPr>
              <w:t>5%</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5%</w:t>
            </w: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36%</w:t>
            </w:r>
          </w:p>
        </w:tc>
        <w:tc>
          <w:tcPr>
            <w:tcW w:w="1760" w:type="dxa"/>
            <w:vAlign w:val="bottom"/>
          </w:tcPr>
          <w:p>
            <w:pPr>
              <w:jc w:val="right"/>
              <w:ind w:right="510"/>
              <w:spacing w:after="0"/>
              <w:rPr>
                <w:sz w:val="20"/>
                <w:szCs w:val="20"/>
                <w:color w:val="auto"/>
              </w:rPr>
            </w:pPr>
            <w:r>
              <w:rPr>
                <w:rFonts w:ascii="Arial" w:cs="Arial" w:eastAsia="Arial" w:hAnsi="Arial"/>
                <w:sz w:val="18"/>
                <w:szCs w:val="18"/>
                <w:color w:val="auto"/>
              </w:rPr>
              <w:t>36%</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r>
      <w:tr>
        <w:trPr>
          <w:trHeight w:val="203"/>
        </w:trPr>
        <w:tc>
          <w:tcPr>
            <w:tcW w:w="2080" w:type="dxa"/>
            <w:vAlign w:val="bottom"/>
          </w:tcPr>
          <w:p>
            <w:pPr>
              <w:spacing w:after="0" w:line="202" w:lineRule="exact"/>
              <w:rPr>
                <w:sz w:val="20"/>
                <w:szCs w:val="20"/>
                <w:color w:val="auto"/>
              </w:rPr>
            </w:pPr>
            <w:r>
              <w:rPr>
                <w:rFonts w:ascii="Arial" w:cs="Arial" w:eastAsia="Arial" w:hAnsi="Arial"/>
                <w:sz w:val="18"/>
                <w:szCs w:val="18"/>
                <w:color w:val="auto"/>
              </w:rPr>
              <w:t>Debt securities</w:t>
            </w:r>
          </w:p>
        </w:tc>
        <w:tc>
          <w:tcPr>
            <w:tcW w:w="16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100%</w:t>
            </w:r>
          </w:p>
        </w:tc>
        <w:tc>
          <w:tcPr>
            <w:tcW w:w="186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88%</w:t>
            </w:r>
          </w:p>
        </w:tc>
        <w:tc>
          <w:tcPr>
            <w:tcW w:w="96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88%</w:t>
            </w:r>
          </w:p>
        </w:tc>
        <w:tc>
          <w:tcPr>
            <w:tcW w:w="116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56%</w:t>
            </w:r>
          </w:p>
        </w:tc>
        <w:tc>
          <w:tcPr>
            <w:tcW w:w="1760" w:type="dxa"/>
            <w:vAlign w:val="bottom"/>
          </w:tcPr>
          <w:p>
            <w:pPr>
              <w:jc w:val="right"/>
              <w:ind w:right="510"/>
              <w:spacing w:after="0" w:line="202" w:lineRule="exact"/>
              <w:rPr>
                <w:sz w:val="20"/>
                <w:szCs w:val="20"/>
                <w:color w:val="auto"/>
              </w:rPr>
            </w:pPr>
            <w:r>
              <w:rPr>
                <w:rFonts w:ascii="Arial" w:cs="Arial" w:eastAsia="Arial" w:hAnsi="Arial"/>
                <w:sz w:val="18"/>
                <w:szCs w:val="18"/>
                <w:color w:val="auto"/>
              </w:rPr>
              <w:t>57%</w:t>
            </w:r>
          </w:p>
        </w:tc>
        <w:tc>
          <w:tcPr>
            <w:tcW w:w="8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43%</w:t>
            </w:r>
          </w:p>
        </w:tc>
      </w:tr>
      <w:tr>
        <w:trPr>
          <w:trHeight w:val="203"/>
        </w:trPr>
        <w:tc>
          <w:tcPr>
            <w:tcW w:w="2080" w:type="dxa"/>
            <w:vAlign w:val="bottom"/>
          </w:tcPr>
          <w:p>
            <w:pPr>
              <w:spacing w:after="0" w:line="202" w:lineRule="exact"/>
              <w:rPr>
                <w:sz w:val="20"/>
                <w:szCs w:val="20"/>
                <w:color w:val="auto"/>
              </w:rPr>
            </w:pPr>
            <w:r>
              <w:rPr>
                <w:rFonts w:ascii="Arial" w:cs="Arial" w:eastAsia="Arial" w:hAnsi="Arial"/>
                <w:sz w:val="18"/>
                <w:szCs w:val="18"/>
                <w:color w:val="auto"/>
              </w:rPr>
              <w:t>Real estate</w:t>
            </w:r>
          </w:p>
        </w:tc>
        <w:tc>
          <w:tcPr>
            <w:tcW w:w="16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86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5%</w:t>
            </w:r>
          </w:p>
        </w:tc>
        <w:tc>
          <w:tcPr>
            <w:tcW w:w="9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4%</w:t>
            </w:r>
          </w:p>
        </w:tc>
        <w:tc>
          <w:tcPr>
            <w:tcW w:w="116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5%</w:t>
            </w:r>
          </w:p>
        </w:tc>
        <w:tc>
          <w:tcPr>
            <w:tcW w:w="1760" w:type="dxa"/>
            <w:vAlign w:val="bottom"/>
          </w:tcPr>
          <w:p>
            <w:pPr>
              <w:jc w:val="right"/>
              <w:ind w:right="510"/>
              <w:spacing w:after="0" w:line="202" w:lineRule="exact"/>
              <w:rPr>
                <w:sz w:val="20"/>
                <w:szCs w:val="20"/>
                <w:color w:val="auto"/>
              </w:rPr>
            </w:pPr>
            <w:r>
              <w:rPr>
                <w:rFonts w:ascii="Arial" w:cs="Arial" w:eastAsia="Arial" w:hAnsi="Arial"/>
                <w:sz w:val="18"/>
                <w:szCs w:val="18"/>
                <w:color w:val="auto"/>
              </w:rPr>
              <w:t>4%</w:t>
            </w:r>
          </w:p>
        </w:tc>
        <w:tc>
          <w:tcPr>
            <w:tcW w:w="8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w:t>
            </w:r>
          </w:p>
        </w:tc>
      </w:tr>
      <w:tr>
        <w:trPr>
          <w:trHeight w:val="225"/>
        </w:trPr>
        <w:tc>
          <w:tcPr>
            <w:tcW w:w="2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(1)</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8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w:t>
            </w: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w:t>
            </w: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3%</w:t>
            </w:r>
          </w:p>
        </w:tc>
        <w:tc>
          <w:tcPr>
            <w:tcW w:w="17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3%</w:t>
            </w: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w:t>
            </w:r>
          </w:p>
        </w:tc>
      </w:tr>
      <w:tr>
        <w:trPr>
          <w:trHeight w:val="196"/>
        </w:trPr>
        <w:tc>
          <w:tcPr>
            <w:tcW w:w="20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100%</w:t>
            </w:r>
          </w:p>
        </w:tc>
        <w:tc>
          <w:tcPr>
            <w:tcW w:w="1860" w:type="dxa"/>
            <w:vAlign w:val="bottom"/>
            <w:tcBorders>
              <w:bottom w:val="single" w:sz="8" w:color="auto"/>
            </w:tcBorders>
          </w:tcPr>
          <w:p>
            <w:pPr>
              <w:jc w:val="right"/>
              <w:ind w:right="490"/>
              <w:spacing w:after="0" w:line="196" w:lineRule="exact"/>
              <w:rPr>
                <w:sz w:val="20"/>
                <w:szCs w:val="20"/>
                <w:color w:val="auto"/>
              </w:rPr>
            </w:pPr>
            <w:r>
              <w:rPr>
                <w:rFonts w:ascii="Arial" w:cs="Arial" w:eastAsia="Arial" w:hAnsi="Arial"/>
                <w:sz w:val="18"/>
                <w:szCs w:val="18"/>
                <w:color w:val="auto"/>
              </w:rPr>
              <w:t>100%</w:t>
            </w:r>
          </w:p>
        </w:tc>
        <w:tc>
          <w:tcPr>
            <w:tcW w:w="96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100%</w:t>
            </w:r>
          </w:p>
        </w:tc>
        <w:tc>
          <w:tcPr>
            <w:tcW w:w="11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rPr>
              <w:t>100%</w:t>
            </w:r>
          </w:p>
        </w:tc>
        <w:tc>
          <w:tcPr>
            <w:tcW w:w="176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color w:val="auto"/>
              </w:rPr>
              <w:t>100%</w:t>
            </w:r>
          </w:p>
        </w:tc>
        <w:tc>
          <w:tcPr>
            <w:tcW w:w="86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100%</w:t>
            </w:r>
          </w:p>
        </w:tc>
      </w:tr>
    </w:tbl>
    <w:p>
      <w:pPr>
        <w:spacing w:after="0" w:line="377" w:lineRule="exact"/>
        <w:rPr>
          <w:sz w:val="20"/>
          <w:szCs w:val="20"/>
          <w:color w:val="auto"/>
        </w:rPr>
      </w:pPr>
    </w:p>
    <w:p>
      <w:pPr>
        <w:ind w:right="240" w:firstLine="656"/>
        <w:spacing w:after="0" w:line="246" w:lineRule="auto"/>
        <w:tabs>
          <w:tab w:leader="none" w:pos="918"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 includes hedged equity and absolute return strategies, and private equity. The Company has procedures to closely monitor the performance of these investments and compares asset valuations to audited financial statements of the funds.</w:t>
      </w:r>
    </w:p>
    <w:p>
      <w:pPr>
        <w:spacing w:after="0" w:line="156"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The targeted plan asset allocation is based on an analysis of the actuarial liabilities, a review of viable asset classes, and an analysis of the expected rate of return, risk, and other investment characteristics of various investment asset classes.</w:t>
      </w:r>
    </w:p>
    <w:p>
      <w:pPr>
        <w:spacing w:after="0" w:line="170" w:lineRule="exact"/>
        <w:rPr>
          <w:sz w:val="20"/>
          <w:szCs w:val="20"/>
          <w:color w:val="auto"/>
        </w:rPr>
      </w:pPr>
    </w:p>
    <w:p>
      <w:pPr>
        <w:ind w:right="120" w:firstLine="648"/>
        <w:spacing w:after="0" w:line="246" w:lineRule="auto"/>
        <w:rPr>
          <w:sz w:val="20"/>
          <w:szCs w:val="20"/>
          <w:color w:val="auto"/>
        </w:rPr>
      </w:pPr>
      <w:r>
        <w:rPr>
          <w:rFonts w:ascii="Arial" w:cs="Arial" w:eastAsia="Arial" w:hAnsi="Arial"/>
          <w:sz w:val="18"/>
          <w:szCs w:val="18"/>
          <w:color w:val="auto"/>
        </w:rPr>
        <w:t>At the end of 2013 and 2012, the projected benefit obligation, accumulated benefit obligation, and fair value of plan assets for pension plans with projected benefit obligation and an accumulated benefit obligation in excess of plan assets were as follows:</w:t>
      </w:r>
    </w:p>
    <w:p>
      <w:pPr>
        <w:spacing w:after="0" w:line="178" w:lineRule="exact"/>
        <w:rPr>
          <w:sz w:val="20"/>
          <w:szCs w:val="20"/>
          <w:color w:val="auto"/>
        </w:rPr>
      </w:pPr>
    </w:p>
    <w:tbl>
      <w:tblPr>
        <w:tblLayout w:type="fixed"/>
        <w:tblInd w:w="660" w:type="dxa"/>
        <w:tblCellMar>
          <w:top w:w="0" w:type="dxa"/>
          <w:left w:w="0" w:type="dxa"/>
          <w:bottom w:w="0" w:type="dxa"/>
          <w:right w:w="0" w:type="dxa"/>
        </w:tblCellMar>
      </w:tblPr>
      <w:tr>
        <w:trPr>
          <w:trHeight w:val="193"/>
        </w:trPr>
        <w:tc>
          <w:tcPr>
            <w:tcW w:w="3540" w:type="dxa"/>
            <w:vAlign w:val="bottom"/>
            <w:tcBorders>
              <w:top w:val="single" w:sz="8" w:color="auto"/>
            </w:tcBorders>
          </w:tcPr>
          <w:p>
            <w:pPr>
              <w:spacing w:after="0"/>
              <w:rPr>
                <w:sz w:val="16"/>
                <w:szCs w:val="16"/>
                <w:color w:val="auto"/>
              </w:rPr>
            </w:pPr>
          </w:p>
        </w:tc>
        <w:tc>
          <w:tcPr>
            <w:tcW w:w="5000" w:type="dxa"/>
            <w:vAlign w:val="bottom"/>
            <w:tcBorders>
              <w:top w:val="single" w:sz="8" w:color="auto"/>
            </w:tcBorders>
            <w:gridSpan w:val="2"/>
          </w:tcPr>
          <w:p>
            <w:pPr>
              <w:jc w:val="center"/>
              <w:ind w:left="650"/>
              <w:spacing w:after="0" w:line="194" w:lineRule="exact"/>
              <w:rPr>
                <w:sz w:val="20"/>
                <w:szCs w:val="20"/>
                <w:color w:val="auto"/>
              </w:rPr>
            </w:pPr>
            <w:r>
              <w:rPr>
                <w:rFonts w:ascii="Arial" w:cs="Arial" w:eastAsia="Arial" w:hAnsi="Arial"/>
                <w:sz w:val="18"/>
                <w:szCs w:val="18"/>
                <w:b w:val="1"/>
                <w:bCs w:val="1"/>
                <w:color w:val="auto"/>
                <w:w w:val="99"/>
              </w:rPr>
              <w:t>Plans with projected benefit obligation</w:t>
            </w:r>
          </w:p>
        </w:tc>
      </w:tr>
      <w:tr>
        <w:trPr>
          <w:trHeight w:val="203"/>
        </w:trPr>
        <w:tc>
          <w:tcPr>
            <w:tcW w:w="3540" w:type="dxa"/>
            <w:vAlign w:val="bottom"/>
          </w:tcPr>
          <w:p>
            <w:pPr>
              <w:spacing w:after="0"/>
              <w:rPr>
                <w:sz w:val="17"/>
                <w:szCs w:val="17"/>
                <w:color w:val="auto"/>
              </w:rPr>
            </w:pPr>
          </w:p>
        </w:tc>
        <w:tc>
          <w:tcPr>
            <w:tcW w:w="5000" w:type="dxa"/>
            <w:vAlign w:val="bottom"/>
            <w:gridSpan w:val="2"/>
          </w:tcPr>
          <w:p>
            <w:pPr>
              <w:jc w:val="center"/>
              <w:ind w:left="690"/>
              <w:spacing w:after="0" w:line="202" w:lineRule="exact"/>
              <w:rPr>
                <w:sz w:val="20"/>
                <w:szCs w:val="20"/>
                <w:color w:val="auto"/>
              </w:rPr>
            </w:pPr>
            <w:r>
              <w:rPr>
                <w:rFonts w:ascii="Arial" w:cs="Arial" w:eastAsia="Arial" w:hAnsi="Arial"/>
                <w:sz w:val="18"/>
                <w:szCs w:val="18"/>
                <w:b w:val="1"/>
                <w:bCs w:val="1"/>
                <w:color w:val="auto"/>
                <w:w w:val="99"/>
              </w:rPr>
              <w:t>in excess of plan assets</w:t>
            </w:r>
          </w:p>
        </w:tc>
      </w:tr>
      <w:tr>
        <w:trPr>
          <w:trHeight w:val="225"/>
        </w:trPr>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96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2013</w:t>
            </w:r>
          </w:p>
        </w:tc>
        <w:tc>
          <w:tcPr>
            <w:tcW w:w="204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2012</w:t>
            </w:r>
          </w:p>
        </w:tc>
      </w:tr>
      <w:tr>
        <w:trPr>
          <w:trHeight w:val="173"/>
        </w:trPr>
        <w:tc>
          <w:tcPr>
            <w:tcW w:w="3540" w:type="dxa"/>
            <w:vAlign w:val="bottom"/>
          </w:tcPr>
          <w:p>
            <w:pPr>
              <w:spacing w:after="0" w:line="173" w:lineRule="exact"/>
              <w:rPr>
                <w:sz w:val="20"/>
                <w:szCs w:val="20"/>
                <w:color w:val="auto"/>
              </w:rPr>
            </w:pPr>
            <w:r>
              <w:rPr>
                <w:rFonts w:ascii="Arial" w:cs="Arial" w:eastAsia="Arial" w:hAnsi="Arial"/>
                <w:sz w:val="18"/>
                <w:szCs w:val="18"/>
                <w:color w:val="auto"/>
              </w:rPr>
              <w:t>Projected benefit obligation</w:t>
            </w:r>
          </w:p>
        </w:tc>
        <w:tc>
          <w:tcPr>
            <w:tcW w:w="2960" w:type="dxa"/>
            <w:vAlign w:val="bottom"/>
          </w:tcPr>
          <w:p>
            <w:pPr>
              <w:jc w:val="right"/>
              <w:ind w:right="610"/>
              <w:spacing w:after="0" w:line="173" w:lineRule="exact"/>
              <w:rPr>
                <w:sz w:val="20"/>
                <w:szCs w:val="20"/>
                <w:color w:val="auto"/>
              </w:rPr>
            </w:pPr>
            <w:r>
              <w:rPr>
                <w:rFonts w:ascii="Arial" w:cs="Arial" w:eastAsia="Arial" w:hAnsi="Arial"/>
                <w:sz w:val="18"/>
                <w:szCs w:val="18"/>
                <w:b w:val="1"/>
                <w:bCs w:val="1"/>
                <w:color w:val="auto"/>
              </w:rPr>
              <w:t>$123,749</w:t>
            </w:r>
          </w:p>
        </w:tc>
        <w:tc>
          <w:tcPr>
            <w:tcW w:w="2040" w:type="dxa"/>
            <w:vAlign w:val="bottom"/>
          </w:tcPr>
          <w:p>
            <w:pPr>
              <w:jc w:val="right"/>
              <w:ind w:right="510"/>
              <w:spacing w:after="0" w:line="173" w:lineRule="exact"/>
              <w:rPr>
                <w:sz w:val="20"/>
                <w:szCs w:val="20"/>
                <w:color w:val="auto"/>
              </w:rPr>
            </w:pPr>
            <w:r>
              <w:rPr>
                <w:rFonts w:ascii="Arial" w:cs="Arial" w:eastAsia="Arial" w:hAnsi="Arial"/>
                <w:sz w:val="18"/>
                <w:szCs w:val="18"/>
                <w:color w:val="auto"/>
              </w:rPr>
              <w:t>$183,765</w:t>
            </w:r>
          </w:p>
        </w:tc>
      </w:tr>
      <w:tr>
        <w:trPr>
          <w:trHeight w:val="203"/>
        </w:trPr>
        <w:tc>
          <w:tcPr>
            <w:tcW w:w="3540" w:type="dxa"/>
            <w:vAlign w:val="bottom"/>
          </w:tcPr>
          <w:p>
            <w:pPr>
              <w:spacing w:after="0" w:line="202" w:lineRule="exact"/>
              <w:rPr>
                <w:sz w:val="20"/>
                <w:szCs w:val="20"/>
                <w:color w:val="auto"/>
              </w:rPr>
            </w:pPr>
            <w:r>
              <w:rPr>
                <w:rFonts w:ascii="Arial" w:cs="Arial" w:eastAsia="Arial" w:hAnsi="Arial"/>
                <w:sz w:val="18"/>
                <w:szCs w:val="18"/>
                <w:color w:val="auto"/>
              </w:rPr>
              <w:t>Accumulated benefit obligation</w:t>
            </w:r>
          </w:p>
        </w:tc>
        <w:tc>
          <w:tcPr>
            <w:tcW w:w="2960" w:type="dxa"/>
            <w:vAlign w:val="bottom"/>
          </w:tcPr>
          <w:p>
            <w:pPr>
              <w:jc w:val="right"/>
              <w:ind w:right="610"/>
              <w:spacing w:after="0" w:line="202" w:lineRule="exact"/>
              <w:rPr>
                <w:sz w:val="20"/>
                <w:szCs w:val="20"/>
                <w:color w:val="auto"/>
              </w:rPr>
            </w:pPr>
            <w:r>
              <w:rPr>
                <w:rFonts w:ascii="Arial" w:cs="Arial" w:eastAsia="Arial" w:hAnsi="Arial"/>
                <w:sz w:val="18"/>
                <w:szCs w:val="18"/>
                <w:b w:val="1"/>
                <w:bCs w:val="1"/>
                <w:color w:val="auto"/>
              </w:rPr>
              <w:t>120,287</w:t>
            </w:r>
          </w:p>
        </w:tc>
        <w:tc>
          <w:tcPr>
            <w:tcW w:w="2040" w:type="dxa"/>
            <w:vAlign w:val="bottom"/>
          </w:tcPr>
          <w:p>
            <w:pPr>
              <w:jc w:val="right"/>
              <w:ind w:right="510"/>
              <w:spacing w:after="0" w:line="202" w:lineRule="exact"/>
              <w:rPr>
                <w:sz w:val="20"/>
                <w:szCs w:val="20"/>
                <w:color w:val="auto"/>
              </w:rPr>
            </w:pPr>
            <w:r>
              <w:rPr>
                <w:rFonts w:ascii="Arial" w:cs="Arial" w:eastAsia="Arial" w:hAnsi="Arial"/>
                <w:sz w:val="18"/>
                <w:szCs w:val="18"/>
                <w:color w:val="auto"/>
              </w:rPr>
              <w:t>169,396</w:t>
            </w:r>
          </w:p>
        </w:tc>
      </w:tr>
      <w:tr>
        <w:trPr>
          <w:trHeight w:val="225"/>
        </w:trPr>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Fair value of plan assets</w:t>
            </w:r>
          </w:p>
        </w:tc>
        <w:tc>
          <w:tcPr>
            <w:tcW w:w="29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80,447</w:t>
            </w:r>
          </w:p>
        </w:tc>
        <w:tc>
          <w:tcPr>
            <w:tcW w:w="20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131,626</w:t>
            </w:r>
          </w:p>
        </w:tc>
      </w:tr>
      <w:tr>
        <w:trPr>
          <w:trHeight w:val="399"/>
        </w:trPr>
        <w:tc>
          <w:tcPr>
            <w:tcW w:w="35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r>
      <w:tr>
        <w:trPr>
          <w:trHeight w:val="173"/>
        </w:trPr>
        <w:tc>
          <w:tcPr>
            <w:tcW w:w="3540" w:type="dxa"/>
            <w:vAlign w:val="bottom"/>
          </w:tcPr>
          <w:p>
            <w:pPr>
              <w:spacing w:after="0"/>
              <w:rPr>
                <w:sz w:val="15"/>
                <w:szCs w:val="15"/>
                <w:color w:val="auto"/>
              </w:rPr>
            </w:pPr>
          </w:p>
        </w:tc>
        <w:tc>
          <w:tcPr>
            <w:tcW w:w="5000" w:type="dxa"/>
            <w:vAlign w:val="bottom"/>
            <w:gridSpan w:val="2"/>
          </w:tcPr>
          <w:p>
            <w:pPr>
              <w:jc w:val="center"/>
              <w:ind w:left="650"/>
              <w:spacing w:after="0" w:line="173" w:lineRule="exact"/>
              <w:rPr>
                <w:sz w:val="20"/>
                <w:szCs w:val="20"/>
                <w:color w:val="auto"/>
              </w:rPr>
            </w:pPr>
            <w:r>
              <w:rPr>
                <w:rFonts w:ascii="Arial" w:cs="Arial" w:eastAsia="Arial" w:hAnsi="Arial"/>
                <w:sz w:val="18"/>
                <w:szCs w:val="18"/>
                <w:b w:val="1"/>
                <w:bCs w:val="1"/>
                <w:color w:val="auto"/>
                <w:w w:val="99"/>
              </w:rPr>
              <w:t>Plans with accumulated benefit obligation</w:t>
            </w:r>
          </w:p>
        </w:tc>
      </w:tr>
      <w:tr>
        <w:trPr>
          <w:trHeight w:val="203"/>
        </w:trPr>
        <w:tc>
          <w:tcPr>
            <w:tcW w:w="3540" w:type="dxa"/>
            <w:vAlign w:val="bottom"/>
          </w:tcPr>
          <w:p>
            <w:pPr>
              <w:spacing w:after="0"/>
              <w:rPr>
                <w:sz w:val="17"/>
                <w:szCs w:val="17"/>
                <w:color w:val="auto"/>
              </w:rPr>
            </w:pPr>
          </w:p>
        </w:tc>
        <w:tc>
          <w:tcPr>
            <w:tcW w:w="5000" w:type="dxa"/>
            <w:vAlign w:val="bottom"/>
            <w:gridSpan w:val="2"/>
          </w:tcPr>
          <w:p>
            <w:pPr>
              <w:jc w:val="center"/>
              <w:ind w:left="690"/>
              <w:spacing w:after="0" w:line="202" w:lineRule="exact"/>
              <w:rPr>
                <w:sz w:val="20"/>
                <w:szCs w:val="20"/>
                <w:color w:val="auto"/>
              </w:rPr>
            </w:pPr>
            <w:r>
              <w:rPr>
                <w:rFonts w:ascii="Arial" w:cs="Arial" w:eastAsia="Arial" w:hAnsi="Arial"/>
                <w:sz w:val="18"/>
                <w:szCs w:val="18"/>
                <w:b w:val="1"/>
                <w:bCs w:val="1"/>
                <w:color w:val="auto"/>
                <w:w w:val="99"/>
              </w:rPr>
              <w:t>in excess of plan assets</w:t>
            </w:r>
          </w:p>
        </w:tc>
      </w:tr>
      <w:tr>
        <w:trPr>
          <w:trHeight w:val="225"/>
        </w:trPr>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96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2013</w:t>
            </w:r>
          </w:p>
        </w:tc>
        <w:tc>
          <w:tcPr>
            <w:tcW w:w="204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2012</w:t>
            </w:r>
          </w:p>
        </w:tc>
      </w:tr>
      <w:tr>
        <w:trPr>
          <w:trHeight w:val="173"/>
        </w:trPr>
        <w:tc>
          <w:tcPr>
            <w:tcW w:w="3540" w:type="dxa"/>
            <w:vAlign w:val="bottom"/>
          </w:tcPr>
          <w:p>
            <w:pPr>
              <w:spacing w:after="0" w:line="173" w:lineRule="exact"/>
              <w:rPr>
                <w:sz w:val="20"/>
                <w:szCs w:val="20"/>
                <w:color w:val="auto"/>
              </w:rPr>
            </w:pPr>
            <w:r>
              <w:rPr>
                <w:rFonts w:ascii="Arial" w:cs="Arial" w:eastAsia="Arial" w:hAnsi="Arial"/>
                <w:sz w:val="18"/>
                <w:szCs w:val="18"/>
                <w:color w:val="auto"/>
              </w:rPr>
              <w:t>Projected benefit obligation</w:t>
            </w:r>
          </w:p>
        </w:tc>
        <w:tc>
          <w:tcPr>
            <w:tcW w:w="2960" w:type="dxa"/>
            <w:vAlign w:val="bottom"/>
          </w:tcPr>
          <w:p>
            <w:pPr>
              <w:jc w:val="right"/>
              <w:ind w:right="610"/>
              <w:spacing w:after="0" w:line="173" w:lineRule="exact"/>
              <w:rPr>
                <w:sz w:val="20"/>
                <w:szCs w:val="20"/>
                <w:color w:val="auto"/>
              </w:rPr>
            </w:pPr>
            <w:r>
              <w:rPr>
                <w:rFonts w:ascii="Arial" w:cs="Arial" w:eastAsia="Arial" w:hAnsi="Arial"/>
                <w:sz w:val="18"/>
                <w:szCs w:val="18"/>
                <w:b w:val="1"/>
                <w:bCs w:val="1"/>
                <w:color w:val="auto"/>
              </w:rPr>
              <w:t>$123,749</w:t>
            </w:r>
          </w:p>
        </w:tc>
        <w:tc>
          <w:tcPr>
            <w:tcW w:w="2040" w:type="dxa"/>
            <w:vAlign w:val="bottom"/>
          </w:tcPr>
          <w:p>
            <w:pPr>
              <w:jc w:val="right"/>
              <w:ind w:right="510"/>
              <w:spacing w:after="0" w:line="173" w:lineRule="exact"/>
              <w:rPr>
                <w:sz w:val="20"/>
                <w:szCs w:val="20"/>
                <w:color w:val="auto"/>
              </w:rPr>
            </w:pPr>
            <w:r>
              <w:rPr>
                <w:rFonts w:ascii="Arial" w:cs="Arial" w:eastAsia="Arial" w:hAnsi="Arial"/>
                <w:sz w:val="18"/>
                <w:szCs w:val="18"/>
                <w:color w:val="auto"/>
              </w:rPr>
              <w:t>$136,329</w:t>
            </w:r>
          </w:p>
        </w:tc>
      </w:tr>
      <w:tr>
        <w:trPr>
          <w:trHeight w:val="203"/>
        </w:trPr>
        <w:tc>
          <w:tcPr>
            <w:tcW w:w="3540" w:type="dxa"/>
            <w:vAlign w:val="bottom"/>
          </w:tcPr>
          <w:p>
            <w:pPr>
              <w:spacing w:after="0" w:line="202" w:lineRule="exact"/>
              <w:rPr>
                <w:sz w:val="20"/>
                <w:szCs w:val="20"/>
                <w:color w:val="auto"/>
              </w:rPr>
            </w:pPr>
            <w:r>
              <w:rPr>
                <w:rFonts w:ascii="Arial" w:cs="Arial" w:eastAsia="Arial" w:hAnsi="Arial"/>
                <w:sz w:val="18"/>
                <w:szCs w:val="18"/>
                <w:color w:val="auto"/>
              </w:rPr>
              <w:t>Accumulated benefit obligation</w:t>
            </w:r>
          </w:p>
        </w:tc>
        <w:tc>
          <w:tcPr>
            <w:tcW w:w="2960" w:type="dxa"/>
            <w:vAlign w:val="bottom"/>
          </w:tcPr>
          <w:p>
            <w:pPr>
              <w:jc w:val="right"/>
              <w:ind w:right="610"/>
              <w:spacing w:after="0" w:line="202" w:lineRule="exact"/>
              <w:rPr>
                <w:sz w:val="20"/>
                <w:szCs w:val="20"/>
                <w:color w:val="auto"/>
              </w:rPr>
            </w:pPr>
            <w:r>
              <w:rPr>
                <w:rFonts w:ascii="Arial" w:cs="Arial" w:eastAsia="Arial" w:hAnsi="Arial"/>
                <w:sz w:val="18"/>
                <w:szCs w:val="18"/>
                <w:b w:val="1"/>
                <w:bCs w:val="1"/>
                <w:color w:val="auto"/>
              </w:rPr>
              <w:t>120,287</w:t>
            </w:r>
          </w:p>
        </w:tc>
        <w:tc>
          <w:tcPr>
            <w:tcW w:w="2040" w:type="dxa"/>
            <w:vAlign w:val="bottom"/>
          </w:tcPr>
          <w:p>
            <w:pPr>
              <w:jc w:val="right"/>
              <w:ind w:right="510"/>
              <w:spacing w:after="0" w:line="202" w:lineRule="exact"/>
              <w:rPr>
                <w:sz w:val="20"/>
                <w:szCs w:val="20"/>
                <w:color w:val="auto"/>
              </w:rPr>
            </w:pPr>
            <w:r>
              <w:rPr>
                <w:rFonts w:ascii="Arial" w:cs="Arial" w:eastAsia="Arial" w:hAnsi="Arial"/>
                <w:sz w:val="18"/>
                <w:szCs w:val="18"/>
                <w:color w:val="auto"/>
              </w:rPr>
              <w:t>132,396</w:t>
            </w:r>
          </w:p>
        </w:tc>
      </w:tr>
      <w:tr>
        <w:trPr>
          <w:trHeight w:val="225"/>
        </w:trPr>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Fair value of plan assets</w:t>
            </w:r>
          </w:p>
        </w:tc>
        <w:tc>
          <w:tcPr>
            <w:tcW w:w="29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80,447</w:t>
            </w:r>
          </w:p>
        </w:tc>
        <w:tc>
          <w:tcPr>
            <w:tcW w:w="20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86,835</w:t>
            </w:r>
          </w:p>
        </w:tc>
      </w:tr>
    </w:tbl>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431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66" w:name="page67"/>
    <w:bookmarkEnd w:id="66"/>
    <w:p>
      <w:pPr>
        <w:ind w:left="660"/>
        <w:spacing w:after="0"/>
        <w:rPr>
          <w:sz w:val="20"/>
          <w:szCs w:val="20"/>
          <w:color w:val="auto"/>
        </w:rPr>
      </w:pPr>
      <w:r>
        <w:rPr>
          <w:rFonts w:ascii="Arial" w:cs="Arial" w:eastAsia="Arial" w:hAnsi="Arial"/>
          <w:sz w:val="18"/>
          <w:szCs w:val="18"/>
          <w:color w:val="auto"/>
        </w:rPr>
        <w:t>Information about expected cash flows for the pension and other benefit obligations are as follows:</w:t>
      </w:r>
    </w:p>
    <w:p>
      <w:pPr>
        <w:spacing w:after="0" w:line="152"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4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Pension plansOther postretirement benefits</w:t>
            </w:r>
          </w:p>
        </w:tc>
        <w:tc>
          <w:tcPr>
            <w:tcW w:w="20" w:type="dxa"/>
            <w:vAlign w:val="bottom"/>
          </w:tcPr>
          <w:p>
            <w:pPr>
              <w:spacing w:after="0"/>
              <w:rPr>
                <w:sz w:val="18"/>
                <w:szCs w:val="18"/>
                <w:color w:val="auto"/>
              </w:rPr>
            </w:pPr>
          </w:p>
        </w:tc>
      </w:tr>
      <w:tr>
        <w:trPr>
          <w:trHeight w:val="196"/>
        </w:trPr>
        <w:tc>
          <w:tcPr>
            <w:tcW w:w="54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Expected employer contributions in the next fiscal year</w:t>
            </w:r>
          </w:p>
        </w:tc>
        <w:tc>
          <w:tcPr>
            <w:tcW w:w="3280" w:type="dxa"/>
            <w:vAlign w:val="bottom"/>
            <w:tcBorders>
              <w:bottom w:val="single" w:sz="8" w:color="auto"/>
            </w:tcBorders>
          </w:tcPr>
          <w:p>
            <w:pPr>
              <w:jc w:val="right"/>
              <w:ind w:right="910"/>
              <w:spacing w:after="0" w:line="196" w:lineRule="exact"/>
              <w:rPr>
                <w:sz w:val="20"/>
                <w:szCs w:val="20"/>
                <w:color w:val="auto"/>
              </w:rPr>
            </w:pPr>
            <w:r>
              <w:rPr>
                <w:rFonts w:ascii="Arial" w:cs="Arial" w:eastAsia="Arial" w:hAnsi="Arial"/>
                <w:sz w:val="18"/>
                <w:szCs w:val="18"/>
                <w:color w:val="auto"/>
              </w:rPr>
              <w:t>$4,068</w:t>
            </w:r>
          </w:p>
        </w:tc>
        <w:tc>
          <w:tcPr>
            <w:tcW w:w="1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$5,773</w:t>
            </w:r>
          </w:p>
        </w:tc>
        <w:tc>
          <w:tcPr>
            <w:tcW w:w="20" w:type="dxa"/>
            <w:vAlign w:val="bottom"/>
          </w:tcPr>
          <w:p>
            <w:pPr>
              <w:spacing w:after="0"/>
              <w:rPr>
                <w:sz w:val="17"/>
                <w:szCs w:val="17"/>
                <w:color w:val="auto"/>
              </w:rPr>
            </w:pPr>
          </w:p>
        </w:tc>
      </w:tr>
      <w:tr>
        <w:trPr>
          <w:trHeight w:val="398"/>
        </w:trPr>
        <w:tc>
          <w:tcPr>
            <w:tcW w:w="5420" w:type="dxa"/>
            <w:vAlign w:val="bottom"/>
          </w:tcPr>
          <w:p>
            <w:pPr>
              <w:spacing w:after="0"/>
              <w:rPr>
                <w:sz w:val="20"/>
                <w:szCs w:val="20"/>
                <w:color w:val="auto"/>
              </w:rPr>
            </w:pPr>
            <w:r>
              <w:rPr>
                <w:rFonts w:ascii="Arial" w:cs="Arial" w:eastAsia="Arial" w:hAnsi="Arial"/>
                <w:sz w:val="18"/>
                <w:szCs w:val="18"/>
                <w:color w:val="auto"/>
              </w:rPr>
              <w:t>Expected benefit payments</w:t>
            </w:r>
          </w:p>
        </w:tc>
        <w:tc>
          <w:tcPr>
            <w:tcW w:w="3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5420" w:type="dxa"/>
            <w:vAlign w:val="bottom"/>
          </w:tcPr>
          <w:p>
            <w:pPr>
              <w:jc w:val="center"/>
              <w:ind w:right="210"/>
              <w:spacing w:after="0" w:line="202" w:lineRule="exact"/>
              <w:rPr>
                <w:sz w:val="20"/>
                <w:szCs w:val="20"/>
                <w:color w:val="auto"/>
              </w:rPr>
            </w:pPr>
            <w:r>
              <w:rPr>
                <w:rFonts w:ascii="Arial" w:cs="Arial" w:eastAsia="Arial" w:hAnsi="Arial"/>
                <w:sz w:val="18"/>
                <w:szCs w:val="18"/>
                <w:color w:val="auto"/>
                <w:w w:val="99"/>
              </w:rPr>
              <w:t>2014</w:t>
            </w:r>
          </w:p>
        </w:tc>
        <w:tc>
          <w:tcPr>
            <w:tcW w:w="3280" w:type="dxa"/>
            <w:vAlign w:val="bottom"/>
          </w:tcPr>
          <w:p>
            <w:pPr>
              <w:jc w:val="right"/>
              <w:ind w:right="910"/>
              <w:spacing w:after="0" w:line="202" w:lineRule="exact"/>
              <w:rPr>
                <w:sz w:val="20"/>
                <w:szCs w:val="20"/>
                <w:color w:val="auto"/>
              </w:rPr>
            </w:pPr>
            <w:r>
              <w:rPr>
                <w:rFonts w:ascii="Arial" w:cs="Arial" w:eastAsia="Arial" w:hAnsi="Arial"/>
                <w:sz w:val="18"/>
                <w:szCs w:val="18"/>
                <w:color w:val="auto"/>
              </w:rPr>
              <w:t>$5,910</w:t>
            </w:r>
          </w:p>
        </w:tc>
        <w:tc>
          <w:tcPr>
            <w:tcW w:w="1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$5,056</w:t>
            </w:r>
          </w:p>
        </w:tc>
      </w:tr>
      <w:tr>
        <w:trPr>
          <w:trHeight w:val="203"/>
        </w:trPr>
        <w:tc>
          <w:tcPr>
            <w:tcW w:w="5420" w:type="dxa"/>
            <w:vAlign w:val="bottom"/>
          </w:tcPr>
          <w:p>
            <w:pPr>
              <w:jc w:val="center"/>
              <w:ind w:right="210"/>
              <w:spacing w:after="0" w:line="202" w:lineRule="exact"/>
              <w:rPr>
                <w:sz w:val="20"/>
                <w:szCs w:val="20"/>
                <w:color w:val="auto"/>
              </w:rPr>
            </w:pPr>
            <w:r>
              <w:rPr>
                <w:rFonts w:ascii="Arial" w:cs="Arial" w:eastAsia="Arial" w:hAnsi="Arial"/>
                <w:sz w:val="18"/>
                <w:szCs w:val="18"/>
                <w:color w:val="auto"/>
                <w:w w:val="99"/>
              </w:rPr>
              <w:t>2015</w:t>
            </w:r>
          </w:p>
        </w:tc>
        <w:tc>
          <w:tcPr>
            <w:tcW w:w="3280" w:type="dxa"/>
            <w:vAlign w:val="bottom"/>
          </w:tcPr>
          <w:p>
            <w:pPr>
              <w:jc w:val="right"/>
              <w:ind w:right="910"/>
              <w:spacing w:after="0" w:line="202" w:lineRule="exact"/>
              <w:rPr>
                <w:sz w:val="20"/>
                <w:szCs w:val="20"/>
                <w:color w:val="auto"/>
              </w:rPr>
            </w:pPr>
            <w:r>
              <w:rPr>
                <w:rFonts w:ascii="Arial" w:cs="Arial" w:eastAsia="Arial" w:hAnsi="Arial"/>
                <w:sz w:val="18"/>
                <w:szCs w:val="18"/>
                <w:color w:val="auto"/>
              </w:rPr>
              <w:t>6,148</w:t>
            </w:r>
          </w:p>
        </w:tc>
        <w:tc>
          <w:tcPr>
            <w:tcW w:w="1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4,826</w:t>
            </w:r>
          </w:p>
        </w:tc>
      </w:tr>
      <w:tr>
        <w:trPr>
          <w:trHeight w:val="203"/>
        </w:trPr>
        <w:tc>
          <w:tcPr>
            <w:tcW w:w="5420" w:type="dxa"/>
            <w:vAlign w:val="bottom"/>
          </w:tcPr>
          <w:p>
            <w:pPr>
              <w:jc w:val="center"/>
              <w:ind w:right="210"/>
              <w:spacing w:after="0" w:line="202" w:lineRule="exact"/>
              <w:rPr>
                <w:sz w:val="20"/>
                <w:szCs w:val="20"/>
                <w:color w:val="auto"/>
              </w:rPr>
            </w:pPr>
            <w:r>
              <w:rPr>
                <w:rFonts w:ascii="Arial" w:cs="Arial" w:eastAsia="Arial" w:hAnsi="Arial"/>
                <w:sz w:val="18"/>
                <w:szCs w:val="18"/>
                <w:color w:val="auto"/>
                <w:w w:val="99"/>
              </w:rPr>
              <w:t>2016</w:t>
            </w:r>
          </w:p>
        </w:tc>
        <w:tc>
          <w:tcPr>
            <w:tcW w:w="3280" w:type="dxa"/>
            <w:vAlign w:val="bottom"/>
          </w:tcPr>
          <w:p>
            <w:pPr>
              <w:jc w:val="right"/>
              <w:ind w:right="910"/>
              <w:spacing w:after="0" w:line="202" w:lineRule="exact"/>
              <w:rPr>
                <w:sz w:val="20"/>
                <w:szCs w:val="20"/>
                <w:color w:val="auto"/>
              </w:rPr>
            </w:pPr>
            <w:r>
              <w:rPr>
                <w:rFonts w:ascii="Arial" w:cs="Arial" w:eastAsia="Arial" w:hAnsi="Arial"/>
                <w:sz w:val="18"/>
                <w:szCs w:val="18"/>
                <w:color w:val="auto"/>
              </w:rPr>
              <w:t>6,585</w:t>
            </w:r>
          </w:p>
        </w:tc>
        <w:tc>
          <w:tcPr>
            <w:tcW w:w="1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4,639</w:t>
            </w:r>
          </w:p>
        </w:tc>
      </w:tr>
      <w:tr>
        <w:trPr>
          <w:trHeight w:val="203"/>
        </w:trPr>
        <w:tc>
          <w:tcPr>
            <w:tcW w:w="5420" w:type="dxa"/>
            <w:vAlign w:val="bottom"/>
          </w:tcPr>
          <w:p>
            <w:pPr>
              <w:jc w:val="center"/>
              <w:ind w:right="210"/>
              <w:spacing w:after="0" w:line="202" w:lineRule="exact"/>
              <w:rPr>
                <w:sz w:val="20"/>
                <w:szCs w:val="20"/>
                <w:color w:val="auto"/>
              </w:rPr>
            </w:pPr>
            <w:r>
              <w:rPr>
                <w:rFonts w:ascii="Arial" w:cs="Arial" w:eastAsia="Arial" w:hAnsi="Arial"/>
                <w:sz w:val="18"/>
                <w:szCs w:val="18"/>
                <w:color w:val="auto"/>
                <w:w w:val="99"/>
              </w:rPr>
              <w:t>2017</w:t>
            </w:r>
          </w:p>
        </w:tc>
        <w:tc>
          <w:tcPr>
            <w:tcW w:w="3280" w:type="dxa"/>
            <w:vAlign w:val="bottom"/>
          </w:tcPr>
          <w:p>
            <w:pPr>
              <w:jc w:val="right"/>
              <w:ind w:right="910"/>
              <w:spacing w:after="0" w:line="202" w:lineRule="exact"/>
              <w:rPr>
                <w:sz w:val="20"/>
                <w:szCs w:val="20"/>
                <w:color w:val="auto"/>
              </w:rPr>
            </w:pPr>
            <w:r>
              <w:rPr>
                <w:rFonts w:ascii="Arial" w:cs="Arial" w:eastAsia="Arial" w:hAnsi="Arial"/>
                <w:sz w:val="18"/>
                <w:szCs w:val="18"/>
                <w:color w:val="auto"/>
              </w:rPr>
              <w:t>7,054</w:t>
            </w:r>
          </w:p>
        </w:tc>
        <w:tc>
          <w:tcPr>
            <w:tcW w:w="1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4,476</w:t>
            </w:r>
          </w:p>
        </w:tc>
      </w:tr>
      <w:tr>
        <w:trPr>
          <w:trHeight w:val="203"/>
        </w:trPr>
        <w:tc>
          <w:tcPr>
            <w:tcW w:w="5420" w:type="dxa"/>
            <w:vAlign w:val="bottom"/>
          </w:tcPr>
          <w:p>
            <w:pPr>
              <w:jc w:val="center"/>
              <w:ind w:right="210"/>
              <w:spacing w:after="0" w:line="202" w:lineRule="exact"/>
              <w:rPr>
                <w:sz w:val="20"/>
                <w:szCs w:val="20"/>
                <w:color w:val="auto"/>
              </w:rPr>
            </w:pPr>
            <w:r>
              <w:rPr>
                <w:rFonts w:ascii="Arial" w:cs="Arial" w:eastAsia="Arial" w:hAnsi="Arial"/>
                <w:sz w:val="18"/>
                <w:szCs w:val="18"/>
                <w:color w:val="auto"/>
                <w:w w:val="99"/>
              </w:rPr>
              <w:t>2018</w:t>
            </w:r>
          </w:p>
        </w:tc>
        <w:tc>
          <w:tcPr>
            <w:tcW w:w="3280" w:type="dxa"/>
            <w:vAlign w:val="bottom"/>
          </w:tcPr>
          <w:p>
            <w:pPr>
              <w:jc w:val="right"/>
              <w:ind w:right="910"/>
              <w:spacing w:after="0" w:line="202" w:lineRule="exact"/>
              <w:rPr>
                <w:sz w:val="20"/>
                <w:szCs w:val="20"/>
                <w:color w:val="auto"/>
              </w:rPr>
            </w:pPr>
            <w:r>
              <w:rPr>
                <w:rFonts w:ascii="Arial" w:cs="Arial" w:eastAsia="Arial" w:hAnsi="Arial"/>
                <w:sz w:val="18"/>
                <w:szCs w:val="18"/>
                <w:color w:val="auto"/>
              </w:rPr>
              <w:t>7,663</w:t>
            </w:r>
          </w:p>
        </w:tc>
        <w:tc>
          <w:tcPr>
            <w:tcW w:w="1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4,325</w:t>
            </w:r>
          </w:p>
        </w:tc>
      </w:tr>
      <w:tr>
        <w:trPr>
          <w:trHeight w:val="203"/>
        </w:trPr>
        <w:tc>
          <w:tcPr>
            <w:tcW w:w="5420" w:type="dxa"/>
            <w:vAlign w:val="bottom"/>
            <w:tcBorders>
              <w:bottom w:val="single" w:sz="8" w:color="auto"/>
            </w:tcBorders>
          </w:tcPr>
          <w:p>
            <w:pPr>
              <w:jc w:val="center"/>
              <w:ind w:right="190"/>
              <w:spacing w:after="0" w:line="203" w:lineRule="exact"/>
              <w:rPr>
                <w:sz w:val="20"/>
                <w:szCs w:val="20"/>
                <w:color w:val="auto"/>
              </w:rPr>
            </w:pPr>
            <w:r>
              <w:rPr>
                <w:rFonts w:ascii="Arial" w:cs="Arial" w:eastAsia="Arial" w:hAnsi="Arial"/>
                <w:sz w:val="18"/>
                <w:szCs w:val="18"/>
                <w:color w:val="auto"/>
                <w:w w:val="99"/>
              </w:rPr>
              <w:t>2019-2022</w:t>
            </w:r>
          </w:p>
        </w:tc>
        <w:tc>
          <w:tcPr>
            <w:tcW w:w="3280" w:type="dxa"/>
            <w:vAlign w:val="bottom"/>
            <w:tcBorders>
              <w:bottom w:val="single" w:sz="8" w:color="auto"/>
            </w:tcBorders>
          </w:tcPr>
          <w:p>
            <w:pPr>
              <w:jc w:val="right"/>
              <w:ind w:right="910"/>
              <w:spacing w:after="0" w:line="203" w:lineRule="exact"/>
              <w:rPr>
                <w:sz w:val="20"/>
                <w:szCs w:val="20"/>
                <w:color w:val="auto"/>
              </w:rPr>
            </w:pPr>
            <w:r>
              <w:rPr>
                <w:rFonts w:ascii="Arial" w:cs="Arial" w:eastAsia="Arial" w:hAnsi="Arial"/>
                <w:sz w:val="18"/>
                <w:szCs w:val="18"/>
                <w:color w:val="auto"/>
              </w:rPr>
              <w:t>47,269</w:t>
            </w:r>
          </w:p>
        </w:tc>
        <w:tc>
          <w:tcPr>
            <w:tcW w:w="1580" w:type="dxa"/>
            <w:vAlign w:val="bottom"/>
            <w:tcBorders>
              <w:bottom w:val="single" w:sz="8" w:color="auto"/>
            </w:tcBorders>
            <w:gridSpan w:val="2"/>
          </w:tcPr>
          <w:p>
            <w:pPr>
              <w:jc w:val="right"/>
              <w:ind w:right="20"/>
              <w:spacing w:after="0" w:line="203" w:lineRule="exact"/>
              <w:rPr>
                <w:sz w:val="20"/>
                <w:szCs w:val="20"/>
                <w:color w:val="auto"/>
              </w:rPr>
            </w:pPr>
            <w:r>
              <w:rPr>
                <w:rFonts w:ascii="Arial" w:cs="Arial" w:eastAsia="Arial" w:hAnsi="Arial"/>
                <w:sz w:val="18"/>
                <w:szCs w:val="18"/>
                <w:color w:val="auto"/>
              </w:rPr>
              <w:t>20,088</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Restructuring</w:t>
      </w:r>
    </w:p>
    <w:p>
      <w:pPr>
        <w:spacing w:after="0" w:line="207" w:lineRule="exact"/>
        <w:rPr>
          <w:sz w:val="20"/>
          <w:szCs w:val="20"/>
          <w:color w:val="auto"/>
        </w:rPr>
      </w:pPr>
    </w:p>
    <w:p>
      <w:pPr>
        <w:ind w:left="660" w:right="140" w:firstLine="648"/>
        <w:spacing w:after="0"/>
        <w:rPr>
          <w:sz w:val="20"/>
          <w:szCs w:val="20"/>
          <w:color w:val="auto"/>
        </w:rPr>
      </w:pPr>
      <w:r>
        <w:rPr>
          <w:rFonts w:ascii="Arial" w:cs="Arial" w:eastAsia="Arial" w:hAnsi="Arial"/>
          <w:sz w:val="18"/>
          <w:szCs w:val="18"/>
          <w:color w:val="auto"/>
        </w:rPr>
        <w:t>During the second quarter of 2013, the Company commenced a program to restructure operations at the Company’s Machine Clothing production facilities in France. The restructuring, when completed, will have reduced employment by approximately 200 positions at these locations. As of December 31, 2013, approximately 150 positions had been eliminated.</w:t>
      </w:r>
    </w:p>
    <w:p>
      <w:pPr>
        <w:spacing w:after="0" w:line="189" w:lineRule="exact"/>
        <w:rPr>
          <w:sz w:val="20"/>
          <w:szCs w:val="20"/>
          <w:color w:val="auto"/>
        </w:rPr>
      </w:pPr>
    </w:p>
    <w:p>
      <w:pPr>
        <w:ind w:left="660" w:right="60" w:firstLine="648"/>
        <w:spacing w:after="0" w:line="236" w:lineRule="auto"/>
        <w:rPr>
          <w:sz w:val="20"/>
          <w:szCs w:val="20"/>
          <w:color w:val="auto"/>
        </w:rPr>
      </w:pPr>
      <w:r>
        <w:rPr>
          <w:rFonts w:ascii="Arial" w:cs="Arial" w:eastAsia="Arial" w:hAnsi="Arial"/>
          <w:sz w:val="18"/>
          <w:szCs w:val="18"/>
          <w:color w:val="auto"/>
        </w:rPr>
        <w:t>Under the terms of the restructuring plan, the Company provides training, outplacement and other benefits, the costs of which are recorded as restructuring when they are incurred. In 2013, the Company recorded a curtailment gain of $1.1 million related to the elimination of pension accruals, which reduced net restructuring expense as reflected in the above table. Such curtailment gains are recorded as employees terminate employment and, accordingly, we expect to record additional curtailment gains in 2014. The total amount of such gains has not yet been determined, but will be less than the 2013 gain. Remaining costs for this program, net of curtailment gains, are expected to be between $3 to $5 million, most of which we expect to be incurred in 2014. We expect the annual cost savings associated with this restructuring to be approximately $10 million. Whereas most of the affected employees were involved in the production process, the full effect of the cost savings associated with this restructuring program will not be full realized until mid-2014.</w:t>
      </w:r>
    </w:p>
    <w:p>
      <w:pPr>
        <w:spacing w:after="0" w:line="194" w:lineRule="exact"/>
        <w:rPr>
          <w:sz w:val="20"/>
          <w:szCs w:val="20"/>
          <w:color w:val="auto"/>
        </w:rPr>
      </w:pPr>
    </w:p>
    <w:p>
      <w:pPr>
        <w:ind w:left="660" w:right="460" w:firstLine="648"/>
        <w:spacing w:after="0" w:line="246" w:lineRule="auto"/>
        <w:rPr>
          <w:sz w:val="20"/>
          <w:szCs w:val="20"/>
          <w:color w:val="auto"/>
        </w:rPr>
      </w:pPr>
      <w:r>
        <w:rPr>
          <w:rFonts w:ascii="Arial" w:cs="Arial" w:eastAsia="Arial" w:hAnsi="Arial"/>
          <w:sz w:val="18"/>
          <w:szCs w:val="18"/>
          <w:color w:val="auto"/>
        </w:rPr>
        <w:t>During 2013, the Company incurred some restructuring costs in the Engineered Composites segment that were related to organizational changes and exiting certain aerospace programs.</w:t>
      </w:r>
    </w:p>
    <w:p>
      <w:pPr>
        <w:spacing w:after="0" w:line="197" w:lineRule="exact"/>
        <w:rPr>
          <w:sz w:val="20"/>
          <w:szCs w:val="20"/>
          <w:color w:val="auto"/>
        </w:rPr>
      </w:pPr>
    </w:p>
    <w:p>
      <w:pPr>
        <w:ind w:left="660" w:right="20" w:firstLine="648"/>
        <w:spacing w:after="0"/>
        <w:rPr>
          <w:sz w:val="20"/>
          <w:szCs w:val="20"/>
          <w:color w:val="auto"/>
        </w:rPr>
      </w:pPr>
      <w:r>
        <w:rPr>
          <w:rFonts w:ascii="Arial" w:cs="Arial" w:eastAsia="Arial" w:hAnsi="Arial"/>
          <w:sz w:val="18"/>
          <w:szCs w:val="18"/>
          <w:color w:val="auto"/>
        </w:rPr>
        <w:t>Restructuring expenses in 2012 were principally due to a reduction in workforce in Sweden and curtailment of manufacturing in New York and Wisconsin, driven by lower demand for paper machine clothing. Those costs were partially offset by a reduction in accruals related to the Company’s headquarters.</w:t>
      </w:r>
    </w:p>
    <w:p>
      <w:pPr>
        <w:spacing w:after="0" w:line="162" w:lineRule="exact"/>
        <w:rPr>
          <w:sz w:val="20"/>
          <w:szCs w:val="20"/>
          <w:color w:val="auto"/>
        </w:rPr>
      </w:pPr>
    </w:p>
    <w:p>
      <w:pPr>
        <w:ind w:left="660" w:right="20" w:firstLine="648"/>
        <w:spacing w:after="0" w:line="239" w:lineRule="auto"/>
        <w:rPr>
          <w:sz w:val="20"/>
          <w:szCs w:val="20"/>
          <w:color w:val="auto"/>
        </w:rPr>
      </w:pPr>
      <w:r>
        <w:rPr>
          <w:rFonts w:ascii="Arial" w:cs="Arial" w:eastAsia="Arial" w:hAnsi="Arial"/>
          <w:sz w:val="18"/>
          <w:szCs w:val="18"/>
          <w:color w:val="auto"/>
        </w:rPr>
        <w:t>Restructuring expenses for 2011 were the result of restructuring and performance improvement plans affecting each of our reportable segments. The restructuring activities were driven by the need for us to balance our manufacturing capacity with anticipated demand, to improve efficiency in all aspects of our business, and to strengthen our competitive position. We also took actions to reduce costs and to create process efficiencies within administrative functions.</w:t>
      </w:r>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431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67" w:name="page68"/>
    <w:bookmarkEnd w:id="67"/>
    <w:p>
      <w:pPr>
        <w:jc w:val="center"/>
        <w:ind w:right="-19"/>
        <w:spacing w:after="0"/>
        <w:rPr>
          <w:sz w:val="20"/>
          <w:szCs w:val="20"/>
          <w:color w:val="auto"/>
        </w:rPr>
      </w:pPr>
      <w:r>
        <w:rPr>
          <w:rFonts w:ascii="Arial" w:cs="Arial" w:eastAsia="Arial" w:hAnsi="Arial"/>
          <w:sz w:val="18"/>
          <w:szCs w:val="18"/>
          <w:color w:val="auto"/>
        </w:rPr>
        <w:t>The following table summarizes charges reported in the Statements of Income under “Restructuring and other”:</w:t>
      </w:r>
    </w:p>
    <w:p>
      <w:pPr>
        <w:spacing w:after="0" w:line="172"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34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Year ended December 31, 2013</w:t>
            </w:r>
          </w:p>
        </w:tc>
        <w:tc>
          <w:tcPr>
            <w:tcW w:w="2200" w:type="dxa"/>
            <w:vAlign w:val="bottom"/>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1760" w:type="dxa"/>
            <w:vAlign w:val="bottom"/>
          </w:tcPr>
          <w:p>
            <w:pPr>
              <w:spacing w:after="0"/>
              <w:rPr>
                <w:sz w:val="17"/>
                <w:szCs w:val="17"/>
                <w:color w:val="auto"/>
              </w:rPr>
            </w:pPr>
          </w:p>
        </w:tc>
        <w:tc>
          <w:tcPr>
            <w:tcW w:w="1600" w:type="dxa"/>
            <w:vAlign w:val="bottom"/>
          </w:tcPr>
          <w:p>
            <w:pPr>
              <w:jc w:val="right"/>
              <w:ind w:right="150"/>
              <w:spacing w:after="0"/>
              <w:rPr>
                <w:sz w:val="20"/>
                <w:szCs w:val="20"/>
                <w:color w:val="auto"/>
              </w:rPr>
            </w:pPr>
            <w:r>
              <w:rPr>
                <w:rFonts w:ascii="Arial" w:cs="Arial" w:eastAsia="Arial" w:hAnsi="Arial"/>
                <w:sz w:val="18"/>
                <w:szCs w:val="18"/>
                <w:b w:val="1"/>
                <w:bCs w:val="1"/>
                <w:color w:val="auto"/>
              </w:rPr>
              <w:t>Impairment of</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Benefit plan</w:t>
            </w:r>
          </w:p>
        </w:tc>
        <w:tc>
          <w:tcPr>
            <w:tcW w:w="0" w:type="dxa"/>
            <w:vAlign w:val="bottom"/>
          </w:tcPr>
          <w:p>
            <w:pPr>
              <w:spacing w:after="0"/>
              <w:rPr>
                <w:sz w:val="1"/>
                <w:szCs w:val="1"/>
                <w:color w:val="auto"/>
              </w:rPr>
            </w:pPr>
          </w:p>
        </w:tc>
      </w:tr>
      <w:tr>
        <w:trPr>
          <w:trHeight w:val="131"/>
        </w:trPr>
        <w:tc>
          <w:tcPr>
            <w:tcW w:w="3400" w:type="dxa"/>
            <w:vAlign w:val="bottom"/>
            <w:vMerge w:val="continue"/>
          </w:tcPr>
          <w:p>
            <w:pPr>
              <w:spacing w:after="0"/>
              <w:rPr>
                <w:sz w:val="11"/>
                <w:szCs w:val="11"/>
                <w:color w:val="auto"/>
              </w:rPr>
            </w:pPr>
          </w:p>
        </w:tc>
        <w:tc>
          <w:tcPr>
            <w:tcW w:w="2200" w:type="dxa"/>
            <w:vAlign w:val="bottom"/>
            <w:vMerge w:val="restart"/>
          </w:tcPr>
          <w:p>
            <w:pPr>
              <w:jc w:val="right"/>
              <w:ind w:right="170"/>
              <w:spacing w:after="0" w:line="202" w:lineRule="exact"/>
              <w:rPr>
                <w:sz w:val="20"/>
                <w:szCs w:val="20"/>
                <w:color w:val="auto"/>
              </w:rPr>
            </w:pPr>
            <w:r>
              <w:rPr>
                <w:rFonts w:ascii="Arial" w:cs="Arial" w:eastAsia="Arial" w:hAnsi="Arial"/>
                <w:sz w:val="18"/>
                <w:szCs w:val="18"/>
                <w:b w:val="1"/>
                <w:bCs w:val="1"/>
                <w:color w:val="auto"/>
              </w:rPr>
              <w:t>restructuring</w:t>
            </w:r>
          </w:p>
        </w:tc>
        <w:tc>
          <w:tcPr>
            <w:tcW w:w="1760" w:type="dxa"/>
            <w:vAlign w:val="bottom"/>
            <w:vMerge w:val="restart"/>
          </w:tcPr>
          <w:p>
            <w:pPr>
              <w:jc w:val="right"/>
              <w:ind w:right="130"/>
              <w:spacing w:after="0" w:line="202" w:lineRule="exact"/>
              <w:rPr>
                <w:sz w:val="20"/>
                <w:szCs w:val="20"/>
                <w:color w:val="auto"/>
              </w:rPr>
            </w:pPr>
            <w:r>
              <w:rPr>
                <w:rFonts w:ascii="Arial" w:cs="Arial" w:eastAsia="Arial" w:hAnsi="Arial"/>
                <w:sz w:val="18"/>
                <w:szCs w:val="18"/>
                <w:b w:val="1"/>
                <w:bCs w:val="1"/>
                <w:color w:val="auto"/>
              </w:rPr>
              <w:t>Termination</w:t>
            </w:r>
          </w:p>
        </w:tc>
        <w:tc>
          <w:tcPr>
            <w:tcW w:w="1600" w:type="dxa"/>
            <w:vAlign w:val="bottom"/>
            <w:vMerge w:val="restart"/>
          </w:tcPr>
          <w:p>
            <w:pPr>
              <w:jc w:val="right"/>
              <w:ind w:right="150"/>
              <w:spacing w:after="0" w:line="202" w:lineRule="exact"/>
              <w:rPr>
                <w:sz w:val="20"/>
                <w:szCs w:val="20"/>
                <w:color w:val="auto"/>
              </w:rPr>
            </w:pPr>
            <w:r>
              <w:rPr>
                <w:rFonts w:ascii="Arial" w:cs="Arial" w:eastAsia="Arial" w:hAnsi="Arial"/>
                <w:sz w:val="18"/>
                <w:szCs w:val="18"/>
                <w:b w:val="1"/>
                <w:bCs w:val="1"/>
                <w:color w:val="auto"/>
              </w:rPr>
              <w:t>plant and</w:t>
            </w:r>
          </w:p>
        </w:tc>
        <w:tc>
          <w:tcPr>
            <w:tcW w:w="1300" w:type="dxa"/>
            <w:vAlign w:val="bottom"/>
            <w:vMerge w:val="restart"/>
          </w:tcPr>
          <w:p>
            <w:pPr>
              <w:jc w:val="right"/>
              <w:spacing w:after="0" w:line="202" w:lineRule="exact"/>
              <w:rPr>
                <w:sz w:val="20"/>
                <w:szCs w:val="20"/>
                <w:color w:val="auto"/>
              </w:rPr>
            </w:pPr>
            <w:r>
              <w:rPr>
                <w:rFonts w:ascii="Arial" w:cs="Arial" w:eastAsia="Arial" w:hAnsi="Arial"/>
                <w:sz w:val="18"/>
                <w:szCs w:val="18"/>
                <w:b w:val="1"/>
                <w:bCs w:val="1"/>
                <w:color w:val="auto"/>
              </w:rPr>
              <w:t>curtailment/</w:t>
            </w:r>
          </w:p>
        </w:tc>
        <w:tc>
          <w:tcPr>
            <w:tcW w:w="0" w:type="dxa"/>
            <w:vAlign w:val="bottom"/>
          </w:tcPr>
          <w:p>
            <w:pPr>
              <w:spacing w:after="0"/>
              <w:rPr>
                <w:sz w:val="1"/>
                <w:szCs w:val="1"/>
                <w:color w:val="auto"/>
              </w:rPr>
            </w:pPr>
          </w:p>
        </w:tc>
      </w:tr>
      <w:tr>
        <w:trPr>
          <w:trHeight w:val="72"/>
        </w:trPr>
        <w:tc>
          <w:tcPr>
            <w:tcW w:w="3400" w:type="dxa"/>
            <w:vAlign w:val="bottom"/>
          </w:tcPr>
          <w:p>
            <w:pPr>
              <w:spacing w:after="0"/>
              <w:rPr>
                <w:sz w:val="6"/>
                <w:szCs w:val="6"/>
                <w:color w:val="auto"/>
              </w:rPr>
            </w:pPr>
          </w:p>
        </w:tc>
        <w:tc>
          <w:tcPr>
            <w:tcW w:w="2200" w:type="dxa"/>
            <w:vAlign w:val="bottom"/>
            <w:vMerge w:val="continue"/>
          </w:tcPr>
          <w:p>
            <w:pPr>
              <w:spacing w:after="0"/>
              <w:rPr>
                <w:sz w:val="6"/>
                <w:szCs w:val="6"/>
                <w:color w:val="auto"/>
              </w:rPr>
            </w:pPr>
          </w:p>
        </w:tc>
        <w:tc>
          <w:tcPr>
            <w:tcW w:w="1760" w:type="dxa"/>
            <w:vAlign w:val="bottom"/>
            <w:vMerge w:val="continue"/>
          </w:tcPr>
          <w:p>
            <w:pPr>
              <w:spacing w:after="0"/>
              <w:rPr>
                <w:sz w:val="6"/>
                <w:szCs w:val="6"/>
                <w:color w:val="auto"/>
              </w:rPr>
            </w:pPr>
          </w:p>
        </w:tc>
        <w:tc>
          <w:tcPr>
            <w:tcW w:w="1600" w:type="dxa"/>
            <w:vAlign w:val="bottom"/>
            <w:vMerge w:val="continue"/>
          </w:tcPr>
          <w:p>
            <w:pPr>
              <w:spacing w:after="0"/>
              <w:rPr>
                <w:sz w:val="6"/>
                <w:szCs w:val="6"/>
                <w:color w:val="auto"/>
              </w:rPr>
            </w:pPr>
          </w:p>
        </w:tc>
        <w:tc>
          <w:tcPr>
            <w:tcW w:w="1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2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costs incurred</w:t>
            </w:r>
          </w:p>
        </w:tc>
        <w:tc>
          <w:tcPr>
            <w:tcW w:w="1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and other costs</w:t>
            </w:r>
          </w:p>
        </w:tc>
        <w:tc>
          <w:tcPr>
            <w:tcW w:w="16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equipment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settlement</w:t>
            </w:r>
          </w:p>
        </w:tc>
        <w:tc>
          <w:tcPr>
            <w:tcW w:w="0" w:type="dxa"/>
            <w:vAlign w:val="bottom"/>
          </w:tcPr>
          <w:p>
            <w:pPr>
              <w:spacing w:after="0"/>
              <w:rPr>
                <w:sz w:val="1"/>
                <w:szCs w:val="1"/>
                <w:color w:val="auto"/>
              </w:rPr>
            </w:pPr>
          </w:p>
        </w:tc>
      </w:tr>
      <w:tr>
        <w:trPr>
          <w:trHeight w:val="195"/>
        </w:trPr>
        <w:tc>
          <w:tcPr>
            <w:tcW w:w="3400" w:type="dxa"/>
            <w:vAlign w:val="bottom"/>
          </w:tcPr>
          <w:p>
            <w:pPr>
              <w:ind w:left="40"/>
              <w:spacing w:after="0" w:line="195" w:lineRule="exact"/>
              <w:rPr>
                <w:sz w:val="20"/>
                <w:szCs w:val="20"/>
                <w:color w:val="auto"/>
              </w:rPr>
            </w:pPr>
            <w:r>
              <w:rPr>
                <w:rFonts w:ascii="Arial" w:cs="Arial" w:eastAsia="Arial" w:hAnsi="Arial"/>
                <w:sz w:val="18"/>
                <w:szCs w:val="18"/>
                <w:color w:val="auto"/>
              </w:rPr>
              <w:t>Machine Clothing</w:t>
            </w:r>
          </w:p>
        </w:tc>
        <w:tc>
          <w:tcPr>
            <w:tcW w:w="2200" w:type="dxa"/>
            <w:vAlign w:val="bottom"/>
          </w:tcPr>
          <w:p>
            <w:pPr>
              <w:jc w:val="right"/>
              <w:ind w:right="410"/>
              <w:spacing w:after="0" w:line="195" w:lineRule="exact"/>
              <w:rPr>
                <w:sz w:val="20"/>
                <w:szCs w:val="20"/>
                <w:color w:val="auto"/>
              </w:rPr>
            </w:pPr>
            <w:r>
              <w:rPr>
                <w:rFonts w:ascii="Arial" w:cs="Arial" w:eastAsia="Arial" w:hAnsi="Arial"/>
                <w:sz w:val="18"/>
                <w:szCs w:val="18"/>
                <w:color w:val="auto"/>
              </w:rPr>
              <w:t>$24,568</w:t>
            </w:r>
          </w:p>
        </w:tc>
        <w:tc>
          <w:tcPr>
            <w:tcW w:w="1760" w:type="dxa"/>
            <w:vAlign w:val="bottom"/>
          </w:tcPr>
          <w:p>
            <w:pPr>
              <w:jc w:val="right"/>
              <w:ind w:right="450"/>
              <w:spacing w:after="0" w:line="195" w:lineRule="exact"/>
              <w:rPr>
                <w:sz w:val="20"/>
                <w:szCs w:val="20"/>
                <w:color w:val="auto"/>
              </w:rPr>
            </w:pPr>
            <w:r>
              <w:rPr>
                <w:rFonts w:ascii="Arial" w:cs="Arial" w:eastAsia="Arial" w:hAnsi="Arial"/>
                <w:sz w:val="18"/>
                <w:szCs w:val="18"/>
                <w:color w:val="auto"/>
              </w:rPr>
              <w:t>$25,838</w:t>
            </w:r>
          </w:p>
        </w:tc>
        <w:tc>
          <w:tcPr>
            <w:tcW w:w="1600" w:type="dxa"/>
            <w:vAlign w:val="bottom"/>
          </w:tcPr>
          <w:p>
            <w:pPr>
              <w:jc w:val="right"/>
              <w:ind w:right="510"/>
              <w:spacing w:after="0" w:line="195" w:lineRule="exact"/>
              <w:rPr>
                <w:sz w:val="20"/>
                <w:szCs w:val="20"/>
                <w:color w:val="auto"/>
              </w:rPr>
            </w:pPr>
            <w:r>
              <w:rPr>
                <w:rFonts w:ascii="Arial" w:cs="Arial" w:eastAsia="Arial" w:hAnsi="Arial"/>
                <w:sz w:val="18"/>
                <w:szCs w:val="18"/>
                <w:color w:val="auto"/>
              </w:rPr>
              <w:t>$ -</w:t>
            </w:r>
          </w:p>
        </w:tc>
        <w:tc>
          <w:tcPr>
            <w:tcW w:w="1300" w:type="dxa"/>
            <w:vAlign w:val="bottom"/>
          </w:tcPr>
          <w:p>
            <w:pPr>
              <w:jc w:val="right"/>
              <w:ind w:right="90"/>
              <w:spacing w:after="0" w:line="195" w:lineRule="exact"/>
              <w:rPr>
                <w:sz w:val="20"/>
                <w:szCs w:val="20"/>
                <w:color w:val="auto"/>
              </w:rPr>
            </w:pPr>
            <w:r>
              <w:rPr>
                <w:rFonts w:ascii="Arial" w:cs="Arial" w:eastAsia="Arial" w:hAnsi="Arial"/>
                <w:sz w:val="18"/>
                <w:szCs w:val="18"/>
                <w:color w:val="auto"/>
              </w:rPr>
              <w:t>($1,270)</w:t>
            </w:r>
          </w:p>
        </w:tc>
        <w:tc>
          <w:tcPr>
            <w:tcW w:w="0" w:type="dxa"/>
            <w:vAlign w:val="bottom"/>
          </w:tcPr>
          <w:p>
            <w:pPr>
              <w:spacing w:after="0"/>
              <w:rPr>
                <w:sz w:val="1"/>
                <w:szCs w:val="1"/>
                <w:color w:val="auto"/>
              </w:rPr>
            </w:pPr>
          </w:p>
        </w:tc>
      </w:tr>
      <w:tr>
        <w:trPr>
          <w:trHeight w:val="203"/>
        </w:trPr>
        <w:tc>
          <w:tcPr>
            <w:tcW w:w="3400" w:type="dxa"/>
            <w:vAlign w:val="bottom"/>
          </w:tcPr>
          <w:p>
            <w:pPr>
              <w:ind w:left="40"/>
              <w:spacing w:after="0" w:line="202" w:lineRule="exact"/>
              <w:rPr>
                <w:sz w:val="20"/>
                <w:szCs w:val="20"/>
                <w:color w:val="auto"/>
              </w:rPr>
            </w:pPr>
            <w:r>
              <w:rPr>
                <w:rFonts w:ascii="Arial" w:cs="Arial" w:eastAsia="Arial" w:hAnsi="Arial"/>
                <w:sz w:val="18"/>
                <w:szCs w:val="18"/>
                <w:color w:val="auto"/>
              </w:rPr>
              <w:t>Engineered Composites</w:t>
            </w:r>
          </w:p>
        </w:tc>
        <w:tc>
          <w:tcPr>
            <w:tcW w:w="220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540</w:t>
            </w:r>
          </w:p>
        </w:tc>
        <w:tc>
          <w:tcPr>
            <w:tcW w:w="176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452</w:t>
            </w:r>
          </w:p>
        </w:tc>
        <w:tc>
          <w:tcPr>
            <w:tcW w:w="1600" w:type="dxa"/>
            <w:vAlign w:val="bottom"/>
          </w:tcPr>
          <w:p>
            <w:pPr>
              <w:jc w:val="right"/>
              <w:ind w:right="510"/>
              <w:spacing w:after="0" w:line="202" w:lineRule="exact"/>
              <w:rPr>
                <w:sz w:val="20"/>
                <w:szCs w:val="20"/>
                <w:color w:val="auto"/>
              </w:rPr>
            </w:pPr>
            <w:r>
              <w:rPr>
                <w:rFonts w:ascii="Arial" w:cs="Arial" w:eastAsia="Arial" w:hAnsi="Arial"/>
                <w:sz w:val="18"/>
                <w:szCs w:val="18"/>
                <w:color w:val="auto"/>
              </w:rPr>
              <w:t>88</w:t>
            </w:r>
          </w:p>
        </w:tc>
        <w:tc>
          <w:tcPr>
            <w:tcW w:w="130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400" w:type="dxa"/>
            <w:vAlign w:val="bottom"/>
            <w:tcBorders>
              <w:bottom w:val="single" w:sz="8" w:color="auto"/>
            </w:tcBorders>
          </w:tcPr>
          <w:p>
            <w:pPr>
              <w:ind w:left="40"/>
              <w:spacing w:after="0" w:line="203" w:lineRule="exact"/>
              <w:rPr>
                <w:sz w:val="20"/>
                <w:szCs w:val="20"/>
                <w:color w:val="auto"/>
              </w:rPr>
            </w:pPr>
            <w:r>
              <w:rPr>
                <w:rFonts w:ascii="Arial" w:cs="Arial" w:eastAsia="Arial" w:hAnsi="Arial"/>
                <w:sz w:val="18"/>
                <w:szCs w:val="18"/>
                <w:color w:val="auto"/>
              </w:rPr>
              <w:t>Unallocated expenses</w:t>
            </w:r>
          </w:p>
        </w:tc>
        <w:tc>
          <w:tcPr>
            <w:tcW w:w="2200" w:type="dxa"/>
            <w:vAlign w:val="bottom"/>
            <w:tcBorders>
              <w:bottom w:val="single" w:sz="8" w:color="auto"/>
            </w:tcBorders>
          </w:tcPr>
          <w:p>
            <w:pPr>
              <w:jc w:val="right"/>
              <w:ind w:right="410"/>
              <w:spacing w:after="0" w:line="203" w:lineRule="exact"/>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jc w:val="right"/>
              <w:ind w:right="450"/>
              <w:spacing w:after="0" w:line="203" w:lineRule="exact"/>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tcPr>
          <w:p>
            <w:pPr>
              <w:jc w:val="right"/>
              <w:ind w:right="510"/>
              <w:spacing w:after="0" w:line="203"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340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Total</w:t>
            </w:r>
          </w:p>
        </w:tc>
        <w:tc>
          <w:tcPr>
            <w:tcW w:w="220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color w:val="auto"/>
              </w:rPr>
              <w:t>$25,108</w:t>
            </w:r>
          </w:p>
        </w:tc>
        <w:tc>
          <w:tcPr>
            <w:tcW w:w="176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color w:val="auto"/>
              </w:rPr>
              <w:t>$26,290</w:t>
            </w:r>
          </w:p>
        </w:tc>
        <w:tc>
          <w:tcPr>
            <w:tcW w:w="160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color w:val="auto"/>
              </w:rPr>
              <w:t>$88</w:t>
            </w:r>
          </w:p>
        </w:tc>
        <w:tc>
          <w:tcPr>
            <w:tcW w:w="130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($1,270)</w:t>
            </w:r>
          </w:p>
        </w:tc>
        <w:tc>
          <w:tcPr>
            <w:tcW w:w="0" w:type="dxa"/>
            <w:vAlign w:val="bottom"/>
          </w:tcPr>
          <w:p>
            <w:pPr>
              <w:spacing w:after="0"/>
              <w:rPr>
                <w:sz w:val="1"/>
                <w:szCs w:val="1"/>
                <w:color w:val="auto"/>
              </w:rPr>
            </w:pPr>
          </w:p>
        </w:tc>
      </w:tr>
      <w:tr>
        <w:trPr>
          <w:trHeight w:val="362"/>
        </w:trPr>
        <w:tc>
          <w:tcPr>
            <w:tcW w:w="34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Year ended December 31, 2012</w:t>
            </w:r>
          </w:p>
        </w:tc>
        <w:tc>
          <w:tcPr>
            <w:tcW w:w="2200" w:type="dxa"/>
            <w:vAlign w:val="bottom"/>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1760" w:type="dxa"/>
            <w:vAlign w:val="bottom"/>
          </w:tcPr>
          <w:p>
            <w:pPr>
              <w:spacing w:after="0"/>
              <w:rPr>
                <w:sz w:val="24"/>
                <w:szCs w:val="24"/>
                <w:color w:val="auto"/>
              </w:rPr>
            </w:pPr>
          </w:p>
        </w:tc>
        <w:tc>
          <w:tcPr>
            <w:tcW w:w="1600" w:type="dxa"/>
            <w:vAlign w:val="bottom"/>
          </w:tcPr>
          <w:p>
            <w:pPr>
              <w:jc w:val="right"/>
              <w:ind w:right="150"/>
              <w:spacing w:after="0"/>
              <w:rPr>
                <w:sz w:val="20"/>
                <w:szCs w:val="20"/>
                <w:color w:val="auto"/>
              </w:rPr>
            </w:pPr>
            <w:r>
              <w:rPr>
                <w:rFonts w:ascii="Arial" w:cs="Arial" w:eastAsia="Arial" w:hAnsi="Arial"/>
                <w:sz w:val="18"/>
                <w:szCs w:val="18"/>
                <w:b w:val="1"/>
                <w:bCs w:val="1"/>
                <w:color w:val="auto"/>
              </w:rPr>
              <w:t>Impairment of</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Benefit plan</w:t>
            </w:r>
          </w:p>
        </w:tc>
        <w:tc>
          <w:tcPr>
            <w:tcW w:w="0" w:type="dxa"/>
            <w:vAlign w:val="bottom"/>
          </w:tcPr>
          <w:p>
            <w:pPr>
              <w:spacing w:after="0"/>
              <w:rPr>
                <w:sz w:val="1"/>
                <w:szCs w:val="1"/>
                <w:color w:val="auto"/>
              </w:rPr>
            </w:pPr>
          </w:p>
        </w:tc>
      </w:tr>
      <w:tr>
        <w:trPr>
          <w:trHeight w:val="131"/>
        </w:trPr>
        <w:tc>
          <w:tcPr>
            <w:tcW w:w="3400" w:type="dxa"/>
            <w:vAlign w:val="bottom"/>
            <w:vMerge w:val="continue"/>
          </w:tcPr>
          <w:p>
            <w:pPr>
              <w:spacing w:after="0"/>
              <w:rPr>
                <w:sz w:val="11"/>
                <w:szCs w:val="11"/>
                <w:color w:val="auto"/>
              </w:rPr>
            </w:pPr>
          </w:p>
        </w:tc>
        <w:tc>
          <w:tcPr>
            <w:tcW w:w="2200" w:type="dxa"/>
            <w:vAlign w:val="bottom"/>
            <w:vMerge w:val="restart"/>
          </w:tcPr>
          <w:p>
            <w:pPr>
              <w:jc w:val="right"/>
              <w:ind w:right="170"/>
              <w:spacing w:after="0" w:line="202" w:lineRule="exact"/>
              <w:rPr>
                <w:sz w:val="20"/>
                <w:szCs w:val="20"/>
                <w:color w:val="auto"/>
              </w:rPr>
            </w:pPr>
            <w:r>
              <w:rPr>
                <w:rFonts w:ascii="Arial" w:cs="Arial" w:eastAsia="Arial" w:hAnsi="Arial"/>
                <w:sz w:val="18"/>
                <w:szCs w:val="18"/>
                <w:b w:val="1"/>
                <w:bCs w:val="1"/>
                <w:color w:val="auto"/>
              </w:rPr>
              <w:t>restructuring</w:t>
            </w:r>
          </w:p>
        </w:tc>
        <w:tc>
          <w:tcPr>
            <w:tcW w:w="1760" w:type="dxa"/>
            <w:vAlign w:val="bottom"/>
            <w:vMerge w:val="restart"/>
          </w:tcPr>
          <w:p>
            <w:pPr>
              <w:jc w:val="right"/>
              <w:ind w:right="130"/>
              <w:spacing w:after="0" w:line="202" w:lineRule="exact"/>
              <w:rPr>
                <w:sz w:val="20"/>
                <w:szCs w:val="20"/>
                <w:color w:val="auto"/>
              </w:rPr>
            </w:pPr>
            <w:r>
              <w:rPr>
                <w:rFonts w:ascii="Arial" w:cs="Arial" w:eastAsia="Arial" w:hAnsi="Arial"/>
                <w:sz w:val="18"/>
                <w:szCs w:val="18"/>
                <w:b w:val="1"/>
                <w:bCs w:val="1"/>
                <w:color w:val="auto"/>
              </w:rPr>
              <w:t>Termination</w:t>
            </w:r>
          </w:p>
        </w:tc>
        <w:tc>
          <w:tcPr>
            <w:tcW w:w="1600" w:type="dxa"/>
            <w:vAlign w:val="bottom"/>
            <w:vMerge w:val="restart"/>
          </w:tcPr>
          <w:p>
            <w:pPr>
              <w:jc w:val="right"/>
              <w:ind w:right="150"/>
              <w:spacing w:after="0" w:line="202" w:lineRule="exact"/>
              <w:rPr>
                <w:sz w:val="20"/>
                <w:szCs w:val="20"/>
                <w:color w:val="auto"/>
              </w:rPr>
            </w:pPr>
            <w:r>
              <w:rPr>
                <w:rFonts w:ascii="Arial" w:cs="Arial" w:eastAsia="Arial" w:hAnsi="Arial"/>
                <w:sz w:val="18"/>
                <w:szCs w:val="18"/>
                <w:b w:val="1"/>
                <w:bCs w:val="1"/>
                <w:color w:val="auto"/>
              </w:rPr>
              <w:t>plant and</w:t>
            </w:r>
          </w:p>
        </w:tc>
        <w:tc>
          <w:tcPr>
            <w:tcW w:w="1300" w:type="dxa"/>
            <w:vAlign w:val="bottom"/>
            <w:vMerge w:val="restart"/>
          </w:tcPr>
          <w:p>
            <w:pPr>
              <w:jc w:val="right"/>
              <w:spacing w:after="0" w:line="202" w:lineRule="exact"/>
              <w:rPr>
                <w:sz w:val="20"/>
                <w:szCs w:val="20"/>
                <w:color w:val="auto"/>
              </w:rPr>
            </w:pPr>
            <w:r>
              <w:rPr>
                <w:rFonts w:ascii="Arial" w:cs="Arial" w:eastAsia="Arial" w:hAnsi="Arial"/>
                <w:sz w:val="18"/>
                <w:szCs w:val="18"/>
                <w:b w:val="1"/>
                <w:bCs w:val="1"/>
                <w:color w:val="auto"/>
              </w:rPr>
              <w:t>curtailment/</w:t>
            </w:r>
          </w:p>
        </w:tc>
        <w:tc>
          <w:tcPr>
            <w:tcW w:w="0" w:type="dxa"/>
            <w:vAlign w:val="bottom"/>
          </w:tcPr>
          <w:p>
            <w:pPr>
              <w:spacing w:after="0"/>
              <w:rPr>
                <w:sz w:val="1"/>
                <w:szCs w:val="1"/>
                <w:color w:val="auto"/>
              </w:rPr>
            </w:pPr>
          </w:p>
        </w:tc>
      </w:tr>
      <w:tr>
        <w:trPr>
          <w:trHeight w:val="72"/>
        </w:trPr>
        <w:tc>
          <w:tcPr>
            <w:tcW w:w="3400" w:type="dxa"/>
            <w:vAlign w:val="bottom"/>
          </w:tcPr>
          <w:p>
            <w:pPr>
              <w:spacing w:after="0"/>
              <w:rPr>
                <w:sz w:val="6"/>
                <w:szCs w:val="6"/>
                <w:color w:val="auto"/>
              </w:rPr>
            </w:pPr>
          </w:p>
        </w:tc>
        <w:tc>
          <w:tcPr>
            <w:tcW w:w="2200" w:type="dxa"/>
            <w:vAlign w:val="bottom"/>
            <w:vMerge w:val="continue"/>
          </w:tcPr>
          <w:p>
            <w:pPr>
              <w:spacing w:after="0"/>
              <w:rPr>
                <w:sz w:val="6"/>
                <w:szCs w:val="6"/>
                <w:color w:val="auto"/>
              </w:rPr>
            </w:pPr>
          </w:p>
        </w:tc>
        <w:tc>
          <w:tcPr>
            <w:tcW w:w="1760" w:type="dxa"/>
            <w:vAlign w:val="bottom"/>
            <w:vMerge w:val="continue"/>
          </w:tcPr>
          <w:p>
            <w:pPr>
              <w:spacing w:after="0"/>
              <w:rPr>
                <w:sz w:val="6"/>
                <w:szCs w:val="6"/>
                <w:color w:val="auto"/>
              </w:rPr>
            </w:pPr>
          </w:p>
        </w:tc>
        <w:tc>
          <w:tcPr>
            <w:tcW w:w="1600" w:type="dxa"/>
            <w:vAlign w:val="bottom"/>
            <w:vMerge w:val="continue"/>
          </w:tcPr>
          <w:p>
            <w:pPr>
              <w:spacing w:after="0"/>
              <w:rPr>
                <w:sz w:val="6"/>
                <w:szCs w:val="6"/>
                <w:color w:val="auto"/>
              </w:rPr>
            </w:pPr>
          </w:p>
        </w:tc>
        <w:tc>
          <w:tcPr>
            <w:tcW w:w="1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2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costs incurred</w:t>
            </w:r>
          </w:p>
        </w:tc>
        <w:tc>
          <w:tcPr>
            <w:tcW w:w="1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and other costs</w:t>
            </w:r>
          </w:p>
        </w:tc>
        <w:tc>
          <w:tcPr>
            <w:tcW w:w="16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equipment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settlement</w:t>
            </w:r>
          </w:p>
        </w:tc>
        <w:tc>
          <w:tcPr>
            <w:tcW w:w="0" w:type="dxa"/>
            <w:vAlign w:val="bottom"/>
          </w:tcPr>
          <w:p>
            <w:pPr>
              <w:spacing w:after="0"/>
              <w:rPr>
                <w:sz w:val="1"/>
                <w:szCs w:val="1"/>
                <w:color w:val="auto"/>
              </w:rPr>
            </w:pPr>
          </w:p>
        </w:tc>
      </w:tr>
      <w:tr>
        <w:trPr>
          <w:trHeight w:val="195"/>
        </w:trPr>
        <w:tc>
          <w:tcPr>
            <w:tcW w:w="3400" w:type="dxa"/>
            <w:vAlign w:val="bottom"/>
          </w:tcPr>
          <w:p>
            <w:pPr>
              <w:ind w:left="40"/>
              <w:spacing w:after="0" w:line="195" w:lineRule="exact"/>
              <w:rPr>
                <w:sz w:val="20"/>
                <w:szCs w:val="20"/>
                <w:color w:val="auto"/>
              </w:rPr>
            </w:pPr>
            <w:r>
              <w:rPr>
                <w:rFonts w:ascii="Arial" w:cs="Arial" w:eastAsia="Arial" w:hAnsi="Arial"/>
                <w:sz w:val="18"/>
                <w:szCs w:val="18"/>
                <w:color w:val="auto"/>
              </w:rPr>
              <w:t>Machine Clothing</w:t>
            </w:r>
          </w:p>
        </w:tc>
        <w:tc>
          <w:tcPr>
            <w:tcW w:w="2200" w:type="dxa"/>
            <w:vAlign w:val="bottom"/>
          </w:tcPr>
          <w:p>
            <w:pPr>
              <w:jc w:val="right"/>
              <w:ind w:right="410"/>
              <w:spacing w:after="0" w:line="195" w:lineRule="exact"/>
              <w:rPr>
                <w:sz w:val="20"/>
                <w:szCs w:val="20"/>
                <w:color w:val="auto"/>
              </w:rPr>
            </w:pPr>
            <w:r>
              <w:rPr>
                <w:rFonts w:ascii="Arial" w:cs="Arial" w:eastAsia="Arial" w:hAnsi="Arial"/>
                <w:sz w:val="18"/>
                <w:szCs w:val="18"/>
                <w:color w:val="auto"/>
              </w:rPr>
              <w:t>$7,386</w:t>
            </w:r>
          </w:p>
        </w:tc>
        <w:tc>
          <w:tcPr>
            <w:tcW w:w="1760" w:type="dxa"/>
            <w:vAlign w:val="bottom"/>
          </w:tcPr>
          <w:p>
            <w:pPr>
              <w:jc w:val="right"/>
              <w:ind w:right="450"/>
              <w:spacing w:after="0" w:line="195" w:lineRule="exact"/>
              <w:rPr>
                <w:sz w:val="20"/>
                <w:szCs w:val="20"/>
                <w:color w:val="auto"/>
              </w:rPr>
            </w:pPr>
            <w:r>
              <w:rPr>
                <w:rFonts w:ascii="Arial" w:cs="Arial" w:eastAsia="Arial" w:hAnsi="Arial"/>
                <w:sz w:val="18"/>
                <w:szCs w:val="18"/>
                <w:color w:val="auto"/>
              </w:rPr>
              <w:t>$7,386</w:t>
            </w:r>
          </w:p>
        </w:tc>
        <w:tc>
          <w:tcPr>
            <w:tcW w:w="1600" w:type="dxa"/>
            <w:vAlign w:val="bottom"/>
          </w:tcPr>
          <w:p>
            <w:pPr>
              <w:jc w:val="right"/>
              <w:ind w:right="510"/>
              <w:spacing w:after="0" w:line="195" w:lineRule="exact"/>
              <w:rPr>
                <w:sz w:val="20"/>
                <w:szCs w:val="20"/>
                <w:color w:val="auto"/>
              </w:rPr>
            </w:pPr>
            <w:r>
              <w:rPr>
                <w:rFonts w:ascii="Arial" w:cs="Arial" w:eastAsia="Arial" w:hAnsi="Arial"/>
                <w:sz w:val="18"/>
                <w:szCs w:val="18"/>
                <w:color w:val="auto"/>
              </w:rPr>
              <w:t>$ -</w:t>
            </w:r>
          </w:p>
        </w:tc>
        <w:tc>
          <w:tcPr>
            <w:tcW w:w="1300" w:type="dxa"/>
            <w:vAlign w:val="bottom"/>
          </w:tcPr>
          <w:p>
            <w:pPr>
              <w:jc w:val="right"/>
              <w:ind w:right="90"/>
              <w:spacing w:after="0" w:line="195"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3"/>
        </w:trPr>
        <w:tc>
          <w:tcPr>
            <w:tcW w:w="3400" w:type="dxa"/>
            <w:vAlign w:val="bottom"/>
          </w:tcPr>
          <w:p>
            <w:pPr>
              <w:ind w:left="40"/>
              <w:spacing w:after="0" w:line="202" w:lineRule="exact"/>
              <w:rPr>
                <w:sz w:val="20"/>
                <w:szCs w:val="20"/>
                <w:color w:val="auto"/>
              </w:rPr>
            </w:pPr>
            <w:r>
              <w:rPr>
                <w:rFonts w:ascii="Arial" w:cs="Arial" w:eastAsia="Arial" w:hAnsi="Arial"/>
                <w:sz w:val="18"/>
                <w:szCs w:val="18"/>
                <w:color w:val="auto"/>
              </w:rPr>
              <w:t>Engineered Composites</w:t>
            </w:r>
          </w:p>
        </w:tc>
        <w:tc>
          <w:tcPr>
            <w:tcW w:w="220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w:t>
            </w:r>
          </w:p>
        </w:tc>
        <w:tc>
          <w:tcPr>
            <w:tcW w:w="176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w:t>
            </w:r>
          </w:p>
        </w:tc>
        <w:tc>
          <w:tcPr>
            <w:tcW w:w="1600" w:type="dxa"/>
            <w:vAlign w:val="bottom"/>
          </w:tcPr>
          <w:p>
            <w:pPr>
              <w:jc w:val="right"/>
              <w:ind w:right="51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400" w:type="dxa"/>
            <w:vAlign w:val="bottom"/>
            <w:tcBorders>
              <w:bottom w:val="single" w:sz="8" w:color="auto"/>
            </w:tcBorders>
          </w:tcPr>
          <w:p>
            <w:pPr>
              <w:ind w:left="40"/>
              <w:spacing w:after="0" w:line="203" w:lineRule="exact"/>
              <w:rPr>
                <w:sz w:val="20"/>
                <w:szCs w:val="20"/>
                <w:color w:val="auto"/>
              </w:rPr>
            </w:pPr>
            <w:r>
              <w:rPr>
                <w:rFonts w:ascii="Arial" w:cs="Arial" w:eastAsia="Arial" w:hAnsi="Arial"/>
                <w:sz w:val="18"/>
                <w:szCs w:val="18"/>
                <w:color w:val="auto"/>
              </w:rPr>
              <w:t>Unallocated expenses</w:t>
            </w:r>
          </w:p>
        </w:tc>
        <w:tc>
          <w:tcPr>
            <w:tcW w:w="2200" w:type="dxa"/>
            <w:vAlign w:val="bottom"/>
            <w:tcBorders>
              <w:bottom w:val="single" w:sz="8" w:color="auto"/>
            </w:tcBorders>
          </w:tcPr>
          <w:p>
            <w:pPr>
              <w:jc w:val="right"/>
              <w:ind w:right="410"/>
              <w:spacing w:after="0" w:line="203" w:lineRule="exact"/>
              <w:rPr>
                <w:sz w:val="20"/>
                <w:szCs w:val="20"/>
                <w:color w:val="auto"/>
              </w:rPr>
            </w:pPr>
            <w:r>
              <w:rPr>
                <w:rFonts w:ascii="Arial" w:cs="Arial" w:eastAsia="Arial" w:hAnsi="Arial"/>
                <w:sz w:val="18"/>
                <w:szCs w:val="18"/>
                <w:color w:val="auto"/>
              </w:rPr>
              <w:t>(325)</w:t>
            </w:r>
          </w:p>
        </w:tc>
        <w:tc>
          <w:tcPr>
            <w:tcW w:w="1760" w:type="dxa"/>
            <w:vAlign w:val="bottom"/>
            <w:tcBorders>
              <w:bottom w:val="single" w:sz="8" w:color="auto"/>
            </w:tcBorders>
          </w:tcPr>
          <w:p>
            <w:pPr>
              <w:jc w:val="right"/>
              <w:ind w:right="450"/>
              <w:spacing w:after="0" w:line="203" w:lineRule="exact"/>
              <w:rPr>
                <w:sz w:val="20"/>
                <w:szCs w:val="20"/>
                <w:color w:val="auto"/>
              </w:rPr>
            </w:pPr>
            <w:r>
              <w:rPr>
                <w:rFonts w:ascii="Arial" w:cs="Arial" w:eastAsia="Arial" w:hAnsi="Arial"/>
                <w:sz w:val="18"/>
                <w:szCs w:val="18"/>
                <w:color w:val="auto"/>
              </w:rPr>
              <w:t>380</w:t>
            </w:r>
          </w:p>
        </w:tc>
        <w:tc>
          <w:tcPr>
            <w:tcW w:w="1600" w:type="dxa"/>
            <w:vAlign w:val="bottom"/>
            <w:tcBorders>
              <w:bottom w:val="single" w:sz="8" w:color="auto"/>
            </w:tcBorders>
          </w:tcPr>
          <w:p>
            <w:pPr>
              <w:jc w:val="right"/>
              <w:ind w:right="510"/>
              <w:spacing w:after="0" w:line="203" w:lineRule="exact"/>
              <w:rPr>
                <w:sz w:val="20"/>
                <w:szCs w:val="20"/>
                <w:color w:val="auto"/>
              </w:rPr>
            </w:pPr>
            <w:r>
              <w:rPr>
                <w:rFonts w:ascii="Arial" w:cs="Arial" w:eastAsia="Arial" w:hAnsi="Arial"/>
                <w:sz w:val="18"/>
                <w:szCs w:val="18"/>
                <w:color w:val="auto"/>
              </w:rPr>
              <w:t>(705)</w:t>
            </w:r>
          </w:p>
        </w:tc>
        <w:tc>
          <w:tcPr>
            <w:tcW w:w="130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340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Total</w:t>
            </w:r>
          </w:p>
        </w:tc>
        <w:tc>
          <w:tcPr>
            <w:tcW w:w="220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$7,061</w:t>
            </w:r>
          </w:p>
        </w:tc>
        <w:tc>
          <w:tcPr>
            <w:tcW w:w="176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color w:val="auto"/>
              </w:rPr>
              <w:t>$7,766</w:t>
            </w:r>
          </w:p>
        </w:tc>
        <w:tc>
          <w:tcPr>
            <w:tcW w:w="160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color w:val="auto"/>
              </w:rPr>
              <w:t>($705)</w:t>
            </w:r>
          </w:p>
        </w:tc>
        <w:tc>
          <w:tcPr>
            <w:tcW w:w="130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362"/>
        </w:trPr>
        <w:tc>
          <w:tcPr>
            <w:tcW w:w="34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Year ended December 31, 2011</w:t>
            </w:r>
          </w:p>
        </w:tc>
        <w:tc>
          <w:tcPr>
            <w:tcW w:w="2200" w:type="dxa"/>
            <w:vAlign w:val="bottom"/>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1760" w:type="dxa"/>
            <w:vAlign w:val="bottom"/>
          </w:tcPr>
          <w:p>
            <w:pPr>
              <w:spacing w:after="0"/>
              <w:rPr>
                <w:sz w:val="24"/>
                <w:szCs w:val="24"/>
                <w:color w:val="auto"/>
              </w:rPr>
            </w:pPr>
          </w:p>
        </w:tc>
        <w:tc>
          <w:tcPr>
            <w:tcW w:w="1600" w:type="dxa"/>
            <w:vAlign w:val="bottom"/>
          </w:tcPr>
          <w:p>
            <w:pPr>
              <w:jc w:val="right"/>
              <w:ind w:right="150"/>
              <w:spacing w:after="0"/>
              <w:rPr>
                <w:sz w:val="20"/>
                <w:szCs w:val="20"/>
                <w:color w:val="auto"/>
              </w:rPr>
            </w:pPr>
            <w:r>
              <w:rPr>
                <w:rFonts w:ascii="Arial" w:cs="Arial" w:eastAsia="Arial" w:hAnsi="Arial"/>
                <w:sz w:val="18"/>
                <w:szCs w:val="18"/>
                <w:b w:val="1"/>
                <w:bCs w:val="1"/>
                <w:color w:val="auto"/>
              </w:rPr>
              <w:t>Impairment of</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Benefit plan</w:t>
            </w:r>
          </w:p>
        </w:tc>
        <w:tc>
          <w:tcPr>
            <w:tcW w:w="0" w:type="dxa"/>
            <w:vAlign w:val="bottom"/>
          </w:tcPr>
          <w:p>
            <w:pPr>
              <w:spacing w:after="0"/>
              <w:rPr>
                <w:sz w:val="1"/>
                <w:szCs w:val="1"/>
                <w:color w:val="auto"/>
              </w:rPr>
            </w:pPr>
          </w:p>
        </w:tc>
      </w:tr>
      <w:tr>
        <w:trPr>
          <w:trHeight w:val="131"/>
        </w:trPr>
        <w:tc>
          <w:tcPr>
            <w:tcW w:w="3400" w:type="dxa"/>
            <w:vAlign w:val="bottom"/>
            <w:vMerge w:val="continue"/>
          </w:tcPr>
          <w:p>
            <w:pPr>
              <w:spacing w:after="0"/>
              <w:rPr>
                <w:sz w:val="11"/>
                <w:szCs w:val="11"/>
                <w:color w:val="auto"/>
              </w:rPr>
            </w:pPr>
          </w:p>
        </w:tc>
        <w:tc>
          <w:tcPr>
            <w:tcW w:w="2200" w:type="dxa"/>
            <w:vAlign w:val="bottom"/>
            <w:vMerge w:val="restart"/>
          </w:tcPr>
          <w:p>
            <w:pPr>
              <w:jc w:val="right"/>
              <w:ind w:right="170"/>
              <w:spacing w:after="0" w:line="202" w:lineRule="exact"/>
              <w:rPr>
                <w:sz w:val="20"/>
                <w:szCs w:val="20"/>
                <w:color w:val="auto"/>
              </w:rPr>
            </w:pPr>
            <w:r>
              <w:rPr>
                <w:rFonts w:ascii="Arial" w:cs="Arial" w:eastAsia="Arial" w:hAnsi="Arial"/>
                <w:sz w:val="18"/>
                <w:szCs w:val="18"/>
                <w:b w:val="1"/>
                <w:bCs w:val="1"/>
                <w:color w:val="auto"/>
              </w:rPr>
              <w:t>restructuring</w:t>
            </w:r>
          </w:p>
        </w:tc>
        <w:tc>
          <w:tcPr>
            <w:tcW w:w="1760" w:type="dxa"/>
            <w:vAlign w:val="bottom"/>
            <w:vMerge w:val="restart"/>
          </w:tcPr>
          <w:p>
            <w:pPr>
              <w:jc w:val="right"/>
              <w:ind w:right="130"/>
              <w:spacing w:after="0" w:line="202" w:lineRule="exact"/>
              <w:rPr>
                <w:sz w:val="20"/>
                <w:szCs w:val="20"/>
                <w:color w:val="auto"/>
              </w:rPr>
            </w:pPr>
            <w:r>
              <w:rPr>
                <w:rFonts w:ascii="Arial" w:cs="Arial" w:eastAsia="Arial" w:hAnsi="Arial"/>
                <w:sz w:val="18"/>
                <w:szCs w:val="18"/>
                <w:b w:val="1"/>
                <w:bCs w:val="1"/>
                <w:color w:val="auto"/>
              </w:rPr>
              <w:t>Termination</w:t>
            </w:r>
          </w:p>
        </w:tc>
        <w:tc>
          <w:tcPr>
            <w:tcW w:w="1600" w:type="dxa"/>
            <w:vAlign w:val="bottom"/>
            <w:vMerge w:val="restart"/>
          </w:tcPr>
          <w:p>
            <w:pPr>
              <w:jc w:val="right"/>
              <w:ind w:right="150"/>
              <w:spacing w:after="0" w:line="202" w:lineRule="exact"/>
              <w:rPr>
                <w:sz w:val="20"/>
                <w:szCs w:val="20"/>
                <w:color w:val="auto"/>
              </w:rPr>
            </w:pPr>
            <w:r>
              <w:rPr>
                <w:rFonts w:ascii="Arial" w:cs="Arial" w:eastAsia="Arial" w:hAnsi="Arial"/>
                <w:sz w:val="18"/>
                <w:szCs w:val="18"/>
                <w:b w:val="1"/>
                <w:bCs w:val="1"/>
                <w:color w:val="auto"/>
              </w:rPr>
              <w:t>plant and</w:t>
            </w:r>
          </w:p>
        </w:tc>
        <w:tc>
          <w:tcPr>
            <w:tcW w:w="1300" w:type="dxa"/>
            <w:vAlign w:val="bottom"/>
            <w:vMerge w:val="restart"/>
          </w:tcPr>
          <w:p>
            <w:pPr>
              <w:jc w:val="right"/>
              <w:spacing w:after="0" w:line="202" w:lineRule="exact"/>
              <w:rPr>
                <w:sz w:val="20"/>
                <w:szCs w:val="20"/>
                <w:color w:val="auto"/>
              </w:rPr>
            </w:pPr>
            <w:r>
              <w:rPr>
                <w:rFonts w:ascii="Arial" w:cs="Arial" w:eastAsia="Arial" w:hAnsi="Arial"/>
                <w:sz w:val="18"/>
                <w:szCs w:val="18"/>
                <w:b w:val="1"/>
                <w:bCs w:val="1"/>
                <w:color w:val="auto"/>
              </w:rPr>
              <w:t>curtailment/</w:t>
            </w:r>
          </w:p>
        </w:tc>
        <w:tc>
          <w:tcPr>
            <w:tcW w:w="0" w:type="dxa"/>
            <w:vAlign w:val="bottom"/>
          </w:tcPr>
          <w:p>
            <w:pPr>
              <w:spacing w:after="0"/>
              <w:rPr>
                <w:sz w:val="1"/>
                <w:szCs w:val="1"/>
                <w:color w:val="auto"/>
              </w:rPr>
            </w:pPr>
          </w:p>
        </w:tc>
      </w:tr>
      <w:tr>
        <w:trPr>
          <w:trHeight w:val="72"/>
        </w:trPr>
        <w:tc>
          <w:tcPr>
            <w:tcW w:w="3400" w:type="dxa"/>
            <w:vAlign w:val="bottom"/>
          </w:tcPr>
          <w:p>
            <w:pPr>
              <w:spacing w:after="0"/>
              <w:rPr>
                <w:sz w:val="6"/>
                <w:szCs w:val="6"/>
                <w:color w:val="auto"/>
              </w:rPr>
            </w:pPr>
          </w:p>
        </w:tc>
        <w:tc>
          <w:tcPr>
            <w:tcW w:w="2200" w:type="dxa"/>
            <w:vAlign w:val="bottom"/>
            <w:vMerge w:val="continue"/>
          </w:tcPr>
          <w:p>
            <w:pPr>
              <w:spacing w:after="0"/>
              <w:rPr>
                <w:sz w:val="6"/>
                <w:szCs w:val="6"/>
                <w:color w:val="auto"/>
              </w:rPr>
            </w:pPr>
          </w:p>
        </w:tc>
        <w:tc>
          <w:tcPr>
            <w:tcW w:w="1760" w:type="dxa"/>
            <w:vAlign w:val="bottom"/>
            <w:vMerge w:val="continue"/>
          </w:tcPr>
          <w:p>
            <w:pPr>
              <w:spacing w:after="0"/>
              <w:rPr>
                <w:sz w:val="6"/>
                <w:szCs w:val="6"/>
                <w:color w:val="auto"/>
              </w:rPr>
            </w:pPr>
          </w:p>
        </w:tc>
        <w:tc>
          <w:tcPr>
            <w:tcW w:w="1600" w:type="dxa"/>
            <w:vAlign w:val="bottom"/>
            <w:vMerge w:val="continue"/>
          </w:tcPr>
          <w:p>
            <w:pPr>
              <w:spacing w:after="0"/>
              <w:rPr>
                <w:sz w:val="6"/>
                <w:szCs w:val="6"/>
                <w:color w:val="auto"/>
              </w:rPr>
            </w:pPr>
          </w:p>
        </w:tc>
        <w:tc>
          <w:tcPr>
            <w:tcW w:w="1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2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costs incurred</w:t>
            </w:r>
          </w:p>
        </w:tc>
        <w:tc>
          <w:tcPr>
            <w:tcW w:w="1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and other costs</w:t>
            </w:r>
          </w:p>
        </w:tc>
        <w:tc>
          <w:tcPr>
            <w:tcW w:w="16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equipment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settlement</w:t>
            </w:r>
          </w:p>
        </w:tc>
        <w:tc>
          <w:tcPr>
            <w:tcW w:w="0" w:type="dxa"/>
            <w:vAlign w:val="bottom"/>
          </w:tcPr>
          <w:p>
            <w:pPr>
              <w:spacing w:after="0"/>
              <w:rPr>
                <w:sz w:val="1"/>
                <w:szCs w:val="1"/>
                <w:color w:val="auto"/>
              </w:rPr>
            </w:pPr>
          </w:p>
        </w:tc>
      </w:tr>
      <w:tr>
        <w:trPr>
          <w:trHeight w:val="195"/>
        </w:trPr>
        <w:tc>
          <w:tcPr>
            <w:tcW w:w="3400" w:type="dxa"/>
            <w:vAlign w:val="bottom"/>
          </w:tcPr>
          <w:p>
            <w:pPr>
              <w:ind w:left="40"/>
              <w:spacing w:after="0" w:line="195" w:lineRule="exact"/>
              <w:rPr>
                <w:sz w:val="20"/>
                <w:szCs w:val="20"/>
                <w:color w:val="auto"/>
              </w:rPr>
            </w:pPr>
            <w:r>
              <w:rPr>
                <w:rFonts w:ascii="Arial" w:cs="Arial" w:eastAsia="Arial" w:hAnsi="Arial"/>
                <w:sz w:val="18"/>
                <w:szCs w:val="18"/>
                <w:color w:val="auto"/>
              </w:rPr>
              <w:t>Machine Clothing</w:t>
            </w:r>
          </w:p>
        </w:tc>
        <w:tc>
          <w:tcPr>
            <w:tcW w:w="2200" w:type="dxa"/>
            <w:vAlign w:val="bottom"/>
          </w:tcPr>
          <w:p>
            <w:pPr>
              <w:jc w:val="right"/>
              <w:ind w:right="410"/>
              <w:spacing w:after="0" w:line="195" w:lineRule="exact"/>
              <w:rPr>
                <w:sz w:val="20"/>
                <w:szCs w:val="20"/>
                <w:color w:val="auto"/>
              </w:rPr>
            </w:pPr>
            <w:r>
              <w:rPr>
                <w:rFonts w:ascii="Arial" w:cs="Arial" w:eastAsia="Arial" w:hAnsi="Arial"/>
                <w:sz w:val="18"/>
                <w:szCs w:val="18"/>
                <w:color w:val="auto"/>
              </w:rPr>
              <w:t>$5,680</w:t>
            </w:r>
          </w:p>
        </w:tc>
        <w:tc>
          <w:tcPr>
            <w:tcW w:w="1760" w:type="dxa"/>
            <w:vAlign w:val="bottom"/>
          </w:tcPr>
          <w:p>
            <w:pPr>
              <w:jc w:val="right"/>
              <w:ind w:right="450"/>
              <w:spacing w:after="0" w:line="195" w:lineRule="exact"/>
              <w:rPr>
                <w:sz w:val="20"/>
                <w:szCs w:val="20"/>
                <w:color w:val="auto"/>
              </w:rPr>
            </w:pPr>
            <w:r>
              <w:rPr>
                <w:rFonts w:ascii="Arial" w:cs="Arial" w:eastAsia="Arial" w:hAnsi="Arial"/>
                <w:sz w:val="18"/>
                <w:szCs w:val="18"/>
                <w:color w:val="auto"/>
              </w:rPr>
              <w:t>$5,484</w:t>
            </w:r>
          </w:p>
        </w:tc>
        <w:tc>
          <w:tcPr>
            <w:tcW w:w="1600" w:type="dxa"/>
            <w:vAlign w:val="bottom"/>
          </w:tcPr>
          <w:p>
            <w:pPr>
              <w:jc w:val="right"/>
              <w:ind w:right="510"/>
              <w:spacing w:after="0" w:line="195" w:lineRule="exact"/>
              <w:rPr>
                <w:sz w:val="20"/>
                <w:szCs w:val="20"/>
                <w:color w:val="auto"/>
              </w:rPr>
            </w:pPr>
            <w:r>
              <w:rPr>
                <w:rFonts w:ascii="Arial" w:cs="Arial" w:eastAsia="Arial" w:hAnsi="Arial"/>
                <w:sz w:val="18"/>
                <w:szCs w:val="18"/>
                <w:color w:val="auto"/>
              </w:rPr>
              <w:t>$ -</w:t>
            </w:r>
          </w:p>
        </w:tc>
        <w:tc>
          <w:tcPr>
            <w:tcW w:w="1300" w:type="dxa"/>
            <w:vAlign w:val="bottom"/>
          </w:tcPr>
          <w:p>
            <w:pPr>
              <w:jc w:val="right"/>
              <w:ind w:right="90"/>
              <w:spacing w:after="0" w:line="195" w:lineRule="exact"/>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03"/>
        </w:trPr>
        <w:tc>
          <w:tcPr>
            <w:tcW w:w="3400" w:type="dxa"/>
            <w:vAlign w:val="bottom"/>
          </w:tcPr>
          <w:p>
            <w:pPr>
              <w:ind w:left="40"/>
              <w:spacing w:after="0" w:line="202" w:lineRule="exact"/>
              <w:rPr>
                <w:sz w:val="20"/>
                <w:szCs w:val="20"/>
                <w:color w:val="auto"/>
              </w:rPr>
            </w:pPr>
            <w:r>
              <w:rPr>
                <w:rFonts w:ascii="Arial" w:cs="Arial" w:eastAsia="Arial" w:hAnsi="Arial"/>
                <w:sz w:val="18"/>
                <w:szCs w:val="18"/>
                <w:color w:val="auto"/>
              </w:rPr>
              <w:t>Engineered Composites</w:t>
            </w:r>
          </w:p>
        </w:tc>
        <w:tc>
          <w:tcPr>
            <w:tcW w:w="220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57</w:t>
            </w:r>
          </w:p>
        </w:tc>
        <w:tc>
          <w:tcPr>
            <w:tcW w:w="176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57</w:t>
            </w:r>
          </w:p>
        </w:tc>
        <w:tc>
          <w:tcPr>
            <w:tcW w:w="1600" w:type="dxa"/>
            <w:vAlign w:val="bottom"/>
          </w:tcPr>
          <w:p>
            <w:pPr>
              <w:jc w:val="right"/>
              <w:ind w:right="51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400" w:type="dxa"/>
            <w:vAlign w:val="bottom"/>
            <w:tcBorders>
              <w:bottom w:val="single" w:sz="8" w:color="auto"/>
            </w:tcBorders>
          </w:tcPr>
          <w:p>
            <w:pPr>
              <w:ind w:left="40"/>
              <w:spacing w:after="0" w:line="203" w:lineRule="exact"/>
              <w:rPr>
                <w:sz w:val="20"/>
                <w:szCs w:val="20"/>
                <w:color w:val="auto"/>
              </w:rPr>
            </w:pPr>
            <w:r>
              <w:rPr>
                <w:rFonts w:ascii="Arial" w:cs="Arial" w:eastAsia="Arial" w:hAnsi="Arial"/>
                <w:sz w:val="18"/>
                <w:szCs w:val="18"/>
                <w:color w:val="auto"/>
              </w:rPr>
              <w:t>Unallocated expenses</w:t>
            </w:r>
          </w:p>
        </w:tc>
        <w:tc>
          <w:tcPr>
            <w:tcW w:w="2200" w:type="dxa"/>
            <w:vAlign w:val="bottom"/>
            <w:tcBorders>
              <w:bottom w:val="single" w:sz="8" w:color="auto"/>
            </w:tcBorders>
          </w:tcPr>
          <w:p>
            <w:pPr>
              <w:jc w:val="right"/>
              <w:ind w:right="410"/>
              <w:spacing w:after="0" w:line="203" w:lineRule="exact"/>
              <w:rPr>
                <w:sz w:val="20"/>
                <w:szCs w:val="20"/>
                <w:color w:val="auto"/>
              </w:rPr>
            </w:pPr>
            <w:r>
              <w:rPr>
                <w:rFonts w:ascii="Arial" w:cs="Arial" w:eastAsia="Arial" w:hAnsi="Arial"/>
                <w:sz w:val="18"/>
                <w:szCs w:val="18"/>
                <w:color w:val="auto"/>
              </w:rPr>
              <w:t>3,580</w:t>
            </w:r>
          </w:p>
        </w:tc>
        <w:tc>
          <w:tcPr>
            <w:tcW w:w="1760" w:type="dxa"/>
            <w:vAlign w:val="bottom"/>
            <w:tcBorders>
              <w:bottom w:val="single" w:sz="8" w:color="auto"/>
            </w:tcBorders>
          </w:tcPr>
          <w:p>
            <w:pPr>
              <w:jc w:val="right"/>
              <w:ind w:right="450"/>
              <w:spacing w:after="0" w:line="203" w:lineRule="exact"/>
              <w:rPr>
                <w:sz w:val="20"/>
                <w:szCs w:val="20"/>
                <w:color w:val="auto"/>
              </w:rPr>
            </w:pPr>
            <w:r>
              <w:rPr>
                <w:rFonts w:ascii="Arial" w:cs="Arial" w:eastAsia="Arial" w:hAnsi="Arial"/>
                <w:sz w:val="18"/>
                <w:szCs w:val="18"/>
                <w:color w:val="auto"/>
              </w:rPr>
              <w:t>1,830</w:t>
            </w:r>
          </w:p>
        </w:tc>
        <w:tc>
          <w:tcPr>
            <w:tcW w:w="1600" w:type="dxa"/>
            <w:vAlign w:val="bottom"/>
            <w:tcBorders>
              <w:bottom w:val="single" w:sz="8" w:color="auto"/>
            </w:tcBorders>
          </w:tcPr>
          <w:p>
            <w:pPr>
              <w:jc w:val="right"/>
              <w:ind w:right="510"/>
              <w:spacing w:after="0" w:line="203" w:lineRule="exact"/>
              <w:rPr>
                <w:sz w:val="20"/>
                <w:szCs w:val="20"/>
                <w:color w:val="auto"/>
              </w:rPr>
            </w:pPr>
            <w:r>
              <w:rPr>
                <w:rFonts w:ascii="Arial" w:cs="Arial" w:eastAsia="Arial" w:hAnsi="Arial"/>
                <w:sz w:val="18"/>
                <w:szCs w:val="18"/>
                <w:color w:val="auto"/>
              </w:rPr>
              <w:t>1,750</w:t>
            </w:r>
          </w:p>
        </w:tc>
        <w:tc>
          <w:tcPr>
            <w:tcW w:w="130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340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Total</w:t>
            </w:r>
          </w:p>
        </w:tc>
        <w:tc>
          <w:tcPr>
            <w:tcW w:w="220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color w:val="auto"/>
              </w:rPr>
              <w:t>$9,317</w:t>
            </w:r>
          </w:p>
        </w:tc>
        <w:tc>
          <w:tcPr>
            <w:tcW w:w="176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color w:val="auto"/>
              </w:rPr>
              <w:t>$7,371</w:t>
            </w:r>
          </w:p>
        </w:tc>
        <w:tc>
          <w:tcPr>
            <w:tcW w:w="160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color w:val="auto"/>
              </w:rPr>
              <w:t>$1,750</w:t>
            </w:r>
          </w:p>
        </w:tc>
        <w:tc>
          <w:tcPr>
            <w:tcW w:w="130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20" w:firstLine="648"/>
        <w:spacing w:after="0" w:line="246" w:lineRule="auto"/>
        <w:rPr>
          <w:sz w:val="20"/>
          <w:szCs w:val="20"/>
          <w:color w:val="auto"/>
        </w:rPr>
      </w:pPr>
      <w:r>
        <w:rPr>
          <w:rFonts w:ascii="Arial" w:cs="Arial" w:eastAsia="Arial" w:hAnsi="Arial"/>
          <w:sz w:val="18"/>
          <w:szCs w:val="18"/>
          <w:color w:val="auto"/>
        </w:rPr>
        <w:t>We expect that substantially all accruals for restructuring liabilities will be paid within one year. The table below presents the changes in restructuring liabilities:</w:t>
      </w:r>
    </w:p>
    <w:p>
      <w:pPr>
        <w:spacing w:after="0" w:line="137" w:lineRule="exact"/>
        <w:rPr>
          <w:sz w:val="20"/>
          <w:szCs w:val="20"/>
          <w:color w:val="auto"/>
        </w:rPr>
      </w:pPr>
    </w:p>
    <w:tbl>
      <w:tblPr>
        <w:tblLayout w:type="fixed"/>
        <w:tblInd w:w="660" w:type="dxa"/>
        <w:tblCellMar>
          <w:top w:w="0" w:type="dxa"/>
          <w:left w:w="0" w:type="dxa"/>
          <w:bottom w:w="0" w:type="dxa"/>
          <w:right w:w="0" w:type="dxa"/>
        </w:tblCellMar>
      </w:tblPr>
      <w:tr>
        <w:trPr>
          <w:trHeight w:val="193"/>
        </w:trPr>
        <w:tc>
          <w:tcPr>
            <w:tcW w:w="1880" w:type="dxa"/>
            <w:vAlign w:val="bottom"/>
            <w:tcBorders>
              <w:top w:val="single" w:sz="8" w:color="auto"/>
            </w:tcBorders>
          </w:tcPr>
          <w:p>
            <w:pPr>
              <w:spacing w:after="0"/>
              <w:rPr>
                <w:sz w:val="16"/>
                <w:szCs w:val="16"/>
                <w:color w:val="auto"/>
              </w:rPr>
            </w:pPr>
          </w:p>
        </w:tc>
        <w:tc>
          <w:tcPr>
            <w:tcW w:w="1920" w:type="dxa"/>
            <w:vAlign w:val="bottom"/>
            <w:tcBorders>
              <w:top w:val="single" w:sz="8" w:color="auto"/>
            </w:tcBorders>
          </w:tcPr>
          <w:p>
            <w:pPr>
              <w:jc w:val="right"/>
              <w:ind w:right="190"/>
              <w:spacing w:after="0" w:line="194" w:lineRule="exact"/>
              <w:rPr>
                <w:sz w:val="20"/>
                <w:szCs w:val="20"/>
                <w:color w:val="auto"/>
              </w:rPr>
            </w:pPr>
            <w:r>
              <w:rPr>
                <w:rFonts w:ascii="Arial" w:cs="Arial" w:eastAsia="Arial" w:hAnsi="Arial"/>
                <w:sz w:val="18"/>
                <w:szCs w:val="18"/>
                <w:b w:val="1"/>
                <w:bCs w:val="1"/>
                <w:color w:val="auto"/>
              </w:rPr>
              <w:t>December 31,</w:t>
            </w:r>
          </w:p>
        </w:tc>
        <w:tc>
          <w:tcPr>
            <w:tcW w:w="1840" w:type="dxa"/>
            <w:vAlign w:val="bottom"/>
            <w:tcBorders>
              <w:top w:val="single" w:sz="8" w:color="auto"/>
            </w:tcBorders>
          </w:tcPr>
          <w:p>
            <w:pPr>
              <w:jc w:val="right"/>
              <w:ind w:right="50"/>
              <w:spacing w:after="0" w:line="194" w:lineRule="exact"/>
              <w:rPr>
                <w:sz w:val="20"/>
                <w:szCs w:val="20"/>
                <w:color w:val="auto"/>
              </w:rPr>
            </w:pPr>
            <w:r>
              <w:rPr>
                <w:rFonts w:ascii="Arial" w:cs="Arial" w:eastAsia="Arial" w:hAnsi="Arial"/>
                <w:sz w:val="18"/>
                <w:szCs w:val="18"/>
                <w:b w:val="1"/>
                <w:bCs w:val="1"/>
                <w:color w:val="auto"/>
              </w:rPr>
              <w:t>Restructuring</w:t>
            </w:r>
          </w:p>
        </w:tc>
        <w:tc>
          <w:tcPr>
            <w:tcW w:w="1160" w:type="dxa"/>
            <w:vAlign w:val="bottom"/>
            <w:tcBorders>
              <w:top w:val="single" w:sz="8" w:color="auto"/>
            </w:tcBorders>
          </w:tcPr>
          <w:p>
            <w:pPr>
              <w:spacing w:after="0"/>
              <w:rPr>
                <w:sz w:val="16"/>
                <w:szCs w:val="16"/>
                <w:color w:val="auto"/>
              </w:rPr>
            </w:pPr>
          </w:p>
        </w:tc>
        <w:tc>
          <w:tcPr>
            <w:tcW w:w="2060" w:type="dxa"/>
            <w:vAlign w:val="bottom"/>
            <w:tcBorders>
              <w:top w:val="single" w:sz="8" w:color="auto"/>
            </w:tcBorders>
          </w:tcPr>
          <w:p>
            <w:pPr>
              <w:jc w:val="center"/>
              <w:ind w:right="290"/>
              <w:spacing w:after="0" w:line="194" w:lineRule="exact"/>
              <w:rPr>
                <w:sz w:val="20"/>
                <w:szCs w:val="20"/>
                <w:color w:val="auto"/>
              </w:rPr>
            </w:pPr>
            <w:r>
              <w:rPr>
                <w:rFonts w:ascii="Arial" w:cs="Arial" w:eastAsia="Arial" w:hAnsi="Arial"/>
                <w:sz w:val="18"/>
                <w:szCs w:val="18"/>
                <w:b w:val="1"/>
                <w:bCs w:val="1"/>
                <w:color w:val="auto"/>
              </w:rPr>
              <w:t>Currency</w:t>
            </w:r>
          </w:p>
        </w:tc>
        <w:tc>
          <w:tcPr>
            <w:tcW w:w="1420" w:type="dxa"/>
            <w:vAlign w:val="bottom"/>
            <w:tcBorders>
              <w:top w:val="single" w:sz="8" w:color="auto"/>
            </w:tcBorders>
            <w:gridSpan w:val="2"/>
          </w:tcPr>
          <w:p>
            <w:pPr>
              <w:jc w:val="right"/>
              <w:ind w:right="20"/>
              <w:spacing w:after="0" w:line="194" w:lineRule="exact"/>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5"/>
        </w:trPr>
        <w:tc>
          <w:tcPr>
            <w:tcW w:w="188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19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2012</w:t>
            </w:r>
          </w:p>
        </w:tc>
        <w:tc>
          <w:tcPr>
            <w:tcW w:w="1840" w:type="dxa"/>
            <w:vAlign w:val="bottom"/>
          </w:tcPr>
          <w:p>
            <w:pPr>
              <w:jc w:val="right"/>
              <w:ind w:right="50"/>
              <w:spacing w:after="0"/>
              <w:rPr>
                <w:sz w:val="20"/>
                <w:szCs w:val="20"/>
                <w:color w:val="auto"/>
              </w:rPr>
            </w:pPr>
            <w:r>
              <w:rPr>
                <w:rFonts w:ascii="Arial" w:cs="Arial" w:eastAsia="Arial" w:hAnsi="Arial"/>
                <w:sz w:val="18"/>
                <w:szCs w:val="18"/>
                <w:b w:val="1"/>
                <w:bCs w:val="1"/>
                <w:color w:val="auto"/>
              </w:rPr>
              <w:t>charges accrued</w:t>
            </w:r>
          </w:p>
        </w:tc>
        <w:tc>
          <w:tcPr>
            <w:tcW w:w="1160" w:type="dxa"/>
            <w:vAlign w:val="bottom"/>
          </w:tcPr>
          <w:p>
            <w:pPr>
              <w:jc w:val="right"/>
              <w:ind w:right="50"/>
              <w:spacing w:after="0"/>
              <w:rPr>
                <w:sz w:val="20"/>
                <w:szCs w:val="20"/>
                <w:color w:val="auto"/>
              </w:rPr>
            </w:pPr>
            <w:r>
              <w:rPr>
                <w:rFonts w:ascii="Arial" w:cs="Arial" w:eastAsia="Arial" w:hAnsi="Arial"/>
                <w:sz w:val="18"/>
                <w:szCs w:val="18"/>
                <w:b w:val="1"/>
                <w:bCs w:val="1"/>
                <w:color w:val="auto"/>
              </w:rPr>
              <w:t>Payments</w:t>
            </w:r>
          </w:p>
        </w:tc>
        <w:tc>
          <w:tcPr>
            <w:tcW w:w="2060" w:type="dxa"/>
            <w:vAlign w:val="bottom"/>
          </w:tcPr>
          <w:p>
            <w:pPr>
              <w:jc w:val="center"/>
              <w:ind w:right="270"/>
              <w:spacing w:after="0"/>
              <w:rPr>
                <w:sz w:val="20"/>
                <w:szCs w:val="20"/>
                <w:color w:val="auto"/>
              </w:rPr>
            </w:pPr>
            <w:r>
              <w:rPr>
                <w:rFonts w:ascii="Arial" w:cs="Arial" w:eastAsia="Arial" w:hAnsi="Arial"/>
                <w:sz w:val="18"/>
                <w:szCs w:val="18"/>
                <w:b w:val="1"/>
                <w:bCs w:val="1"/>
                <w:color w:val="auto"/>
                <w:w w:val="99"/>
              </w:rPr>
              <w:t>translation/other</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399"/>
        </w:trPr>
        <w:tc>
          <w:tcPr>
            <w:tcW w:w="18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Termination costs</w:t>
            </w:r>
          </w:p>
        </w:tc>
        <w:tc>
          <w:tcPr>
            <w:tcW w:w="19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$4,947</w:t>
            </w:r>
          </w:p>
        </w:tc>
        <w:tc>
          <w:tcPr>
            <w:tcW w:w="18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$26,408</w:t>
            </w:r>
          </w:p>
        </w:tc>
        <w:tc>
          <w:tcPr>
            <w:tcW w:w="1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($22,478)</w:t>
            </w:r>
          </w:p>
        </w:tc>
        <w:tc>
          <w:tcPr>
            <w:tcW w:w="20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$779</w:t>
            </w:r>
          </w:p>
        </w:tc>
        <w:tc>
          <w:tcPr>
            <w:tcW w:w="14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$9,656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9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$4,947</w:t>
            </w:r>
          </w:p>
        </w:tc>
        <w:tc>
          <w:tcPr>
            <w:tcW w:w="18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$26,408</w:t>
            </w: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($22,478)</w:t>
            </w:r>
          </w:p>
        </w:tc>
        <w:tc>
          <w:tcPr>
            <w:tcW w:w="2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$779</w:t>
            </w:r>
          </w:p>
        </w:tc>
        <w:tc>
          <w:tcPr>
            <w:tcW w:w="1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$9,656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8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880" w:type="dxa"/>
            <w:vAlign w:val="bottom"/>
          </w:tcPr>
          <w:p>
            <w:pPr>
              <w:spacing w:after="0"/>
              <w:rPr>
                <w:sz w:val="15"/>
                <w:szCs w:val="15"/>
                <w:color w:val="auto"/>
              </w:rPr>
            </w:pPr>
          </w:p>
        </w:tc>
        <w:tc>
          <w:tcPr>
            <w:tcW w:w="1920" w:type="dxa"/>
            <w:vAlign w:val="bottom"/>
          </w:tcPr>
          <w:p>
            <w:pPr>
              <w:jc w:val="right"/>
              <w:ind w:right="190"/>
              <w:spacing w:after="0" w:line="173" w:lineRule="exact"/>
              <w:rPr>
                <w:sz w:val="20"/>
                <w:szCs w:val="20"/>
                <w:color w:val="auto"/>
              </w:rPr>
            </w:pPr>
            <w:r>
              <w:rPr>
                <w:rFonts w:ascii="Arial" w:cs="Arial" w:eastAsia="Arial" w:hAnsi="Arial"/>
                <w:sz w:val="18"/>
                <w:szCs w:val="18"/>
                <w:b w:val="1"/>
                <w:bCs w:val="1"/>
                <w:color w:val="auto"/>
              </w:rPr>
              <w:t>December 31,</w:t>
            </w:r>
          </w:p>
        </w:tc>
        <w:tc>
          <w:tcPr>
            <w:tcW w:w="1840" w:type="dxa"/>
            <w:vAlign w:val="bottom"/>
          </w:tcPr>
          <w:p>
            <w:pPr>
              <w:jc w:val="right"/>
              <w:ind w:right="50"/>
              <w:spacing w:after="0" w:line="173" w:lineRule="exact"/>
              <w:rPr>
                <w:sz w:val="20"/>
                <w:szCs w:val="20"/>
                <w:color w:val="auto"/>
              </w:rPr>
            </w:pPr>
            <w:r>
              <w:rPr>
                <w:rFonts w:ascii="Arial" w:cs="Arial" w:eastAsia="Arial" w:hAnsi="Arial"/>
                <w:sz w:val="18"/>
                <w:szCs w:val="18"/>
                <w:b w:val="1"/>
                <w:bCs w:val="1"/>
                <w:color w:val="auto"/>
              </w:rPr>
              <w:t>Restructuring</w:t>
            </w:r>
          </w:p>
        </w:tc>
        <w:tc>
          <w:tcPr>
            <w:tcW w:w="1160" w:type="dxa"/>
            <w:vAlign w:val="bottom"/>
          </w:tcPr>
          <w:p>
            <w:pPr>
              <w:spacing w:after="0"/>
              <w:rPr>
                <w:sz w:val="15"/>
                <w:szCs w:val="15"/>
                <w:color w:val="auto"/>
              </w:rPr>
            </w:pPr>
          </w:p>
        </w:tc>
        <w:tc>
          <w:tcPr>
            <w:tcW w:w="2060" w:type="dxa"/>
            <w:vAlign w:val="bottom"/>
          </w:tcPr>
          <w:p>
            <w:pPr>
              <w:jc w:val="center"/>
              <w:ind w:right="290"/>
              <w:spacing w:after="0" w:line="173" w:lineRule="exact"/>
              <w:rPr>
                <w:sz w:val="20"/>
                <w:szCs w:val="20"/>
                <w:color w:val="auto"/>
              </w:rPr>
            </w:pPr>
            <w:r>
              <w:rPr>
                <w:rFonts w:ascii="Arial" w:cs="Arial" w:eastAsia="Arial" w:hAnsi="Arial"/>
                <w:sz w:val="18"/>
                <w:szCs w:val="18"/>
                <w:b w:val="1"/>
                <w:bCs w:val="1"/>
                <w:color w:val="auto"/>
              </w:rPr>
              <w:t>Currency</w:t>
            </w:r>
          </w:p>
        </w:tc>
        <w:tc>
          <w:tcPr>
            <w:tcW w:w="1400" w:type="dxa"/>
            <w:vAlign w:val="bottom"/>
          </w:tcPr>
          <w:p>
            <w:pPr>
              <w:jc w:val="right"/>
              <w:spacing w:after="0" w:line="173" w:lineRule="exact"/>
              <w:rPr>
                <w:sz w:val="20"/>
                <w:szCs w:val="20"/>
                <w:color w:val="auto"/>
              </w:rPr>
            </w:pPr>
            <w:r>
              <w:rPr>
                <w:rFonts w:ascii="Arial" w:cs="Arial" w:eastAsia="Arial" w:hAnsi="Arial"/>
                <w:sz w:val="18"/>
                <w:szCs w:val="18"/>
                <w:b w:val="1"/>
                <w:bCs w:val="1"/>
                <w:color w:val="auto"/>
              </w:rPr>
              <w:t>December 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188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19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2011</w:t>
            </w:r>
          </w:p>
        </w:tc>
        <w:tc>
          <w:tcPr>
            <w:tcW w:w="1840" w:type="dxa"/>
            <w:vAlign w:val="bottom"/>
          </w:tcPr>
          <w:p>
            <w:pPr>
              <w:jc w:val="right"/>
              <w:ind w:right="50"/>
              <w:spacing w:after="0"/>
              <w:rPr>
                <w:sz w:val="20"/>
                <w:szCs w:val="20"/>
                <w:color w:val="auto"/>
              </w:rPr>
            </w:pPr>
            <w:r>
              <w:rPr>
                <w:rFonts w:ascii="Arial" w:cs="Arial" w:eastAsia="Arial" w:hAnsi="Arial"/>
                <w:sz w:val="18"/>
                <w:szCs w:val="18"/>
                <w:b w:val="1"/>
                <w:bCs w:val="1"/>
                <w:color w:val="auto"/>
              </w:rPr>
              <w:t>charges accrued</w:t>
            </w:r>
          </w:p>
        </w:tc>
        <w:tc>
          <w:tcPr>
            <w:tcW w:w="1160" w:type="dxa"/>
            <w:vAlign w:val="bottom"/>
          </w:tcPr>
          <w:p>
            <w:pPr>
              <w:jc w:val="right"/>
              <w:ind w:right="50"/>
              <w:spacing w:after="0"/>
              <w:rPr>
                <w:sz w:val="20"/>
                <w:szCs w:val="20"/>
                <w:color w:val="auto"/>
              </w:rPr>
            </w:pPr>
            <w:r>
              <w:rPr>
                <w:rFonts w:ascii="Arial" w:cs="Arial" w:eastAsia="Arial" w:hAnsi="Arial"/>
                <w:sz w:val="18"/>
                <w:szCs w:val="18"/>
                <w:b w:val="1"/>
                <w:bCs w:val="1"/>
                <w:color w:val="auto"/>
              </w:rPr>
              <w:t>Payments</w:t>
            </w:r>
          </w:p>
        </w:tc>
        <w:tc>
          <w:tcPr>
            <w:tcW w:w="2060" w:type="dxa"/>
            <w:vAlign w:val="bottom"/>
          </w:tcPr>
          <w:p>
            <w:pPr>
              <w:jc w:val="center"/>
              <w:ind w:right="270"/>
              <w:spacing w:after="0"/>
              <w:rPr>
                <w:sz w:val="20"/>
                <w:szCs w:val="20"/>
                <w:color w:val="auto"/>
              </w:rPr>
            </w:pPr>
            <w:r>
              <w:rPr>
                <w:rFonts w:ascii="Arial" w:cs="Arial" w:eastAsia="Arial" w:hAnsi="Arial"/>
                <w:sz w:val="18"/>
                <w:szCs w:val="18"/>
                <w:b w:val="1"/>
                <w:bCs w:val="1"/>
                <w:color w:val="auto"/>
                <w:w w:val="99"/>
              </w:rPr>
              <w:t>translation/other</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399"/>
        </w:trPr>
        <w:tc>
          <w:tcPr>
            <w:tcW w:w="18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Termination costs</w:t>
            </w:r>
          </w:p>
        </w:tc>
        <w:tc>
          <w:tcPr>
            <w:tcW w:w="19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$6,979</w:t>
            </w:r>
          </w:p>
        </w:tc>
        <w:tc>
          <w:tcPr>
            <w:tcW w:w="18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$7,617</w:t>
            </w:r>
          </w:p>
        </w:tc>
        <w:tc>
          <w:tcPr>
            <w:tcW w:w="1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($9,672)</w:t>
            </w:r>
          </w:p>
        </w:tc>
        <w:tc>
          <w:tcPr>
            <w:tcW w:w="20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$23</w:t>
            </w:r>
          </w:p>
        </w:tc>
        <w:tc>
          <w:tcPr>
            <w:tcW w:w="14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$4,947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9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$6,979</w:t>
            </w:r>
          </w:p>
        </w:tc>
        <w:tc>
          <w:tcPr>
            <w:tcW w:w="18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$7,617</w:t>
            </w: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($9,672)</w:t>
            </w:r>
          </w:p>
        </w:tc>
        <w:tc>
          <w:tcPr>
            <w:tcW w:w="2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$23</w:t>
            </w:r>
          </w:p>
        </w:tc>
        <w:tc>
          <w:tcPr>
            <w:tcW w:w="1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$4,947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431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39"/>
        </w:trPr>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7. Other Expense/(Income), net</w:t>
            </w:r>
          </w:p>
        </w:tc>
        <w:tc>
          <w:tcPr>
            <w:tcW w:w="2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78"/>
        </w:trPr>
        <w:tc>
          <w:tcPr>
            <w:tcW w:w="6260" w:type="dxa"/>
            <w:vAlign w:val="bottom"/>
            <w:gridSpan w:val="2"/>
          </w:tcPr>
          <w:p>
            <w:pPr>
              <w:ind w:left="660"/>
              <w:spacing w:after="0"/>
              <w:rPr>
                <w:sz w:val="20"/>
                <w:szCs w:val="20"/>
                <w:color w:val="auto"/>
              </w:rPr>
            </w:pPr>
            <w:r>
              <w:rPr>
                <w:rFonts w:ascii="Arial" w:cs="Arial" w:eastAsia="Arial" w:hAnsi="Arial"/>
                <w:sz w:val="18"/>
                <w:szCs w:val="18"/>
                <w:color w:val="auto"/>
              </w:rPr>
              <w:t>The components of other expense/(income), net, are:</w:t>
            </w:r>
          </w:p>
        </w:tc>
        <w:tc>
          <w:tcPr>
            <w:tcW w:w="2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78"/>
        </w:trPr>
        <w:tc>
          <w:tcPr>
            <w:tcW w:w="660" w:type="dxa"/>
            <w:vAlign w:val="bottom"/>
          </w:tcPr>
          <w:p>
            <w:pPr>
              <w:spacing w:after="0"/>
              <w:rPr>
                <w:sz w:val="24"/>
                <w:szCs w:val="24"/>
                <w:color w:val="auto"/>
              </w:rPr>
            </w:pPr>
          </w:p>
        </w:tc>
        <w:tc>
          <w:tcPr>
            <w:tcW w:w="56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(in thousands)</w:t>
            </w:r>
          </w:p>
        </w:tc>
        <w:tc>
          <w:tcPr>
            <w:tcW w:w="23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2011</w:t>
            </w:r>
          </w:p>
        </w:tc>
      </w:tr>
      <w:tr>
        <w:trPr>
          <w:trHeight w:val="173"/>
        </w:trPr>
        <w:tc>
          <w:tcPr>
            <w:tcW w:w="660" w:type="dxa"/>
            <w:vAlign w:val="bottom"/>
          </w:tcPr>
          <w:p>
            <w:pPr>
              <w:spacing w:after="0"/>
              <w:rPr>
                <w:sz w:val="15"/>
                <w:szCs w:val="15"/>
                <w:color w:val="auto"/>
              </w:rPr>
            </w:pPr>
          </w:p>
        </w:tc>
        <w:tc>
          <w:tcPr>
            <w:tcW w:w="5600" w:type="dxa"/>
            <w:vAlign w:val="bottom"/>
          </w:tcPr>
          <w:p>
            <w:pPr>
              <w:ind w:left="40"/>
              <w:spacing w:after="0" w:line="173" w:lineRule="exact"/>
              <w:rPr>
                <w:sz w:val="20"/>
                <w:szCs w:val="20"/>
                <w:color w:val="auto"/>
              </w:rPr>
            </w:pPr>
            <w:r>
              <w:rPr>
                <w:rFonts w:ascii="Arial" w:cs="Arial" w:eastAsia="Arial" w:hAnsi="Arial"/>
                <w:sz w:val="18"/>
                <w:szCs w:val="18"/>
                <w:color w:val="auto"/>
              </w:rPr>
              <w:t>Currency transactions</w:t>
            </w:r>
          </w:p>
        </w:tc>
        <w:tc>
          <w:tcPr>
            <w:tcW w:w="2300" w:type="dxa"/>
            <w:vAlign w:val="bottom"/>
          </w:tcPr>
          <w:p>
            <w:pPr>
              <w:jc w:val="right"/>
              <w:ind w:right="310"/>
              <w:spacing w:after="0" w:line="173" w:lineRule="exact"/>
              <w:rPr>
                <w:sz w:val="20"/>
                <w:szCs w:val="20"/>
                <w:color w:val="auto"/>
              </w:rPr>
            </w:pPr>
            <w:r>
              <w:rPr>
                <w:rFonts w:ascii="Arial" w:cs="Arial" w:eastAsia="Arial" w:hAnsi="Arial"/>
                <w:sz w:val="18"/>
                <w:szCs w:val="18"/>
                <w:b w:val="1"/>
                <w:bCs w:val="1"/>
                <w:color w:val="auto"/>
              </w:rPr>
              <w:t>$5,227</w:t>
            </w:r>
          </w:p>
        </w:tc>
        <w:tc>
          <w:tcPr>
            <w:tcW w:w="1360" w:type="dxa"/>
            <w:vAlign w:val="bottom"/>
          </w:tcPr>
          <w:p>
            <w:pPr>
              <w:jc w:val="right"/>
              <w:ind w:right="330"/>
              <w:spacing w:after="0" w:line="173" w:lineRule="exact"/>
              <w:rPr>
                <w:sz w:val="20"/>
                <w:szCs w:val="20"/>
                <w:color w:val="auto"/>
              </w:rPr>
            </w:pPr>
            <w:r>
              <w:rPr>
                <w:rFonts w:ascii="Arial" w:cs="Arial" w:eastAsia="Arial" w:hAnsi="Arial"/>
                <w:sz w:val="18"/>
                <w:szCs w:val="18"/>
                <w:color w:val="auto"/>
              </w:rPr>
              <w:t>$5,708</w:t>
            </w:r>
          </w:p>
        </w:tc>
        <w:tc>
          <w:tcPr>
            <w:tcW w:w="1000" w:type="dxa"/>
            <w:vAlign w:val="bottom"/>
          </w:tcPr>
          <w:p>
            <w:pPr>
              <w:jc w:val="right"/>
              <w:spacing w:after="0" w:line="173" w:lineRule="exact"/>
              <w:rPr>
                <w:sz w:val="20"/>
                <w:szCs w:val="20"/>
                <w:color w:val="auto"/>
              </w:rPr>
            </w:pPr>
            <w:r>
              <w:rPr>
                <w:rFonts w:ascii="Arial" w:cs="Arial" w:eastAsia="Arial" w:hAnsi="Arial"/>
                <w:sz w:val="18"/>
                <w:szCs w:val="18"/>
                <w:color w:val="auto"/>
              </w:rPr>
              <w:t>($84)</w:t>
            </w:r>
          </w:p>
        </w:tc>
      </w:tr>
      <w:tr>
        <w:trPr>
          <w:trHeight w:val="203"/>
        </w:trPr>
        <w:tc>
          <w:tcPr>
            <w:tcW w:w="660" w:type="dxa"/>
            <w:vAlign w:val="bottom"/>
          </w:tcPr>
          <w:p>
            <w:pPr>
              <w:spacing w:after="0"/>
              <w:rPr>
                <w:sz w:val="17"/>
                <w:szCs w:val="17"/>
                <w:color w:val="auto"/>
              </w:rPr>
            </w:pPr>
          </w:p>
        </w:tc>
        <w:tc>
          <w:tcPr>
            <w:tcW w:w="5600" w:type="dxa"/>
            <w:vAlign w:val="bottom"/>
          </w:tcPr>
          <w:p>
            <w:pPr>
              <w:ind w:left="40"/>
              <w:spacing w:after="0" w:line="202" w:lineRule="exact"/>
              <w:rPr>
                <w:sz w:val="20"/>
                <w:szCs w:val="20"/>
                <w:color w:val="auto"/>
              </w:rPr>
            </w:pPr>
            <w:r>
              <w:rPr>
                <w:rFonts w:ascii="Arial" w:cs="Arial" w:eastAsia="Arial" w:hAnsi="Arial"/>
                <w:sz w:val="18"/>
                <w:szCs w:val="18"/>
                <w:color w:val="auto"/>
              </w:rPr>
              <w:t>Bank fees and amortization of debt issuance costs</w:t>
            </w:r>
          </w:p>
        </w:tc>
        <w:tc>
          <w:tcPr>
            <w:tcW w:w="2300" w:type="dxa"/>
            <w:vAlign w:val="bottom"/>
          </w:tcPr>
          <w:p>
            <w:pPr>
              <w:jc w:val="right"/>
              <w:ind w:right="310"/>
              <w:spacing w:after="0" w:line="202" w:lineRule="exact"/>
              <w:rPr>
                <w:sz w:val="20"/>
                <w:szCs w:val="20"/>
                <w:color w:val="auto"/>
              </w:rPr>
            </w:pPr>
            <w:r>
              <w:rPr>
                <w:rFonts w:ascii="Arial" w:cs="Arial" w:eastAsia="Arial" w:hAnsi="Arial"/>
                <w:sz w:val="18"/>
                <w:szCs w:val="18"/>
                <w:b w:val="1"/>
                <w:bCs w:val="1"/>
                <w:color w:val="auto"/>
              </w:rPr>
              <w:t>1,542</w:t>
            </w:r>
          </w:p>
        </w:tc>
        <w:tc>
          <w:tcPr>
            <w:tcW w:w="136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2,385</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1,837</w:t>
            </w:r>
          </w:p>
        </w:tc>
      </w:tr>
      <w:tr>
        <w:trPr>
          <w:trHeight w:val="203"/>
        </w:trPr>
        <w:tc>
          <w:tcPr>
            <w:tcW w:w="660" w:type="dxa"/>
            <w:vAlign w:val="bottom"/>
          </w:tcPr>
          <w:p>
            <w:pPr>
              <w:spacing w:after="0"/>
              <w:rPr>
                <w:sz w:val="17"/>
                <w:szCs w:val="17"/>
                <w:color w:val="auto"/>
              </w:rPr>
            </w:pPr>
          </w:p>
        </w:tc>
        <w:tc>
          <w:tcPr>
            <w:tcW w:w="5600" w:type="dxa"/>
            <w:vAlign w:val="bottom"/>
          </w:tcPr>
          <w:p>
            <w:pPr>
              <w:ind w:left="40"/>
              <w:spacing w:after="0" w:line="202" w:lineRule="exact"/>
              <w:rPr>
                <w:sz w:val="20"/>
                <w:szCs w:val="20"/>
                <w:color w:val="auto"/>
              </w:rPr>
            </w:pPr>
            <w:r>
              <w:rPr>
                <w:rFonts w:ascii="Arial" w:cs="Arial" w:eastAsia="Arial" w:hAnsi="Arial"/>
                <w:sz w:val="18"/>
                <w:szCs w:val="18"/>
                <w:color w:val="auto"/>
              </w:rPr>
              <w:t>Letter of credit fees</w:t>
            </w:r>
          </w:p>
        </w:tc>
        <w:tc>
          <w:tcPr>
            <w:tcW w:w="2300" w:type="dxa"/>
            <w:vAlign w:val="bottom"/>
          </w:tcPr>
          <w:p>
            <w:pPr>
              <w:jc w:val="right"/>
              <w:ind w:right="310"/>
              <w:spacing w:after="0" w:line="202" w:lineRule="exact"/>
              <w:rPr>
                <w:sz w:val="20"/>
                <w:szCs w:val="20"/>
                <w:color w:val="auto"/>
              </w:rPr>
            </w:pPr>
            <w:r>
              <w:rPr>
                <w:rFonts w:ascii="Arial" w:cs="Arial" w:eastAsia="Arial" w:hAnsi="Arial"/>
                <w:sz w:val="18"/>
                <w:szCs w:val="18"/>
                <w:b w:val="1"/>
                <w:bCs w:val="1"/>
                <w:color w:val="auto"/>
              </w:rPr>
              <w:t>-</w:t>
            </w:r>
          </w:p>
        </w:tc>
        <w:tc>
          <w:tcPr>
            <w:tcW w:w="136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963</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1,479</w:t>
            </w:r>
          </w:p>
        </w:tc>
      </w:tr>
      <w:tr>
        <w:trPr>
          <w:trHeight w:val="225"/>
        </w:trPr>
        <w:tc>
          <w:tcPr>
            <w:tcW w:w="660" w:type="dxa"/>
            <w:vAlign w:val="bottom"/>
          </w:tcPr>
          <w:p>
            <w:pPr>
              <w:spacing w:after="0"/>
              <w:rPr>
                <w:sz w:val="19"/>
                <w:szCs w:val="19"/>
                <w:color w:val="auto"/>
              </w:rPr>
            </w:pPr>
          </w:p>
        </w:tc>
        <w:tc>
          <w:tcPr>
            <w:tcW w:w="56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Other</w:t>
            </w:r>
          </w:p>
        </w:tc>
        <w:tc>
          <w:tcPr>
            <w:tcW w:w="23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487</w:t>
            </w:r>
          </w:p>
        </w:tc>
        <w:tc>
          <w:tcPr>
            <w:tcW w:w="13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(1,427)</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w:t>
            </w:r>
          </w:p>
        </w:tc>
      </w:tr>
      <w:tr>
        <w:trPr>
          <w:trHeight w:val="196"/>
        </w:trPr>
        <w:tc>
          <w:tcPr>
            <w:tcW w:w="660" w:type="dxa"/>
            <w:vAlign w:val="bottom"/>
          </w:tcPr>
          <w:p>
            <w:pPr>
              <w:spacing w:after="0"/>
              <w:rPr>
                <w:sz w:val="17"/>
                <w:szCs w:val="17"/>
                <w:color w:val="auto"/>
              </w:rPr>
            </w:pPr>
          </w:p>
        </w:tc>
        <w:tc>
          <w:tcPr>
            <w:tcW w:w="560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Total</w:t>
            </w:r>
          </w:p>
        </w:tc>
        <w:tc>
          <w:tcPr>
            <w:tcW w:w="230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$7,256</w:t>
            </w:r>
          </w:p>
        </w:tc>
        <w:tc>
          <w:tcPr>
            <w:tcW w:w="136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color w:val="auto"/>
              </w:rPr>
              <w:t>$7,629</w:t>
            </w:r>
          </w:p>
        </w:tc>
        <w:tc>
          <w:tcPr>
            <w:tcW w:w="10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$2,639</w:t>
            </w:r>
          </w:p>
        </w:tc>
      </w:tr>
    </w:tbl>
    <w:p>
      <w:pPr>
        <w:spacing w:after="0" w:line="134" w:lineRule="exact"/>
        <w:rPr>
          <w:sz w:val="20"/>
          <w:szCs w:val="20"/>
          <w:color w:val="auto"/>
        </w:rPr>
      </w:pPr>
    </w:p>
    <w:p>
      <w:pPr>
        <w:ind w:right="20" w:firstLine="648"/>
        <w:spacing w:after="0" w:line="239" w:lineRule="auto"/>
        <w:rPr>
          <w:sz w:val="20"/>
          <w:szCs w:val="20"/>
          <w:color w:val="auto"/>
        </w:rPr>
      </w:pPr>
      <w:r>
        <w:rPr>
          <w:rFonts w:ascii="Arial" w:cs="Arial" w:eastAsia="Arial" w:hAnsi="Arial"/>
          <w:sz w:val="18"/>
          <w:szCs w:val="18"/>
          <w:color w:val="auto"/>
        </w:rPr>
        <w:t>In July 2013, the Company’s manufacturing facility in Germany was damaged by severe weather. The Company expensed the remaining book value of the damaged property, but that value was minimal. We have filed an insurance claim, but the final amount that the Company will recover has not been determined. We expect to record a gain for this involuntary conversion when the insurance claim is settled, but the amount of the gain cannot presently be determined.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193" w:lineRule="exact"/>
        <w:rPr>
          <w:sz w:val="20"/>
          <w:szCs w:val="20"/>
          <w:color w:val="auto"/>
        </w:rPr>
      </w:pPr>
    </w:p>
    <w:p>
      <w:pPr>
        <w:ind w:right="660" w:firstLine="648"/>
        <w:spacing w:after="0" w:line="246" w:lineRule="auto"/>
        <w:rPr>
          <w:sz w:val="20"/>
          <w:szCs w:val="20"/>
          <w:color w:val="auto"/>
        </w:rPr>
      </w:pPr>
      <w:r>
        <w:rPr>
          <w:rFonts w:ascii="Arial" w:cs="Arial" w:eastAsia="Arial" w:hAnsi="Arial"/>
          <w:sz w:val="18"/>
          <w:szCs w:val="18"/>
          <w:color w:val="auto"/>
        </w:rPr>
        <w:t>The following tables present components of income tax expense/(benefit) and income/(loss) before income taxes on continuing operations:</w:t>
      </w:r>
    </w:p>
    <w:p>
      <w:pPr>
        <w:spacing w:after="0" w:line="148" w:lineRule="exact"/>
        <w:rPr>
          <w:sz w:val="20"/>
          <w:szCs w:val="20"/>
          <w:color w:val="auto"/>
        </w:rPr>
      </w:pPr>
    </w:p>
    <w:tbl>
      <w:tblPr>
        <w:tblLayout w:type="fixed"/>
        <w:tblInd w:w="660" w:type="dxa"/>
        <w:tblCellMar>
          <w:top w:w="0" w:type="dxa"/>
          <w:left w:w="0" w:type="dxa"/>
          <w:bottom w:w="0" w:type="dxa"/>
          <w:right w:w="0" w:type="dxa"/>
        </w:tblCellMar>
      </w:tblPr>
      <w:tr>
        <w:trPr>
          <w:trHeight w:val="225"/>
        </w:trPr>
        <w:tc>
          <w:tcPr>
            <w:tcW w:w="6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15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2013</w:t>
            </w:r>
          </w:p>
        </w:tc>
        <w:tc>
          <w:tcPr>
            <w:tcW w:w="13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2012</w:t>
            </w: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398"/>
        </w:trPr>
        <w:tc>
          <w:tcPr>
            <w:tcW w:w="6280" w:type="dxa"/>
            <w:vAlign w:val="bottom"/>
            <w:gridSpan w:val="2"/>
          </w:tcPr>
          <w:p>
            <w:pPr>
              <w:spacing w:after="0"/>
              <w:rPr>
                <w:sz w:val="20"/>
                <w:szCs w:val="20"/>
                <w:color w:val="auto"/>
              </w:rPr>
            </w:pPr>
            <w:r>
              <w:rPr>
                <w:rFonts w:ascii="Arial" w:cs="Arial" w:eastAsia="Arial" w:hAnsi="Arial"/>
                <w:sz w:val="18"/>
                <w:szCs w:val="18"/>
                <w:color w:val="auto"/>
              </w:rPr>
              <w:t>Income tax based on income from continuing operations, at estimated tax</w:t>
            </w:r>
          </w:p>
        </w:tc>
        <w:tc>
          <w:tcPr>
            <w:tcW w:w="154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$15,172</w:t>
            </w:r>
          </w:p>
        </w:tc>
        <w:tc>
          <w:tcPr>
            <w:tcW w:w="1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6280" w:type="dxa"/>
            <w:vAlign w:val="bottom"/>
            <w:gridSpan w:val="2"/>
          </w:tcPr>
          <w:p>
            <w:pPr>
              <w:spacing w:after="0" w:line="181" w:lineRule="exact"/>
              <w:rPr>
                <w:sz w:val="20"/>
                <w:szCs w:val="20"/>
                <w:color w:val="auto"/>
              </w:rPr>
            </w:pPr>
            <w:r>
              <w:rPr>
                <w:rFonts w:ascii="Arial" w:cs="Arial" w:eastAsia="Arial" w:hAnsi="Arial"/>
                <w:sz w:val="18"/>
                <w:szCs w:val="18"/>
                <w:color w:val="auto"/>
              </w:rPr>
              <w:t>rates of 49%, 39%, and 33%, respectively</w:t>
            </w:r>
          </w:p>
        </w:tc>
        <w:tc>
          <w:tcPr>
            <w:tcW w:w="1540" w:type="dxa"/>
            <w:vAlign w:val="bottom"/>
            <w:vMerge w:val="continue"/>
          </w:tcPr>
          <w:p>
            <w:pPr>
              <w:spacing w:after="0"/>
              <w:rPr>
                <w:sz w:val="15"/>
                <w:szCs w:val="15"/>
                <w:color w:val="auto"/>
              </w:rPr>
            </w:pPr>
          </w:p>
        </w:tc>
        <w:tc>
          <w:tcPr>
            <w:tcW w:w="1340" w:type="dxa"/>
            <w:vAlign w:val="bottom"/>
          </w:tcPr>
          <w:p>
            <w:pPr>
              <w:jc w:val="right"/>
              <w:ind w:right="230"/>
              <w:spacing w:after="0" w:line="181" w:lineRule="exact"/>
              <w:rPr>
                <w:sz w:val="20"/>
                <w:szCs w:val="20"/>
                <w:color w:val="auto"/>
              </w:rPr>
            </w:pPr>
            <w:r>
              <w:rPr>
                <w:rFonts w:ascii="Arial" w:cs="Arial" w:eastAsia="Arial" w:hAnsi="Arial"/>
                <w:sz w:val="18"/>
                <w:szCs w:val="18"/>
                <w:color w:val="auto"/>
              </w:rPr>
              <w:t>$19,769</w:t>
            </w:r>
          </w:p>
        </w:tc>
        <w:tc>
          <w:tcPr>
            <w:tcW w:w="1100" w:type="dxa"/>
            <w:vAlign w:val="bottom"/>
          </w:tcPr>
          <w:p>
            <w:pPr>
              <w:jc w:val="right"/>
              <w:ind w:right="10"/>
              <w:spacing w:after="0" w:line="181" w:lineRule="exact"/>
              <w:rPr>
                <w:sz w:val="20"/>
                <w:szCs w:val="20"/>
                <w:color w:val="auto"/>
              </w:rPr>
            </w:pPr>
            <w:r>
              <w:rPr>
                <w:rFonts w:ascii="Arial" w:cs="Arial" w:eastAsia="Arial" w:hAnsi="Arial"/>
                <w:sz w:val="18"/>
                <w:szCs w:val="18"/>
                <w:color w:val="auto"/>
              </w:rPr>
              <w:t>$17,814</w:t>
            </w:r>
          </w:p>
        </w:tc>
        <w:tc>
          <w:tcPr>
            <w:tcW w:w="0" w:type="dxa"/>
            <w:vAlign w:val="bottom"/>
          </w:tcPr>
          <w:p>
            <w:pPr>
              <w:spacing w:after="0"/>
              <w:rPr>
                <w:sz w:val="1"/>
                <w:szCs w:val="1"/>
                <w:color w:val="auto"/>
              </w:rPr>
            </w:pPr>
          </w:p>
        </w:tc>
      </w:tr>
      <w:tr>
        <w:trPr>
          <w:trHeight w:val="225"/>
        </w:trPr>
        <w:tc>
          <w:tcPr>
            <w:tcW w:w="6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Pension plan settlements</w:t>
            </w:r>
          </w:p>
        </w:tc>
        <w:tc>
          <w:tcPr>
            <w:tcW w:w="15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(39,460)</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2"/>
        </w:trPr>
        <w:tc>
          <w:tcPr>
            <w:tcW w:w="6280" w:type="dxa"/>
            <w:vAlign w:val="bottom"/>
            <w:gridSpan w:val="2"/>
          </w:tcPr>
          <w:p>
            <w:pPr>
              <w:spacing w:after="0"/>
              <w:rPr>
                <w:sz w:val="20"/>
                <w:szCs w:val="20"/>
                <w:color w:val="auto"/>
              </w:rPr>
            </w:pPr>
            <w:r>
              <w:rPr>
                <w:rFonts w:ascii="Arial" w:cs="Arial" w:eastAsia="Arial" w:hAnsi="Arial"/>
                <w:sz w:val="18"/>
                <w:szCs w:val="18"/>
                <w:color w:val="auto"/>
              </w:rPr>
              <w:t>Income tax before discrete items</w:t>
            </w:r>
          </w:p>
        </w:tc>
        <w:tc>
          <w:tcPr>
            <w:tcW w:w="1540" w:type="dxa"/>
            <w:vAlign w:val="bottom"/>
          </w:tcPr>
          <w:p>
            <w:pPr>
              <w:jc w:val="right"/>
              <w:ind w:right="230"/>
              <w:spacing w:after="0"/>
              <w:rPr>
                <w:sz w:val="20"/>
                <w:szCs w:val="20"/>
                <w:color w:val="auto"/>
              </w:rPr>
            </w:pPr>
            <w:r>
              <w:rPr>
                <w:rFonts w:ascii="Arial" w:cs="Arial" w:eastAsia="Arial" w:hAnsi="Arial"/>
                <w:sz w:val="18"/>
                <w:szCs w:val="18"/>
                <w:b w:val="1"/>
                <w:bCs w:val="1"/>
                <w:color w:val="auto"/>
              </w:rPr>
              <w:t>15,172</w:t>
            </w:r>
          </w:p>
        </w:tc>
        <w:tc>
          <w:tcPr>
            <w:tcW w:w="1340" w:type="dxa"/>
            <w:vAlign w:val="bottom"/>
          </w:tcPr>
          <w:p>
            <w:pPr>
              <w:jc w:val="right"/>
              <w:ind w:right="170"/>
              <w:spacing w:after="0"/>
              <w:rPr>
                <w:sz w:val="20"/>
                <w:szCs w:val="20"/>
                <w:color w:val="auto"/>
              </w:rPr>
            </w:pPr>
            <w:r>
              <w:rPr>
                <w:rFonts w:ascii="Arial" w:cs="Arial" w:eastAsia="Arial" w:hAnsi="Arial"/>
                <w:sz w:val="18"/>
                <w:szCs w:val="18"/>
                <w:color w:val="auto"/>
              </w:rPr>
              <w:t>(19,691)</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17,814</w:t>
            </w:r>
          </w:p>
        </w:tc>
        <w:tc>
          <w:tcPr>
            <w:tcW w:w="0" w:type="dxa"/>
            <w:vAlign w:val="bottom"/>
          </w:tcPr>
          <w:p>
            <w:pPr>
              <w:spacing w:after="0"/>
              <w:rPr>
                <w:sz w:val="1"/>
                <w:szCs w:val="1"/>
                <w:color w:val="auto"/>
              </w:rPr>
            </w:pPr>
          </w:p>
        </w:tc>
      </w:tr>
      <w:tr>
        <w:trPr>
          <w:trHeight w:val="368"/>
        </w:trPr>
        <w:tc>
          <w:tcPr>
            <w:tcW w:w="6280" w:type="dxa"/>
            <w:vAlign w:val="bottom"/>
            <w:gridSpan w:val="2"/>
          </w:tcPr>
          <w:p>
            <w:pPr>
              <w:spacing w:after="0"/>
              <w:rPr>
                <w:sz w:val="20"/>
                <w:szCs w:val="20"/>
                <w:color w:val="auto"/>
              </w:rPr>
            </w:pPr>
            <w:r>
              <w:rPr>
                <w:rFonts w:ascii="Arial" w:cs="Arial" w:eastAsia="Arial" w:hAnsi="Arial"/>
                <w:sz w:val="18"/>
                <w:szCs w:val="18"/>
                <w:color w:val="auto"/>
              </w:rPr>
              <w:t>Discrete tax (benefit)/expense:</w:t>
            </w:r>
          </w:p>
        </w:tc>
        <w:tc>
          <w:tcPr>
            <w:tcW w:w="154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(3,741)</w:t>
            </w:r>
          </w:p>
        </w:tc>
        <w:tc>
          <w:tcPr>
            <w:tcW w:w="1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260" w:type="dxa"/>
            <w:vAlign w:val="bottom"/>
          </w:tcPr>
          <w:p>
            <w:pPr>
              <w:ind w:left="180"/>
              <w:spacing w:after="0" w:line="181" w:lineRule="exact"/>
              <w:rPr>
                <w:sz w:val="20"/>
                <w:szCs w:val="20"/>
                <w:color w:val="auto"/>
              </w:rPr>
            </w:pPr>
            <w:r>
              <w:rPr>
                <w:rFonts w:ascii="Arial" w:cs="Arial" w:eastAsia="Arial" w:hAnsi="Arial"/>
                <w:sz w:val="18"/>
                <w:szCs w:val="18"/>
                <w:color w:val="auto"/>
              </w:rPr>
              <w:t>Provision for/adjustment to beginning of year valuation allowances</w:t>
            </w:r>
          </w:p>
        </w:tc>
        <w:tc>
          <w:tcPr>
            <w:tcW w:w="1540" w:type="dxa"/>
            <w:vAlign w:val="bottom"/>
            <w:vMerge w:val="continue"/>
          </w:tcPr>
          <w:p>
            <w:pPr>
              <w:spacing w:after="0"/>
              <w:rPr>
                <w:sz w:val="15"/>
                <w:szCs w:val="15"/>
                <w:color w:val="auto"/>
              </w:rPr>
            </w:pPr>
          </w:p>
        </w:tc>
        <w:tc>
          <w:tcPr>
            <w:tcW w:w="1340" w:type="dxa"/>
            <w:vAlign w:val="bottom"/>
          </w:tcPr>
          <w:p>
            <w:pPr>
              <w:jc w:val="right"/>
              <w:ind w:right="170"/>
              <w:spacing w:after="0" w:line="181" w:lineRule="exact"/>
              <w:rPr>
                <w:sz w:val="20"/>
                <w:szCs w:val="20"/>
                <w:color w:val="auto"/>
              </w:rPr>
            </w:pPr>
            <w:r>
              <w:rPr>
                <w:rFonts w:ascii="Arial" w:cs="Arial" w:eastAsia="Arial" w:hAnsi="Arial"/>
                <w:sz w:val="18"/>
                <w:szCs w:val="18"/>
                <w:color w:val="auto"/>
              </w:rPr>
              <w:t>(2,442)</w:t>
            </w:r>
          </w:p>
        </w:tc>
        <w:tc>
          <w:tcPr>
            <w:tcW w:w="1100" w:type="dxa"/>
            <w:vAlign w:val="bottom"/>
          </w:tcPr>
          <w:p>
            <w:pPr>
              <w:jc w:val="right"/>
              <w:ind w:right="10"/>
              <w:spacing w:after="0" w:line="181" w:lineRule="exact"/>
              <w:rPr>
                <w:sz w:val="20"/>
                <w:szCs w:val="20"/>
                <w:color w:val="auto"/>
              </w:rPr>
            </w:pPr>
            <w:r>
              <w:rPr>
                <w:rFonts w:ascii="Arial" w:cs="Arial" w:eastAsia="Arial" w:hAnsi="Arial"/>
                <w:sz w:val="18"/>
                <w:szCs w:val="18"/>
                <w:color w:val="auto"/>
              </w:rPr>
              <w:t>22,798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tcPr>
          <w:p>
            <w:pPr>
              <w:ind w:left="180"/>
              <w:spacing w:after="0" w:line="202" w:lineRule="exact"/>
              <w:rPr>
                <w:sz w:val="20"/>
                <w:szCs w:val="20"/>
                <w:color w:val="auto"/>
              </w:rPr>
            </w:pPr>
            <w:r>
              <w:rPr>
                <w:rFonts w:ascii="Arial" w:cs="Arial" w:eastAsia="Arial" w:hAnsi="Arial"/>
                <w:sz w:val="18"/>
                <w:szCs w:val="18"/>
                <w:color w:val="auto"/>
              </w:rPr>
              <w:t>Provision for/resolution of tax audits and contingencies, net</w:t>
            </w:r>
          </w:p>
        </w:tc>
        <w:tc>
          <w:tcPr>
            <w:tcW w:w="154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2,643</w:t>
            </w:r>
          </w:p>
        </w:tc>
        <w:tc>
          <w:tcPr>
            <w:tcW w:w="134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(2,747)</w:t>
            </w:r>
          </w:p>
        </w:tc>
        <w:tc>
          <w:tcPr>
            <w:tcW w:w="11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tcPr>
          <w:p>
            <w:pPr>
              <w:ind w:left="180"/>
              <w:spacing w:after="0" w:line="202" w:lineRule="exact"/>
              <w:rPr>
                <w:sz w:val="20"/>
                <w:szCs w:val="20"/>
                <w:color w:val="auto"/>
              </w:rPr>
            </w:pPr>
            <w:r>
              <w:rPr>
                <w:rFonts w:ascii="Arial" w:cs="Arial" w:eastAsia="Arial" w:hAnsi="Arial"/>
                <w:sz w:val="18"/>
                <w:szCs w:val="18"/>
                <w:color w:val="auto"/>
              </w:rPr>
              <w:t>Adjustments to prior period tax liabilities</w:t>
            </w:r>
          </w:p>
        </w:tc>
        <w:tc>
          <w:tcPr>
            <w:tcW w:w="1540" w:type="dxa"/>
            <w:vAlign w:val="bottom"/>
          </w:tcPr>
          <w:p>
            <w:pPr>
              <w:jc w:val="right"/>
              <w:ind w:right="170"/>
              <w:spacing w:after="0" w:line="202" w:lineRule="exact"/>
              <w:rPr>
                <w:sz w:val="20"/>
                <w:szCs w:val="20"/>
                <w:color w:val="auto"/>
              </w:rPr>
            </w:pPr>
            <w:r>
              <w:rPr>
                <w:rFonts w:ascii="Arial" w:cs="Arial" w:eastAsia="Arial" w:hAnsi="Arial"/>
                <w:sz w:val="18"/>
                <w:szCs w:val="18"/>
                <w:b w:val="1"/>
                <w:bCs w:val="1"/>
                <w:color w:val="auto"/>
              </w:rPr>
              <w:t>(942)</w:t>
            </w:r>
          </w:p>
        </w:tc>
        <w:tc>
          <w:tcPr>
            <w:tcW w:w="134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(1,471)</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(1,624)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tcPr>
          <w:p>
            <w:pPr>
              <w:ind w:left="180"/>
              <w:spacing w:after="0" w:line="202" w:lineRule="exact"/>
              <w:rPr>
                <w:sz w:val="20"/>
                <w:szCs w:val="20"/>
                <w:color w:val="auto"/>
              </w:rPr>
            </w:pPr>
            <w:r>
              <w:rPr>
                <w:rFonts w:ascii="Arial" w:cs="Arial" w:eastAsia="Arial" w:hAnsi="Arial"/>
                <w:sz w:val="18"/>
                <w:szCs w:val="18"/>
                <w:color w:val="auto"/>
              </w:rPr>
              <w:t>Repatriation of non-U.S. prior years' earnings</w:t>
            </w:r>
          </w:p>
        </w:tc>
        <w:tc>
          <w:tcPr>
            <w:tcW w:w="154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618</w:t>
            </w:r>
          </w:p>
        </w:tc>
        <w:tc>
          <w:tcPr>
            <w:tcW w:w="134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tcPr>
          <w:p>
            <w:pPr>
              <w:ind w:left="180"/>
              <w:spacing w:after="0" w:line="202" w:lineRule="exact"/>
              <w:rPr>
                <w:sz w:val="20"/>
                <w:szCs w:val="20"/>
                <w:color w:val="auto"/>
              </w:rPr>
            </w:pPr>
            <w:r>
              <w:rPr>
                <w:rFonts w:ascii="Arial" w:cs="Arial" w:eastAsia="Arial" w:hAnsi="Arial"/>
                <w:sz w:val="18"/>
                <w:szCs w:val="18"/>
                <w:color w:val="auto"/>
              </w:rPr>
              <w:t>Enacted tax legislation</w:t>
            </w:r>
          </w:p>
        </w:tc>
        <w:tc>
          <w:tcPr>
            <w:tcW w:w="1540" w:type="dxa"/>
            <w:vAlign w:val="bottom"/>
          </w:tcPr>
          <w:p>
            <w:pPr>
              <w:jc w:val="right"/>
              <w:ind w:right="170"/>
              <w:spacing w:after="0" w:line="202" w:lineRule="exact"/>
              <w:rPr>
                <w:sz w:val="20"/>
                <w:szCs w:val="20"/>
                <w:color w:val="auto"/>
              </w:rPr>
            </w:pPr>
            <w:r>
              <w:rPr>
                <w:rFonts w:ascii="Arial" w:cs="Arial" w:eastAsia="Arial" w:hAnsi="Arial"/>
                <w:sz w:val="18"/>
                <w:szCs w:val="18"/>
                <w:b w:val="1"/>
                <w:bCs w:val="1"/>
                <w:color w:val="auto"/>
              </w:rPr>
              <w:t>(282)</w:t>
            </w:r>
          </w:p>
        </w:tc>
        <w:tc>
          <w:tcPr>
            <w:tcW w:w="134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(973)</w:t>
            </w:r>
          </w:p>
        </w:tc>
        <w:tc>
          <w:tcPr>
            <w:tcW w:w="11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tcPr>
          <w:p>
            <w:pPr>
              <w:ind w:left="180"/>
              <w:spacing w:after="0" w:line="202" w:lineRule="exact"/>
              <w:rPr>
                <w:sz w:val="20"/>
                <w:szCs w:val="20"/>
                <w:color w:val="auto"/>
              </w:rPr>
            </w:pPr>
            <w:r>
              <w:rPr>
                <w:rFonts w:ascii="Arial" w:cs="Arial" w:eastAsia="Arial" w:hAnsi="Arial"/>
                <w:sz w:val="18"/>
                <w:szCs w:val="18"/>
                <w:color w:val="auto"/>
              </w:rPr>
              <w:t>Change in tax status</w:t>
            </w:r>
          </w:p>
        </w:tc>
        <w:tc>
          <w:tcPr>
            <w:tcW w:w="154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w:t>
            </w:r>
          </w:p>
        </w:tc>
        <w:tc>
          <w:tcPr>
            <w:tcW w:w="134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(3,344)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tcPr>
          <w:p>
            <w:pPr>
              <w:ind w:left="180"/>
              <w:spacing w:after="0" w:line="202" w:lineRule="exact"/>
              <w:rPr>
                <w:sz w:val="20"/>
                <w:szCs w:val="20"/>
                <w:color w:val="auto"/>
              </w:rPr>
            </w:pPr>
            <w:r>
              <w:rPr>
                <w:rFonts w:ascii="Arial" w:cs="Arial" w:eastAsia="Arial" w:hAnsi="Arial"/>
                <w:sz w:val="18"/>
                <w:szCs w:val="18"/>
                <w:color w:val="auto"/>
              </w:rPr>
              <w:t>Adjustment to correct a prior year error</w:t>
            </w:r>
          </w:p>
        </w:tc>
        <w:tc>
          <w:tcPr>
            <w:tcW w:w="154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w:t>
            </w:r>
          </w:p>
        </w:tc>
        <w:tc>
          <w:tcPr>
            <w:tcW w:w="134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(3,553)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2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Other discrete tax adjustments, net</w:t>
            </w:r>
          </w:p>
        </w:tc>
        <w:tc>
          <w:tcPr>
            <w:tcW w:w="15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(96)</w:t>
            </w:r>
          </w:p>
        </w:tc>
        <w:tc>
          <w:tcPr>
            <w:tcW w:w="13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(199)</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62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income tax expense/(benefit)</w:t>
            </w:r>
          </w:p>
        </w:tc>
        <w:tc>
          <w:tcPr>
            <w:tcW w:w="154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$13,372</w:t>
            </w:r>
          </w:p>
        </w:tc>
        <w:tc>
          <w:tcPr>
            <w:tcW w:w="134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($27,523)</w:t>
            </w:r>
          </w:p>
        </w:tc>
        <w:tc>
          <w:tcPr>
            <w:tcW w:w="11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$32,582</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100" w:firstLine="648"/>
        <w:spacing w:after="0"/>
        <w:rPr>
          <w:sz w:val="20"/>
          <w:szCs w:val="20"/>
          <w:color w:val="auto"/>
        </w:rPr>
      </w:pPr>
      <w:r>
        <w:rPr>
          <w:rFonts w:ascii="Arial" w:cs="Arial" w:eastAsia="Arial" w:hAnsi="Arial"/>
          <w:sz w:val="18"/>
          <w:szCs w:val="18"/>
          <w:color w:val="auto"/>
        </w:rPr>
        <w:t>Income tax expense in 2011 includes a favorable adjustment of $ 3.5 million to correct errors from periods prior to 2006. The Company does not believe that the corrected item is or was material to 2011 or any previously reported quarterly or annual financial statements. As a result, the Company has not restated its previously issued annual or quarterly financial statements.</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431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69" w:name="page70"/>
    <w:bookmarkEnd w:id="69"/>
    <w:tbl>
      <w:tblPr>
        <w:tblLayout w:type="fixed"/>
        <w:tblInd w:w="580" w:type="dxa"/>
        <w:tblCellMar>
          <w:top w:w="0" w:type="dxa"/>
          <w:left w:w="0" w:type="dxa"/>
          <w:bottom w:w="0" w:type="dxa"/>
          <w:right w:w="0" w:type="dxa"/>
        </w:tblCellMar>
      </w:tblPr>
      <w:tr>
        <w:trPr>
          <w:trHeight w:val="216"/>
        </w:trPr>
        <w:tc>
          <w:tcPr>
            <w:tcW w:w="50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15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140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2012</w:t>
            </w:r>
          </w:p>
        </w:tc>
        <w:tc>
          <w:tcPr>
            <w:tcW w:w="11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195"/>
        </w:trPr>
        <w:tc>
          <w:tcPr>
            <w:tcW w:w="5000" w:type="dxa"/>
            <w:vAlign w:val="bottom"/>
            <w:gridSpan w:val="2"/>
          </w:tcPr>
          <w:p>
            <w:pPr>
              <w:spacing w:after="0" w:line="195" w:lineRule="exact"/>
              <w:rPr>
                <w:sz w:val="20"/>
                <w:szCs w:val="20"/>
                <w:color w:val="auto"/>
              </w:rPr>
            </w:pPr>
            <w:r>
              <w:rPr>
                <w:rFonts w:ascii="Arial" w:cs="Arial" w:eastAsia="Arial" w:hAnsi="Arial"/>
                <w:sz w:val="18"/>
                <w:szCs w:val="18"/>
                <w:color w:val="auto"/>
              </w:rPr>
              <w:t>Income/(loss) before income taxes:</w:t>
            </w:r>
          </w:p>
        </w:tc>
        <w:tc>
          <w:tcPr>
            <w:tcW w:w="1560" w:type="dxa"/>
            <w:vAlign w:val="bottom"/>
          </w:tcPr>
          <w:p>
            <w:pPr>
              <w:spacing w:after="0"/>
              <w:rPr>
                <w:sz w:val="16"/>
                <w:szCs w:val="16"/>
                <w:color w:val="auto"/>
              </w:rPr>
            </w:pPr>
          </w:p>
        </w:tc>
        <w:tc>
          <w:tcPr>
            <w:tcW w:w="116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$14,395</w:t>
            </w:r>
          </w:p>
        </w:tc>
        <w:tc>
          <w:tcPr>
            <w:tcW w:w="1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980" w:type="dxa"/>
            <w:vAlign w:val="bottom"/>
          </w:tcPr>
          <w:p>
            <w:pPr>
              <w:ind w:left="200"/>
              <w:spacing w:after="0" w:line="181" w:lineRule="exact"/>
              <w:rPr>
                <w:sz w:val="20"/>
                <w:szCs w:val="20"/>
                <w:color w:val="auto"/>
              </w:rPr>
            </w:pPr>
            <w:r>
              <w:rPr>
                <w:rFonts w:ascii="Arial" w:cs="Arial" w:eastAsia="Arial" w:hAnsi="Arial"/>
                <w:sz w:val="18"/>
                <w:szCs w:val="18"/>
                <w:color w:val="auto"/>
              </w:rPr>
              <w:t>U.S.</w:t>
            </w:r>
          </w:p>
        </w:tc>
        <w:tc>
          <w:tcPr>
            <w:tcW w:w="156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1400" w:type="dxa"/>
            <w:vAlign w:val="bottom"/>
          </w:tcPr>
          <w:p>
            <w:pPr>
              <w:jc w:val="right"/>
              <w:ind w:right="130"/>
              <w:spacing w:after="0" w:line="181" w:lineRule="exact"/>
              <w:rPr>
                <w:sz w:val="20"/>
                <w:szCs w:val="20"/>
                <w:color w:val="auto"/>
              </w:rPr>
            </w:pPr>
            <w:r>
              <w:rPr>
                <w:rFonts w:ascii="Arial" w:cs="Arial" w:eastAsia="Arial" w:hAnsi="Arial"/>
                <w:sz w:val="18"/>
                <w:szCs w:val="18"/>
                <w:color w:val="auto"/>
              </w:rPr>
              <w:t>($84,624)</w:t>
            </w:r>
          </w:p>
        </w:tc>
        <w:tc>
          <w:tcPr>
            <w:tcW w:w="1160" w:type="dxa"/>
            <w:vAlign w:val="bottom"/>
          </w:tcPr>
          <w:p>
            <w:pPr>
              <w:jc w:val="right"/>
              <w:spacing w:after="0" w:line="181" w:lineRule="exact"/>
              <w:rPr>
                <w:sz w:val="20"/>
                <w:szCs w:val="20"/>
                <w:color w:val="auto"/>
              </w:rPr>
            </w:pPr>
            <w:r>
              <w:rPr>
                <w:rFonts w:ascii="Arial" w:cs="Arial" w:eastAsia="Arial" w:hAnsi="Arial"/>
                <w:sz w:val="18"/>
                <w:szCs w:val="18"/>
                <w:color w:val="auto"/>
              </w:rPr>
              <w:t>($9,748)</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9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Non-U.S.</w:t>
            </w:r>
          </w:p>
        </w:tc>
        <w:tc>
          <w:tcPr>
            <w:tcW w:w="15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16,681</w:t>
            </w:r>
          </w:p>
        </w:tc>
        <w:tc>
          <w:tcPr>
            <w:tcW w:w="1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16,258</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63,596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$31,076</w:t>
            </w:r>
          </w:p>
        </w:tc>
        <w:tc>
          <w:tcPr>
            <w:tcW w:w="140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($68,366)</w:t>
            </w:r>
          </w:p>
        </w:tc>
        <w:tc>
          <w:tcPr>
            <w:tcW w:w="11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$53,848</w:t>
            </w:r>
          </w:p>
        </w:tc>
        <w:tc>
          <w:tcPr>
            <w:tcW w:w="0" w:type="dxa"/>
            <w:vAlign w:val="bottom"/>
          </w:tcPr>
          <w:p>
            <w:pPr>
              <w:spacing w:after="0"/>
              <w:rPr>
                <w:sz w:val="1"/>
                <w:szCs w:val="1"/>
                <w:color w:val="auto"/>
              </w:rPr>
            </w:pPr>
          </w:p>
        </w:tc>
      </w:tr>
      <w:tr>
        <w:trPr>
          <w:trHeight w:val="412"/>
        </w:trPr>
        <w:tc>
          <w:tcPr>
            <w:tcW w:w="5000" w:type="dxa"/>
            <w:vAlign w:val="bottom"/>
            <w:gridSpan w:val="2"/>
          </w:tcPr>
          <w:p>
            <w:pPr>
              <w:spacing w:after="0"/>
              <w:rPr>
                <w:sz w:val="20"/>
                <w:szCs w:val="20"/>
                <w:color w:val="auto"/>
              </w:rPr>
            </w:pPr>
            <w:r>
              <w:rPr>
                <w:rFonts w:ascii="Arial" w:cs="Arial" w:eastAsia="Arial" w:hAnsi="Arial"/>
                <w:sz w:val="18"/>
                <w:szCs w:val="18"/>
                <w:color w:val="auto"/>
              </w:rPr>
              <w:t>Income tax provision:</w:t>
            </w:r>
          </w:p>
        </w:tc>
        <w:tc>
          <w:tcPr>
            <w:tcW w:w="1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Current:</w:t>
            </w:r>
          </w:p>
        </w:tc>
        <w:tc>
          <w:tcPr>
            <w:tcW w:w="1560" w:type="dxa"/>
            <w:vAlign w:val="bottom"/>
          </w:tcPr>
          <w:p>
            <w:pPr>
              <w:spacing w:after="0"/>
              <w:rPr>
                <w:sz w:val="24"/>
                <w:szCs w:val="24"/>
                <w:color w:val="auto"/>
              </w:rPr>
            </w:pPr>
          </w:p>
        </w:tc>
        <w:tc>
          <w:tcPr>
            <w:tcW w:w="116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$3,508</w:t>
            </w: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980" w:type="dxa"/>
            <w:vAlign w:val="bottom"/>
          </w:tcPr>
          <w:p>
            <w:pPr>
              <w:ind w:left="360"/>
              <w:spacing w:after="0" w:line="181" w:lineRule="exact"/>
              <w:rPr>
                <w:sz w:val="20"/>
                <w:szCs w:val="20"/>
                <w:color w:val="auto"/>
              </w:rPr>
            </w:pPr>
            <w:r>
              <w:rPr>
                <w:rFonts w:ascii="Arial" w:cs="Arial" w:eastAsia="Arial" w:hAnsi="Arial"/>
                <w:sz w:val="18"/>
                <w:szCs w:val="18"/>
                <w:color w:val="auto"/>
              </w:rPr>
              <w:t>Federal</w:t>
            </w:r>
          </w:p>
        </w:tc>
        <w:tc>
          <w:tcPr>
            <w:tcW w:w="156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1400" w:type="dxa"/>
            <w:vAlign w:val="bottom"/>
          </w:tcPr>
          <w:p>
            <w:pPr>
              <w:jc w:val="right"/>
              <w:ind w:right="130"/>
              <w:spacing w:after="0" w:line="181" w:lineRule="exact"/>
              <w:rPr>
                <w:sz w:val="20"/>
                <w:szCs w:val="20"/>
                <w:color w:val="auto"/>
              </w:rPr>
            </w:pPr>
            <w:r>
              <w:rPr>
                <w:rFonts w:ascii="Arial" w:cs="Arial" w:eastAsia="Arial" w:hAnsi="Arial"/>
                <w:sz w:val="18"/>
                <w:szCs w:val="18"/>
                <w:color w:val="auto"/>
              </w:rPr>
              <w:t>($20,123)</w:t>
            </w:r>
          </w:p>
        </w:tc>
        <w:tc>
          <w:tcPr>
            <w:tcW w:w="1160" w:type="dxa"/>
            <w:vAlign w:val="bottom"/>
          </w:tcPr>
          <w:p>
            <w:pPr>
              <w:jc w:val="right"/>
              <w:spacing w:after="0" w:line="181" w:lineRule="exact"/>
              <w:rPr>
                <w:sz w:val="20"/>
                <w:szCs w:val="20"/>
                <w:color w:val="auto"/>
              </w:rPr>
            </w:pPr>
            <w:r>
              <w:rPr>
                <w:rFonts w:ascii="Arial" w:cs="Arial" w:eastAsia="Arial" w:hAnsi="Arial"/>
                <w:sz w:val="18"/>
                <w:szCs w:val="18"/>
                <w:color w:val="auto"/>
              </w:rPr>
              <w:t>($9,288)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Pr>
          <w:p>
            <w:pPr>
              <w:ind w:left="360"/>
              <w:spacing w:after="0" w:line="202" w:lineRule="exact"/>
              <w:rPr>
                <w:sz w:val="20"/>
                <w:szCs w:val="20"/>
                <w:color w:val="auto"/>
              </w:rPr>
            </w:pPr>
            <w:r>
              <w:rPr>
                <w:rFonts w:ascii="Arial" w:cs="Arial" w:eastAsia="Arial" w:hAnsi="Arial"/>
                <w:sz w:val="18"/>
                <w:szCs w:val="18"/>
                <w:color w:val="auto"/>
              </w:rPr>
              <w:t>State</w:t>
            </w:r>
          </w:p>
        </w:tc>
        <w:tc>
          <w:tcPr>
            <w:tcW w:w="1560" w:type="dxa"/>
            <w:vAlign w:val="bottom"/>
          </w:tcPr>
          <w:p>
            <w:pPr>
              <w:spacing w:after="0"/>
              <w:rPr>
                <w:sz w:val="17"/>
                <w:szCs w:val="17"/>
                <w:color w:val="auto"/>
              </w:rPr>
            </w:pP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2,301</w:t>
            </w:r>
          </w:p>
        </w:tc>
        <w:tc>
          <w:tcPr>
            <w:tcW w:w="14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(1,212)</w:t>
            </w:r>
          </w:p>
        </w:tc>
        <w:tc>
          <w:tcPr>
            <w:tcW w:w="11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98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Non-U.S.</w:t>
            </w:r>
          </w:p>
        </w:tc>
        <w:tc>
          <w:tcPr>
            <w:tcW w:w="15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14,957</w:t>
            </w:r>
          </w:p>
        </w:tc>
        <w:tc>
          <w:tcPr>
            <w:tcW w:w="1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12,413</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17,879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$20,766</w:t>
            </w:r>
          </w:p>
        </w:tc>
        <w:tc>
          <w:tcPr>
            <w:tcW w:w="140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($8,922)</w:t>
            </w:r>
          </w:p>
        </w:tc>
        <w:tc>
          <w:tcPr>
            <w:tcW w:w="11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$8,711</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Deferred:</w:t>
            </w:r>
          </w:p>
        </w:tc>
        <w:tc>
          <w:tcPr>
            <w:tcW w:w="1560" w:type="dxa"/>
            <w:vAlign w:val="bottom"/>
          </w:tcPr>
          <w:p>
            <w:pPr>
              <w:spacing w:after="0"/>
              <w:rPr>
                <w:sz w:val="24"/>
                <w:szCs w:val="24"/>
                <w:color w:val="auto"/>
              </w:rPr>
            </w:pPr>
          </w:p>
        </w:tc>
        <w:tc>
          <w:tcPr>
            <w:tcW w:w="116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$1,723</w:t>
            </w: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980" w:type="dxa"/>
            <w:vAlign w:val="bottom"/>
          </w:tcPr>
          <w:p>
            <w:pPr>
              <w:ind w:left="360"/>
              <w:spacing w:after="0" w:line="181" w:lineRule="exact"/>
              <w:rPr>
                <w:sz w:val="20"/>
                <w:szCs w:val="20"/>
                <w:color w:val="auto"/>
              </w:rPr>
            </w:pPr>
            <w:r>
              <w:rPr>
                <w:rFonts w:ascii="Arial" w:cs="Arial" w:eastAsia="Arial" w:hAnsi="Arial"/>
                <w:sz w:val="18"/>
                <w:szCs w:val="18"/>
                <w:color w:val="auto"/>
              </w:rPr>
              <w:t>Federal</w:t>
            </w:r>
          </w:p>
        </w:tc>
        <w:tc>
          <w:tcPr>
            <w:tcW w:w="156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1400" w:type="dxa"/>
            <w:vAlign w:val="bottom"/>
          </w:tcPr>
          <w:p>
            <w:pPr>
              <w:jc w:val="right"/>
              <w:ind w:right="130"/>
              <w:spacing w:after="0" w:line="181" w:lineRule="exact"/>
              <w:rPr>
                <w:sz w:val="20"/>
                <w:szCs w:val="20"/>
                <w:color w:val="auto"/>
              </w:rPr>
            </w:pPr>
            <w:r>
              <w:rPr>
                <w:rFonts w:ascii="Arial" w:cs="Arial" w:eastAsia="Arial" w:hAnsi="Arial"/>
                <w:sz w:val="18"/>
                <w:szCs w:val="18"/>
                <w:color w:val="auto"/>
              </w:rPr>
              <w:t>($12,851)</w:t>
            </w:r>
          </w:p>
        </w:tc>
        <w:tc>
          <w:tcPr>
            <w:tcW w:w="1160" w:type="dxa"/>
            <w:vAlign w:val="bottom"/>
          </w:tcPr>
          <w:p>
            <w:pPr>
              <w:jc w:val="right"/>
              <w:ind w:right="10"/>
              <w:spacing w:after="0" w:line="181" w:lineRule="exact"/>
              <w:rPr>
                <w:sz w:val="20"/>
                <w:szCs w:val="20"/>
                <w:color w:val="auto"/>
              </w:rPr>
            </w:pPr>
            <w:r>
              <w:rPr>
                <w:rFonts w:ascii="Arial" w:cs="Arial" w:eastAsia="Arial" w:hAnsi="Arial"/>
                <w:sz w:val="18"/>
                <w:szCs w:val="18"/>
                <w:color w:val="auto"/>
              </w:rPr>
              <w:t>$3,519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Pr>
          <w:p>
            <w:pPr>
              <w:ind w:left="360"/>
              <w:spacing w:after="0" w:line="202" w:lineRule="exact"/>
              <w:rPr>
                <w:sz w:val="20"/>
                <w:szCs w:val="20"/>
                <w:color w:val="auto"/>
              </w:rPr>
            </w:pPr>
            <w:r>
              <w:rPr>
                <w:rFonts w:ascii="Arial" w:cs="Arial" w:eastAsia="Arial" w:hAnsi="Arial"/>
                <w:sz w:val="18"/>
                <w:szCs w:val="18"/>
                <w:color w:val="auto"/>
              </w:rPr>
              <w:t>State</w:t>
            </w:r>
          </w:p>
        </w:tc>
        <w:tc>
          <w:tcPr>
            <w:tcW w:w="1560" w:type="dxa"/>
            <w:vAlign w:val="bottom"/>
          </w:tcPr>
          <w:p>
            <w:pPr>
              <w:spacing w:after="0"/>
              <w:rPr>
                <w:sz w:val="17"/>
                <w:szCs w:val="17"/>
                <w:color w:val="auto"/>
              </w:rPr>
            </w:pPr>
          </w:p>
        </w:tc>
        <w:tc>
          <w:tcPr>
            <w:tcW w:w="116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(180)</w:t>
            </w:r>
          </w:p>
        </w:tc>
        <w:tc>
          <w:tcPr>
            <w:tcW w:w="14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(1,538)</w:t>
            </w:r>
          </w:p>
        </w:tc>
        <w:tc>
          <w:tcPr>
            <w:tcW w:w="11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98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Non-U.S.</w:t>
            </w:r>
          </w:p>
        </w:tc>
        <w:tc>
          <w:tcPr>
            <w:tcW w:w="15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(8,937)</w:t>
            </w:r>
          </w:p>
        </w:tc>
        <w:tc>
          <w:tcPr>
            <w:tcW w:w="1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(4,212)</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20,239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($7,394)</w:t>
            </w:r>
          </w:p>
        </w:tc>
        <w:tc>
          <w:tcPr>
            <w:tcW w:w="140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($18,601)</w:t>
            </w:r>
          </w:p>
        </w:tc>
        <w:tc>
          <w:tcPr>
            <w:tcW w:w="11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$23,871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provision for income taxes</w:t>
            </w:r>
          </w:p>
        </w:tc>
        <w:tc>
          <w:tcPr>
            <w:tcW w:w="15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$13,372</w:t>
            </w:r>
          </w:p>
        </w:tc>
        <w:tc>
          <w:tcPr>
            <w:tcW w:w="140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($27,523)</w:t>
            </w:r>
          </w:p>
        </w:tc>
        <w:tc>
          <w:tcPr>
            <w:tcW w:w="11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$32,582</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700" w:type="dxa"/>
            <w:vAlign w:val="bottom"/>
            <w:gridSpan w:val="3"/>
          </w:tcPr>
          <w:p>
            <w:pPr>
              <w:ind w:left="60"/>
              <w:spacing w:after="0"/>
              <w:rPr>
                <w:sz w:val="20"/>
                <w:szCs w:val="20"/>
                <w:color w:val="auto"/>
              </w:rPr>
            </w:pPr>
            <w:r>
              <w:rPr>
                <w:rFonts w:ascii="Arial" w:cs="Arial" w:eastAsia="Arial" w:hAnsi="Arial"/>
                <w:sz w:val="18"/>
                <w:szCs w:val="18"/>
                <w:color w:val="auto"/>
              </w:rPr>
              <w:t>The significant components of deferred income tax (benefit)/expense are as follows:</w:t>
            </w: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9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2"/>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vMerge w:val="continue"/>
          </w:tcPr>
          <w:p>
            <w:pPr>
              <w:spacing w:after="0"/>
              <w:rPr>
                <w:sz w:val="17"/>
                <w:szCs w:val="17"/>
                <w:color w:val="auto"/>
              </w:rPr>
            </w:pPr>
          </w:p>
        </w:tc>
        <w:tc>
          <w:tcPr>
            <w:tcW w:w="49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(in thousands)</w:t>
            </w:r>
          </w:p>
        </w:tc>
        <w:tc>
          <w:tcPr>
            <w:tcW w:w="2720" w:type="dxa"/>
            <w:vAlign w:val="bottom"/>
            <w:tcBorders>
              <w:bottom w:val="single" w:sz="8" w:color="auto"/>
            </w:tcBorders>
            <w:gridSpan w:val="2"/>
          </w:tcPr>
          <w:p>
            <w:pPr>
              <w:jc w:val="right"/>
              <w:ind w:right="790"/>
              <w:spacing w:after="0" w:line="196" w:lineRule="exact"/>
              <w:rPr>
                <w:sz w:val="20"/>
                <w:szCs w:val="20"/>
                <w:color w:val="auto"/>
              </w:rPr>
            </w:pPr>
            <w:r>
              <w:rPr>
                <w:rFonts w:ascii="Arial" w:cs="Arial" w:eastAsia="Arial" w:hAnsi="Arial"/>
                <w:sz w:val="18"/>
                <w:szCs w:val="18"/>
                <w:b w:val="1"/>
                <w:bCs w:val="1"/>
                <w:color w:val="auto"/>
              </w:rPr>
              <w:t>2013</w:t>
            </w:r>
          </w:p>
        </w:tc>
        <w:tc>
          <w:tcPr>
            <w:tcW w:w="1400" w:type="dxa"/>
            <w:vAlign w:val="bottom"/>
            <w:tcBorders>
              <w:bottom w:val="single" w:sz="8" w:color="auto"/>
            </w:tcBorders>
          </w:tcPr>
          <w:p>
            <w:pPr>
              <w:jc w:val="right"/>
              <w:ind w:right="750"/>
              <w:spacing w:after="0" w:line="196" w:lineRule="exact"/>
              <w:rPr>
                <w:sz w:val="20"/>
                <w:szCs w:val="20"/>
                <w:color w:val="auto"/>
              </w:rPr>
            </w:pPr>
            <w:r>
              <w:rPr>
                <w:rFonts w:ascii="Arial" w:cs="Arial" w:eastAsia="Arial" w:hAnsi="Arial"/>
                <w:sz w:val="18"/>
                <w:szCs w:val="18"/>
                <w:b w:val="1"/>
                <w:bCs w:val="1"/>
                <w:color w:val="auto"/>
              </w:rPr>
              <w:t>2012</w:t>
            </w:r>
          </w:p>
        </w:tc>
        <w:tc>
          <w:tcPr>
            <w:tcW w:w="116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173"/>
        </w:trPr>
        <w:tc>
          <w:tcPr>
            <w:tcW w:w="5000" w:type="dxa"/>
            <w:vAlign w:val="bottom"/>
            <w:gridSpan w:val="2"/>
          </w:tcPr>
          <w:p>
            <w:pPr>
              <w:spacing w:after="0" w:line="173" w:lineRule="exact"/>
              <w:rPr>
                <w:sz w:val="20"/>
                <w:szCs w:val="20"/>
                <w:color w:val="auto"/>
              </w:rPr>
            </w:pPr>
            <w:r>
              <w:rPr>
                <w:rFonts w:ascii="Arial" w:cs="Arial" w:eastAsia="Arial" w:hAnsi="Arial"/>
                <w:sz w:val="18"/>
                <w:szCs w:val="18"/>
                <w:color w:val="auto"/>
              </w:rPr>
              <w:t>Net effect of temporary differences</w:t>
            </w:r>
          </w:p>
        </w:tc>
        <w:tc>
          <w:tcPr>
            <w:tcW w:w="1560" w:type="dxa"/>
            <w:vAlign w:val="bottom"/>
          </w:tcPr>
          <w:p>
            <w:pPr>
              <w:spacing w:after="0"/>
              <w:rPr>
                <w:sz w:val="15"/>
                <w:szCs w:val="15"/>
                <w:color w:val="auto"/>
              </w:rPr>
            </w:pPr>
          </w:p>
        </w:tc>
        <w:tc>
          <w:tcPr>
            <w:tcW w:w="1160" w:type="dxa"/>
            <w:vAlign w:val="bottom"/>
          </w:tcPr>
          <w:p>
            <w:pPr>
              <w:jc w:val="right"/>
              <w:ind w:right="330"/>
              <w:spacing w:after="0" w:line="173" w:lineRule="exact"/>
              <w:rPr>
                <w:sz w:val="20"/>
                <w:szCs w:val="20"/>
                <w:color w:val="auto"/>
              </w:rPr>
            </w:pPr>
            <w:r>
              <w:rPr>
                <w:rFonts w:ascii="Arial" w:cs="Arial" w:eastAsia="Arial" w:hAnsi="Arial"/>
                <w:sz w:val="18"/>
                <w:szCs w:val="18"/>
                <w:b w:val="1"/>
                <w:bCs w:val="1"/>
                <w:color w:val="auto"/>
              </w:rPr>
              <w:t>($334)</w:t>
            </w:r>
          </w:p>
        </w:tc>
        <w:tc>
          <w:tcPr>
            <w:tcW w:w="1400" w:type="dxa"/>
            <w:vAlign w:val="bottom"/>
          </w:tcPr>
          <w:p>
            <w:pPr>
              <w:jc w:val="right"/>
              <w:ind w:right="290"/>
              <w:spacing w:after="0" w:line="173" w:lineRule="exact"/>
              <w:rPr>
                <w:sz w:val="20"/>
                <w:szCs w:val="20"/>
                <w:color w:val="auto"/>
              </w:rPr>
            </w:pPr>
            <w:r>
              <w:rPr>
                <w:rFonts w:ascii="Arial" w:cs="Arial" w:eastAsia="Arial" w:hAnsi="Arial"/>
                <w:sz w:val="18"/>
                <w:szCs w:val="18"/>
                <w:color w:val="auto"/>
              </w:rPr>
              <w:t>($7,557)</w:t>
            </w:r>
          </w:p>
        </w:tc>
        <w:tc>
          <w:tcPr>
            <w:tcW w:w="1160" w:type="dxa"/>
            <w:vAlign w:val="bottom"/>
          </w:tcPr>
          <w:p>
            <w:pPr>
              <w:jc w:val="right"/>
              <w:ind w:right="50"/>
              <w:spacing w:after="0" w:line="173" w:lineRule="exact"/>
              <w:rPr>
                <w:sz w:val="20"/>
                <w:szCs w:val="20"/>
                <w:color w:val="auto"/>
              </w:rPr>
            </w:pPr>
            <w:r>
              <w:rPr>
                <w:rFonts w:ascii="Arial" w:cs="Arial" w:eastAsia="Arial" w:hAnsi="Arial"/>
                <w:sz w:val="18"/>
                <w:szCs w:val="18"/>
                <w:color w:val="auto"/>
              </w:rPr>
              <w:t>$1,593</w:t>
            </w:r>
          </w:p>
        </w:tc>
        <w:tc>
          <w:tcPr>
            <w:tcW w:w="0" w:type="dxa"/>
            <w:vAlign w:val="bottom"/>
          </w:tcPr>
          <w:p>
            <w:pPr>
              <w:spacing w:after="0"/>
              <w:rPr>
                <w:sz w:val="1"/>
                <w:szCs w:val="1"/>
                <w:color w:val="auto"/>
              </w:rPr>
            </w:pPr>
          </w:p>
        </w:tc>
      </w:tr>
      <w:tr>
        <w:trPr>
          <w:trHeight w:val="203"/>
        </w:trPr>
        <w:tc>
          <w:tcPr>
            <w:tcW w:w="5000" w:type="dxa"/>
            <w:vAlign w:val="bottom"/>
            <w:gridSpan w:val="2"/>
          </w:tcPr>
          <w:p>
            <w:pPr>
              <w:spacing w:after="0" w:line="202" w:lineRule="exact"/>
              <w:rPr>
                <w:sz w:val="20"/>
                <w:szCs w:val="20"/>
                <w:color w:val="auto"/>
              </w:rPr>
            </w:pPr>
            <w:r>
              <w:rPr>
                <w:rFonts w:ascii="Arial" w:cs="Arial" w:eastAsia="Arial" w:hAnsi="Arial"/>
                <w:sz w:val="18"/>
                <w:szCs w:val="18"/>
                <w:color w:val="auto"/>
              </w:rPr>
              <w:t>Foreign tax credits</w:t>
            </w:r>
          </w:p>
        </w:tc>
        <w:tc>
          <w:tcPr>
            <w:tcW w:w="1560" w:type="dxa"/>
            <w:vAlign w:val="bottom"/>
          </w:tcPr>
          <w:p>
            <w:pPr>
              <w:spacing w:after="0"/>
              <w:rPr>
                <w:sz w:val="17"/>
                <w:szCs w:val="17"/>
                <w:color w:val="auto"/>
              </w:rPr>
            </w:pPr>
          </w:p>
        </w:tc>
        <w:tc>
          <w:tcPr>
            <w:tcW w:w="1160" w:type="dxa"/>
            <w:vAlign w:val="bottom"/>
          </w:tcPr>
          <w:p>
            <w:pPr>
              <w:jc w:val="right"/>
              <w:ind w:right="390"/>
              <w:spacing w:after="0" w:line="202" w:lineRule="exact"/>
              <w:rPr>
                <w:sz w:val="20"/>
                <w:szCs w:val="20"/>
                <w:color w:val="auto"/>
              </w:rPr>
            </w:pPr>
            <w:r>
              <w:rPr>
                <w:rFonts w:ascii="Arial" w:cs="Arial" w:eastAsia="Arial" w:hAnsi="Arial"/>
                <w:sz w:val="18"/>
                <w:szCs w:val="18"/>
                <w:b w:val="1"/>
                <w:bCs w:val="1"/>
                <w:color w:val="auto"/>
              </w:rPr>
              <w:t>2,378</w:t>
            </w:r>
          </w:p>
        </w:tc>
        <w:tc>
          <w:tcPr>
            <w:tcW w:w="14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9,468</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(5,668)</w:t>
            </w:r>
          </w:p>
        </w:tc>
        <w:tc>
          <w:tcPr>
            <w:tcW w:w="0" w:type="dxa"/>
            <w:vAlign w:val="bottom"/>
          </w:tcPr>
          <w:p>
            <w:pPr>
              <w:spacing w:after="0"/>
              <w:rPr>
                <w:sz w:val="1"/>
                <w:szCs w:val="1"/>
                <w:color w:val="auto"/>
              </w:rPr>
            </w:pPr>
          </w:p>
        </w:tc>
      </w:tr>
      <w:tr>
        <w:trPr>
          <w:trHeight w:val="203"/>
        </w:trPr>
        <w:tc>
          <w:tcPr>
            <w:tcW w:w="5000" w:type="dxa"/>
            <w:vAlign w:val="bottom"/>
            <w:gridSpan w:val="2"/>
          </w:tcPr>
          <w:p>
            <w:pPr>
              <w:spacing w:after="0" w:line="202" w:lineRule="exact"/>
              <w:rPr>
                <w:sz w:val="20"/>
                <w:szCs w:val="20"/>
                <w:color w:val="auto"/>
              </w:rPr>
            </w:pPr>
            <w:r>
              <w:rPr>
                <w:rFonts w:ascii="Arial" w:cs="Arial" w:eastAsia="Arial" w:hAnsi="Arial"/>
                <w:sz w:val="18"/>
                <w:szCs w:val="18"/>
                <w:color w:val="auto"/>
              </w:rPr>
              <w:t>Postretirement benefits</w:t>
            </w:r>
          </w:p>
        </w:tc>
        <w:tc>
          <w:tcPr>
            <w:tcW w:w="1560" w:type="dxa"/>
            <w:vAlign w:val="bottom"/>
          </w:tcPr>
          <w:p>
            <w:pPr>
              <w:spacing w:after="0"/>
              <w:rPr>
                <w:sz w:val="17"/>
                <w:szCs w:val="17"/>
                <w:color w:val="auto"/>
              </w:rPr>
            </w:pPr>
          </w:p>
        </w:tc>
        <w:tc>
          <w:tcPr>
            <w:tcW w:w="1160" w:type="dxa"/>
            <w:vAlign w:val="bottom"/>
          </w:tcPr>
          <w:p>
            <w:pPr>
              <w:jc w:val="right"/>
              <w:ind w:right="390"/>
              <w:spacing w:after="0" w:line="202" w:lineRule="exact"/>
              <w:rPr>
                <w:sz w:val="20"/>
                <w:szCs w:val="20"/>
                <w:color w:val="auto"/>
              </w:rPr>
            </w:pPr>
            <w:r>
              <w:rPr>
                <w:rFonts w:ascii="Arial" w:cs="Arial" w:eastAsia="Arial" w:hAnsi="Arial"/>
                <w:sz w:val="18"/>
                <w:szCs w:val="18"/>
                <w:b w:val="1"/>
                <w:bCs w:val="1"/>
                <w:color w:val="auto"/>
              </w:rPr>
              <w:t>1,482</w:t>
            </w:r>
          </w:p>
        </w:tc>
        <w:tc>
          <w:tcPr>
            <w:tcW w:w="140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(18,337)</w:t>
            </w:r>
          </w:p>
        </w:tc>
        <w:tc>
          <w:tcPr>
            <w:tcW w:w="11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5,119</w:t>
            </w:r>
          </w:p>
        </w:tc>
        <w:tc>
          <w:tcPr>
            <w:tcW w:w="0" w:type="dxa"/>
            <w:vAlign w:val="bottom"/>
          </w:tcPr>
          <w:p>
            <w:pPr>
              <w:spacing w:after="0"/>
              <w:rPr>
                <w:sz w:val="1"/>
                <w:szCs w:val="1"/>
                <w:color w:val="auto"/>
              </w:rPr>
            </w:pPr>
          </w:p>
        </w:tc>
      </w:tr>
      <w:tr>
        <w:trPr>
          <w:trHeight w:val="203"/>
        </w:trPr>
        <w:tc>
          <w:tcPr>
            <w:tcW w:w="5000" w:type="dxa"/>
            <w:vAlign w:val="bottom"/>
            <w:gridSpan w:val="2"/>
          </w:tcPr>
          <w:p>
            <w:pPr>
              <w:spacing w:after="0" w:line="202" w:lineRule="exact"/>
              <w:rPr>
                <w:sz w:val="20"/>
                <w:szCs w:val="20"/>
                <w:color w:val="auto"/>
              </w:rPr>
            </w:pPr>
            <w:r>
              <w:rPr>
                <w:rFonts w:ascii="Arial" w:cs="Arial" w:eastAsia="Arial" w:hAnsi="Arial"/>
                <w:sz w:val="18"/>
                <w:szCs w:val="18"/>
                <w:color w:val="auto"/>
              </w:rPr>
              <w:t>Net impact to operating loss carryforwards</w:t>
            </w:r>
          </w:p>
        </w:tc>
        <w:tc>
          <w:tcPr>
            <w:tcW w:w="1560" w:type="dxa"/>
            <w:vAlign w:val="bottom"/>
          </w:tcPr>
          <w:p>
            <w:pPr>
              <w:spacing w:after="0"/>
              <w:rPr>
                <w:sz w:val="17"/>
                <w:szCs w:val="17"/>
                <w:color w:val="auto"/>
              </w:rPr>
            </w:pPr>
          </w:p>
        </w:tc>
        <w:tc>
          <w:tcPr>
            <w:tcW w:w="116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(6,897)</w:t>
            </w:r>
          </w:p>
        </w:tc>
        <w:tc>
          <w:tcPr>
            <w:tcW w:w="14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1,240</w:t>
            </w:r>
          </w:p>
        </w:tc>
        <w:tc>
          <w:tcPr>
            <w:tcW w:w="11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3,258</w:t>
            </w:r>
          </w:p>
        </w:tc>
        <w:tc>
          <w:tcPr>
            <w:tcW w:w="0" w:type="dxa"/>
            <w:vAlign w:val="bottom"/>
          </w:tcPr>
          <w:p>
            <w:pPr>
              <w:spacing w:after="0"/>
              <w:rPr>
                <w:sz w:val="1"/>
                <w:szCs w:val="1"/>
                <w:color w:val="auto"/>
              </w:rPr>
            </w:pPr>
          </w:p>
        </w:tc>
      </w:tr>
      <w:tr>
        <w:trPr>
          <w:trHeight w:val="225"/>
        </w:trPr>
        <w:tc>
          <w:tcPr>
            <w:tcW w:w="5000" w:type="dxa"/>
            <w:vAlign w:val="bottom"/>
            <w:gridSpan w:val="2"/>
          </w:tcPr>
          <w:p>
            <w:pPr>
              <w:spacing w:after="0"/>
              <w:rPr>
                <w:sz w:val="20"/>
                <w:szCs w:val="20"/>
                <w:color w:val="auto"/>
              </w:rPr>
            </w:pPr>
            <w:r>
              <w:rPr>
                <w:rFonts w:ascii="Arial" w:cs="Arial" w:eastAsia="Arial" w:hAnsi="Arial"/>
                <w:sz w:val="18"/>
                <w:szCs w:val="18"/>
                <w:color w:val="auto"/>
              </w:rPr>
              <w:t>Enacted changes in tax laws and rates</w:t>
            </w:r>
          </w:p>
        </w:tc>
        <w:tc>
          <w:tcPr>
            <w:tcW w:w="1560" w:type="dxa"/>
            <w:vAlign w:val="bottom"/>
          </w:tcPr>
          <w:p>
            <w:pPr>
              <w:spacing w:after="0"/>
              <w:rPr>
                <w:sz w:val="19"/>
                <w:szCs w:val="19"/>
                <w:color w:val="auto"/>
              </w:rPr>
            </w:pPr>
          </w:p>
        </w:tc>
        <w:tc>
          <w:tcPr>
            <w:tcW w:w="1160" w:type="dxa"/>
            <w:vAlign w:val="bottom"/>
          </w:tcPr>
          <w:p>
            <w:pPr>
              <w:jc w:val="right"/>
              <w:ind w:right="330"/>
              <w:spacing w:after="0"/>
              <w:rPr>
                <w:sz w:val="20"/>
                <w:szCs w:val="20"/>
                <w:color w:val="auto"/>
              </w:rPr>
            </w:pPr>
            <w:r>
              <w:rPr>
                <w:rFonts w:ascii="Arial" w:cs="Arial" w:eastAsia="Arial" w:hAnsi="Arial"/>
                <w:sz w:val="18"/>
                <w:szCs w:val="18"/>
                <w:b w:val="1"/>
                <w:bCs w:val="1"/>
                <w:color w:val="auto"/>
              </w:rPr>
              <w:t>(282)</w:t>
            </w:r>
          </w:p>
        </w:tc>
        <w:tc>
          <w:tcPr>
            <w:tcW w:w="1400" w:type="dxa"/>
            <w:vAlign w:val="bottom"/>
          </w:tcPr>
          <w:p>
            <w:pPr>
              <w:jc w:val="right"/>
              <w:ind w:right="290"/>
              <w:spacing w:after="0"/>
              <w:rPr>
                <w:sz w:val="20"/>
                <w:szCs w:val="20"/>
                <w:color w:val="auto"/>
              </w:rPr>
            </w:pPr>
            <w:r>
              <w:rPr>
                <w:rFonts w:ascii="Arial" w:cs="Arial" w:eastAsia="Arial" w:hAnsi="Arial"/>
                <w:sz w:val="18"/>
                <w:szCs w:val="18"/>
                <w:color w:val="auto"/>
              </w:rPr>
              <w:t>(973)</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3"/>
        </w:trPr>
        <w:tc>
          <w:tcPr>
            <w:tcW w:w="5000" w:type="dxa"/>
            <w:vAlign w:val="bottom"/>
            <w:gridSpan w:val="2"/>
          </w:tcPr>
          <w:p>
            <w:pPr>
              <w:spacing w:after="0" w:line="202" w:lineRule="exact"/>
              <w:rPr>
                <w:sz w:val="20"/>
                <w:szCs w:val="20"/>
                <w:color w:val="auto"/>
              </w:rPr>
            </w:pPr>
            <w:r>
              <w:rPr>
                <w:rFonts w:ascii="Arial" w:cs="Arial" w:eastAsia="Arial" w:hAnsi="Arial"/>
                <w:sz w:val="18"/>
                <w:szCs w:val="18"/>
                <w:color w:val="auto"/>
              </w:rPr>
              <w:t>Adjustments to beginning-of-the-year valuation</w:t>
            </w:r>
          </w:p>
        </w:tc>
        <w:tc>
          <w:tcPr>
            <w:tcW w:w="1560" w:type="dxa"/>
            <w:vAlign w:val="bottom"/>
          </w:tcPr>
          <w:p>
            <w:pPr>
              <w:spacing w:after="0"/>
              <w:rPr>
                <w:sz w:val="17"/>
                <w:szCs w:val="17"/>
                <w:color w:val="auto"/>
              </w:rPr>
            </w:pPr>
          </w:p>
        </w:tc>
        <w:tc>
          <w:tcPr>
            <w:tcW w:w="116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(3,741)</w:t>
            </w:r>
          </w:p>
        </w:tc>
        <w:tc>
          <w:tcPr>
            <w:tcW w:w="14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980" w:type="dxa"/>
            <w:vAlign w:val="bottom"/>
          </w:tcPr>
          <w:p>
            <w:pPr>
              <w:ind w:left="40"/>
              <w:spacing w:after="0" w:line="181" w:lineRule="exact"/>
              <w:rPr>
                <w:sz w:val="20"/>
                <w:szCs w:val="20"/>
                <w:color w:val="auto"/>
              </w:rPr>
            </w:pPr>
            <w:r>
              <w:rPr>
                <w:rFonts w:ascii="Arial" w:cs="Arial" w:eastAsia="Arial" w:hAnsi="Arial"/>
                <w:sz w:val="18"/>
                <w:szCs w:val="18"/>
                <w:color w:val="auto"/>
              </w:rPr>
              <w:t>allowance balance for changes in circumstances</w:t>
            </w:r>
          </w:p>
        </w:tc>
        <w:tc>
          <w:tcPr>
            <w:tcW w:w="156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1400" w:type="dxa"/>
            <w:vAlign w:val="bottom"/>
          </w:tcPr>
          <w:p>
            <w:pPr>
              <w:jc w:val="right"/>
              <w:ind w:right="290"/>
              <w:spacing w:after="0" w:line="181" w:lineRule="exact"/>
              <w:rPr>
                <w:sz w:val="20"/>
                <w:szCs w:val="20"/>
                <w:color w:val="auto"/>
              </w:rPr>
            </w:pPr>
            <w:r>
              <w:rPr>
                <w:rFonts w:ascii="Arial" w:cs="Arial" w:eastAsia="Arial" w:hAnsi="Arial"/>
                <w:sz w:val="18"/>
                <w:szCs w:val="18"/>
                <w:color w:val="auto"/>
              </w:rPr>
              <w:t>(2,442)</w:t>
            </w:r>
          </w:p>
        </w:tc>
        <w:tc>
          <w:tcPr>
            <w:tcW w:w="1160" w:type="dxa"/>
            <w:vAlign w:val="bottom"/>
          </w:tcPr>
          <w:p>
            <w:pPr>
              <w:jc w:val="right"/>
              <w:ind w:right="50"/>
              <w:spacing w:after="0" w:line="181" w:lineRule="exact"/>
              <w:rPr>
                <w:sz w:val="20"/>
                <w:szCs w:val="20"/>
                <w:color w:val="auto"/>
              </w:rPr>
            </w:pPr>
            <w:r>
              <w:rPr>
                <w:rFonts w:ascii="Arial" w:cs="Arial" w:eastAsia="Arial" w:hAnsi="Arial"/>
                <w:sz w:val="18"/>
                <w:szCs w:val="18"/>
                <w:color w:val="auto"/>
              </w:rPr>
              <w:t>22,798</w:t>
            </w:r>
          </w:p>
        </w:tc>
        <w:tc>
          <w:tcPr>
            <w:tcW w:w="0" w:type="dxa"/>
            <w:vAlign w:val="bottom"/>
          </w:tcPr>
          <w:p>
            <w:pPr>
              <w:spacing w:after="0"/>
              <w:rPr>
                <w:sz w:val="1"/>
                <w:szCs w:val="1"/>
                <w:color w:val="auto"/>
              </w:rPr>
            </w:pPr>
          </w:p>
        </w:tc>
      </w:tr>
      <w:tr>
        <w:trPr>
          <w:trHeight w:val="225"/>
        </w:trPr>
        <w:tc>
          <w:tcPr>
            <w:tcW w:w="5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Changes in tax status</w:t>
            </w:r>
          </w:p>
        </w:tc>
        <w:tc>
          <w:tcPr>
            <w:tcW w:w="15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(3,344)</w:t>
            </w:r>
          </w:p>
        </w:tc>
        <w:tc>
          <w:tcPr>
            <w:tcW w:w="0" w:type="dxa"/>
            <w:vAlign w:val="bottom"/>
          </w:tcPr>
          <w:p>
            <w:pPr>
              <w:spacing w:after="0"/>
              <w:rPr>
                <w:sz w:val="1"/>
                <w:szCs w:val="1"/>
                <w:color w:val="auto"/>
              </w:rPr>
            </w:pPr>
          </w:p>
        </w:tc>
      </w:tr>
      <w:tr>
        <w:trPr>
          <w:trHeight w:val="196"/>
        </w:trPr>
        <w:tc>
          <w:tcPr>
            <w:tcW w:w="5000" w:type="dxa"/>
            <w:vAlign w:val="bottom"/>
            <w:gridSpan w:val="2"/>
          </w:tcPr>
          <w:p>
            <w:pPr>
              <w:spacing w:after="0" w:line="196" w:lineRule="exact"/>
              <w:rPr>
                <w:sz w:val="20"/>
                <w:szCs w:val="20"/>
                <w:color w:val="auto"/>
              </w:rPr>
            </w:pPr>
            <w:r>
              <w:rPr>
                <w:rFonts w:ascii="Arial" w:cs="Arial" w:eastAsia="Arial" w:hAnsi="Arial"/>
                <w:sz w:val="18"/>
                <w:szCs w:val="18"/>
                <w:color w:val="auto"/>
              </w:rPr>
              <w:t>Total</w:t>
            </w:r>
          </w:p>
        </w:tc>
        <w:tc>
          <w:tcPr>
            <w:tcW w:w="1560" w:type="dxa"/>
            <w:vAlign w:val="bottom"/>
          </w:tcPr>
          <w:p>
            <w:pPr>
              <w:spacing w:after="0"/>
              <w:rPr>
                <w:sz w:val="17"/>
                <w:szCs w:val="17"/>
                <w:color w:val="auto"/>
              </w:rPr>
            </w:pPr>
          </w:p>
        </w:tc>
        <w:tc>
          <w:tcPr>
            <w:tcW w:w="1160" w:type="dxa"/>
            <w:vAlign w:val="bottom"/>
          </w:tcPr>
          <w:p>
            <w:pPr>
              <w:jc w:val="right"/>
              <w:ind w:right="330"/>
              <w:spacing w:after="0" w:line="196" w:lineRule="exact"/>
              <w:rPr>
                <w:sz w:val="20"/>
                <w:szCs w:val="20"/>
                <w:color w:val="auto"/>
              </w:rPr>
            </w:pPr>
            <w:r>
              <w:rPr>
                <w:rFonts w:ascii="Arial" w:cs="Arial" w:eastAsia="Arial" w:hAnsi="Arial"/>
                <w:sz w:val="18"/>
                <w:szCs w:val="18"/>
                <w:b w:val="1"/>
                <w:bCs w:val="1"/>
                <w:color w:val="auto"/>
              </w:rPr>
              <w:t>($7,394)</w:t>
            </w:r>
          </w:p>
        </w:tc>
        <w:tc>
          <w:tcPr>
            <w:tcW w:w="1400" w:type="dxa"/>
            <w:vAlign w:val="bottom"/>
          </w:tcPr>
          <w:p>
            <w:pPr>
              <w:jc w:val="right"/>
              <w:ind w:right="290"/>
              <w:spacing w:after="0" w:line="196" w:lineRule="exact"/>
              <w:rPr>
                <w:sz w:val="20"/>
                <w:szCs w:val="20"/>
                <w:color w:val="auto"/>
              </w:rPr>
            </w:pPr>
            <w:r>
              <w:rPr>
                <w:rFonts w:ascii="Arial" w:cs="Arial" w:eastAsia="Arial" w:hAnsi="Arial"/>
                <w:sz w:val="18"/>
                <w:szCs w:val="18"/>
                <w:color w:val="auto"/>
              </w:rPr>
              <w:t>($18,601)</w:t>
            </w:r>
          </w:p>
        </w:tc>
        <w:tc>
          <w:tcPr>
            <w:tcW w:w="1160" w:type="dxa"/>
            <w:vAlign w:val="bottom"/>
          </w:tcPr>
          <w:p>
            <w:pPr>
              <w:jc w:val="right"/>
              <w:ind w:right="50"/>
              <w:spacing w:after="0" w:line="196" w:lineRule="exact"/>
              <w:rPr>
                <w:sz w:val="20"/>
                <w:szCs w:val="20"/>
                <w:color w:val="auto"/>
              </w:rPr>
            </w:pPr>
            <w:r>
              <w:rPr>
                <w:rFonts w:ascii="Arial" w:cs="Arial" w:eastAsia="Arial" w:hAnsi="Arial"/>
                <w:sz w:val="18"/>
                <w:szCs w:val="18"/>
                <w:color w:val="auto"/>
              </w:rPr>
              <w:t>$23,871</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9100" w:type="dxa"/>
            <w:vAlign w:val="bottom"/>
            <w:tcBorders>
              <w:top w:val="single" w:sz="8" w:color="auto"/>
            </w:tcBorders>
            <w:gridSpan w:val="4"/>
          </w:tcPr>
          <w:p>
            <w:pPr>
              <w:ind w:left="60"/>
              <w:spacing w:after="0"/>
              <w:rPr>
                <w:sz w:val="20"/>
                <w:szCs w:val="20"/>
                <w:color w:val="auto"/>
              </w:rPr>
            </w:pPr>
            <w:r>
              <w:rPr>
                <w:rFonts w:ascii="Arial" w:cs="Arial" w:eastAsia="Arial" w:hAnsi="Arial"/>
                <w:sz w:val="18"/>
                <w:szCs w:val="18"/>
                <w:color w:val="auto"/>
              </w:rPr>
              <w:t>A reconciliation of the U.S. federal statutory tax rate to the Company’s effective income tax rate is as follows:</w:t>
            </w:r>
          </w:p>
        </w:tc>
        <w:tc>
          <w:tcPr>
            <w:tcW w:w="11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9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2560" w:type="dxa"/>
            <w:vAlign w:val="bottom"/>
            <w:tcBorders>
              <w:bottom w:val="single" w:sz="8" w:color="auto"/>
            </w:tcBorders>
            <w:gridSpan w:val="2"/>
          </w:tcPr>
          <w:p>
            <w:pPr>
              <w:jc w:val="right"/>
              <w:ind w:right="1150"/>
              <w:spacing w:after="0"/>
              <w:rPr>
                <w:sz w:val="20"/>
                <w:szCs w:val="20"/>
                <w:color w:val="auto"/>
              </w:rPr>
            </w:pPr>
            <w:r>
              <w:rPr>
                <w:rFonts w:ascii="Arial" w:cs="Arial" w:eastAsia="Arial" w:hAnsi="Arial"/>
                <w:sz w:val="18"/>
                <w:szCs w:val="18"/>
                <w:b w:val="1"/>
                <w:bCs w:val="1"/>
                <w:color w:val="auto"/>
              </w:rPr>
              <w:t>2012</w:t>
            </w:r>
          </w:p>
        </w:tc>
        <w:tc>
          <w:tcPr>
            <w:tcW w:w="11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980" w:type="dxa"/>
            <w:vAlign w:val="bottom"/>
          </w:tcPr>
          <w:p>
            <w:pPr>
              <w:spacing w:after="0" w:line="173" w:lineRule="exact"/>
              <w:rPr>
                <w:sz w:val="20"/>
                <w:szCs w:val="20"/>
                <w:color w:val="auto"/>
              </w:rPr>
            </w:pPr>
            <w:r>
              <w:rPr>
                <w:rFonts w:ascii="Arial" w:cs="Arial" w:eastAsia="Arial" w:hAnsi="Arial"/>
                <w:sz w:val="18"/>
                <w:szCs w:val="18"/>
                <w:color w:val="auto"/>
              </w:rPr>
              <w:t>U.S. federal statutory tax rate</w:t>
            </w:r>
          </w:p>
        </w:tc>
        <w:tc>
          <w:tcPr>
            <w:tcW w:w="1560" w:type="dxa"/>
            <w:vAlign w:val="bottom"/>
          </w:tcPr>
          <w:p>
            <w:pPr>
              <w:jc w:val="right"/>
              <w:spacing w:after="0" w:line="173" w:lineRule="exact"/>
              <w:rPr>
                <w:sz w:val="20"/>
                <w:szCs w:val="20"/>
                <w:color w:val="auto"/>
              </w:rPr>
            </w:pPr>
            <w:r>
              <w:rPr>
                <w:rFonts w:ascii="Arial" w:cs="Arial" w:eastAsia="Arial" w:hAnsi="Arial"/>
                <w:sz w:val="18"/>
                <w:szCs w:val="18"/>
                <w:b w:val="1"/>
                <w:bCs w:val="1"/>
                <w:color w:val="auto"/>
              </w:rPr>
              <w:t>35.0%</w:t>
            </w:r>
          </w:p>
        </w:tc>
        <w:tc>
          <w:tcPr>
            <w:tcW w:w="1160" w:type="dxa"/>
            <w:vAlign w:val="bottom"/>
          </w:tcPr>
          <w:p>
            <w:pPr>
              <w:spacing w:after="0"/>
              <w:rPr>
                <w:sz w:val="15"/>
                <w:szCs w:val="15"/>
                <w:color w:val="auto"/>
              </w:rPr>
            </w:pPr>
          </w:p>
        </w:tc>
        <w:tc>
          <w:tcPr>
            <w:tcW w:w="1400" w:type="dxa"/>
            <w:vAlign w:val="bottom"/>
          </w:tcPr>
          <w:p>
            <w:pPr>
              <w:jc w:val="right"/>
              <w:ind w:right="650"/>
              <w:spacing w:after="0" w:line="173" w:lineRule="exact"/>
              <w:rPr>
                <w:sz w:val="20"/>
                <w:szCs w:val="20"/>
                <w:color w:val="auto"/>
              </w:rPr>
            </w:pPr>
            <w:r>
              <w:rPr>
                <w:rFonts w:ascii="Arial" w:cs="Arial" w:eastAsia="Arial" w:hAnsi="Arial"/>
                <w:sz w:val="18"/>
                <w:szCs w:val="18"/>
                <w:color w:val="auto"/>
              </w:rPr>
              <w:t>35.0%</w:t>
            </w:r>
          </w:p>
        </w:tc>
        <w:tc>
          <w:tcPr>
            <w:tcW w:w="1160" w:type="dxa"/>
            <w:vAlign w:val="bottom"/>
          </w:tcPr>
          <w:p>
            <w:pPr>
              <w:jc w:val="right"/>
              <w:spacing w:after="0" w:line="173" w:lineRule="exact"/>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03"/>
        </w:trPr>
        <w:tc>
          <w:tcPr>
            <w:tcW w:w="5000" w:type="dxa"/>
            <w:vAlign w:val="bottom"/>
            <w:gridSpan w:val="2"/>
          </w:tcPr>
          <w:p>
            <w:pPr>
              <w:spacing w:after="0" w:line="202" w:lineRule="exact"/>
              <w:rPr>
                <w:sz w:val="20"/>
                <w:szCs w:val="20"/>
                <w:color w:val="auto"/>
              </w:rPr>
            </w:pPr>
            <w:r>
              <w:rPr>
                <w:rFonts w:ascii="Arial" w:cs="Arial" w:eastAsia="Arial" w:hAnsi="Arial"/>
                <w:sz w:val="18"/>
                <w:szCs w:val="18"/>
                <w:color w:val="auto"/>
              </w:rPr>
              <w:t>State taxes, net of federal benefit</w:t>
            </w:r>
          </w:p>
        </w:tc>
        <w:tc>
          <w:tcPr>
            <w:tcW w:w="156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4.9</w:t>
            </w:r>
          </w:p>
        </w:tc>
        <w:tc>
          <w:tcPr>
            <w:tcW w:w="1160" w:type="dxa"/>
            <w:vAlign w:val="bottom"/>
          </w:tcPr>
          <w:p>
            <w:pPr>
              <w:spacing w:after="0"/>
              <w:rPr>
                <w:sz w:val="17"/>
                <w:szCs w:val="17"/>
                <w:color w:val="auto"/>
              </w:rPr>
            </w:pPr>
          </w:p>
        </w:tc>
        <w:tc>
          <w:tcPr>
            <w:tcW w:w="1400" w:type="dxa"/>
            <w:vAlign w:val="bottom"/>
          </w:tcPr>
          <w:p>
            <w:pPr>
              <w:jc w:val="right"/>
              <w:ind w:right="810"/>
              <w:spacing w:after="0" w:line="202" w:lineRule="exact"/>
              <w:rPr>
                <w:sz w:val="20"/>
                <w:szCs w:val="20"/>
                <w:color w:val="auto"/>
              </w:rPr>
            </w:pPr>
            <w:r>
              <w:rPr>
                <w:rFonts w:ascii="Arial" w:cs="Arial" w:eastAsia="Arial" w:hAnsi="Arial"/>
                <w:sz w:val="18"/>
                <w:szCs w:val="18"/>
                <w:color w:val="auto"/>
              </w:rPr>
              <w:t>3.5</w:t>
            </w:r>
          </w:p>
        </w:tc>
        <w:tc>
          <w:tcPr>
            <w:tcW w:w="1160" w:type="dxa"/>
            <w:vAlign w:val="bottom"/>
          </w:tcPr>
          <w:p>
            <w:pPr>
              <w:jc w:val="right"/>
              <w:ind w:right="90"/>
              <w:spacing w:after="0" w:line="202" w:lineRule="exact"/>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3"/>
        </w:trPr>
        <w:tc>
          <w:tcPr>
            <w:tcW w:w="5000" w:type="dxa"/>
            <w:vAlign w:val="bottom"/>
            <w:gridSpan w:val="2"/>
          </w:tcPr>
          <w:p>
            <w:pPr>
              <w:spacing w:after="0" w:line="202" w:lineRule="exact"/>
              <w:rPr>
                <w:sz w:val="20"/>
                <w:szCs w:val="20"/>
                <w:color w:val="auto"/>
              </w:rPr>
            </w:pPr>
            <w:r>
              <w:rPr>
                <w:rFonts w:ascii="Arial" w:cs="Arial" w:eastAsia="Arial" w:hAnsi="Arial"/>
                <w:sz w:val="18"/>
                <w:szCs w:val="18"/>
                <w:color w:val="auto"/>
              </w:rPr>
              <w:t>Non-U.S. local income taxes</w:t>
            </w:r>
          </w:p>
        </w:tc>
        <w:tc>
          <w:tcPr>
            <w:tcW w:w="156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8.7</w:t>
            </w:r>
          </w:p>
        </w:tc>
        <w:tc>
          <w:tcPr>
            <w:tcW w:w="1160" w:type="dxa"/>
            <w:vAlign w:val="bottom"/>
          </w:tcPr>
          <w:p>
            <w:pPr>
              <w:spacing w:after="0"/>
              <w:rPr>
                <w:sz w:val="17"/>
                <w:szCs w:val="17"/>
                <w:color w:val="auto"/>
              </w:rPr>
            </w:pPr>
          </w:p>
        </w:tc>
        <w:tc>
          <w:tcPr>
            <w:tcW w:w="1400" w:type="dxa"/>
            <w:vAlign w:val="bottom"/>
          </w:tcPr>
          <w:p>
            <w:pPr>
              <w:jc w:val="right"/>
              <w:ind w:right="810"/>
              <w:spacing w:after="0" w:line="202" w:lineRule="exact"/>
              <w:rPr>
                <w:sz w:val="20"/>
                <w:szCs w:val="20"/>
                <w:color w:val="auto"/>
              </w:rPr>
            </w:pPr>
            <w:r>
              <w:rPr>
                <w:rFonts w:ascii="Arial" w:cs="Arial" w:eastAsia="Arial" w:hAnsi="Arial"/>
                <w:sz w:val="18"/>
                <w:szCs w:val="18"/>
                <w:color w:val="auto"/>
              </w:rPr>
              <w:t>0.5</w:t>
            </w:r>
          </w:p>
        </w:tc>
        <w:tc>
          <w:tcPr>
            <w:tcW w:w="1160" w:type="dxa"/>
            <w:vAlign w:val="bottom"/>
          </w:tcPr>
          <w:p>
            <w:pPr>
              <w:jc w:val="right"/>
              <w:ind w:right="90"/>
              <w:spacing w:after="0" w:line="202" w:lineRule="exact"/>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3"/>
        </w:trPr>
        <w:tc>
          <w:tcPr>
            <w:tcW w:w="5000" w:type="dxa"/>
            <w:vAlign w:val="bottom"/>
            <w:gridSpan w:val="2"/>
          </w:tcPr>
          <w:p>
            <w:pPr>
              <w:spacing w:after="0" w:line="202" w:lineRule="exact"/>
              <w:rPr>
                <w:sz w:val="20"/>
                <w:szCs w:val="20"/>
                <w:color w:val="auto"/>
              </w:rPr>
            </w:pPr>
            <w:r>
              <w:rPr>
                <w:rFonts w:ascii="Arial" w:cs="Arial" w:eastAsia="Arial" w:hAnsi="Arial"/>
                <w:sz w:val="18"/>
                <w:szCs w:val="18"/>
                <w:color w:val="auto"/>
              </w:rPr>
              <w:t>Foreign rate differential</w:t>
            </w:r>
          </w:p>
        </w:tc>
        <w:tc>
          <w:tcPr>
            <w:tcW w:w="156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0.2</w:t>
            </w:r>
          </w:p>
        </w:tc>
        <w:tc>
          <w:tcPr>
            <w:tcW w:w="1160" w:type="dxa"/>
            <w:vAlign w:val="bottom"/>
          </w:tcPr>
          <w:p>
            <w:pPr>
              <w:spacing w:after="0"/>
              <w:rPr>
                <w:sz w:val="17"/>
                <w:szCs w:val="17"/>
                <w:color w:val="auto"/>
              </w:rPr>
            </w:pPr>
          </w:p>
        </w:tc>
        <w:tc>
          <w:tcPr>
            <w:tcW w:w="1400" w:type="dxa"/>
            <w:vAlign w:val="bottom"/>
          </w:tcPr>
          <w:p>
            <w:pPr>
              <w:jc w:val="right"/>
              <w:ind w:right="750"/>
              <w:spacing w:after="0" w:line="202" w:lineRule="exact"/>
              <w:rPr>
                <w:sz w:val="20"/>
                <w:szCs w:val="20"/>
                <w:color w:val="auto"/>
              </w:rPr>
            </w:pPr>
            <w:r>
              <w:rPr>
                <w:rFonts w:ascii="Arial" w:cs="Arial" w:eastAsia="Arial" w:hAnsi="Arial"/>
                <w:sz w:val="18"/>
                <w:szCs w:val="18"/>
                <w:color w:val="auto"/>
              </w:rPr>
              <w:t>(1.7)</w:t>
            </w:r>
          </w:p>
        </w:tc>
        <w:tc>
          <w:tcPr>
            <w:tcW w:w="11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25"/>
        </w:trPr>
        <w:tc>
          <w:tcPr>
            <w:tcW w:w="5000" w:type="dxa"/>
            <w:vAlign w:val="bottom"/>
            <w:gridSpan w:val="2"/>
          </w:tcPr>
          <w:p>
            <w:pPr>
              <w:spacing w:after="0"/>
              <w:rPr>
                <w:sz w:val="20"/>
                <w:szCs w:val="20"/>
                <w:color w:val="auto"/>
              </w:rPr>
            </w:pPr>
            <w:r>
              <w:rPr>
                <w:rFonts w:ascii="Arial" w:cs="Arial" w:eastAsia="Arial" w:hAnsi="Arial"/>
                <w:sz w:val="18"/>
                <w:szCs w:val="18"/>
                <w:color w:val="auto"/>
              </w:rPr>
              <w:t>U.S. tax on non-U.S. earnings and foreign withholdings</w:t>
            </w:r>
          </w:p>
        </w:tc>
        <w:tc>
          <w:tcPr>
            <w:tcW w:w="1560" w:type="dxa"/>
            <w:vAlign w:val="bottom"/>
          </w:tcPr>
          <w:p>
            <w:pPr>
              <w:jc w:val="right"/>
              <w:ind w:right="150"/>
              <w:spacing w:after="0"/>
              <w:rPr>
                <w:sz w:val="20"/>
                <w:szCs w:val="20"/>
                <w:color w:val="auto"/>
              </w:rPr>
            </w:pPr>
            <w:r>
              <w:rPr>
                <w:rFonts w:ascii="Arial" w:cs="Arial" w:eastAsia="Arial" w:hAnsi="Arial"/>
                <w:sz w:val="18"/>
                <w:szCs w:val="18"/>
                <w:b w:val="1"/>
                <w:bCs w:val="1"/>
                <w:color w:val="auto"/>
              </w:rPr>
              <w:t>5.3</w:t>
            </w:r>
          </w:p>
        </w:tc>
        <w:tc>
          <w:tcPr>
            <w:tcW w:w="1160" w:type="dxa"/>
            <w:vAlign w:val="bottom"/>
          </w:tcPr>
          <w:p>
            <w:pPr>
              <w:spacing w:after="0"/>
              <w:rPr>
                <w:sz w:val="19"/>
                <w:szCs w:val="19"/>
                <w:color w:val="auto"/>
              </w:rPr>
            </w:pPr>
          </w:p>
        </w:tc>
        <w:tc>
          <w:tcPr>
            <w:tcW w:w="1400" w:type="dxa"/>
            <w:vAlign w:val="bottom"/>
          </w:tcPr>
          <w:p>
            <w:pPr>
              <w:jc w:val="right"/>
              <w:ind w:right="750"/>
              <w:spacing w:after="0"/>
              <w:rPr>
                <w:sz w:val="20"/>
                <w:szCs w:val="20"/>
                <w:color w:val="auto"/>
              </w:rPr>
            </w:pPr>
            <w:r>
              <w:rPr>
                <w:rFonts w:ascii="Arial" w:cs="Arial" w:eastAsia="Arial" w:hAnsi="Arial"/>
                <w:sz w:val="18"/>
                <w:szCs w:val="18"/>
                <w:color w:val="auto"/>
              </w:rPr>
              <w:t>(1.2)</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3"/>
        </w:trPr>
        <w:tc>
          <w:tcPr>
            <w:tcW w:w="5000" w:type="dxa"/>
            <w:vAlign w:val="bottom"/>
            <w:gridSpan w:val="2"/>
          </w:tcPr>
          <w:p>
            <w:pPr>
              <w:spacing w:after="0" w:line="202" w:lineRule="exact"/>
              <w:rPr>
                <w:sz w:val="20"/>
                <w:szCs w:val="20"/>
                <w:color w:val="auto"/>
              </w:rPr>
            </w:pPr>
            <w:r>
              <w:rPr>
                <w:rFonts w:ascii="Arial" w:cs="Arial" w:eastAsia="Arial" w:hAnsi="Arial"/>
                <w:sz w:val="18"/>
                <w:szCs w:val="18"/>
                <w:color w:val="auto"/>
              </w:rPr>
              <w:t>Provision for/resolution of tax audit and contingencies,</w:t>
            </w:r>
          </w:p>
        </w:tc>
        <w:tc>
          <w:tcPr>
            <w:tcW w:w="156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8.5</w:t>
            </w:r>
          </w:p>
        </w:tc>
        <w:tc>
          <w:tcPr>
            <w:tcW w:w="1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gridSpan w:val="2"/>
          </w:tcPr>
          <w:p>
            <w:pPr>
              <w:spacing w:after="0" w:line="202" w:lineRule="exact"/>
              <w:rPr>
                <w:sz w:val="20"/>
                <w:szCs w:val="20"/>
                <w:color w:val="auto"/>
              </w:rPr>
            </w:pPr>
            <w:r>
              <w:rPr>
                <w:rFonts w:ascii="Arial" w:cs="Arial" w:eastAsia="Arial" w:hAnsi="Arial"/>
                <w:sz w:val="18"/>
                <w:szCs w:val="18"/>
                <w:color w:val="auto"/>
              </w:rPr>
              <w:t>net</w:t>
            </w:r>
          </w:p>
        </w:tc>
        <w:tc>
          <w:tcPr>
            <w:tcW w:w="1560" w:type="dxa"/>
            <w:vAlign w:val="bottom"/>
            <w:vMerge w:val="continue"/>
          </w:tcPr>
          <w:p>
            <w:pPr>
              <w:spacing w:after="0"/>
              <w:rPr>
                <w:sz w:val="17"/>
                <w:szCs w:val="17"/>
                <w:color w:val="auto"/>
              </w:rPr>
            </w:pPr>
          </w:p>
        </w:tc>
        <w:tc>
          <w:tcPr>
            <w:tcW w:w="1160" w:type="dxa"/>
            <w:vAlign w:val="bottom"/>
          </w:tcPr>
          <w:p>
            <w:pPr>
              <w:spacing w:after="0"/>
              <w:rPr>
                <w:sz w:val="17"/>
                <w:szCs w:val="17"/>
                <w:color w:val="auto"/>
              </w:rPr>
            </w:pPr>
          </w:p>
        </w:tc>
        <w:tc>
          <w:tcPr>
            <w:tcW w:w="1400" w:type="dxa"/>
            <w:vAlign w:val="bottom"/>
          </w:tcPr>
          <w:p>
            <w:pPr>
              <w:jc w:val="right"/>
              <w:ind w:right="810"/>
              <w:spacing w:after="0" w:line="202" w:lineRule="exact"/>
              <w:rPr>
                <w:sz w:val="20"/>
                <w:szCs w:val="20"/>
                <w:color w:val="auto"/>
              </w:rPr>
            </w:pPr>
            <w:r>
              <w:rPr>
                <w:rFonts w:ascii="Arial" w:cs="Arial" w:eastAsia="Arial" w:hAnsi="Arial"/>
                <w:sz w:val="18"/>
                <w:szCs w:val="18"/>
                <w:color w:val="auto"/>
              </w:rPr>
              <w:t>4.0</w:t>
            </w:r>
          </w:p>
        </w:tc>
        <w:tc>
          <w:tcPr>
            <w:tcW w:w="1160" w:type="dxa"/>
            <w:vAlign w:val="bottom"/>
          </w:tcPr>
          <w:p>
            <w:pPr>
              <w:jc w:val="right"/>
              <w:ind w:right="90"/>
              <w:spacing w:after="0" w:line="202" w:lineRule="exact"/>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3"/>
        </w:trPr>
        <w:tc>
          <w:tcPr>
            <w:tcW w:w="5000" w:type="dxa"/>
            <w:vAlign w:val="bottom"/>
            <w:gridSpan w:val="2"/>
          </w:tcPr>
          <w:p>
            <w:pPr>
              <w:spacing w:after="0" w:line="202" w:lineRule="exact"/>
              <w:rPr>
                <w:sz w:val="20"/>
                <w:szCs w:val="20"/>
                <w:color w:val="auto"/>
              </w:rPr>
            </w:pPr>
            <w:r>
              <w:rPr>
                <w:rFonts w:ascii="Arial" w:cs="Arial" w:eastAsia="Arial" w:hAnsi="Arial"/>
                <w:sz w:val="18"/>
                <w:szCs w:val="18"/>
                <w:color w:val="auto"/>
              </w:rPr>
              <w:t>Provision for/adustment to beginning of year valuation</w:t>
            </w:r>
          </w:p>
        </w:tc>
        <w:tc>
          <w:tcPr>
            <w:tcW w:w="156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(12.0)</w:t>
            </w:r>
          </w:p>
        </w:tc>
        <w:tc>
          <w:tcPr>
            <w:tcW w:w="1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000" w:type="dxa"/>
            <w:vAlign w:val="bottom"/>
            <w:gridSpan w:val="2"/>
          </w:tcPr>
          <w:p>
            <w:pPr>
              <w:spacing w:after="0" w:line="181" w:lineRule="exact"/>
              <w:rPr>
                <w:sz w:val="20"/>
                <w:szCs w:val="20"/>
                <w:color w:val="auto"/>
              </w:rPr>
            </w:pPr>
            <w:r>
              <w:rPr>
                <w:rFonts w:ascii="Arial" w:cs="Arial" w:eastAsia="Arial" w:hAnsi="Arial"/>
                <w:sz w:val="18"/>
                <w:szCs w:val="18"/>
                <w:color w:val="auto"/>
              </w:rPr>
              <w:t>allowances</w:t>
            </w:r>
          </w:p>
        </w:tc>
        <w:tc>
          <w:tcPr>
            <w:tcW w:w="1560" w:type="dxa"/>
            <w:vAlign w:val="bottom"/>
            <w:vMerge w:val="continue"/>
          </w:tcPr>
          <w:p>
            <w:pPr>
              <w:spacing w:after="0"/>
              <w:rPr>
                <w:sz w:val="15"/>
                <w:szCs w:val="15"/>
                <w:color w:val="auto"/>
              </w:rPr>
            </w:pPr>
          </w:p>
        </w:tc>
        <w:tc>
          <w:tcPr>
            <w:tcW w:w="1160" w:type="dxa"/>
            <w:vAlign w:val="bottom"/>
          </w:tcPr>
          <w:p>
            <w:pPr>
              <w:spacing w:after="0"/>
              <w:rPr>
                <w:sz w:val="15"/>
                <w:szCs w:val="15"/>
                <w:color w:val="auto"/>
              </w:rPr>
            </w:pPr>
          </w:p>
        </w:tc>
        <w:tc>
          <w:tcPr>
            <w:tcW w:w="1400" w:type="dxa"/>
            <w:vAlign w:val="bottom"/>
          </w:tcPr>
          <w:p>
            <w:pPr>
              <w:jc w:val="right"/>
              <w:ind w:right="750"/>
              <w:spacing w:after="0" w:line="181" w:lineRule="exact"/>
              <w:rPr>
                <w:sz w:val="20"/>
                <w:szCs w:val="20"/>
                <w:color w:val="auto"/>
              </w:rPr>
            </w:pPr>
            <w:r>
              <w:rPr>
                <w:rFonts w:ascii="Arial" w:cs="Arial" w:eastAsia="Arial" w:hAnsi="Arial"/>
                <w:sz w:val="18"/>
                <w:szCs w:val="18"/>
                <w:color w:val="auto"/>
              </w:rPr>
              <w:t>(3.7)</w:t>
            </w:r>
          </w:p>
        </w:tc>
        <w:tc>
          <w:tcPr>
            <w:tcW w:w="1160" w:type="dxa"/>
            <w:vAlign w:val="bottom"/>
          </w:tcPr>
          <w:p>
            <w:pPr>
              <w:jc w:val="right"/>
              <w:ind w:right="90"/>
              <w:spacing w:after="0" w:line="181" w:lineRule="exact"/>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03"/>
        </w:trPr>
        <w:tc>
          <w:tcPr>
            <w:tcW w:w="5000" w:type="dxa"/>
            <w:vAlign w:val="bottom"/>
            <w:gridSpan w:val="2"/>
          </w:tcPr>
          <w:p>
            <w:pPr>
              <w:spacing w:after="0" w:line="202" w:lineRule="exact"/>
              <w:rPr>
                <w:sz w:val="20"/>
                <w:szCs w:val="20"/>
                <w:color w:val="auto"/>
              </w:rPr>
            </w:pPr>
            <w:r>
              <w:rPr>
                <w:rFonts w:ascii="Arial" w:cs="Arial" w:eastAsia="Arial" w:hAnsi="Arial"/>
                <w:sz w:val="18"/>
                <w:szCs w:val="18"/>
                <w:color w:val="auto"/>
              </w:rPr>
              <w:t>Research and development and other tax credits</w:t>
            </w:r>
          </w:p>
        </w:tc>
        <w:tc>
          <w:tcPr>
            <w:tcW w:w="156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(3.8)</w:t>
            </w:r>
          </w:p>
        </w:tc>
        <w:tc>
          <w:tcPr>
            <w:tcW w:w="1160" w:type="dxa"/>
            <w:vAlign w:val="bottom"/>
          </w:tcPr>
          <w:p>
            <w:pPr>
              <w:spacing w:after="0"/>
              <w:rPr>
                <w:sz w:val="17"/>
                <w:szCs w:val="17"/>
                <w:color w:val="auto"/>
              </w:rPr>
            </w:pPr>
          </w:p>
        </w:tc>
        <w:tc>
          <w:tcPr>
            <w:tcW w:w="1400" w:type="dxa"/>
            <w:vAlign w:val="bottom"/>
          </w:tcPr>
          <w:p>
            <w:pPr>
              <w:jc w:val="right"/>
              <w:ind w:right="810"/>
              <w:spacing w:after="0" w:line="202" w:lineRule="exact"/>
              <w:rPr>
                <w:sz w:val="20"/>
                <w:szCs w:val="20"/>
                <w:color w:val="auto"/>
              </w:rPr>
            </w:pPr>
            <w:r>
              <w:rPr>
                <w:rFonts w:ascii="Arial" w:cs="Arial" w:eastAsia="Arial" w:hAnsi="Arial"/>
                <w:sz w:val="18"/>
                <w:szCs w:val="18"/>
                <w:color w:val="auto"/>
              </w:rPr>
              <w:t>0.9</w:t>
            </w:r>
          </w:p>
        </w:tc>
        <w:tc>
          <w:tcPr>
            <w:tcW w:w="11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3"/>
        </w:trPr>
        <w:tc>
          <w:tcPr>
            <w:tcW w:w="5000" w:type="dxa"/>
            <w:vAlign w:val="bottom"/>
            <w:gridSpan w:val="2"/>
          </w:tcPr>
          <w:p>
            <w:pPr>
              <w:spacing w:after="0" w:line="202" w:lineRule="exact"/>
              <w:rPr>
                <w:sz w:val="20"/>
                <w:szCs w:val="20"/>
                <w:color w:val="auto"/>
              </w:rPr>
            </w:pPr>
            <w:r>
              <w:rPr>
                <w:rFonts w:ascii="Arial" w:cs="Arial" w:eastAsia="Arial" w:hAnsi="Arial"/>
                <w:sz w:val="18"/>
                <w:szCs w:val="18"/>
                <w:color w:val="auto"/>
              </w:rPr>
              <w:t>Change in tax status</w:t>
            </w:r>
          </w:p>
        </w:tc>
        <w:tc>
          <w:tcPr>
            <w:tcW w:w="156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w:t>
            </w:r>
          </w:p>
        </w:tc>
        <w:tc>
          <w:tcPr>
            <w:tcW w:w="1160" w:type="dxa"/>
            <w:vAlign w:val="bottom"/>
          </w:tcPr>
          <w:p>
            <w:pPr>
              <w:spacing w:after="0"/>
              <w:rPr>
                <w:sz w:val="17"/>
                <w:szCs w:val="17"/>
                <w:color w:val="auto"/>
              </w:rPr>
            </w:pPr>
          </w:p>
        </w:tc>
        <w:tc>
          <w:tcPr>
            <w:tcW w:w="1400" w:type="dxa"/>
            <w:vAlign w:val="bottom"/>
          </w:tcPr>
          <w:p>
            <w:pPr>
              <w:jc w:val="right"/>
              <w:ind w:right="81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3"/>
        </w:trPr>
        <w:tc>
          <w:tcPr>
            <w:tcW w:w="5000" w:type="dxa"/>
            <w:vAlign w:val="bottom"/>
            <w:gridSpan w:val="2"/>
          </w:tcPr>
          <w:p>
            <w:pPr>
              <w:spacing w:after="0" w:line="202" w:lineRule="exact"/>
              <w:rPr>
                <w:sz w:val="20"/>
                <w:szCs w:val="20"/>
                <w:color w:val="auto"/>
              </w:rPr>
            </w:pPr>
            <w:r>
              <w:rPr>
                <w:rFonts w:ascii="Arial" w:cs="Arial" w:eastAsia="Arial" w:hAnsi="Arial"/>
                <w:sz w:val="18"/>
                <w:szCs w:val="18"/>
                <w:color w:val="auto"/>
              </w:rPr>
              <w:t>Adjustment to correct prior year error</w:t>
            </w:r>
          </w:p>
        </w:tc>
        <w:tc>
          <w:tcPr>
            <w:tcW w:w="156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w:t>
            </w:r>
          </w:p>
        </w:tc>
        <w:tc>
          <w:tcPr>
            <w:tcW w:w="1160" w:type="dxa"/>
            <w:vAlign w:val="bottom"/>
          </w:tcPr>
          <w:p>
            <w:pPr>
              <w:spacing w:after="0"/>
              <w:rPr>
                <w:sz w:val="17"/>
                <w:szCs w:val="17"/>
                <w:color w:val="auto"/>
              </w:rPr>
            </w:pPr>
          </w:p>
        </w:tc>
        <w:tc>
          <w:tcPr>
            <w:tcW w:w="1400" w:type="dxa"/>
            <w:vAlign w:val="bottom"/>
          </w:tcPr>
          <w:p>
            <w:pPr>
              <w:jc w:val="right"/>
              <w:ind w:right="81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5"/>
        </w:trPr>
        <w:tc>
          <w:tcPr>
            <w:tcW w:w="5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Other</w:t>
            </w:r>
          </w:p>
        </w:tc>
        <w:tc>
          <w:tcPr>
            <w:tcW w:w="15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(3.8)</w:t>
            </w:r>
          </w:p>
        </w:tc>
        <w:tc>
          <w:tcPr>
            <w:tcW w:w="1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rPr>
              <w:t>3.0</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500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Effective income tax rate</w:t>
            </w:r>
          </w:p>
        </w:tc>
        <w:tc>
          <w:tcPr>
            <w:tcW w:w="1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43.0%</w:t>
            </w:r>
          </w:p>
        </w:tc>
        <w:tc>
          <w:tcPr>
            <w:tcW w:w="1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50"/>
              <w:spacing w:after="0" w:line="196" w:lineRule="exact"/>
              <w:rPr>
                <w:sz w:val="20"/>
                <w:szCs w:val="20"/>
                <w:color w:val="auto"/>
              </w:rPr>
            </w:pPr>
            <w:r>
              <w:rPr>
                <w:rFonts w:ascii="Arial" w:cs="Arial" w:eastAsia="Arial" w:hAnsi="Arial"/>
                <w:sz w:val="18"/>
                <w:szCs w:val="18"/>
                <w:color w:val="auto"/>
              </w:rPr>
              <w:t>40.3%</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60" w:firstLine="648"/>
        <w:spacing w:after="0" w:line="237" w:lineRule="auto"/>
        <w:rPr>
          <w:sz w:val="20"/>
          <w:szCs w:val="20"/>
          <w:color w:val="auto"/>
        </w:rPr>
      </w:pPr>
      <w:r>
        <w:rPr>
          <w:rFonts w:ascii="Arial" w:cs="Arial" w:eastAsia="Arial" w:hAnsi="Arial"/>
          <w:sz w:val="18"/>
          <w:szCs w:val="18"/>
          <w:color w:val="auto"/>
        </w:rPr>
        <w:t>The Company has operations which constitute a taxable presence in 19 countries outside of the United States. All of these countries except one had income tax rates that were lower than the United States federal tax rate during the periods reported. The jurisdictional location of earnings is a significant component of our effective tax rate each year. The rate impact of this component is influenced by the specific location of non-U.S. earnings and the level of our total earnings. From period to period, the jurisdictional mix of earnings can vary as a result of operating fluctuations in the normal course of business, as well as the extent and location of other income and expense items, such as pension settlement and restructuring charges. The foreign income tax rate differential that is included above in the reconciliation of the effective tax rate includes the difference between tax expense</w:t>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431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71" w:right="239" w:bottom="1440" w:gutter="0" w:footer="0" w:header="0"/>
        </w:sectPr>
      </w:pPr>
    </w:p>
    <w:bookmarkStart w:id="70" w:name="page71"/>
    <w:bookmarkEnd w:id="70"/>
    <w:p>
      <w:pPr>
        <w:ind w:right="960"/>
        <w:spacing w:after="0" w:line="246" w:lineRule="auto"/>
        <w:rPr>
          <w:sz w:val="20"/>
          <w:szCs w:val="20"/>
          <w:color w:val="auto"/>
        </w:rPr>
      </w:pPr>
      <w:r>
        <w:rPr>
          <w:rFonts w:ascii="Arial" w:cs="Arial" w:eastAsia="Arial" w:hAnsi="Arial"/>
          <w:sz w:val="18"/>
          <w:szCs w:val="18"/>
          <w:color w:val="auto"/>
        </w:rPr>
        <w:t>calculated at the U.S. federal statutory tax rate of 35% and the expense accrued based on lower statutory tax rates that apply in the jurisdictions where the income or loss is earned.</w:t>
      </w:r>
    </w:p>
    <w:p>
      <w:pPr>
        <w:spacing w:after="0" w:line="156" w:lineRule="exact"/>
        <w:rPr>
          <w:sz w:val="20"/>
          <w:szCs w:val="20"/>
          <w:color w:val="auto"/>
        </w:rPr>
      </w:pPr>
    </w:p>
    <w:p>
      <w:pPr>
        <w:ind w:right="140" w:firstLine="648"/>
        <w:spacing w:after="0" w:line="239" w:lineRule="auto"/>
        <w:rPr>
          <w:sz w:val="20"/>
          <w:szCs w:val="20"/>
          <w:color w:val="auto"/>
        </w:rPr>
      </w:pPr>
      <w:r>
        <w:rPr>
          <w:rFonts w:ascii="Arial" w:cs="Arial" w:eastAsia="Arial" w:hAnsi="Arial"/>
          <w:sz w:val="18"/>
          <w:szCs w:val="18"/>
          <w:color w:val="auto"/>
        </w:rPr>
        <w:t>During the periods reported, income or loss outside of the U.S. was heavily concentrated within Switzerland (8% tax rate) and Brazil (25% tax rate) and as a result, the foreign income tax rate differential was primarily attributable to these tax rate differences. Also, in 2013 and 2012 the income tax rate differential was significantly reduced by the pension settlement and restructuring charges outside of the U.S. that resulted in a lower tax rate benefit, as compared to the benefit calculated using the higher U.S. tax rate.</w:t>
      </w:r>
    </w:p>
    <w:p>
      <w:pPr>
        <w:spacing w:after="0" w:line="175" w:lineRule="exact"/>
        <w:rPr>
          <w:sz w:val="20"/>
          <w:szCs w:val="20"/>
          <w:color w:val="auto"/>
        </w:rPr>
      </w:pPr>
    </w:p>
    <w:p>
      <w:pPr>
        <w:ind w:right="60" w:firstLine="648"/>
        <w:spacing w:after="0" w:line="246"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certain assets and liabilities for financial reporting and the amounts used for income tax expense purposes.</w:t>
      </w:r>
    </w:p>
    <w:p>
      <w:pPr>
        <w:spacing w:after="0" w:line="1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431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71" w:name="page72"/>
    <w:bookmarkEnd w:id="71"/>
    <w:p>
      <w:pPr>
        <w:ind w:left="660"/>
        <w:spacing w:after="0"/>
        <w:rPr>
          <w:sz w:val="20"/>
          <w:szCs w:val="20"/>
          <w:color w:val="auto"/>
        </w:rPr>
      </w:pPr>
      <w:r>
        <w:rPr>
          <w:rFonts w:ascii="Arial" w:cs="Arial" w:eastAsia="Arial" w:hAnsi="Arial"/>
          <w:sz w:val="18"/>
          <w:szCs w:val="18"/>
          <w:color w:val="auto"/>
        </w:rPr>
        <w:t>Significant components of the Company’s deferred tax assets and liabilities are as follows: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280" w:type="dxa"/>
            <w:vAlign w:val="bottom"/>
            <w:tcBorders>
              <w:top w:val="single" w:sz="8" w:color="auto"/>
              <w:bottom w:val="single" w:sz="8" w:color="auto"/>
            </w:tcBorders>
          </w:tcPr>
          <w:p>
            <w:pPr>
              <w:spacing w:after="0"/>
              <w:rPr>
                <w:sz w:val="19"/>
                <w:szCs w:val="19"/>
                <w:color w:val="auto"/>
              </w:rPr>
            </w:pPr>
          </w:p>
        </w:tc>
        <w:tc>
          <w:tcPr>
            <w:tcW w:w="1960" w:type="dxa"/>
            <w:vAlign w:val="bottom"/>
            <w:tcBorders>
              <w:top w:val="single" w:sz="8" w:color="auto"/>
              <w:bottom w:val="single" w:sz="8" w:color="auto"/>
            </w:tcBorders>
          </w:tcPr>
          <w:p>
            <w:pPr>
              <w:spacing w:after="0"/>
              <w:rPr>
                <w:sz w:val="19"/>
                <w:szCs w:val="19"/>
                <w:color w:val="auto"/>
              </w:rPr>
            </w:pPr>
          </w:p>
        </w:tc>
        <w:tc>
          <w:tcPr>
            <w:tcW w:w="2200" w:type="dxa"/>
            <w:vAlign w:val="bottom"/>
            <w:tcBorders>
              <w:top w:val="single" w:sz="8" w:color="auto"/>
              <w:bottom w:val="single" w:sz="8" w:color="auto"/>
            </w:tcBorders>
          </w:tcPr>
          <w:p>
            <w:pPr>
              <w:jc w:val="right"/>
              <w:ind w:right="1710"/>
              <w:spacing w:after="0"/>
              <w:rPr>
                <w:sz w:val="20"/>
                <w:szCs w:val="20"/>
                <w:color w:val="auto"/>
              </w:rPr>
            </w:pPr>
            <w:r>
              <w:rPr>
                <w:rFonts w:ascii="Arial" w:cs="Arial" w:eastAsia="Arial" w:hAnsi="Arial"/>
                <w:sz w:val="18"/>
                <w:szCs w:val="18"/>
                <w:b w:val="1"/>
                <w:bCs w:val="1"/>
                <w:color w:val="auto"/>
              </w:rPr>
              <w:t>U.S.</w:t>
            </w:r>
          </w:p>
        </w:tc>
        <w:tc>
          <w:tcPr>
            <w:tcW w:w="20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Non-U.S.</w:t>
            </w:r>
          </w:p>
        </w:tc>
        <w:tc>
          <w:tcPr>
            <w:tcW w:w="94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1960" w:type="dxa"/>
            <w:vAlign w:val="bottom"/>
          </w:tcPr>
          <w:p>
            <w:pPr>
              <w:jc w:val="right"/>
              <w:ind w:right="10"/>
              <w:spacing w:after="0"/>
              <w:rPr>
                <w:sz w:val="20"/>
                <w:szCs w:val="20"/>
                <w:color w:val="auto"/>
              </w:rPr>
            </w:pPr>
            <w:r>
              <w:rPr>
                <w:rFonts w:ascii="Arial" w:cs="Arial" w:eastAsia="Arial" w:hAnsi="Arial"/>
                <w:sz w:val="18"/>
                <w:szCs w:val="18"/>
                <w:b w:val="1"/>
                <w:bCs w:val="1"/>
                <w:color w:val="auto"/>
              </w:rPr>
              <w:t>2013</w:t>
            </w:r>
          </w:p>
        </w:tc>
        <w:tc>
          <w:tcPr>
            <w:tcW w:w="22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2012</w:t>
            </w:r>
          </w:p>
        </w:tc>
        <w:tc>
          <w:tcPr>
            <w:tcW w:w="2020" w:type="dxa"/>
            <w:vAlign w:val="bottom"/>
          </w:tcPr>
          <w:p>
            <w:pPr>
              <w:jc w:val="right"/>
              <w:ind w:right="830"/>
              <w:spacing w:after="0"/>
              <w:rPr>
                <w:sz w:val="20"/>
                <w:szCs w:val="20"/>
                <w:color w:val="auto"/>
              </w:rPr>
            </w:pPr>
            <w:r>
              <w:rPr>
                <w:rFonts w:ascii="Arial" w:cs="Arial" w:eastAsia="Arial" w:hAnsi="Arial"/>
                <w:sz w:val="18"/>
                <w:szCs w:val="18"/>
                <w:b w:val="1"/>
                <w:bCs w:val="1"/>
                <w:color w:val="auto"/>
              </w:rPr>
              <w:t>2013</w:t>
            </w:r>
          </w:p>
        </w:tc>
        <w:tc>
          <w:tcPr>
            <w:tcW w:w="940" w:type="dxa"/>
            <w:vAlign w:val="bottom"/>
          </w:tcPr>
          <w:p>
            <w:pPr>
              <w:jc w:val="right"/>
              <w:ind w:right="7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180"/>
        </w:trPr>
        <w:tc>
          <w:tcPr>
            <w:tcW w:w="4300" w:type="dxa"/>
            <w:vAlign w:val="bottom"/>
            <w:tcBorders>
              <w:bottom w:val="single" w:sz="8" w:color="auto"/>
            </w:tcBorders>
            <w:gridSpan w:val="2"/>
            <w:vMerge w:val="continue"/>
          </w:tcPr>
          <w:p>
            <w:pPr>
              <w:spacing w:after="0"/>
              <w:rPr>
                <w:sz w:val="15"/>
                <w:szCs w:val="15"/>
                <w:color w:val="auto"/>
              </w:rPr>
            </w:pPr>
          </w:p>
        </w:tc>
        <w:tc>
          <w:tcPr>
            <w:tcW w:w="196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300" w:type="dxa"/>
            <w:vAlign w:val="bottom"/>
            <w:gridSpan w:val="2"/>
          </w:tcPr>
          <w:p>
            <w:pPr>
              <w:spacing w:after="0" w:line="195" w:lineRule="exact"/>
              <w:rPr>
                <w:sz w:val="20"/>
                <w:szCs w:val="20"/>
                <w:color w:val="auto"/>
              </w:rPr>
            </w:pPr>
            <w:r>
              <w:rPr>
                <w:rFonts w:ascii="Arial" w:cs="Arial" w:eastAsia="Arial" w:hAnsi="Arial"/>
                <w:sz w:val="18"/>
                <w:szCs w:val="18"/>
                <w:color w:val="auto"/>
              </w:rPr>
              <w:t>Current deferred tax assets:</w:t>
            </w:r>
          </w:p>
        </w:tc>
        <w:tc>
          <w:tcPr>
            <w:tcW w:w="19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$1,526</w:t>
            </w:r>
          </w:p>
        </w:tc>
        <w:tc>
          <w:tcPr>
            <w:tcW w:w="2200" w:type="dxa"/>
            <w:vAlign w:val="bottom"/>
          </w:tcPr>
          <w:p>
            <w:pPr>
              <w:spacing w:after="0"/>
              <w:rPr>
                <w:sz w:val="16"/>
                <w:szCs w:val="16"/>
                <w:color w:val="auto"/>
              </w:rPr>
            </w:pPr>
          </w:p>
        </w:tc>
        <w:tc>
          <w:tcPr>
            <w:tcW w:w="2020" w:type="dxa"/>
            <w:vAlign w:val="bottom"/>
            <w:vMerge w:val="restart"/>
          </w:tcPr>
          <w:p>
            <w:pPr>
              <w:jc w:val="right"/>
              <w:ind w:right="770"/>
              <w:spacing w:after="0"/>
              <w:rPr>
                <w:sz w:val="20"/>
                <w:szCs w:val="20"/>
                <w:color w:val="auto"/>
              </w:rPr>
            </w:pPr>
            <w:r>
              <w:rPr>
                <w:rFonts w:ascii="Arial" w:cs="Arial" w:eastAsia="Arial" w:hAnsi="Arial"/>
                <w:sz w:val="18"/>
                <w:szCs w:val="18"/>
                <w:b w:val="1"/>
                <w:bCs w:val="1"/>
                <w:color w:val="auto"/>
              </w:rPr>
              <w:t>$2,397</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280" w:type="dxa"/>
            <w:vAlign w:val="bottom"/>
          </w:tcPr>
          <w:p>
            <w:pPr>
              <w:ind w:left="200"/>
              <w:spacing w:after="0" w:line="181" w:lineRule="exact"/>
              <w:rPr>
                <w:sz w:val="20"/>
                <w:szCs w:val="20"/>
                <w:color w:val="auto"/>
              </w:rPr>
            </w:pPr>
            <w:r>
              <w:rPr>
                <w:rFonts w:ascii="Arial" w:cs="Arial" w:eastAsia="Arial" w:hAnsi="Arial"/>
                <w:sz w:val="18"/>
                <w:szCs w:val="18"/>
                <w:color w:val="auto"/>
              </w:rPr>
              <w:t>Accounts receivable</w:t>
            </w:r>
          </w:p>
        </w:tc>
        <w:tc>
          <w:tcPr>
            <w:tcW w:w="1960" w:type="dxa"/>
            <w:vAlign w:val="bottom"/>
            <w:vMerge w:val="continue"/>
          </w:tcPr>
          <w:p>
            <w:pPr>
              <w:spacing w:after="0"/>
              <w:rPr>
                <w:sz w:val="15"/>
                <w:szCs w:val="15"/>
                <w:color w:val="auto"/>
              </w:rPr>
            </w:pPr>
          </w:p>
        </w:tc>
        <w:tc>
          <w:tcPr>
            <w:tcW w:w="2200" w:type="dxa"/>
            <w:vAlign w:val="bottom"/>
          </w:tcPr>
          <w:p>
            <w:pPr>
              <w:jc w:val="right"/>
              <w:ind w:right="430"/>
              <w:spacing w:after="0" w:line="181" w:lineRule="exact"/>
              <w:rPr>
                <w:sz w:val="20"/>
                <w:szCs w:val="20"/>
                <w:color w:val="auto"/>
              </w:rPr>
            </w:pPr>
            <w:r>
              <w:rPr>
                <w:rFonts w:ascii="Arial" w:cs="Arial" w:eastAsia="Arial" w:hAnsi="Arial"/>
                <w:sz w:val="18"/>
                <w:szCs w:val="18"/>
                <w:color w:val="auto"/>
              </w:rPr>
              <w:t>$1,733</w:t>
            </w:r>
          </w:p>
        </w:tc>
        <w:tc>
          <w:tcPr>
            <w:tcW w:w="2020" w:type="dxa"/>
            <w:vAlign w:val="bottom"/>
            <w:vMerge w:val="continue"/>
          </w:tcPr>
          <w:p>
            <w:pPr>
              <w:spacing w:after="0"/>
              <w:rPr>
                <w:sz w:val="15"/>
                <w:szCs w:val="15"/>
                <w:color w:val="auto"/>
              </w:rPr>
            </w:pPr>
          </w:p>
        </w:tc>
        <w:tc>
          <w:tcPr>
            <w:tcW w:w="940" w:type="dxa"/>
            <w:vAlign w:val="bottom"/>
          </w:tcPr>
          <w:p>
            <w:pPr>
              <w:jc w:val="right"/>
              <w:ind w:right="10"/>
              <w:spacing w:after="0" w:line="181" w:lineRule="exact"/>
              <w:rPr>
                <w:sz w:val="20"/>
                <w:szCs w:val="20"/>
                <w:color w:val="auto"/>
              </w:rPr>
            </w:pPr>
            <w:r>
              <w:rPr>
                <w:rFonts w:ascii="Arial" w:cs="Arial" w:eastAsia="Arial" w:hAnsi="Arial"/>
                <w:sz w:val="18"/>
                <w:szCs w:val="18"/>
                <w:color w:val="auto"/>
              </w:rPr>
              <w:t>$2,437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tcPr>
          <w:p>
            <w:pPr>
              <w:ind w:left="200"/>
              <w:spacing w:after="0" w:line="202" w:lineRule="exact"/>
              <w:rPr>
                <w:sz w:val="20"/>
                <w:szCs w:val="20"/>
                <w:color w:val="auto"/>
              </w:rPr>
            </w:pPr>
            <w:r>
              <w:rPr>
                <w:rFonts w:ascii="Arial" w:cs="Arial" w:eastAsia="Arial" w:hAnsi="Arial"/>
                <w:sz w:val="18"/>
                <w:szCs w:val="18"/>
                <w:color w:val="auto"/>
              </w:rPr>
              <w:t>Inventories</w:t>
            </w:r>
          </w:p>
        </w:tc>
        <w:tc>
          <w:tcPr>
            <w:tcW w:w="19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1,432</w:t>
            </w:r>
          </w:p>
        </w:tc>
        <w:tc>
          <w:tcPr>
            <w:tcW w:w="220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1,589</w:t>
            </w:r>
          </w:p>
        </w:tc>
        <w:tc>
          <w:tcPr>
            <w:tcW w:w="2020" w:type="dxa"/>
            <w:vAlign w:val="bottom"/>
          </w:tcPr>
          <w:p>
            <w:pPr>
              <w:jc w:val="right"/>
              <w:ind w:right="770"/>
              <w:spacing w:after="0" w:line="202" w:lineRule="exact"/>
              <w:rPr>
                <w:sz w:val="20"/>
                <w:szCs w:val="20"/>
                <w:color w:val="auto"/>
              </w:rPr>
            </w:pPr>
            <w:r>
              <w:rPr>
                <w:rFonts w:ascii="Arial" w:cs="Arial" w:eastAsia="Arial" w:hAnsi="Arial"/>
                <w:sz w:val="18"/>
                <w:szCs w:val="18"/>
                <w:b w:val="1"/>
                <w:bCs w:val="1"/>
                <w:color w:val="auto"/>
              </w:rPr>
              <w:t>2,411</w:t>
            </w: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2,052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tcPr>
          <w:p>
            <w:pPr>
              <w:ind w:left="200"/>
              <w:spacing w:after="0" w:line="202" w:lineRule="exact"/>
              <w:rPr>
                <w:sz w:val="20"/>
                <w:szCs w:val="20"/>
                <w:color w:val="auto"/>
              </w:rPr>
            </w:pPr>
            <w:r>
              <w:rPr>
                <w:rFonts w:ascii="Arial" w:cs="Arial" w:eastAsia="Arial" w:hAnsi="Arial"/>
                <w:sz w:val="18"/>
                <w:szCs w:val="18"/>
                <w:color w:val="auto"/>
              </w:rPr>
              <w:t>Tax credit carryforwards</w:t>
            </w:r>
          </w:p>
        </w:tc>
        <w:tc>
          <w:tcPr>
            <w:tcW w:w="19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1,000</w:t>
            </w:r>
          </w:p>
        </w:tc>
        <w:tc>
          <w:tcPr>
            <w:tcW w:w="220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3,000</w:t>
            </w:r>
          </w:p>
        </w:tc>
        <w:tc>
          <w:tcPr>
            <w:tcW w:w="2020" w:type="dxa"/>
            <w:vAlign w:val="bottom"/>
          </w:tcPr>
          <w:p>
            <w:pPr>
              <w:jc w:val="right"/>
              <w:ind w:right="770"/>
              <w:spacing w:after="0" w:line="202" w:lineRule="exact"/>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2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2,867</w:t>
            </w:r>
          </w:p>
        </w:tc>
        <w:tc>
          <w:tcPr>
            <w:tcW w:w="2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3,413</w:t>
            </w:r>
          </w:p>
        </w:tc>
        <w:tc>
          <w:tcPr>
            <w:tcW w:w="202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3,058</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6,370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280" w:type="dxa"/>
            <w:vAlign w:val="bottom"/>
          </w:tcPr>
          <w:p>
            <w:pPr>
              <w:spacing w:after="0" w:line="195" w:lineRule="exact"/>
              <w:rPr>
                <w:sz w:val="20"/>
                <w:szCs w:val="20"/>
                <w:color w:val="auto"/>
              </w:rPr>
            </w:pPr>
            <w:r>
              <w:rPr>
                <w:rFonts w:ascii="Arial" w:cs="Arial" w:eastAsia="Arial" w:hAnsi="Arial"/>
                <w:sz w:val="18"/>
                <w:szCs w:val="18"/>
                <w:color w:val="auto"/>
              </w:rPr>
              <w:t>Current deferred tax assets</w:t>
            </w:r>
          </w:p>
        </w:tc>
        <w:tc>
          <w:tcPr>
            <w:tcW w:w="19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$6,825</w:t>
            </w:r>
          </w:p>
        </w:tc>
        <w:tc>
          <w:tcPr>
            <w:tcW w:w="220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$9,735</w:t>
            </w:r>
          </w:p>
        </w:tc>
        <w:tc>
          <w:tcPr>
            <w:tcW w:w="2020" w:type="dxa"/>
            <w:vAlign w:val="bottom"/>
            <w:vMerge w:val="restart"/>
          </w:tcPr>
          <w:p>
            <w:pPr>
              <w:jc w:val="right"/>
              <w:ind w:right="770"/>
              <w:spacing w:after="0"/>
              <w:rPr>
                <w:sz w:val="20"/>
                <w:szCs w:val="20"/>
                <w:color w:val="auto"/>
              </w:rPr>
            </w:pPr>
            <w:r>
              <w:rPr>
                <w:rFonts w:ascii="Arial" w:cs="Arial" w:eastAsia="Arial" w:hAnsi="Arial"/>
                <w:sz w:val="18"/>
                <w:szCs w:val="18"/>
                <w:b w:val="1"/>
                <w:bCs w:val="1"/>
                <w:color w:val="auto"/>
              </w:rPr>
              <w:t>$7,866</w:t>
            </w:r>
          </w:p>
        </w:tc>
        <w:tc>
          <w:tcPr>
            <w:tcW w:w="9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$10,859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80" w:type="dxa"/>
            <w:vAlign w:val="bottom"/>
          </w:tcPr>
          <w:p>
            <w:pPr>
              <w:ind w:left="40"/>
              <w:spacing w:after="0"/>
              <w:rPr>
                <w:sz w:val="20"/>
                <w:szCs w:val="20"/>
                <w:color w:val="auto"/>
              </w:rPr>
            </w:pPr>
            <w:r>
              <w:rPr>
                <w:rFonts w:ascii="Arial" w:cs="Arial" w:eastAsia="Arial" w:hAnsi="Arial"/>
                <w:sz w:val="18"/>
                <w:szCs w:val="18"/>
                <w:color w:val="auto"/>
              </w:rPr>
              <w:t>before valuation allowance</w:t>
            </w:r>
          </w:p>
        </w:tc>
        <w:tc>
          <w:tcPr>
            <w:tcW w:w="1960" w:type="dxa"/>
            <w:vAlign w:val="bottom"/>
            <w:vMerge w:val="continue"/>
          </w:tcPr>
          <w:p>
            <w:pPr>
              <w:spacing w:after="0"/>
              <w:rPr>
                <w:sz w:val="18"/>
                <w:szCs w:val="18"/>
                <w:color w:val="auto"/>
              </w:rPr>
            </w:pPr>
          </w:p>
        </w:tc>
        <w:tc>
          <w:tcPr>
            <w:tcW w:w="2200" w:type="dxa"/>
            <w:vAlign w:val="bottom"/>
            <w:vMerge w:val="continue"/>
          </w:tcPr>
          <w:p>
            <w:pPr>
              <w:spacing w:after="0"/>
              <w:rPr>
                <w:sz w:val="18"/>
                <w:szCs w:val="18"/>
                <w:color w:val="auto"/>
              </w:rPr>
            </w:pPr>
          </w:p>
        </w:tc>
        <w:tc>
          <w:tcPr>
            <w:tcW w:w="202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4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Less: valuation allowance</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(818)</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430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Total current deferred tax assets</w:t>
            </w:r>
          </w:p>
        </w:tc>
        <w:tc>
          <w:tcPr>
            <w:tcW w:w="1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$6,825</w:t>
            </w:r>
          </w:p>
        </w:tc>
        <w:tc>
          <w:tcPr>
            <w:tcW w:w="220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$9,735</w:t>
            </w:r>
          </w:p>
        </w:tc>
        <w:tc>
          <w:tcPr>
            <w:tcW w:w="2020" w:type="dxa"/>
            <w:vAlign w:val="bottom"/>
            <w:tcBorders>
              <w:bottom w:val="single" w:sz="8" w:color="auto"/>
            </w:tcBorders>
          </w:tcPr>
          <w:p>
            <w:pPr>
              <w:jc w:val="right"/>
              <w:ind w:right="770"/>
              <w:spacing w:after="0" w:line="196" w:lineRule="exact"/>
              <w:rPr>
                <w:sz w:val="20"/>
                <w:szCs w:val="20"/>
                <w:color w:val="auto"/>
              </w:rPr>
            </w:pPr>
            <w:r>
              <w:rPr>
                <w:rFonts w:ascii="Arial" w:cs="Arial" w:eastAsia="Arial" w:hAnsi="Arial"/>
                <w:sz w:val="18"/>
                <w:szCs w:val="18"/>
                <w:b w:val="1"/>
                <w:bCs w:val="1"/>
                <w:color w:val="auto"/>
              </w:rPr>
              <w:t>$7,048</w:t>
            </w:r>
          </w:p>
        </w:tc>
        <w:tc>
          <w:tcPr>
            <w:tcW w:w="9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$10,859</w:t>
            </w:r>
          </w:p>
        </w:tc>
        <w:tc>
          <w:tcPr>
            <w:tcW w:w="0" w:type="dxa"/>
            <w:vAlign w:val="bottom"/>
          </w:tcPr>
          <w:p>
            <w:pPr>
              <w:spacing w:after="0"/>
              <w:rPr>
                <w:sz w:val="1"/>
                <w:szCs w:val="1"/>
                <w:color w:val="auto"/>
              </w:rPr>
            </w:pPr>
          </w:p>
        </w:tc>
      </w:tr>
      <w:tr>
        <w:trPr>
          <w:trHeight w:val="398"/>
        </w:trPr>
        <w:tc>
          <w:tcPr>
            <w:tcW w:w="4300" w:type="dxa"/>
            <w:vAlign w:val="bottom"/>
            <w:gridSpan w:val="2"/>
          </w:tcPr>
          <w:p>
            <w:pPr>
              <w:spacing w:after="0"/>
              <w:rPr>
                <w:sz w:val="20"/>
                <w:szCs w:val="20"/>
                <w:color w:val="auto"/>
              </w:rPr>
            </w:pPr>
            <w:r>
              <w:rPr>
                <w:rFonts w:ascii="Arial" w:cs="Arial" w:eastAsia="Arial" w:hAnsi="Arial"/>
                <w:sz w:val="18"/>
                <w:szCs w:val="18"/>
                <w:color w:val="auto"/>
              </w:rPr>
              <w:t>Noncurrent deferred tax assets:</w:t>
            </w:r>
          </w:p>
        </w:tc>
        <w:tc>
          <w:tcPr>
            <w:tcW w:w="19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5,794</w:t>
            </w:r>
          </w:p>
        </w:tc>
        <w:tc>
          <w:tcPr>
            <w:tcW w:w="2200" w:type="dxa"/>
            <w:vAlign w:val="bottom"/>
          </w:tcPr>
          <w:p>
            <w:pPr>
              <w:spacing w:after="0"/>
              <w:rPr>
                <w:sz w:val="24"/>
                <w:szCs w:val="24"/>
                <w:color w:val="auto"/>
              </w:rPr>
            </w:pPr>
          </w:p>
        </w:tc>
        <w:tc>
          <w:tcPr>
            <w:tcW w:w="2020" w:type="dxa"/>
            <w:vAlign w:val="bottom"/>
            <w:vMerge w:val="restart"/>
          </w:tcPr>
          <w:p>
            <w:pPr>
              <w:jc w:val="right"/>
              <w:ind w:right="77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280" w:type="dxa"/>
            <w:vAlign w:val="bottom"/>
          </w:tcPr>
          <w:p>
            <w:pPr>
              <w:ind w:left="200"/>
              <w:spacing w:after="0" w:line="181" w:lineRule="exact"/>
              <w:rPr>
                <w:sz w:val="20"/>
                <w:szCs w:val="20"/>
                <w:color w:val="auto"/>
              </w:rPr>
            </w:pPr>
            <w:r>
              <w:rPr>
                <w:rFonts w:ascii="Arial" w:cs="Arial" w:eastAsia="Arial" w:hAnsi="Arial"/>
                <w:sz w:val="18"/>
                <w:szCs w:val="18"/>
                <w:color w:val="auto"/>
              </w:rPr>
              <w:t>Deferred compensation</w:t>
            </w:r>
          </w:p>
        </w:tc>
        <w:tc>
          <w:tcPr>
            <w:tcW w:w="1960" w:type="dxa"/>
            <w:vAlign w:val="bottom"/>
            <w:vMerge w:val="continue"/>
          </w:tcPr>
          <w:p>
            <w:pPr>
              <w:spacing w:after="0"/>
              <w:rPr>
                <w:sz w:val="15"/>
                <w:szCs w:val="15"/>
                <w:color w:val="auto"/>
              </w:rPr>
            </w:pPr>
          </w:p>
        </w:tc>
        <w:tc>
          <w:tcPr>
            <w:tcW w:w="2200" w:type="dxa"/>
            <w:vAlign w:val="bottom"/>
          </w:tcPr>
          <w:p>
            <w:pPr>
              <w:jc w:val="right"/>
              <w:ind w:right="430"/>
              <w:spacing w:after="0" w:line="181" w:lineRule="exact"/>
              <w:rPr>
                <w:sz w:val="20"/>
                <w:szCs w:val="20"/>
                <w:color w:val="auto"/>
              </w:rPr>
            </w:pPr>
            <w:r>
              <w:rPr>
                <w:rFonts w:ascii="Arial" w:cs="Arial" w:eastAsia="Arial" w:hAnsi="Arial"/>
                <w:sz w:val="18"/>
                <w:szCs w:val="18"/>
                <w:color w:val="auto"/>
              </w:rPr>
              <w:t>5,668</w:t>
            </w:r>
          </w:p>
        </w:tc>
        <w:tc>
          <w:tcPr>
            <w:tcW w:w="2020" w:type="dxa"/>
            <w:vAlign w:val="bottom"/>
            <w:vMerge w:val="continue"/>
          </w:tcPr>
          <w:p>
            <w:pPr>
              <w:spacing w:after="0"/>
              <w:rPr>
                <w:sz w:val="15"/>
                <w:szCs w:val="15"/>
                <w:color w:val="auto"/>
              </w:rPr>
            </w:pPr>
          </w:p>
        </w:tc>
        <w:tc>
          <w:tcPr>
            <w:tcW w:w="940" w:type="dxa"/>
            <w:vAlign w:val="bottom"/>
          </w:tcPr>
          <w:p>
            <w:pPr>
              <w:jc w:val="right"/>
              <w:ind w:right="10"/>
              <w:spacing w:after="0" w:line="18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tcPr>
          <w:p>
            <w:pPr>
              <w:ind w:left="200"/>
              <w:spacing w:after="0" w:line="202" w:lineRule="exact"/>
              <w:rPr>
                <w:sz w:val="20"/>
                <w:szCs w:val="20"/>
                <w:color w:val="auto"/>
              </w:rPr>
            </w:pPr>
            <w:r>
              <w:rPr>
                <w:rFonts w:ascii="Arial" w:cs="Arial" w:eastAsia="Arial" w:hAnsi="Arial"/>
                <w:sz w:val="18"/>
                <w:szCs w:val="18"/>
                <w:color w:val="auto"/>
              </w:rPr>
              <w:t>Depreciation and amortization</w:t>
            </w:r>
          </w:p>
        </w:tc>
        <w:tc>
          <w:tcPr>
            <w:tcW w:w="19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4,289</w:t>
            </w:r>
          </w:p>
        </w:tc>
        <w:tc>
          <w:tcPr>
            <w:tcW w:w="220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5,004</w:t>
            </w:r>
          </w:p>
        </w:tc>
        <w:tc>
          <w:tcPr>
            <w:tcW w:w="2020" w:type="dxa"/>
            <w:vAlign w:val="bottom"/>
          </w:tcPr>
          <w:p>
            <w:pPr>
              <w:jc w:val="right"/>
              <w:ind w:right="770"/>
              <w:spacing w:after="0" w:line="202" w:lineRule="exact"/>
              <w:rPr>
                <w:sz w:val="20"/>
                <w:szCs w:val="20"/>
                <w:color w:val="auto"/>
              </w:rPr>
            </w:pPr>
            <w:r>
              <w:rPr>
                <w:rFonts w:ascii="Arial" w:cs="Arial" w:eastAsia="Arial" w:hAnsi="Arial"/>
                <w:sz w:val="18"/>
                <w:szCs w:val="18"/>
                <w:b w:val="1"/>
                <w:bCs w:val="1"/>
                <w:color w:val="auto"/>
              </w:rPr>
              <w:t>3,505</w:t>
            </w: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2,958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tcPr>
          <w:p>
            <w:pPr>
              <w:ind w:left="200"/>
              <w:spacing w:after="0" w:line="202" w:lineRule="exact"/>
              <w:rPr>
                <w:sz w:val="20"/>
                <w:szCs w:val="20"/>
                <w:color w:val="auto"/>
              </w:rPr>
            </w:pPr>
            <w:r>
              <w:rPr>
                <w:rFonts w:ascii="Arial" w:cs="Arial" w:eastAsia="Arial" w:hAnsi="Arial"/>
                <w:sz w:val="18"/>
                <w:szCs w:val="18"/>
                <w:color w:val="auto"/>
              </w:rPr>
              <w:t>Postretirement benefits</w:t>
            </w:r>
          </w:p>
        </w:tc>
        <w:tc>
          <w:tcPr>
            <w:tcW w:w="19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28,038</w:t>
            </w:r>
          </w:p>
        </w:tc>
        <w:tc>
          <w:tcPr>
            <w:tcW w:w="220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38,632</w:t>
            </w:r>
          </w:p>
        </w:tc>
        <w:tc>
          <w:tcPr>
            <w:tcW w:w="2020" w:type="dxa"/>
            <w:vAlign w:val="bottom"/>
          </w:tcPr>
          <w:p>
            <w:pPr>
              <w:jc w:val="right"/>
              <w:ind w:right="770"/>
              <w:spacing w:after="0" w:line="202" w:lineRule="exact"/>
              <w:rPr>
                <w:sz w:val="20"/>
                <w:szCs w:val="20"/>
                <w:color w:val="auto"/>
              </w:rPr>
            </w:pPr>
            <w:r>
              <w:rPr>
                <w:rFonts w:ascii="Arial" w:cs="Arial" w:eastAsia="Arial" w:hAnsi="Arial"/>
                <w:sz w:val="18"/>
                <w:szCs w:val="18"/>
                <w:b w:val="1"/>
                <w:bCs w:val="1"/>
                <w:color w:val="auto"/>
              </w:rPr>
              <w:t>4,540</w:t>
            </w: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4,480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tcPr>
          <w:p>
            <w:pPr>
              <w:ind w:left="200"/>
              <w:spacing w:after="0" w:line="202" w:lineRule="exact"/>
              <w:rPr>
                <w:sz w:val="20"/>
                <w:szCs w:val="20"/>
                <w:color w:val="auto"/>
              </w:rPr>
            </w:pPr>
            <w:r>
              <w:rPr>
                <w:rFonts w:ascii="Arial" w:cs="Arial" w:eastAsia="Arial" w:hAnsi="Arial"/>
                <w:sz w:val="18"/>
                <w:szCs w:val="18"/>
                <w:color w:val="auto"/>
              </w:rPr>
              <w:t>Tax loss carryforwards</w:t>
            </w:r>
          </w:p>
        </w:tc>
        <w:tc>
          <w:tcPr>
            <w:tcW w:w="19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1,457</w:t>
            </w:r>
          </w:p>
        </w:tc>
        <w:tc>
          <w:tcPr>
            <w:tcW w:w="220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1,032</w:t>
            </w:r>
          </w:p>
        </w:tc>
        <w:tc>
          <w:tcPr>
            <w:tcW w:w="2020" w:type="dxa"/>
            <w:vAlign w:val="bottom"/>
          </w:tcPr>
          <w:p>
            <w:pPr>
              <w:jc w:val="right"/>
              <w:ind w:right="770"/>
              <w:spacing w:after="0" w:line="202" w:lineRule="exact"/>
              <w:rPr>
                <w:sz w:val="20"/>
                <w:szCs w:val="20"/>
                <w:color w:val="auto"/>
              </w:rPr>
            </w:pPr>
            <w:r>
              <w:rPr>
                <w:rFonts w:ascii="Arial" w:cs="Arial" w:eastAsia="Arial" w:hAnsi="Arial"/>
                <w:sz w:val="18"/>
                <w:szCs w:val="18"/>
                <w:b w:val="1"/>
                <w:bCs w:val="1"/>
                <w:color w:val="auto"/>
              </w:rPr>
              <w:t>76,026</w:t>
            </w: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78,968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tcPr>
          <w:p>
            <w:pPr>
              <w:ind w:left="200"/>
              <w:spacing w:after="0" w:line="202" w:lineRule="exact"/>
              <w:rPr>
                <w:sz w:val="20"/>
                <w:szCs w:val="20"/>
                <w:color w:val="auto"/>
              </w:rPr>
            </w:pPr>
            <w:r>
              <w:rPr>
                <w:rFonts w:ascii="Arial" w:cs="Arial" w:eastAsia="Arial" w:hAnsi="Arial"/>
                <w:sz w:val="18"/>
                <w:szCs w:val="18"/>
                <w:color w:val="auto"/>
              </w:rPr>
              <w:t>Tax credit carryforwards</w:t>
            </w:r>
          </w:p>
        </w:tc>
        <w:tc>
          <w:tcPr>
            <w:tcW w:w="19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23,992</w:t>
            </w:r>
          </w:p>
        </w:tc>
        <w:tc>
          <w:tcPr>
            <w:tcW w:w="220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24,504</w:t>
            </w:r>
          </w:p>
        </w:tc>
        <w:tc>
          <w:tcPr>
            <w:tcW w:w="2020" w:type="dxa"/>
            <w:vAlign w:val="bottom"/>
          </w:tcPr>
          <w:p>
            <w:pPr>
              <w:jc w:val="right"/>
              <w:ind w:right="770"/>
              <w:spacing w:after="0" w:line="202" w:lineRule="exact"/>
              <w:rPr>
                <w:sz w:val="20"/>
                <w:szCs w:val="20"/>
                <w:color w:val="auto"/>
              </w:rPr>
            </w:pPr>
            <w:r>
              <w:rPr>
                <w:rFonts w:ascii="Arial" w:cs="Arial" w:eastAsia="Arial" w:hAnsi="Arial"/>
                <w:sz w:val="18"/>
                <w:szCs w:val="18"/>
                <w:b w:val="1"/>
                <w:bCs w:val="1"/>
                <w:color w:val="auto"/>
              </w:rPr>
              <w:t>1,508</w:t>
            </w: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1,561</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2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2,834</w:t>
            </w:r>
          </w:p>
        </w:tc>
        <w:tc>
          <w:tcPr>
            <w:tcW w:w="2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4,119</w:t>
            </w:r>
          </w:p>
        </w:tc>
        <w:tc>
          <w:tcPr>
            <w:tcW w:w="202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371</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280" w:type="dxa"/>
            <w:vAlign w:val="bottom"/>
          </w:tcPr>
          <w:p>
            <w:pPr>
              <w:spacing w:after="0" w:line="195" w:lineRule="exact"/>
              <w:rPr>
                <w:sz w:val="20"/>
                <w:szCs w:val="20"/>
                <w:color w:val="auto"/>
              </w:rPr>
            </w:pPr>
            <w:r>
              <w:rPr>
                <w:rFonts w:ascii="Arial" w:cs="Arial" w:eastAsia="Arial" w:hAnsi="Arial"/>
                <w:sz w:val="18"/>
                <w:szCs w:val="18"/>
                <w:color w:val="auto"/>
              </w:rPr>
              <w:t>Noncurrent deferred tax assets</w:t>
            </w:r>
          </w:p>
        </w:tc>
        <w:tc>
          <w:tcPr>
            <w:tcW w:w="19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66,404</w:t>
            </w:r>
          </w:p>
        </w:tc>
        <w:tc>
          <w:tcPr>
            <w:tcW w:w="2200" w:type="dxa"/>
            <w:vAlign w:val="bottom"/>
          </w:tcPr>
          <w:p>
            <w:pPr>
              <w:spacing w:after="0"/>
              <w:rPr>
                <w:sz w:val="16"/>
                <w:szCs w:val="16"/>
                <w:color w:val="auto"/>
              </w:rPr>
            </w:pPr>
          </w:p>
        </w:tc>
        <w:tc>
          <w:tcPr>
            <w:tcW w:w="2020" w:type="dxa"/>
            <w:vAlign w:val="bottom"/>
            <w:vMerge w:val="restart"/>
          </w:tcPr>
          <w:p>
            <w:pPr>
              <w:jc w:val="right"/>
              <w:ind w:right="770"/>
              <w:spacing w:after="0"/>
              <w:rPr>
                <w:sz w:val="20"/>
                <w:szCs w:val="20"/>
                <w:color w:val="auto"/>
              </w:rPr>
            </w:pPr>
            <w:r>
              <w:rPr>
                <w:rFonts w:ascii="Arial" w:cs="Arial" w:eastAsia="Arial" w:hAnsi="Arial"/>
                <w:sz w:val="18"/>
                <w:szCs w:val="18"/>
                <w:b w:val="1"/>
                <w:bCs w:val="1"/>
                <w:color w:val="auto"/>
              </w:rPr>
              <w:t>85,950</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80" w:type="dxa"/>
            <w:vAlign w:val="bottom"/>
          </w:tcPr>
          <w:p>
            <w:pPr>
              <w:ind w:left="40"/>
              <w:spacing w:after="0"/>
              <w:rPr>
                <w:sz w:val="20"/>
                <w:szCs w:val="20"/>
                <w:color w:val="auto"/>
              </w:rPr>
            </w:pPr>
            <w:r>
              <w:rPr>
                <w:rFonts w:ascii="Arial" w:cs="Arial" w:eastAsia="Arial" w:hAnsi="Arial"/>
                <w:sz w:val="18"/>
                <w:szCs w:val="18"/>
                <w:color w:val="auto"/>
              </w:rPr>
              <w:t>before valuation allowance</w:t>
            </w:r>
          </w:p>
        </w:tc>
        <w:tc>
          <w:tcPr>
            <w:tcW w:w="1960" w:type="dxa"/>
            <w:vAlign w:val="bottom"/>
            <w:vMerge w:val="continue"/>
          </w:tcPr>
          <w:p>
            <w:pPr>
              <w:spacing w:after="0"/>
              <w:rPr>
                <w:sz w:val="18"/>
                <w:szCs w:val="18"/>
                <w:color w:val="auto"/>
              </w:rPr>
            </w:pPr>
          </w:p>
        </w:tc>
        <w:tc>
          <w:tcPr>
            <w:tcW w:w="2200" w:type="dxa"/>
            <w:vAlign w:val="bottom"/>
          </w:tcPr>
          <w:p>
            <w:pPr>
              <w:jc w:val="right"/>
              <w:ind w:right="430"/>
              <w:spacing w:after="0"/>
              <w:rPr>
                <w:sz w:val="20"/>
                <w:szCs w:val="20"/>
                <w:color w:val="auto"/>
              </w:rPr>
            </w:pPr>
            <w:r>
              <w:rPr>
                <w:rFonts w:ascii="Arial" w:cs="Arial" w:eastAsia="Arial" w:hAnsi="Arial"/>
                <w:sz w:val="18"/>
                <w:szCs w:val="18"/>
                <w:color w:val="auto"/>
              </w:rPr>
              <w:t>78,959</w:t>
            </w:r>
          </w:p>
        </w:tc>
        <w:tc>
          <w:tcPr>
            <w:tcW w:w="2020" w:type="dxa"/>
            <w:vAlign w:val="bottom"/>
            <w:vMerge w:val="continue"/>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88,524</w:t>
            </w:r>
          </w:p>
        </w:tc>
        <w:tc>
          <w:tcPr>
            <w:tcW w:w="0" w:type="dxa"/>
            <w:vAlign w:val="bottom"/>
          </w:tcPr>
          <w:p>
            <w:pPr>
              <w:spacing w:after="0"/>
              <w:rPr>
                <w:sz w:val="1"/>
                <w:szCs w:val="1"/>
                <w:color w:val="auto"/>
              </w:rPr>
            </w:pPr>
          </w:p>
        </w:tc>
      </w:tr>
      <w:tr>
        <w:trPr>
          <w:trHeight w:val="392"/>
        </w:trPr>
        <w:tc>
          <w:tcPr>
            <w:tcW w:w="4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Less: valuation allowance</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(49,169)</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(60,348)</w:t>
            </w:r>
          </w:p>
        </w:tc>
        <w:tc>
          <w:tcPr>
            <w:tcW w:w="0" w:type="dxa"/>
            <w:vAlign w:val="bottom"/>
          </w:tcPr>
          <w:p>
            <w:pPr>
              <w:spacing w:after="0"/>
              <w:rPr>
                <w:sz w:val="1"/>
                <w:szCs w:val="1"/>
                <w:color w:val="auto"/>
              </w:rPr>
            </w:pPr>
          </w:p>
        </w:tc>
      </w:tr>
      <w:tr>
        <w:trPr>
          <w:trHeight w:val="196"/>
        </w:trPr>
        <w:tc>
          <w:tcPr>
            <w:tcW w:w="4300" w:type="dxa"/>
            <w:vAlign w:val="bottom"/>
            <w:gridSpan w:val="2"/>
          </w:tcPr>
          <w:p>
            <w:pPr>
              <w:spacing w:after="0" w:line="196" w:lineRule="exact"/>
              <w:rPr>
                <w:sz w:val="20"/>
                <w:szCs w:val="20"/>
                <w:color w:val="auto"/>
              </w:rPr>
            </w:pPr>
            <w:r>
              <w:rPr>
                <w:rFonts w:ascii="Arial" w:cs="Arial" w:eastAsia="Arial" w:hAnsi="Arial"/>
                <w:sz w:val="18"/>
                <w:szCs w:val="18"/>
                <w:color w:val="auto"/>
              </w:rPr>
              <w:t>Total noncurrent deferred tax assets</w:t>
            </w:r>
          </w:p>
        </w:tc>
        <w:tc>
          <w:tcPr>
            <w:tcW w:w="19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66,404</w:t>
            </w:r>
          </w:p>
        </w:tc>
        <w:tc>
          <w:tcPr>
            <w:tcW w:w="2200" w:type="dxa"/>
            <w:vAlign w:val="bottom"/>
          </w:tcPr>
          <w:p>
            <w:pPr>
              <w:jc w:val="right"/>
              <w:ind w:right="430"/>
              <w:spacing w:after="0" w:line="196" w:lineRule="exact"/>
              <w:rPr>
                <w:sz w:val="20"/>
                <w:szCs w:val="20"/>
                <w:color w:val="auto"/>
              </w:rPr>
            </w:pPr>
            <w:r>
              <w:rPr>
                <w:rFonts w:ascii="Arial" w:cs="Arial" w:eastAsia="Arial" w:hAnsi="Arial"/>
                <w:sz w:val="18"/>
                <w:szCs w:val="18"/>
                <w:color w:val="auto"/>
              </w:rPr>
              <w:t>78,959</w:t>
            </w:r>
          </w:p>
        </w:tc>
        <w:tc>
          <w:tcPr>
            <w:tcW w:w="2020" w:type="dxa"/>
            <w:vAlign w:val="bottom"/>
          </w:tcPr>
          <w:p>
            <w:pPr>
              <w:jc w:val="right"/>
              <w:ind w:right="770"/>
              <w:spacing w:after="0" w:line="196" w:lineRule="exact"/>
              <w:rPr>
                <w:sz w:val="20"/>
                <w:szCs w:val="20"/>
                <w:color w:val="auto"/>
              </w:rPr>
            </w:pPr>
            <w:r>
              <w:rPr>
                <w:rFonts w:ascii="Arial" w:cs="Arial" w:eastAsia="Arial" w:hAnsi="Arial"/>
                <w:sz w:val="18"/>
                <w:szCs w:val="18"/>
                <w:b w:val="1"/>
                <w:bCs w:val="1"/>
                <w:color w:val="auto"/>
              </w:rPr>
              <w:t>36,781</w:t>
            </w:r>
          </w:p>
        </w:tc>
        <w:tc>
          <w:tcPr>
            <w:tcW w:w="9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28,176</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4280" w:type="dxa"/>
            <w:vAlign w:val="bottom"/>
            <w:tcBorders>
              <w:top w:val="single" w:sz="8" w:color="auto"/>
              <w:bottom w:val="single" w:sz="8" w:color="auto"/>
            </w:tcBorders>
          </w:tcPr>
          <w:p>
            <w:pPr>
              <w:spacing w:after="0"/>
              <w:rPr>
                <w:sz w:val="17"/>
                <w:szCs w:val="17"/>
                <w:color w:val="auto"/>
              </w:rPr>
            </w:pPr>
          </w:p>
        </w:tc>
        <w:tc>
          <w:tcPr>
            <w:tcW w:w="1960" w:type="dxa"/>
            <w:vAlign w:val="bottom"/>
            <w:tcBorders>
              <w:top w:val="single" w:sz="8" w:color="auto"/>
              <w:bottom w:val="single" w:sz="8" w:color="auto"/>
            </w:tcBorders>
          </w:tcPr>
          <w:p>
            <w:pPr>
              <w:spacing w:after="0"/>
              <w:rPr>
                <w:sz w:val="17"/>
                <w:szCs w:val="17"/>
                <w:color w:val="auto"/>
              </w:rPr>
            </w:pPr>
          </w:p>
        </w:tc>
        <w:tc>
          <w:tcPr>
            <w:tcW w:w="2200" w:type="dxa"/>
            <w:vAlign w:val="bottom"/>
            <w:tcBorders>
              <w:top w:val="single" w:sz="8" w:color="auto"/>
              <w:bottom w:val="single" w:sz="8" w:color="auto"/>
            </w:tcBorders>
          </w:tcPr>
          <w:p>
            <w:pPr>
              <w:spacing w:after="0"/>
              <w:rPr>
                <w:sz w:val="17"/>
                <w:szCs w:val="17"/>
                <w:color w:val="auto"/>
              </w:rPr>
            </w:pPr>
          </w:p>
        </w:tc>
        <w:tc>
          <w:tcPr>
            <w:tcW w:w="20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00" w:type="dxa"/>
            <w:vAlign w:val="bottom"/>
            <w:gridSpan w:val="2"/>
          </w:tcPr>
          <w:p>
            <w:pPr>
              <w:spacing w:after="0" w:line="196" w:lineRule="exact"/>
              <w:rPr>
                <w:sz w:val="20"/>
                <w:szCs w:val="20"/>
                <w:color w:val="auto"/>
              </w:rPr>
            </w:pPr>
            <w:r>
              <w:rPr>
                <w:rFonts w:ascii="Arial" w:cs="Arial" w:eastAsia="Arial" w:hAnsi="Arial"/>
                <w:sz w:val="18"/>
                <w:szCs w:val="18"/>
                <w:color w:val="auto"/>
              </w:rPr>
              <w:t>Total deferred tax assets</w:t>
            </w:r>
          </w:p>
        </w:tc>
        <w:tc>
          <w:tcPr>
            <w:tcW w:w="19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$73,229</w:t>
            </w:r>
          </w:p>
        </w:tc>
        <w:tc>
          <w:tcPr>
            <w:tcW w:w="2200" w:type="dxa"/>
            <w:vAlign w:val="bottom"/>
          </w:tcPr>
          <w:p>
            <w:pPr>
              <w:jc w:val="right"/>
              <w:ind w:right="430"/>
              <w:spacing w:after="0" w:line="196" w:lineRule="exact"/>
              <w:rPr>
                <w:sz w:val="20"/>
                <w:szCs w:val="20"/>
                <w:color w:val="auto"/>
              </w:rPr>
            </w:pPr>
            <w:r>
              <w:rPr>
                <w:rFonts w:ascii="Arial" w:cs="Arial" w:eastAsia="Arial" w:hAnsi="Arial"/>
                <w:sz w:val="18"/>
                <w:szCs w:val="18"/>
                <w:color w:val="auto"/>
              </w:rPr>
              <w:t>$88,694</w:t>
            </w:r>
          </w:p>
        </w:tc>
        <w:tc>
          <w:tcPr>
            <w:tcW w:w="2020" w:type="dxa"/>
            <w:vAlign w:val="bottom"/>
          </w:tcPr>
          <w:p>
            <w:pPr>
              <w:jc w:val="right"/>
              <w:ind w:right="770"/>
              <w:spacing w:after="0" w:line="196" w:lineRule="exact"/>
              <w:rPr>
                <w:sz w:val="20"/>
                <w:szCs w:val="20"/>
                <w:color w:val="auto"/>
              </w:rPr>
            </w:pPr>
            <w:r>
              <w:rPr>
                <w:rFonts w:ascii="Arial" w:cs="Arial" w:eastAsia="Arial" w:hAnsi="Arial"/>
                <w:sz w:val="18"/>
                <w:szCs w:val="18"/>
                <w:b w:val="1"/>
                <w:bCs w:val="1"/>
                <w:color w:val="auto"/>
              </w:rPr>
              <w:t>$43,829</w:t>
            </w:r>
          </w:p>
        </w:tc>
        <w:tc>
          <w:tcPr>
            <w:tcW w:w="9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$39,035</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4280" w:type="dxa"/>
            <w:vAlign w:val="bottom"/>
            <w:tcBorders>
              <w:top w:val="single" w:sz="8" w:color="auto"/>
              <w:bottom w:val="single" w:sz="8" w:color="auto"/>
            </w:tcBorders>
          </w:tcPr>
          <w:p>
            <w:pPr>
              <w:spacing w:after="0"/>
              <w:rPr>
                <w:sz w:val="17"/>
                <w:szCs w:val="17"/>
                <w:color w:val="auto"/>
              </w:rPr>
            </w:pPr>
          </w:p>
        </w:tc>
        <w:tc>
          <w:tcPr>
            <w:tcW w:w="1960" w:type="dxa"/>
            <w:vAlign w:val="bottom"/>
            <w:tcBorders>
              <w:top w:val="single" w:sz="8" w:color="auto"/>
              <w:bottom w:val="single" w:sz="8" w:color="auto"/>
            </w:tcBorders>
          </w:tcPr>
          <w:p>
            <w:pPr>
              <w:spacing w:after="0"/>
              <w:rPr>
                <w:sz w:val="17"/>
                <w:szCs w:val="17"/>
                <w:color w:val="auto"/>
              </w:rPr>
            </w:pPr>
          </w:p>
        </w:tc>
        <w:tc>
          <w:tcPr>
            <w:tcW w:w="2200" w:type="dxa"/>
            <w:vAlign w:val="bottom"/>
            <w:tcBorders>
              <w:top w:val="single" w:sz="8" w:color="auto"/>
              <w:bottom w:val="single" w:sz="8" w:color="auto"/>
            </w:tcBorders>
          </w:tcPr>
          <w:p>
            <w:pPr>
              <w:spacing w:after="0"/>
              <w:rPr>
                <w:sz w:val="17"/>
                <w:szCs w:val="17"/>
                <w:color w:val="auto"/>
              </w:rPr>
            </w:pPr>
          </w:p>
        </w:tc>
        <w:tc>
          <w:tcPr>
            <w:tcW w:w="20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300" w:type="dxa"/>
            <w:vAlign w:val="bottom"/>
            <w:gridSpan w:val="2"/>
          </w:tcPr>
          <w:p>
            <w:pPr>
              <w:spacing w:after="0" w:line="195" w:lineRule="exact"/>
              <w:rPr>
                <w:sz w:val="20"/>
                <w:szCs w:val="20"/>
                <w:color w:val="auto"/>
              </w:rPr>
            </w:pPr>
            <w:r>
              <w:rPr>
                <w:rFonts w:ascii="Arial" w:cs="Arial" w:eastAsia="Arial" w:hAnsi="Arial"/>
                <w:sz w:val="18"/>
                <w:szCs w:val="18"/>
                <w:color w:val="auto"/>
              </w:rPr>
              <w:t>Current deferred tax liabilities:</w:t>
            </w:r>
          </w:p>
        </w:tc>
        <w:tc>
          <w:tcPr>
            <w:tcW w:w="19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$667</w:t>
            </w:r>
          </w:p>
        </w:tc>
        <w:tc>
          <w:tcPr>
            <w:tcW w:w="2200" w:type="dxa"/>
            <w:vAlign w:val="bottom"/>
          </w:tcPr>
          <w:p>
            <w:pPr>
              <w:spacing w:after="0"/>
              <w:rPr>
                <w:sz w:val="16"/>
                <w:szCs w:val="16"/>
                <w:color w:val="auto"/>
              </w:rPr>
            </w:pPr>
          </w:p>
        </w:tc>
        <w:tc>
          <w:tcPr>
            <w:tcW w:w="2020" w:type="dxa"/>
            <w:vAlign w:val="bottom"/>
            <w:vMerge w:val="restart"/>
          </w:tcPr>
          <w:p>
            <w:pPr>
              <w:jc w:val="right"/>
              <w:ind w:right="77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280" w:type="dxa"/>
            <w:vAlign w:val="bottom"/>
          </w:tcPr>
          <w:p>
            <w:pPr>
              <w:ind w:left="200"/>
              <w:spacing w:after="0" w:line="181" w:lineRule="exact"/>
              <w:rPr>
                <w:sz w:val="20"/>
                <w:szCs w:val="20"/>
                <w:color w:val="auto"/>
              </w:rPr>
            </w:pPr>
            <w:r>
              <w:rPr>
                <w:rFonts w:ascii="Arial" w:cs="Arial" w:eastAsia="Arial" w:hAnsi="Arial"/>
                <w:sz w:val="18"/>
                <w:szCs w:val="18"/>
                <w:color w:val="auto"/>
              </w:rPr>
              <w:t>Unrepatriated foreign earnings</w:t>
            </w:r>
          </w:p>
        </w:tc>
        <w:tc>
          <w:tcPr>
            <w:tcW w:w="1960" w:type="dxa"/>
            <w:vAlign w:val="bottom"/>
            <w:vMerge w:val="continue"/>
          </w:tcPr>
          <w:p>
            <w:pPr>
              <w:spacing w:after="0"/>
              <w:rPr>
                <w:sz w:val="15"/>
                <w:szCs w:val="15"/>
                <w:color w:val="auto"/>
              </w:rPr>
            </w:pPr>
          </w:p>
        </w:tc>
        <w:tc>
          <w:tcPr>
            <w:tcW w:w="2200" w:type="dxa"/>
            <w:vAlign w:val="bottom"/>
          </w:tcPr>
          <w:p>
            <w:pPr>
              <w:jc w:val="right"/>
              <w:ind w:right="430"/>
              <w:spacing w:after="0" w:line="181" w:lineRule="exact"/>
              <w:rPr>
                <w:sz w:val="20"/>
                <w:szCs w:val="20"/>
                <w:color w:val="auto"/>
              </w:rPr>
            </w:pPr>
            <w:r>
              <w:rPr>
                <w:rFonts w:ascii="Arial" w:cs="Arial" w:eastAsia="Arial" w:hAnsi="Arial"/>
                <w:sz w:val="18"/>
                <w:szCs w:val="18"/>
                <w:color w:val="auto"/>
              </w:rPr>
              <w:t>$1,521</w:t>
            </w:r>
          </w:p>
        </w:tc>
        <w:tc>
          <w:tcPr>
            <w:tcW w:w="2020" w:type="dxa"/>
            <w:vAlign w:val="bottom"/>
            <w:vMerge w:val="continue"/>
          </w:tcPr>
          <w:p>
            <w:pPr>
              <w:spacing w:after="0"/>
              <w:rPr>
                <w:sz w:val="15"/>
                <w:szCs w:val="15"/>
                <w:color w:val="auto"/>
              </w:rPr>
            </w:pPr>
          </w:p>
        </w:tc>
        <w:tc>
          <w:tcPr>
            <w:tcW w:w="940" w:type="dxa"/>
            <w:vAlign w:val="bottom"/>
          </w:tcPr>
          <w:p>
            <w:pPr>
              <w:jc w:val="right"/>
              <w:ind w:right="10"/>
              <w:spacing w:after="0" w:line="18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tcPr>
          <w:p>
            <w:pPr>
              <w:ind w:left="200"/>
              <w:spacing w:after="0" w:line="202" w:lineRule="exact"/>
              <w:rPr>
                <w:sz w:val="20"/>
                <w:szCs w:val="20"/>
                <w:color w:val="auto"/>
              </w:rPr>
            </w:pPr>
            <w:r>
              <w:rPr>
                <w:rFonts w:ascii="Arial" w:cs="Arial" w:eastAsia="Arial" w:hAnsi="Arial"/>
                <w:sz w:val="18"/>
                <w:szCs w:val="18"/>
                <w:color w:val="auto"/>
              </w:rPr>
              <w:t>Inventories</w:t>
            </w:r>
          </w:p>
        </w:tc>
        <w:tc>
          <w:tcPr>
            <w:tcW w:w="19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220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w:t>
            </w:r>
          </w:p>
        </w:tc>
        <w:tc>
          <w:tcPr>
            <w:tcW w:w="2020" w:type="dxa"/>
            <w:vAlign w:val="bottom"/>
          </w:tcPr>
          <w:p>
            <w:pPr>
              <w:jc w:val="right"/>
              <w:ind w:right="770"/>
              <w:spacing w:after="0" w:line="202" w:lineRule="exact"/>
              <w:rPr>
                <w:sz w:val="20"/>
                <w:szCs w:val="20"/>
                <w:color w:val="auto"/>
              </w:rPr>
            </w:pPr>
            <w:r>
              <w:rPr>
                <w:rFonts w:ascii="Arial" w:cs="Arial" w:eastAsia="Arial" w:hAnsi="Arial"/>
                <w:sz w:val="18"/>
                <w:szCs w:val="18"/>
                <w:b w:val="1"/>
                <w:bCs w:val="1"/>
                <w:color w:val="auto"/>
              </w:rPr>
              <w:t>1,366</w:t>
            </w: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1,383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2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1,822</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42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current deferred tax liabilities</w:t>
            </w:r>
          </w:p>
        </w:tc>
        <w:tc>
          <w:tcPr>
            <w:tcW w:w="1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667</w:t>
            </w:r>
          </w:p>
        </w:tc>
        <w:tc>
          <w:tcPr>
            <w:tcW w:w="220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color w:val="auto"/>
              </w:rPr>
              <w:t>1,521</w:t>
            </w:r>
          </w:p>
        </w:tc>
        <w:tc>
          <w:tcPr>
            <w:tcW w:w="2020" w:type="dxa"/>
            <w:vAlign w:val="bottom"/>
            <w:tcBorders>
              <w:bottom w:val="single" w:sz="8" w:color="auto"/>
            </w:tcBorders>
          </w:tcPr>
          <w:p>
            <w:pPr>
              <w:jc w:val="right"/>
              <w:ind w:right="770"/>
              <w:spacing w:after="0" w:line="196" w:lineRule="exact"/>
              <w:rPr>
                <w:sz w:val="20"/>
                <w:szCs w:val="20"/>
                <w:color w:val="auto"/>
              </w:rPr>
            </w:pPr>
            <w:r>
              <w:rPr>
                <w:rFonts w:ascii="Arial" w:cs="Arial" w:eastAsia="Arial" w:hAnsi="Arial"/>
                <w:sz w:val="18"/>
                <w:szCs w:val="18"/>
                <w:b w:val="1"/>
                <w:bCs w:val="1"/>
                <w:color w:val="auto"/>
              </w:rPr>
              <w:t>3,188</w:t>
            </w:r>
          </w:p>
        </w:tc>
        <w:tc>
          <w:tcPr>
            <w:tcW w:w="9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1,395</w:t>
            </w:r>
          </w:p>
        </w:tc>
        <w:tc>
          <w:tcPr>
            <w:tcW w:w="0" w:type="dxa"/>
            <w:vAlign w:val="bottom"/>
          </w:tcPr>
          <w:p>
            <w:pPr>
              <w:spacing w:after="0"/>
              <w:rPr>
                <w:sz w:val="1"/>
                <w:szCs w:val="1"/>
                <w:color w:val="auto"/>
              </w:rPr>
            </w:pPr>
          </w:p>
        </w:tc>
      </w:tr>
      <w:tr>
        <w:trPr>
          <w:trHeight w:val="398"/>
        </w:trPr>
        <w:tc>
          <w:tcPr>
            <w:tcW w:w="4300" w:type="dxa"/>
            <w:vAlign w:val="bottom"/>
            <w:gridSpan w:val="2"/>
          </w:tcPr>
          <w:p>
            <w:pPr>
              <w:spacing w:after="0"/>
              <w:rPr>
                <w:sz w:val="20"/>
                <w:szCs w:val="20"/>
                <w:color w:val="auto"/>
              </w:rPr>
            </w:pPr>
            <w:r>
              <w:rPr>
                <w:rFonts w:ascii="Arial" w:cs="Arial" w:eastAsia="Arial" w:hAnsi="Arial"/>
                <w:sz w:val="18"/>
                <w:szCs w:val="18"/>
                <w:color w:val="auto"/>
              </w:rPr>
              <w:t>Noncurrent deferred tax liabilities:</w:t>
            </w:r>
          </w:p>
        </w:tc>
        <w:tc>
          <w:tcPr>
            <w:tcW w:w="19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13,169</w:t>
            </w:r>
          </w:p>
        </w:tc>
        <w:tc>
          <w:tcPr>
            <w:tcW w:w="2200" w:type="dxa"/>
            <w:vAlign w:val="bottom"/>
          </w:tcPr>
          <w:p>
            <w:pPr>
              <w:spacing w:after="0"/>
              <w:rPr>
                <w:sz w:val="24"/>
                <w:szCs w:val="24"/>
                <w:color w:val="auto"/>
              </w:rPr>
            </w:pPr>
          </w:p>
        </w:tc>
        <w:tc>
          <w:tcPr>
            <w:tcW w:w="2020" w:type="dxa"/>
            <w:vAlign w:val="bottom"/>
            <w:vMerge w:val="restart"/>
          </w:tcPr>
          <w:p>
            <w:pPr>
              <w:jc w:val="right"/>
              <w:ind w:right="770"/>
              <w:spacing w:after="0"/>
              <w:rPr>
                <w:sz w:val="20"/>
                <w:szCs w:val="20"/>
                <w:color w:val="auto"/>
              </w:rPr>
            </w:pPr>
            <w:r>
              <w:rPr>
                <w:rFonts w:ascii="Arial" w:cs="Arial" w:eastAsia="Arial" w:hAnsi="Arial"/>
                <w:sz w:val="18"/>
                <w:szCs w:val="18"/>
                <w:b w:val="1"/>
                <w:bCs w:val="1"/>
                <w:color w:val="auto"/>
              </w:rPr>
              <w:t>8,357</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280" w:type="dxa"/>
            <w:vAlign w:val="bottom"/>
          </w:tcPr>
          <w:p>
            <w:pPr>
              <w:ind w:left="200"/>
              <w:spacing w:after="0" w:line="181" w:lineRule="exact"/>
              <w:rPr>
                <w:sz w:val="20"/>
                <w:szCs w:val="20"/>
                <w:color w:val="auto"/>
              </w:rPr>
            </w:pPr>
            <w:r>
              <w:rPr>
                <w:rFonts w:ascii="Arial" w:cs="Arial" w:eastAsia="Arial" w:hAnsi="Arial"/>
                <w:sz w:val="18"/>
                <w:szCs w:val="18"/>
                <w:color w:val="auto"/>
              </w:rPr>
              <w:t>Depreciation and amortization</w:t>
            </w:r>
          </w:p>
        </w:tc>
        <w:tc>
          <w:tcPr>
            <w:tcW w:w="1960" w:type="dxa"/>
            <w:vAlign w:val="bottom"/>
            <w:vMerge w:val="continue"/>
          </w:tcPr>
          <w:p>
            <w:pPr>
              <w:spacing w:after="0"/>
              <w:rPr>
                <w:sz w:val="15"/>
                <w:szCs w:val="15"/>
                <w:color w:val="auto"/>
              </w:rPr>
            </w:pPr>
          </w:p>
        </w:tc>
        <w:tc>
          <w:tcPr>
            <w:tcW w:w="2200" w:type="dxa"/>
            <w:vAlign w:val="bottom"/>
          </w:tcPr>
          <w:p>
            <w:pPr>
              <w:jc w:val="right"/>
              <w:ind w:right="430"/>
              <w:spacing w:after="0" w:line="181" w:lineRule="exact"/>
              <w:rPr>
                <w:sz w:val="20"/>
                <w:szCs w:val="20"/>
                <w:color w:val="auto"/>
              </w:rPr>
            </w:pPr>
            <w:r>
              <w:rPr>
                <w:rFonts w:ascii="Arial" w:cs="Arial" w:eastAsia="Arial" w:hAnsi="Arial"/>
                <w:sz w:val="18"/>
                <w:szCs w:val="18"/>
                <w:color w:val="auto"/>
              </w:rPr>
              <w:t>15,296</w:t>
            </w:r>
          </w:p>
        </w:tc>
        <w:tc>
          <w:tcPr>
            <w:tcW w:w="2020" w:type="dxa"/>
            <w:vAlign w:val="bottom"/>
            <w:vMerge w:val="continue"/>
          </w:tcPr>
          <w:p>
            <w:pPr>
              <w:spacing w:after="0"/>
              <w:rPr>
                <w:sz w:val="15"/>
                <w:szCs w:val="15"/>
                <w:color w:val="auto"/>
              </w:rPr>
            </w:pPr>
          </w:p>
        </w:tc>
        <w:tc>
          <w:tcPr>
            <w:tcW w:w="940" w:type="dxa"/>
            <w:vAlign w:val="bottom"/>
          </w:tcPr>
          <w:p>
            <w:pPr>
              <w:jc w:val="right"/>
              <w:ind w:right="10"/>
              <w:spacing w:after="0" w:line="181" w:lineRule="exact"/>
              <w:rPr>
                <w:sz w:val="20"/>
                <w:szCs w:val="20"/>
                <w:color w:val="auto"/>
              </w:rPr>
            </w:pPr>
            <w:r>
              <w:rPr>
                <w:rFonts w:ascii="Arial" w:cs="Arial" w:eastAsia="Arial" w:hAnsi="Arial"/>
                <w:sz w:val="18"/>
                <w:szCs w:val="18"/>
                <w:color w:val="auto"/>
              </w:rPr>
              <w:t>10,106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tcPr>
          <w:p>
            <w:pPr>
              <w:ind w:left="200"/>
              <w:spacing w:after="0" w:line="202" w:lineRule="exact"/>
              <w:rPr>
                <w:sz w:val="20"/>
                <w:szCs w:val="20"/>
                <w:color w:val="auto"/>
              </w:rPr>
            </w:pPr>
            <w:r>
              <w:rPr>
                <w:rFonts w:ascii="Arial" w:cs="Arial" w:eastAsia="Arial" w:hAnsi="Arial"/>
                <w:sz w:val="18"/>
                <w:szCs w:val="18"/>
                <w:color w:val="auto"/>
              </w:rPr>
              <w:t>Postretirement benefits</w:t>
            </w:r>
          </w:p>
        </w:tc>
        <w:tc>
          <w:tcPr>
            <w:tcW w:w="19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220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w:t>
            </w:r>
          </w:p>
        </w:tc>
        <w:tc>
          <w:tcPr>
            <w:tcW w:w="2020" w:type="dxa"/>
            <w:vAlign w:val="bottom"/>
          </w:tcPr>
          <w:p>
            <w:pPr>
              <w:jc w:val="right"/>
              <w:ind w:right="770"/>
              <w:spacing w:after="0" w:line="202" w:lineRule="exact"/>
              <w:rPr>
                <w:sz w:val="20"/>
                <w:szCs w:val="20"/>
                <w:color w:val="auto"/>
              </w:rPr>
            </w:pPr>
            <w:r>
              <w:rPr>
                <w:rFonts w:ascii="Arial" w:cs="Arial" w:eastAsia="Arial" w:hAnsi="Arial"/>
                <w:sz w:val="18"/>
                <w:szCs w:val="18"/>
                <w:b w:val="1"/>
                <w:bCs w:val="1"/>
                <w:color w:val="auto"/>
              </w:rPr>
              <w:t>1,377</w:t>
            </w: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4,726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tcPr>
          <w:p>
            <w:pPr>
              <w:ind w:left="200"/>
              <w:spacing w:after="0" w:line="202" w:lineRule="exact"/>
              <w:rPr>
                <w:sz w:val="20"/>
                <w:szCs w:val="20"/>
                <w:color w:val="auto"/>
              </w:rPr>
            </w:pPr>
            <w:r>
              <w:rPr>
                <w:rFonts w:ascii="Arial" w:cs="Arial" w:eastAsia="Arial" w:hAnsi="Arial"/>
                <w:sz w:val="18"/>
                <w:szCs w:val="18"/>
                <w:color w:val="auto"/>
              </w:rPr>
              <w:t>Deferred gain</w:t>
            </w:r>
          </w:p>
        </w:tc>
        <w:tc>
          <w:tcPr>
            <w:tcW w:w="19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9,013</w:t>
            </w:r>
          </w:p>
        </w:tc>
        <w:tc>
          <w:tcPr>
            <w:tcW w:w="220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w:t>
            </w:r>
          </w:p>
        </w:tc>
        <w:tc>
          <w:tcPr>
            <w:tcW w:w="2020" w:type="dxa"/>
            <w:vAlign w:val="bottom"/>
          </w:tcPr>
          <w:p>
            <w:pPr>
              <w:jc w:val="right"/>
              <w:ind w:right="770"/>
              <w:spacing w:after="0" w:line="202" w:lineRule="exact"/>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tcPr>
          <w:p>
            <w:pPr>
              <w:ind w:left="200"/>
              <w:spacing w:after="0" w:line="202" w:lineRule="exact"/>
              <w:rPr>
                <w:sz w:val="20"/>
                <w:szCs w:val="20"/>
                <w:color w:val="auto"/>
              </w:rPr>
            </w:pPr>
            <w:r>
              <w:rPr>
                <w:rFonts w:ascii="Arial" w:cs="Arial" w:eastAsia="Arial" w:hAnsi="Arial"/>
                <w:sz w:val="18"/>
                <w:szCs w:val="18"/>
                <w:color w:val="auto"/>
              </w:rPr>
              <w:t>Branch losses subject to recapture</w:t>
            </w:r>
          </w:p>
        </w:tc>
        <w:tc>
          <w:tcPr>
            <w:tcW w:w="19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220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w:t>
            </w:r>
          </w:p>
        </w:tc>
        <w:tc>
          <w:tcPr>
            <w:tcW w:w="2020" w:type="dxa"/>
            <w:vAlign w:val="bottom"/>
          </w:tcPr>
          <w:p>
            <w:pPr>
              <w:jc w:val="right"/>
              <w:ind w:right="770"/>
              <w:spacing w:after="0" w:line="202" w:lineRule="exact"/>
              <w:rPr>
                <w:sz w:val="20"/>
                <w:szCs w:val="20"/>
                <w:color w:val="auto"/>
              </w:rPr>
            </w:pPr>
            <w:r>
              <w:rPr>
                <w:rFonts w:ascii="Arial" w:cs="Arial" w:eastAsia="Arial" w:hAnsi="Arial"/>
                <w:sz w:val="18"/>
                <w:szCs w:val="18"/>
                <w:b w:val="1"/>
                <w:bCs w:val="1"/>
                <w:color w:val="auto"/>
              </w:rPr>
              <w:t>12,380</w:t>
            </w: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12,959</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2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68</w:t>
            </w:r>
          </w:p>
        </w:tc>
        <w:tc>
          <w:tcPr>
            <w:tcW w:w="202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2,394</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2,473</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42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noncurrent deferred tax liabilities</w:t>
            </w:r>
          </w:p>
        </w:tc>
        <w:tc>
          <w:tcPr>
            <w:tcW w:w="1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22,182</w:t>
            </w:r>
          </w:p>
        </w:tc>
        <w:tc>
          <w:tcPr>
            <w:tcW w:w="220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color w:val="auto"/>
              </w:rPr>
              <w:t>15,364</w:t>
            </w:r>
          </w:p>
        </w:tc>
        <w:tc>
          <w:tcPr>
            <w:tcW w:w="2020" w:type="dxa"/>
            <w:vAlign w:val="bottom"/>
            <w:tcBorders>
              <w:bottom w:val="single" w:sz="8" w:color="auto"/>
            </w:tcBorders>
          </w:tcPr>
          <w:p>
            <w:pPr>
              <w:jc w:val="right"/>
              <w:ind w:right="770"/>
              <w:spacing w:after="0" w:line="196" w:lineRule="exact"/>
              <w:rPr>
                <w:sz w:val="20"/>
                <w:szCs w:val="20"/>
                <w:color w:val="auto"/>
              </w:rPr>
            </w:pPr>
            <w:r>
              <w:rPr>
                <w:rFonts w:ascii="Arial" w:cs="Arial" w:eastAsia="Arial" w:hAnsi="Arial"/>
                <w:sz w:val="18"/>
                <w:szCs w:val="18"/>
                <w:b w:val="1"/>
                <w:bCs w:val="1"/>
                <w:color w:val="auto"/>
              </w:rPr>
              <w:t>24,508</w:t>
            </w:r>
          </w:p>
        </w:tc>
        <w:tc>
          <w:tcPr>
            <w:tcW w:w="9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30,264</w:t>
            </w:r>
          </w:p>
        </w:tc>
        <w:tc>
          <w:tcPr>
            <w:tcW w:w="0" w:type="dxa"/>
            <w:vAlign w:val="bottom"/>
          </w:tcPr>
          <w:p>
            <w:pPr>
              <w:spacing w:after="0"/>
              <w:rPr>
                <w:sz w:val="1"/>
                <w:szCs w:val="1"/>
                <w:color w:val="auto"/>
              </w:rPr>
            </w:pPr>
          </w:p>
        </w:tc>
      </w:tr>
      <w:tr>
        <w:trPr>
          <w:trHeight w:val="196"/>
        </w:trPr>
        <w:tc>
          <w:tcPr>
            <w:tcW w:w="4300" w:type="dxa"/>
            <w:vAlign w:val="bottom"/>
            <w:gridSpan w:val="2"/>
          </w:tcPr>
          <w:p>
            <w:pPr>
              <w:spacing w:after="0" w:line="196" w:lineRule="exact"/>
              <w:rPr>
                <w:sz w:val="20"/>
                <w:szCs w:val="20"/>
                <w:color w:val="auto"/>
              </w:rPr>
            </w:pPr>
            <w:r>
              <w:rPr>
                <w:rFonts w:ascii="Arial" w:cs="Arial" w:eastAsia="Arial" w:hAnsi="Arial"/>
                <w:sz w:val="18"/>
                <w:szCs w:val="18"/>
                <w:color w:val="auto"/>
              </w:rPr>
              <w:t>Total deferred tax liabilities</w:t>
            </w:r>
          </w:p>
        </w:tc>
        <w:tc>
          <w:tcPr>
            <w:tcW w:w="19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22,849</w:t>
            </w:r>
          </w:p>
        </w:tc>
        <w:tc>
          <w:tcPr>
            <w:tcW w:w="2200" w:type="dxa"/>
            <w:vAlign w:val="bottom"/>
          </w:tcPr>
          <w:p>
            <w:pPr>
              <w:jc w:val="right"/>
              <w:ind w:right="430"/>
              <w:spacing w:after="0" w:line="196" w:lineRule="exact"/>
              <w:rPr>
                <w:sz w:val="20"/>
                <w:szCs w:val="20"/>
                <w:color w:val="auto"/>
              </w:rPr>
            </w:pPr>
            <w:r>
              <w:rPr>
                <w:rFonts w:ascii="Arial" w:cs="Arial" w:eastAsia="Arial" w:hAnsi="Arial"/>
                <w:sz w:val="18"/>
                <w:szCs w:val="18"/>
                <w:color w:val="auto"/>
              </w:rPr>
              <w:t>16,885</w:t>
            </w:r>
          </w:p>
        </w:tc>
        <w:tc>
          <w:tcPr>
            <w:tcW w:w="2020" w:type="dxa"/>
            <w:vAlign w:val="bottom"/>
          </w:tcPr>
          <w:p>
            <w:pPr>
              <w:jc w:val="right"/>
              <w:ind w:right="770"/>
              <w:spacing w:after="0" w:line="196" w:lineRule="exact"/>
              <w:rPr>
                <w:sz w:val="20"/>
                <w:szCs w:val="20"/>
                <w:color w:val="auto"/>
              </w:rPr>
            </w:pPr>
            <w:r>
              <w:rPr>
                <w:rFonts w:ascii="Arial" w:cs="Arial" w:eastAsia="Arial" w:hAnsi="Arial"/>
                <w:sz w:val="18"/>
                <w:szCs w:val="18"/>
                <w:b w:val="1"/>
                <w:bCs w:val="1"/>
                <w:color w:val="auto"/>
              </w:rPr>
              <w:t>27,696</w:t>
            </w:r>
          </w:p>
        </w:tc>
        <w:tc>
          <w:tcPr>
            <w:tcW w:w="9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31,659</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4280" w:type="dxa"/>
            <w:vAlign w:val="bottom"/>
            <w:tcBorders>
              <w:top w:val="single" w:sz="8" w:color="auto"/>
              <w:bottom w:val="single" w:sz="8" w:color="auto"/>
            </w:tcBorders>
          </w:tcPr>
          <w:p>
            <w:pPr>
              <w:spacing w:after="0"/>
              <w:rPr>
                <w:sz w:val="17"/>
                <w:szCs w:val="17"/>
                <w:color w:val="auto"/>
              </w:rPr>
            </w:pPr>
          </w:p>
        </w:tc>
        <w:tc>
          <w:tcPr>
            <w:tcW w:w="1960" w:type="dxa"/>
            <w:vAlign w:val="bottom"/>
            <w:tcBorders>
              <w:top w:val="single" w:sz="8" w:color="auto"/>
              <w:bottom w:val="single" w:sz="8" w:color="auto"/>
            </w:tcBorders>
          </w:tcPr>
          <w:p>
            <w:pPr>
              <w:spacing w:after="0"/>
              <w:rPr>
                <w:sz w:val="17"/>
                <w:szCs w:val="17"/>
                <w:color w:val="auto"/>
              </w:rPr>
            </w:pPr>
          </w:p>
        </w:tc>
        <w:tc>
          <w:tcPr>
            <w:tcW w:w="2200" w:type="dxa"/>
            <w:vAlign w:val="bottom"/>
            <w:tcBorders>
              <w:top w:val="single" w:sz="8" w:color="auto"/>
              <w:bottom w:val="single" w:sz="8" w:color="auto"/>
            </w:tcBorders>
          </w:tcPr>
          <w:p>
            <w:pPr>
              <w:spacing w:after="0"/>
              <w:rPr>
                <w:sz w:val="17"/>
                <w:szCs w:val="17"/>
                <w:color w:val="auto"/>
              </w:rPr>
            </w:pPr>
          </w:p>
        </w:tc>
        <w:tc>
          <w:tcPr>
            <w:tcW w:w="20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0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Net deferred tax asset</w:t>
            </w:r>
          </w:p>
        </w:tc>
        <w:tc>
          <w:tcPr>
            <w:tcW w:w="1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$50,380</w:t>
            </w:r>
          </w:p>
        </w:tc>
        <w:tc>
          <w:tcPr>
            <w:tcW w:w="220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color w:val="auto"/>
              </w:rPr>
              <w:t>$71,809</w:t>
            </w:r>
          </w:p>
        </w:tc>
        <w:tc>
          <w:tcPr>
            <w:tcW w:w="2020" w:type="dxa"/>
            <w:vAlign w:val="bottom"/>
            <w:tcBorders>
              <w:bottom w:val="single" w:sz="8" w:color="auto"/>
            </w:tcBorders>
          </w:tcPr>
          <w:p>
            <w:pPr>
              <w:jc w:val="right"/>
              <w:ind w:right="770"/>
              <w:spacing w:after="0" w:line="196" w:lineRule="exact"/>
              <w:rPr>
                <w:sz w:val="20"/>
                <w:szCs w:val="20"/>
                <w:color w:val="auto"/>
              </w:rPr>
            </w:pPr>
            <w:r>
              <w:rPr>
                <w:rFonts w:ascii="Arial" w:cs="Arial" w:eastAsia="Arial" w:hAnsi="Arial"/>
                <w:sz w:val="18"/>
                <w:szCs w:val="18"/>
                <w:b w:val="1"/>
                <w:bCs w:val="1"/>
                <w:color w:val="auto"/>
              </w:rPr>
              <w:t>$16,133</w:t>
            </w:r>
          </w:p>
        </w:tc>
        <w:tc>
          <w:tcPr>
            <w:tcW w:w="9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$7,376</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40" w:firstLine="648"/>
        <w:spacing w:after="0" w:line="239" w:lineRule="auto"/>
        <w:rPr>
          <w:sz w:val="20"/>
          <w:szCs w:val="20"/>
          <w:color w:val="auto"/>
        </w:rPr>
      </w:pPr>
      <w:r>
        <w:rPr>
          <w:rFonts w:ascii="Arial" w:cs="Arial" w:eastAsia="Arial" w:hAnsi="Arial"/>
          <w:sz w:val="18"/>
          <w:szCs w:val="18"/>
          <w:color w:val="auto"/>
        </w:rPr>
        <w:t>Deferred income tax assets, net of valuation allowances, are expected to be realized through the reversal of existing taxable temporary differences and future taxable income. In 2013, the Company recorded a net decrease in its valuation allowance of $10.4 million. The reduction in deferred tax valuation allowances in 2013 was principally due to the utilization of net deferred tax assets and changes in circumstances surrounding the future utilization of net operating loss carryforwards.</w:t>
      </w:r>
    </w:p>
    <w:p>
      <w:pPr>
        <w:spacing w:after="0" w:line="161" w:lineRule="exact"/>
        <w:rPr>
          <w:sz w:val="20"/>
          <w:szCs w:val="20"/>
          <w:color w:val="auto"/>
        </w:rPr>
      </w:pPr>
    </w:p>
    <w:p>
      <w:pPr>
        <w:ind w:right="200" w:firstLine="648"/>
        <w:spacing w:after="0" w:line="237" w:lineRule="auto"/>
        <w:rPr>
          <w:sz w:val="20"/>
          <w:szCs w:val="20"/>
          <w:color w:val="auto"/>
        </w:rPr>
      </w:pPr>
      <w:r>
        <w:rPr>
          <w:rFonts w:ascii="Arial" w:cs="Arial" w:eastAsia="Arial" w:hAnsi="Arial"/>
          <w:sz w:val="18"/>
          <w:szCs w:val="18"/>
          <w:color w:val="auto"/>
        </w:rPr>
        <w:t>At December 31, 2013, the Company had available approximately $605.0 million of net operating loss carryforwards, for which we have a deferred tax asset of $77.5 million, with expiration dates ranging from one year to indefinite that may be applied against future taxable income. We believe that it is more likely than not that certain benefits from these net operating loss carryforwards will not be realized and, accordingly, we have recorded a valuation allowance of $49.8 million as of December 31, 2013. Included in the net operating loss carryforwards is approximately $31.0 million of state net operating loss carryforwards that are subject to various business apportionment factors and multiple jurisdictional requirements when utilized. In addition, the Company</w:t>
      </w:r>
    </w:p>
    <w:p>
      <w:pPr>
        <w:spacing w:after="0" w:line="165" w:lineRule="exact"/>
        <w:rPr>
          <w:sz w:val="20"/>
          <w:szCs w:val="20"/>
          <w:color w:val="auto"/>
        </w:rPr>
      </w:pPr>
    </w:p>
    <w:p>
      <w:pPr>
        <w:ind w:left="11220"/>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6620" cy="342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72" w:name="page73"/>
    <w:bookmarkEnd w:id="72"/>
    <w:p>
      <w:pPr>
        <w:ind w:right="120"/>
        <w:spacing w:after="0" w:line="246" w:lineRule="auto"/>
        <w:rPr>
          <w:sz w:val="20"/>
          <w:szCs w:val="20"/>
          <w:color w:val="auto"/>
        </w:rPr>
      </w:pPr>
      <w:r>
        <w:rPr>
          <w:rFonts w:ascii="Arial" w:cs="Arial" w:eastAsia="Arial" w:hAnsi="Arial"/>
          <w:sz w:val="18"/>
          <w:szCs w:val="18"/>
          <w:color w:val="auto"/>
        </w:rPr>
        <w:t>had available a foreign tax credit carryforward of $16.8 million that will begin to expire in 2020, research and development credit carryforwards of $6.9 million that will begin to expire in 2024, and alternative minimum tax credit carryforwards of $1.2 million with no expiration date.</w:t>
      </w:r>
    </w:p>
    <w:p>
      <w:pPr>
        <w:spacing w:after="0" w:line="156"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The Company reported a U.S. net deferred tax asset of $50.4 million at December 31, 2013, which contained $26.4 million of tax attributes with limited lives. Although the Company is in a cumulative book income position over the evaluation period (three-year period ending December 31, 2013), management has evaluated its ability to utilize these tax attributes during the carryforward period. The Company’s future profits from operations coupled with the repatriation of non-U.S. earnings will generate income of sufficient character to utilize the remaining tax attributes. Accordingly, no valuation allowance has been established for the remaining U.S. net deferred tax assets.</w:t>
      </w:r>
    </w:p>
    <w:p>
      <w:pPr>
        <w:spacing w:after="0" w:line="176" w:lineRule="exact"/>
        <w:rPr>
          <w:sz w:val="20"/>
          <w:szCs w:val="20"/>
          <w:color w:val="auto"/>
        </w:rPr>
      </w:pPr>
    </w:p>
    <w:p>
      <w:pPr>
        <w:ind w:right="120" w:firstLine="648"/>
        <w:spacing w:after="0"/>
        <w:rPr>
          <w:sz w:val="20"/>
          <w:szCs w:val="20"/>
          <w:color w:val="auto"/>
        </w:rPr>
      </w:pPr>
      <w:r>
        <w:rPr>
          <w:rFonts w:ascii="Arial" w:cs="Arial" w:eastAsia="Arial" w:hAnsi="Arial"/>
          <w:sz w:val="18"/>
          <w:szCs w:val="18"/>
          <w:color w:val="auto"/>
        </w:rPr>
        <w:t>The Company records the residual U.S. and foreign taxes on certain amounts of current foreign earnings that have been targeted for repatriation to the U.S. As a result, such amounts are not considered to be permanently reinvested, and the Company accrued for the residual taxes on these earnings to the extent they cannot be repatriated in a tax-free manner.</w:t>
      </w:r>
    </w:p>
    <w:p>
      <w:pPr>
        <w:spacing w:after="0" w:line="162" w:lineRule="exact"/>
        <w:rPr>
          <w:sz w:val="20"/>
          <w:szCs w:val="20"/>
          <w:color w:val="auto"/>
        </w:rPr>
      </w:pPr>
    </w:p>
    <w:p>
      <w:pPr>
        <w:jc w:val="both"/>
        <w:ind w:right="400" w:firstLine="648"/>
        <w:spacing w:after="0"/>
        <w:rPr>
          <w:sz w:val="20"/>
          <w:szCs w:val="20"/>
          <w:color w:val="auto"/>
        </w:rPr>
      </w:pPr>
      <w:r>
        <w:rPr>
          <w:rFonts w:ascii="Arial" w:cs="Arial" w:eastAsia="Arial" w:hAnsi="Arial"/>
          <w:sz w:val="18"/>
          <w:szCs w:val="18"/>
          <w:color w:val="auto"/>
        </w:rPr>
        <w:t>At December 31, 2013 the Company reported a deferred tax liability of $0.7 million on $11.8 million of non-U.S. earnings that have been targeted for future repatriation to the U.S. Included in these amounts are $0.4 million of tax expense on approximately $7.4 million of foreign earnings that were generated in 2013.</w:t>
      </w:r>
    </w:p>
    <w:p>
      <w:pPr>
        <w:spacing w:after="0" w:line="162" w:lineRule="exact"/>
        <w:rPr>
          <w:sz w:val="20"/>
          <w:szCs w:val="20"/>
          <w:color w:val="auto"/>
        </w:rPr>
      </w:pPr>
    </w:p>
    <w:p>
      <w:pPr>
        <w:ind w:right="200" w:firstLine="648"/>
        <w:spacing w:after="0" w:line="239" w:lineRule="auto"/>
        <w:rPr>
          <w:sz w:val="20"/>
          <w:szCs w:val="20"/>
          <w:color w:val="auto"/>
        </w:rPr>
      </w:pPr>
      <w:r>
        <w:rPr>
          <w:rFonts w:ascii="Arial" w:cs="Arial" w:eastAsia="Arial" w:hAnsi="Arial"/>
          <w:sz w:val="18"/>
          <w:szCs w:val="18"/>
          <w:color w:val="auto"/>
        </w:rPr>
        <w:t>The accumulated undistributed earnings of the Company’s foreign operations were approximately $369.0 million, and are intended to remain permanently invested in foreign operations. Accordingly, no taxes have been provided on these earnings at December 31, 2013. If these earnings were distributed, the Company would be subject to both foreign withholding taxes and U.S. income taxes that may not be fully offset by foreign tax credits. A reasonable estimate of the deferred tax liability on these earnings is not practicable at this time.</w:t>
      </w:r>
    </w:p>
    <w:p>
      <w:pPr>
        <w:spacing w:after="0" w:line="175" w:lineRule="exact"/>
        <w:rPr>
          <w:sz w:val="20"/>
          <w:szCs w:val="20"/>
          <w:color w:val="auto"/>
        </w:rPr>
      </w:pPr>
    </w:p>
    <w:p>
      <w:pPr>
        <w:ind w:right="120" w:firstLine="648"/>
        <w:spacing w:after="0" w:line="246" w:lineRule="auto"/>
        <w:rPr>
          <w:sz w:val="20"/>
          <w:szCs w:val="20"/>
          <w:color w:val="auto"/>
        </w:rPr>
      </w:pPr>
      <w:r>
        <w:rPr>
          <w:rFonts w:ascii="Arial" w:cs="Arial" w:eastAsia="Arial" w:hAnsi="Arial"/>
          <w:sz w:val="18"/>
          <w:szCs w:val="18"/>
          <w:color w:val="auto"/>
        </w:rPr>
        <w:t>A reconciliation of the beginning and ending amount of unrecognized tax benefits, in accordance with applicable accounting guidance,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99695</wp:posOffset>
            </wp:positionV>
            <wp:extent cx="666369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371" w:lineRule="exact"/>
        <w:rPr>
          <w:sz w:val="20"/>
          <w:szCs w:val="20"/>
          <w:color w:val="auto"/>
        </w:rPr>
      </w:pPr>
    </w:p>
    <w:tbl>
      <w:tblPr>
        <w:tblLayout w:type="fixed"/>
        <w:tblInd w:w="660" w:type="dxa"/>
        <w:tblCellMar>
          <w:top w:w="0" w:type="dxa"/>
          <w:left w:w="0" w:type="dxa"/>
          <w:bottom w:w="0" w:type="dxa"/>
          <w:right w:w="0" w:type="dxa"/>
        </w:tblCellMar>
      </w:tblPr>
      <w:tr>
        <w:trPr>
          <w:trHeight w:val="225"/>
        </w:trPr>
        <w:tc>
          <w:tcPr>
            <w:tcW w:w="5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92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2013</w:t>
            </w:r>
          </w:p>
        </w:tc>
        <w:tc>
          <w:tcPr>
            <w:tcW w:w="188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2012</w:t>
            </w:r>
          </w:p>
        </w:tc>
        <w:tc>
          <w:tcPr>
            <w:tcW w:w="13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412"/>
        </w:trPr>
        <w:tc>
          <w:tcPr>
            <w:tcW w:w="5300" w:type="dxa"/>
            <w:vAlign w:val="bottom"/>
          </w:tcPr>
          <w:p>
            <w:pPr>
              <w:spacing w:after="0"/>
              <w:rPr>
                <w:sz w:val="20"/>
                <w:szCs w:val="20"/>
                <w:color w:val="auto"/>
              </w:rPr>
            </w:pPr>
            <w:r>
              <w:rPr>
                <w:rFonts w:ascii="Arial" w:cs="Arial" w:eastAsia="Arial" w:hAnsi="Arial"/>
                <w:sz w:val="18"/>
                <w:szCs w:val="18"/>
                <w:color w:val="auto"/>
              </w:rPr>
              <w:t>Unrecognized tax benefits balance at January 1</w:t>
            </w:r>
          </w:p>
        </w:tc>
        <w:tc>
          <w:tcPr>
            <w:tcW w:w="1920" w:type="dxa"/>
            <w:vAlign w:val="bottom"/>
          </w:tcPr>
          <w:p>
            <w:pPr>
              <w:jc w:val="right"/>
              <w:ind w:right="510"/>
              <w:spacing w:after="0"/>
              <w:rPr>
                <w:sz w:val="20"/>
                <w:szCs w:val="20"/>
                <w:color w:val="auto"/>
              </w:rPr>
            </w:pPr>
            <w:r>
              <w:rPr>
                <w:rFonts w:ascii="Arial" w:cs="Arial" w:eastAsia="Arial" w:hAnsi="Arial"/>
                <w:sz w:val="18"/>
                <w:szCs w:val="18"/>
                <w:b w:val="1"/>
                <w:bCs w:val="1"/>
                <w:color w:val="auto"/>
              </w:rPr>
              <w:t>$24,386</w:t>
            </w:r>
          </w:p>
        </w:tc>
        <w:tc>
          <w:tcPr>
            <w:tcW w:w="1880" w:type="dxa"/>
            <w:vAlign w:val="bottom"/>
          </w:tcPr>
          <w:p>
            <w:pPr>
              <w:jc w:val="right"/>
              <w:ind w:right="470"/>
              <w:spacing w:after="0"/>
              <w:rPr>
                <w:sz w:val="20"/>
                <w:szCs w:val="20"/>
                <w:color w:val="auto"/>
              </w:rPr>
            </w:pPr>
            <w:r>
              <w:rPr>
                <w:rFonts w:ascii="Arial" w:cs="Arial" w:eastAsia="Arial" w:hAnsi="Arial"/>
                <w:sz w:val="18"/>
                <w:szCs w:val="18"/>
                <w:color w:val="auto"/>
              </w:rPr>
              <w:t>$27,053</w:t>
            </w:r>
          </w:p>
        </w:tc>
        <w:tc>
          <w:tcPr>
            <w:tcW w:w="1380" w:type="dxa"/>
            <w:vAlign w:val="bottom"/>
          </w:tcPr>
          <w:p>
            <w:pPr>
              <w:jc w:val="right"/>
              <w:spacing w:after="0"/>
              <w:rPr>
                <w:sz w:val="20"/>
                <w:szCs w:val="20"/>
                <w:color w:val="auto"/>
              </w:rPr>
            </w:pPr>
            <w:r>
              <w:rPr>
                <w:rFonts w:ascii="Arial" w:cs="Arial" w:eastAsia="Arial" w:hAnsi="Arial"/>
                <w:sz w:val="18"/>
                <w:szCs w:val="18"/>
                <w:color w:val="auto"/>
              </w:rPr>
              <w:t>$23,467</w:t>
            </w:r>
          </w:p>
        </w:tc>
        <w:tc>
          <w:tcPr>
            <w:tcW w:w="0" w:type="dxa"/>
            <w:vAlign w:val="bottom"/>
          </w:tcPr>
          <w:p>
            <w:pPr>
              <w:spacing w:after="0"/>
              <w:rPr>
                <w:sz w:val="1"/>
                <w:szCs w:val="1"/>
                <w:color w:val="auto"/>
              </w:rPr>
            </w:pPr>
          </w:p>
        </w:tc>
      </w:tr>
      <w:tr>
        <w:trPr>
          <w:trHeight w:val="391"/>
        </w:trPr>
        <w:tc>
          <w:tcPr>
            <w:tcW w:w="5300" w:type="dxa"/>
            <w:vAlign w:val="bottom"/>
          </w:tcPr>
          <w:p>
            <w:pPr>
              <w:spacing w:after="0"/>
              <w:rPr>
                <w:sz w:val="20"/>
                <w:szCs w:val="20"/>
                <w:color w:val="auto"/>
              </w:rPr>
            </w:pPr>
            <w:r>
              <w:rPr>
                <w:rFonts w:ascii="Arial" w:cs="Arial" w:eastAsia="Arial" w:hAnsi="Arial"/>
                <w:sz w:val="18"/>
                <w:szCs w:val="18"/>
                <w:color w:val="auto"/>
              </w:rPr>
              <w:t>Increase in gross amounts of tax positions related to prior</w:t>
            </w:r>
          </w:p>
        </w:tc>
        <w:tc>
          <w:tcPr>
            <w:tcW w:w="192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2,121</w:t>
            </w:r>
          </w:p>
        </w:tc>
        <w:tc>
          <w:tcPr>
            <w:tcW w:w="18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300" w:type="dxa"/>
            <w:vAlign w:val="bottom"/>
          </w:tcPr>
          <w:p>
            <w:pPr>
              <w:spacing w:after="0"/>
              <w:rPr>
                <w:sz w:val="20"/>
                <w:szCs w:val="20"/>
                <w:color w:val="auto"/>
              </w:rPr>
            </w:pPr>
            <w:r>
              <w:rPr>
                <w:rFonts w:ascii="Arial" w:cs="Arial" w:eastAsia="Arial" w:hAnsi="Arial"/>
                <w:sz w:val="18"/>
                <w:szCs w:val="18"/>
                <w:color w:val="auto"/>
              </w:rPr>
              <w:t>years</w:t>
            </w:r>
          </w:p>
        </w:tc>
        <w:tc>
          <w:tcPr>
            <w:tcW w:w="1920" w:type="dxa"/>
            <w:vAlign w:val="bottom"/>
            <w:vMerge w:val="continue"/>
          </w:tcPr>
          <w:p>
            <w:pPr>
              <w:spacing w:after="0"/>
              <w:rPr>
                <w:sz w:val="18"/>
                <w:szCs w:val="18"/>
                <w:color w:val="auto"/>
              </w:rPr>
            </w:pPr>
          </w:p>
        </w:tc>
        <w:tc>
          <w:tcPr>
            <w:tcW w:w="1880" w:type="dxa"/>
            <w:vAlign w:val="bottom"/>
          </w:tcPr>
          <w:p>
            <w:pPr>
              <w:jc w:val="right"/>
              <w:ind w:right="470"/>
              <w:spacing w:after="0"/>
              <w:rPr>
                <w:sz w:val="20"/>
                <w:szCs w:val="20"/>
                <w:color w:val="auto"/>
              </w:rPr>
            </w:pPr>
            <w:r>
              <w:rPr>
                <w:rFonts w:ascii="Arial" w:cs="Arial" w:eastAsia="Arial" w:hAnsi="Arial"/>
                <w:sz w:val="18"/>
                <w:szCs w:val="18"/>
                <w:color w:val="auto"/>
              </w:rPr>
              <w:t>9,454</w:t>
            </w:r>
          </w:p>
        </w:tc>
        <w:tc>
          <w:tcPr>
            <w:tcW w:w="1380" w:type="dxa"/>
            <w:vAlign w:val="bottom"/>
          </w:tcPr>
          <w:p>
            <w:pPr>
              <w:jc w:val="right"/>
              <w:spacing w:after="0"/>
              <w:rPr>
                <w:sz w:val="20"/>
                <w:szCs w:val="20"/>
                <w:color w:val="auto"/>
              </w:rPr>
            </w:pPr>
            <w:r>
              <w:rPr>
                <w:rFonts w:ascii="Arial" w:cs="Arial" w:eastAsia="Arial" w:hAnsi="Arial"/>
                <w:sz w:val="18"/>
                <w:szCs w:val="18"/>
                <w:color w:val="auto"/>
              </w:rPr>
              <w:t>8,040</w:t>
            </w:r>
          </w:p>
        </w:tc>
        <w:tc>
          <w:tcPr>
            <w:tcW w:w="0" w:type="dxa"/>
            <w:vAlign w:val="bottom"/>
          </w:tcPr>
          <w:p>
            <w:pPr>
              <w:spacing w:after="0"/>
              <w:rPr>
                <w:sz w:val="1"/>
                <w:szCs w:val="1"/>
                <w:color w:val="auto"/>
              </w:rPr>
            </w:pPr>
          </w:p>
        </w:tc>
      </w:tr>
      <w:tr>
        <w:trPr>
          <w:trHeight w:val="391"/>
        </w:trPr>
        <w:tc>
          <w:tcPr>
            <w:tcW w:w="5300" w:type="dxa"/>
            <w:vAlign w:val="bottom"/>
          </w:tcPr>
          <w:p>
            <w:pPr>
              <w:spacing w:after="0"/>
              <w:rPr>
                <w:sz w:val="20"/>
                <w:szCs w:val="20"/>
                <w:color w:val="auto"/>
              </w:rPr>
            </w:pPr>
            <w:r>
              <w:rPr>
                <w:rFonts w:ascii="Arial" w:cs="Arial" w:eastAsia="Arial" w:hAnsi="Arial"/>
                <w:sz w:val="18"/>
                <w:szCs w:val="18"/>
                <w:color w:val="auto"/>
              </w:rPr>
              <w:t>Decrease in gross amounts of tax positions related to prior</w:t>
            </w:r>
          </w:p>
        </w:tc>
        <w:tc>
          <w:tcPr>
            <w:tcW w:w="192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w:t>
            </w:r>
          </w:p>
        </w:tc>
        <w:tc>
          <w:tcPr>
            <w:tcW w:w="18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300" w:type="dxa"/>
            <w:vAlign w:val="bottom"/>
          </w:tcPr>
          <w:p>
            <w:pPr>
              <w:spacing w:after="0"/>
              <w:rPr>
                <w:sz w:val="20"/>
                <w:szCs w:val="20"/>
                <w:color w:val="auto"/>
              </w:rPr>
            </w:pPr>
            <w:r>
              <w:rPr>
                <w:rFonts w:ascii="Arial" w:cs="Arial" w:eastAsia="Arial" w:hAnsi="Arial"/>
                <w:sz w:val="18"/>
                <w:szCs w:val="18"/>
                <w:color w:val="auto"/>
              </w:rPr>
              <w:t>years</w:t>
            </w:r>
          </w:p>
        </w:tc>
        <w:tc>
          <w:tcPr>
            <w:tcW w:w="1920" w:type="dxa"/>
            <w:vAlign w:val="bottom"/>
            <w:vMerge w:val="continue"/>
          </w:tcPr>
          <w:p>
            <w:pPr>
              <w:spacing w:after="0"/>
              <w:rPr>
                <w:sz w:val="18"/>
                <w:szCs w:val="18"/>
                <w:color w:val="auto"/>
              </w:rPr>
            </w:pPr>
          </w:p>
        </w:tc>
        <w:tc>
          <w:tcPr>
            <w:tcW w:w="188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91"/>
        </w:trPr>
        <w:tc>
          <w:tcPr>
            <w:tcW w:w="5300" w:type="dxa"/>
            <w:vAlign w:val="bottom"/>
          </w:tcPr>
          <w:p>
            <w:pPr>
              <w:spacing w:after="0"/>
              <w:rPr>
                <w:sz w:val="20"/>
                <w:szCs w:val="20"/>
                <w:color w:val="auto"/>
              </w:rPr>
            </w:pPr>
            <w:r>
              <w:rPr>
                <w:rFonts w:ascii="Arial" w:cs="Arial" w:eastAsia="Arial" w:hAnsi="Arial"/>
                <w:sz w:val="18"/>
                <w:szCs w:val="18"/>
                <w:color w:val="auto"/>
              </w:rPr>
              <w:t>Increase in gross amounts of tax positions related to current</w:t>
            </w:r>
          </w:p>
        </w:tc>
        <w:tc>
          <w:tcPr>
            <w:tcW w:w="192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2,622</w:t>
            </w:r>
          </w:p>
        </w:tc>
        <w:tc>
          <w:tcPr>
            <w:tcW w:w="18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300" w:type="dxa"/>
            <w:vAlign w:val="bottom"/>
          </w:tcPr>
          <w:p>
            <w:pPr>
              <w:spacing w:after="0"/>
              <w:rPr>
                <w:sz w:val="20"/>
                <w:szCs w:val="20"/>
                <w:color w:val="auto"/>
              </w:rPr>
            </w:pPr>
            <w:r>
              <w:rPr>
                <w:rFonts w:ascii="Arial" w:cs="Arial" w:eastAsia="Arial" w:hAnsi="Arial"/>
                <w:sz w:val="18"/>
                <w:szCs w:val="18"/>
                <w:color w:val="auto"/>
              </w:rPr>
              <w:t>year</w:t>
            </w:r>
          </w:p>
        </w:tc>
        <w:tc>
          <w:tcPr>
            <w:tcW w:w="1920" w:type="dxa"/>
            <w:vAlign w:val="bottom"/>
            <w:vMerge w:val="continue"/>
          </w:tcPr>
          <w:p>
            <w:pPr>
              <w:spacing w:after="0"/>
              <w:rPr>
                <w:sz w:val="18"/>
                <w:szCs w:val="18"/>
                <w:color w:val="auto"/>
              </w:rPr>
            </w:pPr>
          </w:p>
        </w:tc>
        <w:tc>
          <w:tcPr>
            <w:tcW w:w="1880" w:type="dxa"/>
            <w:vAlign w:val="bottom"/>
          </w:tcPr>
          <w:p>
            <w:pPr>
              <w:jc w:val="right"/>
              <w:ind w:right="470"/>
              <w:spacing w:after="0"/>
              <w:rPr>
                <w:sz w:val="20"/>
                <w:szCs w:val="20"/>
                <w:color w:val="auto"/>
              </w:rPr>
            </w:pPr>
            <w:r>
              <w:rPr>
                <w:rFonts w:ascii="Arial" w:cs="Arial" w:eastAsia="Arial" w:hAnsi="Arial"/>
                <w:sz w:val="18"/>
                <w:szCs w:val="18"/>
                <w:color w:val="auto"/>
              </w:rPr>
              <w:t>381</w:t>
            </w:r>
          </w:p>
        </w:tc>
        <w:tc>
          <w:tcPr>
            <w:tcW w:w="1380" w:type="dxa"/>
            <w:vAlign w:val="bottom"/>
          </w:tcPr>
          <w:p>
            <w:pPr>
              <w:jc w:val="right"/>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405"/>
        </w:trPr>
        <w:tc>
          <w:tcPr>
            <w:tcW w:w="5300" w:type="dxa"/>
            <w:vAlign w:val="bottom"/>
          </w:tcPr>
          <w:p>
            <w:pPr>
              <w:spacing w:after="0"/>
              <w:rPr>
                <w:sz w:val="20"/>
                <w:szCs w:val="20"/>
                <w:color w:val="auto"/>
              </w:rPr>
            </w:pPr>
            <w:r>
              <w:rPr>
                <w:rFonts w:ascii="Arial" w:cs="Arial" w:eastAsia="Arial" w:hAnsi="Arial"/>
                <w:sz w:val="18"/>
                <w:szCs w:val="18"/>
                <w:color w:val="auto"/>
              </w:rPr>
              <w:t>Decrease due to settlements with tax authorities</w:t>
            </w:r>
          </w:p>
        </w:tc>
        <w:tc>
          <w:tcPr>
            <w:tcW w:w="1920" w:type="dxa"/>
            <w:vAlign w:val="bottom"/>
          </w:tcPr>
          <w:p>
            <w:pPr>
              <w:jc w:val="right"/>
              <w:ind w:right="450"/>
              <w:spacing w:after="0"/>
              <w:rPr>
                <w:sz w:val="20"/>
                <w:szCs w:val="20"/>
                <w:color w:val="auto"/>
              </w:rPr>
            </w:pPr>
            <w:r>
              <w:rPr>
                <w:rFonts w:ascii="Arial" w:cs="Arial" w:eastAsia="Arial" w:hAnsi="Arial"/>
                <w:sz w:val="18"/>
                <w:szCs w:val="18"/>
                <w:b w:val="1"/>
                <w:bCs w:val="1"/>
                <w:color w:val="auto"/>
              </w:rPr>
              <w:t>(16,721)</w:t>
            </w:r>
          </w:p>
        </w:tc>
        <w:tc>
          <w:tcPr>
            <w:tcW w:w="1880" w:type="dxa"/>
            <w:vAlign w:val="bottom"/>
          </w:tcPr>
          <w:p>
            <w:pPr>
              <w:jc w:val="right"/>
              <w:ind w:right="410"/>
              <w:spacing w:after="0"/>
              <w:rPr>
                <w:sz w:val="20"/>
                <w:szCs w:val="20"/>
                <w:color w:val="auto"/>
              </w:rPr>
            </w:pPr>
            <w:r>
              <w:rPr>
                <w:rFonts w:ascii="Arial" w:cs="Arial" w:eastAsia="Arial" w:hAnsi="Arial"/>
                <w:sz w:val="18"/>
                <w:szCs w:val="18"/>
                <w:color w:val="auto"/>
              </w:rPr>
              <w:t>(13,099)</w:t>
            </w:r>
          </w:p>
        </w:tc>
        <w:tc>
          <w:tcPr>
            <w:tcW w:w="1380" w:type="dxa"/>
            <w:vAlign w:val="bottom"/>
          </w:tcPr>
          <w:p>
            <w:pPr>
              <w:jc w:val="right"/>
              <w:spacing w:after="0"/>
              <w:rPr>
                <w:sz w:val="20"/>
                <w:szCs w:val="20"/>
                <w:color w:val="auto"/>
              </w:rPr>
            </w:pPr>
            <w:r>
              <w:rPr>
                <w:rFonts w:ascii="Arial" w:cs="Arial" w:eastAsia="Arial" w:hAnsi="Arial"/>
                <w:sz w:val="18"/>
                <w:szCs w:val="18"/>
                <w:color w:val="auto"/>
              </w:rPr>
              <w:t>(4,576)</w:t>
            </w:r>
          </w:p>
        </w:tc>
        <w:tc>
          <w:tcPr>
            <w:tcW w:w="0" w:type="dxa"/>
            <w:vAlign w:val="bottom"/>
          </w:tcPr>
          <w:p>
            <w:pPr>
              <w:spacing w:after="0"/>
              <w:rPr>
                <w:sz w:val="1"/>
                <w:szCs w:val="1"/>
                <w:color w:val="auto"/>
              </w:rPr>
            </w:pPr>
          </w:p>
        </w:tc>
      </w:tr>
      <w:tr>
        <w:trPr>
          <w:trHeight w:val="405"/>
        </w:trPr>
        <w:tc>
          <w:tcPr>
            <w:tcW w:w="5300" w:type="dxa"/>
            <w:vAlign w:val="bottom"/>
          </w:tcPr>
          <w:p>
            <w:pPr>
              <w:spacing w:after="0"/>
              <w:rPr>
                <w:sz w:val="20"/>
                <w:szCs w:val="20"/>
                <w:color w:val="auto"/>
              </w:rPr>
            </w:pPr>
            <w:r>
              <w:rPr>
                <w:rFonts w:ascii="Arial" w:cs="Arial" w:eastAsia="Arial" w:hAnsi="Arial"/>
                <w:sz w:val="18"/>
                <w:szCs w:val="18"/>
                <w:color w:val="auto"/>
              </w:rPr>
              <w:t>Decrease due to lapse in statute of limitations</w:t>
            </w:r>
          </w:p>
        </w:tc>
        <w:tc>
          <w:tcPr>
            <w:tcW w:w="1920" w:type="dxa"/>
            <w:vAlign w:val="bottom"/>
          </w:tcPr>
          <w:p>
            <w:pPr>
              <w:jc w:val="right"/>
              <w:ind w:right="510"/>
              <w:spacing w:after="0"/>
              <w:rPr>
                <w:sz w:val="20"/>
                <w:szCs w:val="20"/>
                <w:color w:val="auto"/>
              </w:rPr>
            </w:pPr>
            <w:r>
              <w:rPr>
                <w:rFonts w:ascii="Arial" w:cs="Arial" w:eastAsia="Arial" w:hAnsi="Arial"/>
                <w:sz w:val="18"/>
                <w:szCs w:val="18"/>
                <w:b w:val="1"/>
                <w:bCs w:val="1"/>
                <w:color w:val="auto"/>
              </w:rPr>
              <w:t>-</w:t>
            </w:r>
          </w:p>
        </w:tc>
        <w:tc>
          <w:tcPr>
            <w:tcW w:w="1880" w:type="dxa"/>
            <w:vAlign w:val="bottom"/>
          </w:tcPr>
          <w:p>
            <w:pPr>
              <w:jc w:val="right"/>
              <w:ind w:right="410"/>
              <w:spacing w:after="0"/>
              <w:rPr>
                <w:sz w:val="20"/>
                <w:szCs w:val="20"/>
                <w:color w:val="auto"/>
              </w:rPr>
            </w:pPr>
            <w:r>
              <w:rPr>
                <w:rFonts w:ascii="Arial" w:cs="Arial" w:eastAsia="Arial" w:hAnsi="Arial"/>
                <w:sz w:val="18"/>
                <w:szCs w:val="18"/>
                <w:color w:val="auto"/>
              </w:rPr>
              <w:t>(20)</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5"/>
        </w:trPr>
        <w:tc>
          <w:tcPr>
            <w:tcW w:w="5300" w:type="dxa"/>
            <w:vAlign w:val="bottom"/>
          </w:tcPr>
          <w:p>
            <w:pPr>
              <w:spacing w:after="0"/>
              <w:rPr>
                <w:sz w:val="20"/>
                <w:szCs w:val="20"/>
                <w:color w:val="auto"/>
              </w:rPr>
            </w:pPr>
            <w:r>
              <w:rPr>
                <w:rFonts w:ascii="Arial" w:cs="Arial" w:eastAsia="Arial" w:hAnsi="Arial"/>
                <w:sz w:val="18"/>
                <w:szCs w:val="18"/>
                <w:color w:val="auto"/>
              </w:rPr>
              <w:t>Currency translation</w:t>
            </w:r>
          </w:p>
        </w:tc>
        <w:tc>
          <w:tcPr>
            <w:tcW w:w="1920" w:type="dxa"/>
            <w:vAlign w:val="bottom"/>
          </w:tcPr>
          <w:p>
            <w:pPr>
              <w:jc w:val="right"/>
              <w:ind w:right="510"/>
              <w:spacing w:after="0"/>
              <w:rPr>
                <w:sz w:val="20"/>
                <w:szCs w:val="20"/>
                <w:color w:val="auto"/>
              </w:rPr>
            </w:pPr>
            <w:r>
              <w:rPr>
                <w:rFonts w:ascii="Arial" w:cs="Arial" w:eastAsia="Arial" w:hAnsi="Arial"/>
                <w:sz w:val="18"/>
                <w:szCs w:val="18"/>
                <w:b w:val="1"/>
                <w:bCs w:val="1"/>
                <w:color w:val="auto"/>
              </w:rPr>
              <w:t>130</w:t>
            </w:r>
          </w:p>
        </w:tc>
        <w:tc>
          <w:tcPr>
            <w:tcW w:w="1880" w:type="dxa"/>
            <w:vAlign w:val="bottom"/>
          </w:tcPr>
          <w:p>
            <w:pPr>
              <w:jc w:val="right"/>
              <w:ind w:right="470"/>
              <w:spacing w:after="0"/>
              <w:rPr>
                <w:sz w:val="20"/>
                <w:szCs w:val="20"/>
                <w:color w:val="auto"/>
              </w:rPr>
            </w:pPr>
            <w:r>
              <w:rPr>
                <w:rFonts w:ascii="Arial" w:cs="Arial" w:eastAsia="Arial" w:hAnsi="Arial"/>
                <w:sz w:val="18"/>
                <w:szCs w:val="18"/>
                <w:color w:val="auto"/>
              </w:rPr>
              <w:t>617</w:t>
            </w:r>
          </w:p>
        </w:tc>
        <w:tc>
          <w:tcPr>
            <w:tcW w:w="1380" w:type="dxa"/>
            <w:vAlign w:val="bottom"/>
          </w:tcPr>
          <w:p>
            <w:pPr>
              <w:jc w:val="right"/>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189"/>
        </w:trPr>
        <w:tc>
          <w:tcPr>
            <w:tcW w:w="53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3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Unrecognized tax benefits balance at December 31</w:t>
            </w:r>
          </w:p>
        </w:tc>
        <w:tc>
          <w:tcPr>
            <w:tcW w:w="192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$12,538</w:t>
            </w:r>
          </w:p>
        </w:tc>
        <w:tc>
          <w:tcPr>
            <w:tcW w:w="188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color w:val="auto"/>
              </w:rPr>
              <w:t>$24,386</w:t>
            </w: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$27,053</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180" w:firstLine="648"/>
        <w:spacing w:after="0" w:line="246" w:lineRule="auto"/>
        <w:rPr>
          <w:sz w:val="20"/>
          <w:szCs w:val="20"/>
          <w:color w:val="auto"/>
        </w:rPr>
      </w:pPr>
      <w:r>
        <w:rPr>
          <w:rFonts w:ascii="Arial" w:cs="Arial" w:eastAsia="Arial" w:hAnsi="Arial"/>
          <w:sz w:val="18"/>
          <w:szCs w:val="18"/>
          <w:color w:val="auto"/>
        </w:rPr>
        <w:t>At December 31, 2013, we had gross tax-effected unrecognized tax benefits of $12.5 million, all of which, if recognized, would impact the effective tax rate.</w:t>
      </w:r>
    </w:p>
    <w:p>
      <w:pPr>
        <w:spacing w:after="0" w:line="170" w:lineRule="exact"/>
        <w:rPr>
          <w:sz w:val="20"/>
          <w:szCs w:val="20"/>
          <w:color w:val="auto"/>
        </w:rPr>
      </w:pPr>
    </w:p>
    <w:p>
      <w:pPr>
        <w:ind w:right="360" w:firstLine="648"/>
        <w:spacing w:after="0"/>
        <w:rPr>
          <w:sz w:val="20"/>
          <w:szCs w:val="20"/>
          <w:color w:val="auto"/>
        </w:rPr>
      </w:pPr>
      <w:r>
        <w:rPr>
          <w:rFonts w:ascii="Arial" w:cs="Arial" w:eastAsia="Arial" w:hAnsi="Arial"/>
          <w:sz w:val="18"/>
          <w:szCs w:val="18"/>
          <w:color w:val="auto"/>
        </w:rPr>
        <w:t>The Company recognizes interest and penalties related to unrecognized tax benefits within its global operations as a component of income tax expense. The Company recognized interest and penalties of ($1.3) million, ($6.4) million and $1.1 million in the Statements of Income and Retained Earnings in 2013, 2012 and</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73" w:name="page74"/>
    <w:bookmarkEnd w:id="73"/>
    <w:p>
      <w:pPr>
        <w:ind w:right="200"/>
        <w:spacing w:after="0"/>
        <w:rPr>
          <w:sz w:val="20"/>
          <w:szCs w:val="20"/>
          <w:color w:val="auto"/>
        </w:rPr>
      </w:pPr>
      <w:r>
        <w:rPr>
          <w:rFonts w:ascii="Arial" w:cs="Arial" w:eastAsia="Arial" w:hAnsi="Arial"/>
          <w:sz w:val="18"/>
          <w:szCs w:val="18"/>
          <w:color w:val="auto"/>
        </w:rPr>
        <w:t>2011, respectively. The 2013 and 2012 negative amounts include the reversal of $1.4 million and $7.4 million of interest and penalties related to the settlement of audits, respectively. As of December 31, 2013 and 2012, the Company had approximately $0.1 million and $1.4 million, respectively, of accrued interest and penalties related to uncertain tax positions.</w:t>
      </w:r>
    </w:p>
    <w:p>
      <w:pPr>
        <w:spacing w:after="0" w:line="162"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We conduct business globally and, as a result, the Company or one or more of our subsidiaries files income tax returns in the U.S. federal jurisdiction and various state and foreign jurisdictions. In the normal course of business we are subject to examination by taxing authorities throughout the world, including major jurisdictions such as the United States, Brazil, Canada, China, France, Germany, Italy, Mexico, and Switzerland. Open tax years in these jurisdictions range from 2000 to 2013. We are currently under audit in the U.S. and in other non-U.S. tax jurisdictions, including but not limited to Canada and Germany.</w:t>
      </w:r>
    </w:p>
    <w:p>
      <w:pPr>
        <w:spacing w:after="0" w:line="176" w:lineRule="exact"/>
        <w:rPr>
          <w:sz w:val="20"/>
          <w:szCs w:val="20"/>
          <w:color w:val="auto"/>
        </w:rPr>
      </w:pPr>
    </w:p>
    <w:p>
      <w:pPr>
        <w:ind w:right="40" w:firstLine="648"/>
        <w:spacing w:after="0" w:line="236" w:lineRule="auto"/>
        <w:rPr>
          <w:sz w:val="20"/>
          <w:szCs w:val="20"/>
          <w:color w:val="auto"/>
        </w:rPr>
      </w:pPr>
      <w:r>
        <w:rPr>
          <w:rFonts w:ascii="Arial" w:cs="Arial" w:eastAsia="Arial" w:hAnsi="Arial"/>
          <w:sz w:val="18"/>
          <w:szCs w:val="18"/>
          <w:color w:val="auto"/>
        </w:rPr>
        <w:t>It is reasonably possible that over the next twelve months the amount of unrecognized tax benefits may change within a range of a net increase of $0 million to a net decrease of $5.7 million, from the reevaluation of uncertain tax positions arising in examinations, in appeals, or in the courts, or from the closure of tax statutes. Not included in the range is $23.9 million of tax benefits in Germany related to a 1999 reorganization that have been challenged by the German tax authorities in the course of an audit, of which $15.5 million would have a direct impact on our statement of income if resolved unfavorably. In 2008 the German Federal Tax Court (FTC) denied tax benefits to other taxpayers in a case involving German tax laws relevant to our reorganization. One of these cases involved a non-German party, and in the ruling in that case, the FTC acknowledged that the German law in question may be violative of European Union (EU) principles and referred the issue to the European Court of Justice (ECJ) for its determination on this issue. In September 2009, the ECJ issued an opinion in this case that is generally favorable to the other taxpayer and referred the case back to the FTC for further consideration. In May 2010 the FTC released its decision, in which it resolved certain tax issues that may be relevant to our audit and remanded the case to a lower court for further development. In 2012, the lower court decided in favor of the taxpayer and the government appealed the findings to the FTC. Although we were required to pay approximately $16.4 million to the German tax authorities in order to continue to pursue the position, when taking into consideration the ECJ decision, the latest FTC decision and the lower court decision, we believe that it is more likely than not that the relevant German law is violative of EU principles and, accordingly, we have not accrued tax expense on this matter. As we continue to monitor developments, it may become necessary for us to accrue tax expense and related interest.</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2013 and 2012, noncurrent taxes receivable and deferred consisted of the following:</w:t>
      </w:r>
    </w:p>
    <w:p>
      <w:pPr>
        <w:spacing w:after="0" w:line="152"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9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rPr>
              <w:t>(in thousands)</w:t>
            </w:r>
          </w:p>
        </w:tc>
        <w:tc>
          <w:tcPr>
            <w:tcW w:w="3040" w:type="dxa"/>
            <w:vAlign w:val="bottom"/>
            <w:tcBorders>
              <w:top w:val="single" w:sz="8" w:color="auto"/>
              <w:bottom w:val="single" w:sz="8" w:color="auto"/>
            </w:tcBorders>
          </w:tcPr>
          <w:p>
            <w:pPr>
              <w:jc w:val="right"/>
              <w:ind w:right="652"/>
              <w:spacing w:after="0"/>
              <w:rPr>
                <w:sz w:val="20"/>
                <w:szCs w:val="20"/>
                <w:color w:val="auto"/>
              </w:rPr>
            </w:pPr>
            <w:r>
              <w:rPr>
                <w:rFonts w:ascii="Arial" w:cs="Arial" w:eastAsia="Arial" w:hAnsi="Arial"/>
                <w:sz w:val="16"/>
                <w:szCs w:val="16"/>
                <w:b w:val="1"/>
                <w:bCs w:val="1"/>
                <w:color w:val="auto"/>
              </w:rPr>
              <w:t>2013</w:t>
            </w:r>
          </w:p>
        </w:tc>
        <w:tc>
          <w:tcPr>
            <w:tcW w:w="150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6"/>
                <w:szCs w:val="16"/>
                <w:b w:val="1"/>
                <w:bCs w:val="1"/>
                <w:color w:val="auto"/>
              </w:rPr>
              <w:t>2012</w:t>
            </w:r>
          </w:p>
        </w:tc>
      </w:tr>
      <w:tr>
        <w:trPr>
          <w:trHeight w:val="173"/>
        </w:trPr>
        <w:tc>
          <w:tcPr>
            <w:tcW w:w="5940" w:type="dxa"/>
            <w:vAlign w:val="bottom"/>
          </w:tcPr>
          <w:p>
            <w:pPr>
              <w:ind w:left="80"/>
              <w:spacing w:after="0" w:line="173" w:lineRule="exact"/>
              <w:rPr>
                <w:sz w:val="20"/>
                <w:szCs w:val="20"/>
                <w:color w:val="auto"/>
              </w:rPr>
            </w:pPr>
            <w:r>
              <w:rPr>
                <w:rFonts w:ascii="Arial" w:cs="Arial" w:eastAsia="Arial" w:hAnsi="Arial"/>
                <w:sz w:val="18"/>
                <w:szCs w:val="18"/>
                <w:color w:val="auto"/>
              </w:rPr>
              <w:t>Income taxes receivable</w:t>
            </w:r>
          </w:p>
        </w:tc>
        <w:tc>
          <w:tcPr>
            <w:tcW w:w="3040" w:type="dxa"/>
            <w:vAlign w:val="bottom"/>
          </w:tcPr>
          <w:p>
            <w:pPr>
              <w:jc w:val="right"/>
              <w:ind w:right="552"/>
              <w:spacing w:after="0" w:line="173" w:lineRule="exact"/>
              <w:rPr>
                <w:sz w:val="20"/>
                <w:szCs w:val="20"/>
                <w:color w:val="auto"/>
              </w:rPr>
            </w:pPr>
            <w:r>
              <w:rPr>
                <w:rFonts w:ascii="Arial" w:cs="Arial" w:eastAsia="Arial" w:hAnsi="Arial"/>
                <w:sz w:val="18"/>
                <w:szCs w:val="18"/>
                <w:b w:val="1"/>
                <w:bCs w:val="1"/>
                <w:color w:val="auto"/>
              </w:rPr>
              <w:t>$16,427</w:t>
            </w:r>
          </w:p>
        </w:tc>
        <w:tc>
          <w:tcPr>
            <w:tcW w:w="1500" w:type="dxa"/>
            <w:vAlign w:val="bottom"/>
          </w:tcPr>
          <w:p>
            <w:pPr>
              <w:jc w:val="right"/>
              <w:ind w:right="52"/>
              <w:spacing w:after="0" w:line="173" w:lineRule="exact"/>
              <w:rPr>
                <w:sz w:val="20"/>
                <w:szCs w:val="20"/>
                <w:color w:val="auto"/>
              </w:rPr>
            </w:pPr>
            <w:r>
              <w:rPr>
                <w:rFonts w:ascii="Arial" w:cs="Arial" w:eastAsia="Arial" w:hAnsi="Arial"/>
                <w:sz w:val="18"/>
                <w:szCs w:val="18"/>
                <w:color w:val="auto"/>
              </w:rPr>
              <w:t>$16,751</w:t>
            </w:r>
          </w:p>
        </w:tc>
      </w:tr>
      <w:tr>
        <w:trPr>
          <w:trHeight w:val="225"/>
        </w:trPr>
        <w:tc>
          <w:tcPr>
            <w:tcW w:w="59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Deferred income taxes</w:t>
            </w:r>
          </w:p>
        </w:tc>
        <w:tc>
          <w:tcPr>
            <w:tcW w:w="3040" w:type="dxa"/>
            <w:vAlign w:val="bottom"/>
            <w:tcBorders>
              <w:bottom w:val="single" w:sz="8" w:color="auto"/>
            </w:tcBorders>
          </w:tcPr>
          <w:p>
            <w:pPr>
              <w:jc w:val="right"/>
              <w:ind w:right="552"/>
              <w:spacing w:after="0"/>
              <w:rPr>
                <w:sz w:val="20"/>
                <w:szCs w:val="20"/>
                <w:color w:val="auto"/>
              </w:rPr>
            </w:pPr>
            <w:r>
              <w:rPr>
                <w:rFonts w:ascii="Arial" w:cs="Arial" w:eastAsia="Arial" w:hAnsi="Arial"/>
                <w:sz w:val="18"/>
                <w:szCs w:val="18"/>
                <w:b w:val="1"/>
                <w:bCs w:val="1"/>
                <w:color w:val="auto"/>
              </w:rPr>
              <w:t>103,185</w:t>
            </w:r>
          </w:p>
        </w:tc>
        <w:tc>
          <w:tcPr>
            <w:tcW w:w="15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107,135</w:t>
            </w:r>
          </w:p>
        </w:tc>
      </w:tr>
      <w:tr>
        <w:trPr>
          <w:trHeight w:val="196"/>
        </w:trPr>
        <w:tc>
          <w:tcPr>
            <w:tcW w:w="5940" w:type="dxa"/>
            <w:vAlign w:val="bottom"/>
            <w:tcBorders>
              <w:bottom w:val="single" w:sz="8" w:color="auto"/>
            </w:tcBorders>
          </w:tcPr>
          <w:p>
            <w:pPr>
              <w:ind w:left="80"/>
              <w:spacing w:after="0" w:line="196" w:lineRule="exact"/>
              <w:rPr>
                <w:sz w:val="20"/>
                <w:szCs w:val="20"/>
                <w:color w:val="auto"/>
              </w:rPr>
            </w:pPr>
            <w:r>
              <w:rPr>
                <w:rFonts w:ascii="Arial" w:cs="Arial" w:eastAsia="Arial" w:hAnsi="Arial"/>
                <w:sz w:val="18"/>
                <w:szCs w:val="18"/>
                <w:color w:val="auto"/>
              </w:rPr>
              <w:t>Total noncurrent deferred taxes and taxes receivable</w:t>
            </w:r>
          </w:p>
        </w:tc>
        <w:tc>
          <w:tcPr>
            <w:tcW w:w="3040" w:type="dxa"/>
            <w:vAlign w:val="bottom"/>
            <w:tcBorders>
              <w:bottom w:val="single" w:sz="8" w:color="auto"/>
            </w:tcBorders>
          </w:tcPr>
          <w:p>
            <w:pPr>
              <w:jc w:val="right"/>
              <w:ind w:right="552"/>
              <w:spacing w:after="0" w:line="196" w:lineRule="exact"/>
              <w:rPr>
                <w:sz w:val="20"/>
                <w:szCs w:val="20"/>
                <w:color w:val="auto"/>
              </w:rPr>
            </w:pPr>
            <w:r>
              <w:rPr>
                <w:rFonts w:ascii="Arial" w:cs="Arial" w:eastAsia="Arial" w:hAnsi="Arial"/>
                <w:sz w:val="18"/>
                <w:szCs w:val="18"/>
                <w:b w:val="1"/>
                <w:bCs w:val="1"/>
                <w:color w:val="auto"/>
              </w:rPr>
              <w:t>$119,612</w:t>
            </w:r>
          </w:p>
        </w:tc>
        <w:tc>
          <w:tcPr>
            <w:tcW w:w="1500" w:type="dxa"/>
            <w:vAlign w:val="bottom"/>
            <w:tcBorders>
              <w:bottom w:val="single" w:sz="8" w:color="auto"/>
            </w:tcBorders>
          </w:tcPr>
          <w:p>
            <w:pPr>
              <w:jc w:val="right"/>
              <w:ind w:right="52"/>
              <w:spacing w:after="0" w:line="196" w:lineRule="exact"/>
              <w:rPr>
                <w:sz w:val="20"/>
                <w:szCs w:val="20"/>
                <w:color w:val="auto"/>
              </w:rPr>
            </w:pPr>
            <w:r>
              <w:rPr>
                <w:rFonts w:ascii="Arial" w:cs="Arial" w:eastAsia="Arial" w:hAnsi="Arial"/>
                <w:sz w:val="18"/>
                <w:szCs w:val="18"/>
                <w:color w:val="auto"/>
              </w:rPr>
              <w:t>$123,886</w:t>
            </w:r>
          </w:p>
        </w:tc>
      </w:tr>
    </w:tbl>
    <w:p>
      <w:pPr>
        <w:spacing w:after="0" w:line="3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2013 and 2012, current taxes payable and deferred consisted of the following:</w:t>
      </w:r>
    </w:p>
    <w:p>
      <w:pPr>
        <w:spacing w:after="0" w:line="152"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86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(in thousands)</w:t>
            </w:r>
          </w:p>
        </w:tc>
        <w:tc>
          <w:tcPr>
            <w:tcW w:w="3160" w:type="dxa"/>
            <w:vAlign w:val="bottom"/>
            <w:tcBorders>
              <w:top w:val="single" w:sz="8" w:color="auto"/>
              <w:bottom w:val="single" w:sz="8" w:color="auto"/>
            </w:tcBorders>
          </w:tcPr>
          <w:p>
            <w:pPr>
              <w:jc w:val="right"/>
              <w:ind w:right="692"/>
              <w:spacing w:after="0"/>
              <w:rPr>
                <w:sz w:val="20"/>
                <w:szCs w:val="20"/>
                <w:color w:val="auto"/>
              </w:rPr>
            </w:pPr>
            <w:r>
              <w:rPr>
                <w:rFonts w:ascii="Arial" w:cs="Arial" w:eastAsia="Arial" w:hAnsi="Arial"/>
                <w:sz w:val="16"/>
                <w:szCs w:val="16"/>
                <w:b w:val="1"/>
                <w:bCs w:val="1"/>
                <w:color w:val="auto"/>
              </w:rPr>
              <w:t>2013</w:t>
            </w:r>
          </w:p>
        </w:tc>
        <w:tc>
          <w:tcPr>
            <w:tcW w:w="146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6"/>
                <w:szCs w:val="16"/>
                <w:b w:val="1"/>
                <w:bCs w:val="1"/>
                <w:color w:val="auto"/>
              </w:rPr>
              <w:t>2012</w:t>
            </w:r>
          </w:p>
        </w:tc>
      </w:tr>
      <w:tr>
        <w:trPr>
          <w:trHeight w:val="173"/>
        </w:trPr>
        <w:tc>
          <w:tcPr>
            <w:tcW w:w="5860" w:type="dxa"/>
            <w:vAlign w:val="bottom"/>
          </w:tcPr>
          <w:p>
            <w:pPr>
              <w:ind w:left="80"/>
              <w:spacing w:after="0" w:line="173" w:lineRule="exact"/>
              <w:rPr>
                <w:sz w:val="20"/>
                <w:szCs w:val="20"/>
                <w:color w:val="auto"/>
              </w:rPr>
            </w:pPr>
            <w:r>
              <w:rPr>
                <w:rFonts w:ascii="Arial" w:cs="Arial" w:eastAsia="Arial" w:hAnsi="Arial"/>
                <w:sz w:val="18"/>
                <w:szCs w:val="18"/>
                <w:color w:val="auto"/>
              </w:rPr>
              <w:t>Taxes payable</w:t>
            </w:r>
          </w:p>
        </w:tc>
        <w:tc>
          <w:tcPr>
            <w:tcW w:w="3160" w:type="dxa"/>
            <w:vAlign w:val="bottom"/>
          </w:tcPr>
          <w:p>
            <w:pPr>
              <w:jc w:val="right"/>
              <w:ind w:right="592"/>
              <w:spacing w:after="0" w:line="173" w:lineRule="exact"/>
              <w:rPr>
                <w:sz w:val="20"/>
                <w:szCs w:val="20"/>
                <w:color w:val="auto"/>
              </w:rPr>
            </w:pPr>
            <w:r>
              <w:rPr>
                <w:rFonts w:ascii="Arial" w:cs="Arial" w:eastAsia="Arial" w:hAnsi="Arial"/>
                <w:sz w:val="18"/>
                <w:szCs w:val="18"/>
                <w:b w:val="1"/>
                <w:bCs w:val="1"/>
                <w:color w:val="auto"/>
              </w:rPr>
              <w:t>$1,536</w:t>
            </w:r>
          </w:p>
        </w:tc>
        <w:tc>
          <w:tcPr>
            <w:tcW w:w="1460" w:type="dxa"/>
            <w:vAlign w:val="bottom"/>
          </w:tcPr>
          <w:p>
            <w:pPr>
              <w:jc w:val="right"/>
              <w:ind w:right="52"/>
              <w:spacing w:after="0" w:line="173" w:lineRule="exact"/>
              <w:rPr>
                <w:sz w:val="20"/>
                <w:szCs w:val="20"/>
                <w:color w:val="auto"/>
              </w:rPr>
            </w:pPr>
            <w:r>
              <w:rPr>
                <w:rFonts w:ascii="Arial" w:cs="Arial" w:eastAsia="Arial" w:hAnsi="Arial"/>
                <w:sz w:val="18"/>
                <w:szCs w:val="18"/>
                <w:color w:val="auto"/>
              </w:rPr>
              <w:t>$10,636</w:t>
            </w:r>
          </w:p>
        </w:tc>
      </w:tr>
      <w:tr>
        <w:trPr>
          <w:trHeight w:val="225"/>
        </w:trPr>
        <w:tc>
          <w:tcPr>
            <w:tcW w:w="58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Deferred income taxes</w:t>
            </w:r>
          </w:p>
        </w:tc>
        <w:tc>
          <w:tcPr>
            <w:tcW w:w="3160" w:type="dxa"/>
            <w:vAlign w:val="bottom"/>
            <w:tcBorders>
              <w:bottom w:val="single" w:sz="8" w:color="auto"/>
            </w:tcBorders>
          </w:tcPr>
          <w:p>
            <w:pPr>
              <w:jc w:val="right"/>
              <w:ind w:right="592"/>
              <w:spacing w:after="0"/>
              <w:rPr>
                <w:sz w:val="20"/>
                <w:szCs w:val="20"/>
                <w:color w:val="auto"/>
              </w:rPr>
            </w:pPr>
            <w:r>
              <w:rPr>
                <w:rFonts w:ascii="Arial" w:cs="Arial" w:eastAsia="Arial" w:hAnsi="Arial"/>
                <w:sz w:val="18"/>
                <w:szCs w:val="18"/>
                <w:b w:val="1"/>
                <w:bCs w:val="1"/>
                <w:color w:val="auto"/>
              </w:rPr>
              <w:t>3,855</w:t>
            </w:r>
          </w:p>
        </w:tc>
        <w:tc>
          <w:tcPr>
            <w:tcW w:w="14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2,916</w:t>
            </w:r>
          </w:p>
        </w:tc>
      </w:tr>
      <w:tr>
        <w:trPr>
          <w:trHeight w:val="196"/>
        </w:trPr>
        <w:tc>
          <w:tcPr>
            <w:tcW w:w="5860" w:type="dxa"/>
            <w:vAlign w:val="bottom"/>
            <w:tcBorders>
              <w:bottom w:val="single" w:sz="8" w:color="auto"/>
            </w:tcBorders>
          </w:tcPr>
          <w:p>
            <w:pPr>
              <w:ind w:left="80"/>
              <w:spacing w:after="0" w:line="196" w:lineRule="exact"/>
              <w:rPr>
                <w:sz w:val="20"/>
                <w:szCs w:val="20"/>
                <w:color w:val="auto"/>
              </w:rPr>
            </w:pPr>
            <w:r>
              <w:rPr>
                <w:rFonts w:ascii="Arial" w:cs="Arial" w:eastAsia="Arial" w:hAnsi="Arial"/>
                <w:sz w:val="18"/>
                <w:szCs w:val="18"/>
                <w:color w:val="auto"/>
              </w:rPr>
              <w:t>Total current income taxes payable and deferred</w:t>
            </w:r>
          </w:p>
        </w:tc>
        <w:tc>
          <w:tcPr>
            <w:tcW w:w="3160" w:type="dxa"/>
            <w:vAlign w:val="bottom"/>
            <w:tcBorders>
              <w:bottom w:val="single" w:sz="8" w:color="auto"/>
            </w:tcBorders>
          </w:tcPr>
          <w:p>
            <w:pPr>
              <w:jc w:val="right"/>
              <w:ind w:right="592"/>
              <w:spacing w:after="0" w:line="196" w:lineRule="exact"/>
              <w:rPr>
                <w:sz w:val="20"/>
                <w:szCs w:val="20"/>
                <w:color w:val="auto"/>
              </w:rPr>
            </w:pPr>
            <w:r>
              <w:rPr>
                <w:rFonts w:ascii="Arial" w:cs="Arial" w:eastAsia="Arial" w:hAnsi="Arial"/>
                <w:sz w:val="18"/>
                <w:szCs w:val="18"/>
                <w:b w:val="1"/>
                <w:bCs w:val="1"/>
                <w:color w:val="auto"/>
              </w:rPr>
              <w:t>$5,391</w:t>
            </w:r>
          </w:p>
        </w:tc>
        <w:tc>
          <w:tcPr>
            <w:tcW w:w="1460" w:type="dxa"/>
            <w:vAlign w:val="bottom"/>
            <w:tcBorders>
              <w:bottom w:val="single" w:sz="8" w:color="auto"/>
            </w:tcBorders>
          </w:tcPr>
          <w:p>
            <w:pPr>
              <w:jc w:val="right"/>
              <w:ind w:right="52"/>
              <w:spacing w:after="0" w:line="196" w:lineRule="exact"/>
              <w:rPr>
                <w:sz w:val="20"/>
                <w:szCs w:val="20"/>
                <w:color w:val="auto"/>
              </w:rPr>
            </w:pPr>
            <w:r>
              <w:rPr>
                <w:rFonts w:ascii="Arial" w:cs="Arial" w:eastAsia="Arial" w:hAnsi="Arial"/>
                <w:sz w:val="18"/>
                <w:szCs w:val="18"/>
                <w:color w:val="auto"/>
              </w:rPr>
              <w:t>$13,552</w:t>
            </w:r>
          </w:p>
        </w:tc>
      </w:tr>
    </w:tbl>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Taxes paid, net of refunds, amounted to $29.4 million in 2013, $15.1 million in 2012, and $13.7 million in 2011.</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9. Earnings Per Share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amounts used in computing earnings per share and the weighted average number of shares of potentially dilutive securities are as</w:t>
      </w:r>
    </w:p>
    <w:p>
      <w:pPr>
        <w:spacing w:after="0"/>
        <w:rPr>
          <w:sz w:val="20"/>
          <w:szCs w:val="20"/>
          <w:color w:val="auto"/>
        </w:rPr>
      </w:pPr>
      <w:r>
        <w:rPr>
          <w:rFonts w:ascii="Arial" w:cs="Arial" w:eastAsia="Arial" w:hAnsi="Arial"/>
          <w:sz w:val="18"/>
          <w:szCs w:val="18"/>
          <w:color w:val="auto"/>
        </w:rPr>
        <w:t>follows:</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7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market price data)</w:t>
            </w:r>
          </w:p>
        </w:tc>
        <w:tc>
          <w:tcPr>
            <w:tcW w:w="238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2013</w:t>
            </w: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2012</w:t>
            </w:r>
          </w:p>
        </w:tc>
        <w:tc>
          <w:tcPr>
            <w:tcW w:w="11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9"/>
        </w:trPr>
        <w:tc>
          <w:tcPr>
            <w:tcW w:w="5720" w:type="dxa"/>
            <w:vAlign w:val="bottom"/>
          </w:tcPr>
          <w:p>
            <w:pPr>
              <w:spacing w:after="0"/>
              <w:rPr>
                <w:sz w:val="20"/>
                <w:szCs w:val="20"/>
                <w:color w:val="auto"/>
              </w:rPr>
            </w:pPr>
            <w:r>
              <w:rPr>
                <w:rFonts w:ascii="Arial" w:cs="Arial" w:eastAsia="Arial" w:hAnsi="Arial"/>
                <w:sz w:val="18"/>
                <w:szCs w:val="18"/>
                <w:color w:val="auto"/>
              </w:rPr>
              <w:t>Net income attributable to the Company</w:t>
            </w:r>
          </w:p>
        </w:tc>
        <w:tc>
          <w:tcPr>
            <w:tcW w:w="2380" w:type="dxa"/>
            <w:vAlign w:val="bottom"/>
          </w:tcPr>
          <w:p>
            <w:pPr>
              <w:jc w:val="right"/>
              <w:ind w:right="130"/>
              <w:spacing w:after="0"/>
              <w:rPr>
                <w:sz w:val="20"/>
                <w:szCs w:val="20"/>
                <w:color w:val="auto"/>
              </w:rPr>
            </w:pPr>
            <w:r>
              <w:rPr>
                <w:rFonts w:ascii="Arial" w:cs="Arial" w:eastAsia="Arial" w:hAnsi="Arial"/>
                <w:sz w:val="18"/>
                <w:szCs w:val="18"/>
                <w:b w:val="1"/>
                <w:bCs w:val="1"/>
                <w:color w:val="auto"/>
              </w:rPr>
              <w:t>$17,517</w:t>
            </w: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$30,977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$34,938</w:t>
            </w:r>
          </w:p>
        </w:tc>
        <w:tc>
          <w:tcPr>
            <w:tcW w:w="0" w:type="dxa"/>
            <w:vAlign w:val="bottom"/>
          </w:tcPr>
          <w:p>
            <w:pPr>
              <w:spacing w:after="0"/>
              <w:rPr>
                <w:sz w:val="1"/>
                <w:szCs w:val="1"/>
                <w:color w:val="auto"/>
              </w:rPr>
            </w:pPr>
          </w:p>
        </w:tc>
      </w:tr>
      <w:tr>
        <w:trPr>
          <w:trHeight w:val="412"/>
        </w:trPr>
        <w:tc>
          <w:tcPr>
            <w:tcW w:w="57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Weighted average number of shares:</w:t>
            </w:r>
          </w:p>
        </w:tc>
        <w:tc>
          <w:tcPr>
            <w:tcW w:w="23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5720" w:type="dxa"/>
            <w:vAlign w:val="bottom"/>
          </w:tcPr>
          <w:p>
            <w:pPr>
              <w:ind w:left="200"/>
              <w:spacing w:after="0"/>
              <w:rPr>
                <w:sz w:val="20"/>
                <w:szCs w:val="20"/>
                <w:color w:val="auto"/>
              </w:rPr>
            </w:pPr>
            <w:r>
              <w:rPr>
                <w:rFonts w:ascii="Arial" w:cs="Arial" w:eastAsia="Arial" w:hAnsi="Arial"/>
                <w:sz w:val="18"/>
                <w:szCs w:val="18"/>
                <w:color w:val="auto"/>
              </w:rPr>
              <w:t>Weighted average number of shares used in</w:t>
            </w:r>
          </w:p>
        </w:tc>
        <w:tc>
          <w:tcPr>
            <w:tcW w:w="23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31,649</w:t>
            </w: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720" w:type="dxa"/>
            <w:vAlign w:val="bottom"/>
          </w:tcPr>
          <w:p>
            <w:pPr>
              <w:ind w:left="200"/>
              <w:spacing w:after="0"/>
              <w:rPr>
                <w:sz w:val="20"/>
                <w:szCs w:val="20"/>
                <w:color w:val="auto"/>
              </w:rPr>
            </w:pPr>
            <w:r>
              <w:rPr>
                <w:rFonts w:ascii="Arial" w:cs="Arial" w:eastAsia="Arial" w:hAnsi="Arial"/>
                <w:sz w:val="18"/>
                <w:szCs w:val="18"/>
                <w:color w:val="auto"/>
              </w:rPr>
              <w:t>calculating basic net income/(loss) per share</w:t>
            </w:r>
          </w:p>
        </w:tc>
        <w:tc>
          <w:tcPr>
            <w:tcW w:w="2380" w:type="dxa"/>
            <w:vAlign w:val="bottom"/>
            <w:vMerge w:val="continue"/>
          </w:tcPr>
          <w:p>
            <w:pPr>
              <w:spacing w:after="0"/>
              <w:rPr>
                <w:sz w:val="18"/>
                <w:szCs w:val="18"/>
                <w:color w:val="auto"/>
              </w:rPr>
            </w:pP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31,356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31,262</w:t>
            </w:r>
          </w:p>
        </w:tc>
        <w:tc>
          <w:tcPr>
            <w:tcW w:w="0" w:type="dxa"/>
            <w:vAlign w:val="bottom"/>
          </w:tcPr>
          <w:p>
            <w:pPr>
              <w:spacing w:after="0"/>
              <w:rPr>
                <w:sz w:val="1"/>
                <w:szCs w:val="1"/>
                <w:color w:val="auto"/>
              </w:rPr>
            </w:pPr>
          </w:p>
        </w:tc>
      </w:tr>
      <w:tr>
        <w:trPr>
          <w:trHeight w:val="405"/>
        </w:trPr>
        <w:tc>
          <w:tcPr>
            <w:tcW w:w="5720" w:type="dxa"/>
            <w:vAlign w:val="bottom"/>
          </w:tcPr>
          <w:p>
            <w:pPr>
              <w:spacing w:after="0"/>
              <w:rPr>
                <w:sz w:val="20"/>
                <w:szCs w:val="20"/>
                <w:color w:val="auto"/>
              </w:rPr>
            </w:pPr>
            <w:r>
              <w:rPr>
                <w:rFonts w:ascii="Arial" w:cs="Arial" w:eastAsia="Arial" w:hAnsi="Arial"/>
                <w:sz w:val="18"/>
                <w:szCs w:val="18"/>
                <w:b w:val="1"/>
                <w:bCs w:val="1"/>
                <w:color w:val="auto"/>
              </w:rPr>
              <w:t>Effect of dilutive stock-based compensation plans:</w:t>
            </w:r>
          </w:p>
        </w:tc>
        <w:tc>
          <w:tcPr>
            <w:tcW w:w="2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720" w:type="dxa"/>
            <w:vAlign w:val="bottom"/>
          </w:tcPr>
          <w:p>
            <w:pPr>
              <w:ind w:left="200"/>
              <w:spacing w:after="0"/>
              <w:rPr>
                <w:sz w:val="20"/>
                <w:szCs w:val="20"/>
                <w:color w:val="auto"/>
              </w:rPr>
            </w:pPr>
            <w:r>
              <w:rPr>
                <w:rFonts w:ascii="Arial" w:cs="Arial" w:eastAsia="Arial" w:hAnsi="Arial"/>
                <w:sz w:val="18"/>
                <w:szCs w:val="18"/>
                <w:color w:val="auto"/>
              </w:rPr>
              <w:t>Stock options</w:t>
            </w:r>
          </w:p>
        </w:tc>
        <w:tc>
          <w:tcPr>
            <w:tcW w:w="2380" w:type="dxa"/>
            <w:vAlign w:val="bottom"/>
          </w:tcPr>
          <w:p>
            <w:pPr>
              <w:jc w:val="right"/>
              <w:ind w:right="130"/>
              <w:spacing w:after="0"/>
              <w:rPr>
                <w:sz w:val="20"/>
                <w:szCs w:val="20"/>
                <w:color w:val="auto"/>
              </w:rPr>
            </w:pPr>
            <w:r>
              <w:rPr>
                <w:rFonts w:ascii="Arial" w:cs="Arial" w:eastAsia="Arial" w:hAnsi="Arial"/>
                <w:sz w:val="18"/>
                <w:szCs w:val="18"/>
                <w:b w:val="1"/>
                <w:bCs w:val="1"/>
                <w:color w:val="auto"/>
              </w:rPr>
              <w:t>129</w:t>
            </w: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57</w:t>
            </w:r>
          </w:p>
        </w:tc>
        <w:tc>
          <w:tcPr>
            <w:tcW w:w="1120" w:type="dxa"/>
            <w:vAlign w:val="bottom"/>
          </w:tcPr>
          <w:p>
            <w:pPr>
              <w:jc w:val="right"/>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7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Long-term incentive plan</w:t>
            </w:r>
          </w:p>
        </w:tc>
        <w:tc>
          <w:tcPr>
            <w:tcW w:w="2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156</w:t>
            </w:r>
          </w:p>
        </w:tc>
        <w:tc>
          <w:tcPr>
            <w:tcW w:w="12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223</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5720" w:type="dxa"/>
            <w:vAlign w:val="bottom"/>
          </w:tcPr>
          <w:p>
            <w:pPr>
              <w:spacing w:after="0"/>
              <w:rPr>
                <w:sz w:val="20"/>
                <w:szCs w:val="20"/>
                <w:color w:val="auto"/>
              </w:rPr>
            </w:pPr>
            <w:r>
              <w:rPr>
                <w:rFonts w:ascii="Arial" w:cs="Arial" w:eastAsia="Arial" w:hAnsi="Arial"/>
                <w:sz w:val="18"/>
                <w:szCs w:val="18"/>
                <w:color w:val="auto"/>
              </w:rPr>
              <w:t>Weighted average number of shares used in</w:t>
            </w:r>
          </w:p>
        </w:tc>
        <w:tc>
          <w:tcPr>
            <w:tcW w:w="23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31,934</w:t>
            </w: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720" w:type="dxa"/>
            <w:vAlign w:val="bottom"/>
          </w:tcPr>
          <w:p>
            <w:pPr>
              <w:spacing w:after="0" w:line="203" w:lineRule="exact"/>
              <w:rPr>
                <w:sz w:val="20"/>
                <w:szCs w:val="20"/>
                <w:color w:val="auto"/>
              </w:rPr>
            </w:pPr>
            <w:r>
              <w:rPr>
                <w:rFonts w:ascii="Arial" w:cs="Arial" w:eastAsia="Arial" w:hAnsi="Arial"/>
                <w:sz w:val="18"/>
                <w:szCs w:val="18"/>
                <w:color w:val="auto"/>
              </w:rPr>
              <w:t>calculating diluted net income per share</w:t>
            </w:r>
          </w:p>
        </w:tc>
        <w:tc>
          <w:tcPr>
            <w:tcW w:w="2380" w:type="dxa"/>
            <w:vAlign w:val="bottom"/>
            <w:vMerge w:val="continue"/>
          </w:tcPr>
          <w:p>
            <w:pPr>
              <w:spacing w:after="0"/>
              <w:rPr>
                <w:sz w:val="17"/>
                <w:szCs w:val="17"/>
                <w:color w:val="auto"/>
              </w:rPr>
            </w:pPr>
          </w:p>
        </w:tc>
        <w:tc>
          <w:tcPr>
            <w:tcW w:w="1260" w:type="dxa"/>
            <w:vAlign w:val="bottom"/>
          </w:tcPr>
          <w:p>
            <w:pPr>
              <w:jc w:val="right"/>
              <w:ind w:right="230"/>
              <w:spacing w:after="0" w:line="203" w:lineRule="exact"/>
              <w:rPr>
                <w:sz w:val="20"/>
                <w:szCs w:val="20"/>
                <w:color w:val="auto"/>
              </w:rPr>
            </w:pPr>
            <w:r>
              <w:rPr>
                <w:rFonts w:ascii="Arial" w:cs="Arial" w:eastAsia="Arial" w:hAnsi="Arial"/>
                <w:sz w:val="18"/>
                <w:szCs w:val="18"/>
                <w:color w:val="auto"/>
              </w:rPr>
              <w:t>31,636</w:t>
            </w:r>
          </w:p>
        </w:tc>
        <w:tc>
          <w:tcPr>
            <w:tcW w:w="11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31,510</w:t>
            </w:r>
          </w:p>
        </w:tc>
        <w:tc>
          <w:tcPr>
            <w:tcW w:w="0" w:type="dxa"/>
            <w:vAlign w:val="bottom"/>
          </w:tcPr>
          <w:p>
            <w:pPr>
              <w:spacing w:after="0"/>
              <w:rPr>
                <w:sz w:val="1"/>
                <w:szCs w:val="1"/>
                <w:color w:val="auto"/>
              </w:rPr>
            </w:pPr>
          </w:p>
        </w:tc>
      </w:tr>
      <w:tr>
        <w:trPr>
          <w:trHeight w:val="425"/>
        </w:trPr>
        <w:tc>
          <w:tcPr>
            <w:tcW w:w="5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Effect of stock-based compensation plans</w:t>
            </w:r>
          </w:p>
        </w:tc>
        <w:tc>
          <w:tcPr>
            <w:tcW w:w="23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that were not included in the computation of</w:t>
            </w:r>
          </w:p>
        </w:tc>
        <w:tc>
          <w:tcPr>
            <w:tcW w:w="2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720" w:type="dxa"/>
            <w:vAlign w:val="bottom"/>
          </w:tcPr>
          <w:p>
            <w:pPr>
              <w:spacing w:after="0" w:line="202" w:lineRule="exact"/>
              <w:rPr>
                <w:sz w:val="20"/>
                <w:szCs w:val="20"/>
                <w:color w:val="auto"/>
              </w:rPr>
            </w:pPr>
            <w:r>
              <w:rPr>
                <w:rFonts w:ascii="Arial" w:cs="Arial" w:eastAsia="Arial" w:hAnsi="Arial"/>
                <w:sz w:val="18"/>
                <w:szCs w:val="18"/>
                <w:color w:val="auto"/>
              </w:rPr>
              <w:t>diluted earnings per share because</w:t>
            </w:r>
          </w:p>
        </w:tc>
        <w:tc>
          <w:tcPr>
            <w:tcW w:w="23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to do so would have been antidilutive</w:t>
            </w:r>
          </w:p>
        </w:tc>
        <w:tc>
          <w:tcPr>
            <w:tcW w:w="2380" w:type="dxa"/>
            <w:vAlign w:val="bottom"/>
            <w:tcBorders>
              <w:bottom w:val="single" w:sz="8" w:color="auto"/>
            </w:tcBorders>
            <w:vMerge w:val="continue"/>
          </w:tcPr>
          <w:p>
            <w:pPr>
              <w:spacing w:after="0"/>
              <w:rPr>
                <w:sz w:val="17"/>
                <w:szCs w:val="17"/>
                <w:color w:val="auto"/>
              </w:rPr>
            </w:pPr>
          </w:p>
        </w:tc>
        <w:tc>
          <w:tcPr>
            <w:tcW w:w="126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1"/>
        </w:trPr>
        <w:tc>
          <w:tcPr>
            <w:tcW w:w="5720" w:type="dxa"/>
            <w:vAlign w:val="bottom"/>
          </w:tcPr>
          <w:p>
            <w:pPr>
              <w:spacing w:after="0"/>
              <w:rPr>
                <w:sz w:val="20"/>
                <w:szCs w:val="20"/>
                <w:color w:val="auto"/>
              </w:rPr>
            </w:pPr>
            <w:r>
              <w:rPr>
                <w:rFonts w:ascii="Arial" w:cs="Arial" w:eastAsia="Arial" w:hAnsi="Arial"/>
                <w:sz w:val="18"/>
                <w:szCs w:val="18"/>
                <w:color w:val="auto"/>
              </w:rPr>
              <w:t>Average market price of common stock used</w:t>
            </w:r>
          </w:p>
        </w:tc>
        <w:tc>
          <w:tcPr>
            <w:tcW w:w="23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$31.85</w:t>
            </w: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720" w:type="dxa"/>
            <w:vAlign w:val="bottom"/>
          </w:tcPr>
          <w:p>
            <w:pPr>
              <w:spacing w:after="0" w:line="203" w:lineRule="exact"/>
              <w:rPr>
                <w:sz w:val="20"/>
                <w:szCs w:val="20"/>
                <w:color w:val="auto"/>
              </w:rPr>
            </w:pPr>
            <w:r>
              <w:rPr>
                <w:rFonts w:ascii="Arial" w:cs="Arial" w:eastAsia="Arial" w:hAnsi="Arial"/>
                <w:sz w:val="18"/>
                <w:szCs w:val="18"/>
                <w:color w:val="auto"/>
              </w:rPr>
              <w:t>for calculation of dilutive shares</w:t>
            </w:r>
          </w:p>
        </w:tc>
        <w:tc>
          <w:tcPr>
            <w:tcW w:w="2380" w:type="dxa"/>
            <w:vAlign w:val="bottom"/>
            <w:vMerge w:val="continue"/>
          </w:tcPr>
          <w:p>
            <w:pPr>
              <w:spacing w:after="0"/>
              <w:rPr>
                <w:sz w:val="17"/>
                <w:szCs w:val="17"/>
                <w:color w:val="auto"/>
              </w:rPr>
            </w:pPr>
          </w:p>
        </w:tc>
        <w:tc>
          <w:tcPr>
            <w:tcW w:w="1260" w:type="dxa"/>
            <w:vAlign w:val="bottom"/>
          </w:tcPr>
          <w:p>
            <w:pPr>
              <w:jc w:val="right"/>
              <w:ind w:right="230"/>
              <w:spacing w:after="0" w:line="203" w:lineRule="exact"/>
              <w:rPr>
                <w:sz w:val="20"/>
                <w:szCs w:val="20"/>
                <w:color w:val="auto"/>
              </w:rPr>
            </w:pPr>
            <w:r>
              <w:rPr>
                <w:rFonts w:ascii="Arial" w:cs="Arial" w:eastAsia="Arial" w:hAnsi="Arial"/>
                <w:sz w:val="18"/>
                <w:szCs w:val="18"/>
                <w:color w:val="auto"/>
              </w:rPr>
              <w:t>$21.51</w:t>
            </w:r>
          </w:p>
        </w:tc>
        <w:tc>
          <w:tcPr>
            <w:tcW w:w="11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$23.44</w:t>
            </w:r>
          </w:p>
        </w:tc>
        <w:tc>
          <w:tcPr>
            <w:tcW w:w="0" w:type="dxa"/>
            <w:vAlign w:val="bottom"/>
          </w:tcPr>
          <w:p>
            <w:pPr>
              <w:spacing w:after="0"/>
              <w:rPr>
                <w:sz w:val="1"/>
                <w:szCs w:val="1"/>
                <w:color w:val="auto"/>
              </w:rPr>
            </w:pPr>
          </w:p>
        </w:tc>
      </w:tr>
      <w:tr>
        <w:trPr>
          <w:trHeight w:val="412"/>
        </w:trPr>
        <w:tc>
          <w:tcPr>
            <w:tcW w:w="57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Net income per share:</w:t>
            </w:r>
          </w:p>
        </w:tc>
        <w:tc>
          <w:tcPr>
            <w:tcW w:w="23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720" w:type="dxa"/>
            <w:vAlign w:val="bottom"/>
          </w:tcPr>
          <w:p>
            <w:pPr>
              <w:ind w:left="200"/>
              <w:spacing w:after="0"/>
              <w:rPr>
                <w:sz w:val="20"/>
                <w:szCs w:val="20"/>
                <w:color w:val="auto"/>
              </w:rPr>
            </w:pPr>
            <w:r>
              <w:rPr>
                <w:rFonts w:ascii="Arial" w:cs="Arial" w:eastAsia="Arial" w:hAnsi="Arial"/>
                <w:sz w:val="18"/>
                <w:szCs w:val="18"/>
                <w:color w:val="auto"/>
              </w:rPr>
              <w:t>Basic</w:t>
            </w:r>
          </w:p>
        </w:tc>
        <w:tc>
          <w:tcPr>
            <w:tcW w:w="2380" w:type="dxa"/>
            <w:vAlign w:val="bottom"/>
          </w:tcPr>
          <w:p>
            <w:pPr>
              <w:jc w:val="right"/>
              <w:ind w:right="130"/>
              <w:spacing w:after="0"/>
              <w:rPr>
                <w:sz w:val="20"/>
                <w:szCs w:val="20"/>
                <w:color w:val="auto"/>
              </w:rPr>
            </w:pPr>
            <w:r>
              <w:rPr>
                <w:rFonts w:ascii="Arial" w:cs="Arial" w:eastAsia="Arial" w:hAnsi="Arial"/>
                <w:sz w:val="18"/>
                <w:szCs w:val="18"/>
                <w:b w:val="1"/>
                <w:bCs w:val="1"/>
                <w:color w:val="auto"/>
              </w:rPr>
              <w:t>$0.55</w:t>
            </w: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$0.99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392"/>
        </w:trPr>
        <w:tc>
          <w:tcPr>
            <w:tcW w:w="57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Diluted</w:t>
            </w:r>
          </w:p>
        </w:tc>
        <w:tc>
          <w:tcPr>
            <w:tcW w:w="2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$0.55</w:t>
            </w:r>
          </w:p>
        </w:tc>
        <w:tc>
          <w:tcPr>
            <w:tcW w:w="12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$0.97</w:t>
            </w:r>
            <w:r>
              <w:rPr>
                <w:rFonts w:ascii="Arial" w:cs="Arial" w:eastAsia="Arial" w:hAnsi="Arial"/>
                <w:sz w:val="18"/>
                <w:szCs w:val="18"/>
                <w:b w:val="1"/>
                <w:bCs w:val="1"/>
                <w:color w:val="auto"/>
              </w:rPr>
              <w:t>*</w:t>
            </w: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right="700"/>
        <w:spacing w:after="0" w:line="246" w:lineRule="auto"/>
        <w:rPr>
          <w:sz w:val="20"/>
          <w:szCs w:val="20"/>
          <w:color w:val="auto"/>
        </w:rPr>
      </w:pPr>
      <w:r>
        <w:rPr>
          <w:rFonts w:ascii="Arial" w:cs="Arial" w:eastAsia="Arial" w:hAnsi="Arial"/>
          <w:sz w:val="18"/>
          <w:szCs w:val="18"/>
          <w:color w:val="auto"/>
        </w:rPr>
        <w:t>As of December 31, 2013, 2012, and 2011, there was no dilution resulting from the convertible debt instrument, purchased call option, and warrant that are described in Note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-10795</wp:posOffset>
            </wp:positionV>
            <wp:extent cx="666369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177" w:lineRule="exact"/>
        <w:rPr>
          <w:sz w:val="20"/>
          <w:szCs w:val="20"/>
          <w:color w:val="auto"/>
        </w:rPr>
      </w:pPr>
    </w:p>
    <w:p>
      <w:pPr>
        <w:ind w:left="660" w:right="2800" w:hanging="4"/>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Due to a loss from continuing operations in 2012, the calculation of diluted income per share cannot be calculated by dividing net income by the diluted shares in the table above. See Statement of Income.</w:t>
      </w:r>
    </w:p>
    <w:p>
      <w:pPr>
        <w:spacing w:after="0" w:line="162" w:lineRule="exact"/>
        <w:rPr>
          <w:sz w:val="20"/>
          <w:szCs w:val="20"/>
          <w:color w:val="auto"/>
        </w:rPr>
      </w:pPr>
    </w:p>
    <w:p>
      <w:pPr>
        <w:ind w:right="360" w:firstLine="648"/>
        <w:spacing w:after="0" w:line="246" w:lineRule="auto"/>
        <w:rPr>
          <w:sz w:val="20"/>
          <w:szCs w:val="20"/>
          <w:color w:val="auto"/>
        </w:rPr>
      </w:pPr>
      <w:r>
        <w:rPr>
          <w:rFonts w:ascii="Arial" w:cs="Arial" w:eastAsia="Arial" w:hAnsi="Arial"/>
          <w:sz w:val="18"/>
          <w:szCs w:val="18"/>
          <w:color w:val="auto"/>
        </w:rPr>
        <w:t>Shares outstanding, net of treasury shares, were 31.8 million as of December 31, 2013, 31.4 million as of December 31, 2012, and 31.3 million as of December 31, 2011.</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Accumulated Other Comprehensive Income</w:t>
      </w:r>
    </w:p>
    <w:p>
      <w:pPr>
        <w:spacing w:after="0" w:line="207" w:lineRule="exact"/>
        <w:rPr>
          <w:sz w:val="20"/>
          <w:szCs w:val="20"/>
          <w:color w:val="auto"/>
        </w:rPr>
      </w:pPr>
    </w:p>
    <w:p>
      <w:pPr>
        <w:ind w:right="220" w:firstLine="648"/>
        <w:spacing w:after="0" w:line="246" w:lineRule="auto"/>
        <w:rPr>
          <w:sz w:val="20"/>
          <w:szCs w:val="20"/>
          <w:color w:val="auto"/>
        </w:rPr>
      </w:pPr>
      <w:r>
        <w:rPr>
          <w:rFonts w:ascii="Arial" w:cs="Arial" w:eastAsia="Arial" w:hAnsi="Arial"/>
          <w:sz w:val="18"/>
          <w:szCs w:val="18"/>
          <w:color w:val="auto"/>
        </w:rPr>
        <w:t>The Company adopted the provisions of Accounting Standards Update 2013-02 in the first quarter of 2013, which requires enhanced disclosures of Accumulated Other Comprehensive Income (AOCI).</w:t>
      </w:r>
    </w:p>
    <w:p>
      <w:pPr>
        <w:spacing w:after="0" w:line="89" w:lineRule="exact"/>
        <w:rPr>
          <w:sz w:val="20"/>
          <w:szCs w:val="20"/>
          <w:color w:val="auto"/>
        </w:rPr>
      </w:pPr>
    </w:p>
    <w:p>
      <w:pPr>
        <w:ind w:right="560" w:firstLine="648"/>
        <w:spacing w:after="0" w:line="246" w:lineRule="auto"/>
        <w:rPr>
          <w:sz w:val="20"/>
          <w:szCs w:val="20"/>
          <w:color w:val="auto"/>
        </w:rPr>
      </w:pPr>
      <w:r>
        <w:rPr>
          <w:rFonts w:ascii="Arial" w:cs="Arial" w:eastAsia="Arial" w:hAnsi="Arial"/>
          <w:sz w:val="18"/>
          <w:szCs w:val="18"/>
          <w:color w:val="auto"/>
        </w:rPr>
        <w:t>In the third quarter of 2013, the Company modified certain provisions of its U.S. postretirement plan. The change in plan benefits decreased pretax liabilities by $8.0 million, resulting in a $4.9 million increase to AOCI.</w:t>
      </w:r>
    </w:p>
    <w:p>
      <w:pPr>
        <w:spacing w:after="0" w:line="1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75" w:name="page76"/>
    <w:bookmarkEnd w:id="75"/>
    <w:p>
      <w:pPr>
        <w:ind w:left="660"/>
        <w:spacing w:after="0"/>
        <w:rPr>
          <w:sz w:val="20"/>
          <w:szCs w:val="20"/>
          <w:color w:val="auto"/>
        </w:rPr>
      </w:pPr>
      <w:r>
        <w:rPr>
          <w:rFonts w:ascii="Arial" w:cs="Arial" w:eastAsia="Arial" w:hAnsi="Arial"/>
          <w:sz w:val="18"/>
          <w:szCs w:val="18"/>
          <w:color w:val="auto"/>
        </w:rPr>
        <w:t>The table below presents changes in the components of AOCI for the period December 31, 2012 to December 31,2013: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109220</wp:posOffset>
            </wp:positionV>
            <wp:extent cx="666369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268"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44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9"/>
              </w:rPr>
              <w:t>Pension and</w:t>
            </w:r>
          </w:p>
        </w:tc>
        <w:tc>
          <w:tcPr>
            <w:tcW w:w="14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4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40" w:type="dxa"/>
            <w:vAlign w:val="bottom"/>
          </w:tcPr>
          <w:p>
            <w:pPr>
              <w:jc w:val="center"/>
              <w:spacing w:after="0" w:line="202" w:lineRule="exact"/>
              <w:rPr>
                <w:sz w:val="20"/>
                <w:szCs w:val="20"/>
                <w:color w:val="auto"/>
              </w:rPr>
            </w:pPr>
            <w:r>
              <w:rPr>
                <w:rFonts w:ascii="Arial" w:cs="Arial" w:eastAsia="Arial" w:hAnsi="Arial"/>
                <w:sz w:val="18"/>
                <w:szCs w:val="18"/>
                <w:color w:val="auto"/>
              </w:rPr>
              <w:t>postretirement</w:t>
            </w:r>
          </w:p>
        </w:tc>
        <w:tc>
          <w:tcPr>
            <w:tcW w:w="1460" w:type="dxa"/>
            <w:vAlign w:val="bottom"/>
          </w:tcPr>
          <w:p>
            <w:pPr>
              <w:jc w:val="center"/>
              <w:spacing w:after="0" w:line="202" w:lineRule="exact"/>
              <w:rPr>
                <w:sz w:val="20"/>
                <w:szCs w:val="20"/>
                <w:color w:val="auto"/>
              </w:rPr>
            </w:pPr>
            <w:r>
              <w:rPr>
                <w:rFonts w:ascii="Arial" w:cs="Arial" w:eastAsia="Arial" w:hAnsi="Arial"/>
                <w:sz w:val="18"/>
                <w:szCs w:val="18"/>
                <w:color w:val="auto"/>
                <w:w w:val="99"/>
              </w:rPr>
              <w:t>Derivative</w:t>
            </w:r>
          </w:p>
        </w:tc>
        <w:tc>
          <w:tcPr>
            <w:tcW w:w="1440" w:type="dxa"/>
            <w:vAlign w:val="bottom"/>
            <w:gridSpan w:val="2"/>
          </w:tcPr>
          <w:p>
            <w:pPr>
              <w:jc w:val="center"/>
              <w:ind w:left="70"/>
              <w:spacing w:after="0" w:line="202" w:lineRule="exact"/>
              <w:rPr>
                <w:sz w:val="20"/>
                <w:szCs w:val="20"/>
                <w:color w:val="auto"/>
              </w:rPr>
            </w:pPr>
            <w:r>
              <w:rPr>
                <w:rFonts w:ascii="Arial" w:cs="Arial" w:eastAsia="Arial" w:hAnsi="Arial"/>
                <w:sz w:val="18"/>
                <w:szCs w:val="18"/>
                <w:color w:val="auto"/>
                <w:w w:val="97"/>
              </w:rPr>
              <w:t>Total Other</w:t>
            </w:r>
          </w:p>
        </w:tc>
      </w:tr>
      <w:tr>
        <w:trPr>
          <w:trHeight w:val="203"/>
        </w:trPr>
        <w:tc>
          <w:tcPr>
            <w:tcW w:w="4400" w:type="dxa"/>
            <w:vAlign w:val="bottom"/>
          </w:tcPr>
          <w:p>
            <w:pPr>
              <w:spacing w:after="0"/>
              <w:rPr>
                <w:sz w:val="17"/>
                <w:szCs w:val="17"/>
                <w:color w:val="auto"/>
              </w:rPr>
            </w:pPr>
          </w:p>
        </w:tc>
        <w:tc>
          <w:tcPr>
            <w:tcW w:w="156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Translation</w:t>
            </w:r>
          </w:p>
        </w:tc>
        <w:tc>
          <w:tcPr>
            <w:tcW w:w="1640" w:type="dxa"/>
            <w:vAlign w:val="bottom"/>
          </w:tcPr>
          <w:p>
            <w:pPr>
              <w:jc w:val="center"/>
              <w:spacing w:after="0" w:line="202" w:lineRule="exact"/>
              <w:rPr>
                <w:sz w:val="20"/>
                <w:szCs w:val="20"/>
                <w:color w:val="auto"/>
              </w:rPr>
            </w:pPr>
            <w:r>
              <w:rPr>
                <w:rFonts w:ascii="Arial" w:cs="Arial" w:eastAsia="Arial" w:hAnsi="Arial"/>
                <w:sz w:val="18"/>
                <w:szCs w:val="18"/>
                <w:color w:val="auto"/>
                <w:w w:val="99"/>
              </w:rPr>
              <w:t>liability</w:t>
            </w:r>
          </w:p>
        </w:tc>
        <w:tc>
          <w:tcPr>
            <w:tcW w:w="1460" w:type="dxa"/>
            <w:vAlign w:val="bottom"/>
          </w:tcPr>
          <w:p>
            <w:pPr>
              <w:jc w:val="center"/>
              <w:spacing w:after="0" w:line="202" w:lineRule="exact"/>
              <w:rPr>
                <w:sz w:val="20"/>
                <w:szCs w:val="20"/>
                <w:color w:val="auto"/>
              </w:rPr>
            </w:pPr>
            <w:r>
              <w:rPr>
                <w:rFonts w:ascii="Arial" w:cs="Arial" w:eastAsia="Arial" w:hAnsi="Arial"/>
                <w:sz w:val="18"/>
                <w:szCs w:val="18"/>
                <w:color w:val="auto"/>
                <w:w w:val="99"/>
              </w:rPr>
              <w:t>valuation</w:t>
            </w:r>
          </w:p>
        </w:tc>
        <w:tc>
          <w:tcPr>
            <w:tcW w:w="1440" w:type="dxa"/>
            <w:vAlign w:val="bottom"/>
            <w:gridSpan w:val="2"/>
          </w:tcPr>
          <w:p>
            <w:pPr>
              <w:jc w:val="center"/>
              <w:ind w:left="90"/>
              <w:spacing w:after="0" w:line="202" w:lineRule="exact"/>
              <w:rPr>
                <w:sz w:val="20"/>
                <w:szCs w:val="20"/>
                <w:color w:val="auto"/>
              </w:rPr>
            </w:pPr>
            <w:r>
              <w:rPr>
                <w:rFonts w:ascii="Arial" w:cs="Arial" w:eastAsia="Arial" w:hAnsi="Arial"/>
                <w:sz w:val="18"/>
                <w:szCs w:val="18"/>
                <w:color w:val="auto"/>
                <w:w w:val="99"/>
              </w:rPr>
              <w:t>Comprehensive</w:t>
            </w:r>
          </w:p>
        </w:tc>
      </w:tr>
      <w:tr>
        <w:trPr>
          <w:trHeight w:val="203"/>
        </w:trPr>
        <w:tc>
          <w:tcPr>
            <w:tcW w:w="4400" w:type="dxa"/>
            <w:vAlign w:val="bottom"/>
          </w:tcPr>
          <w:p>
            <w:pPr>
              <w:spacing w:after="0" w:line="203" w:lineRule="exact"/>
              <w:rPr>
                <w:sz w:val="20"/>
                <w:szCs w:val="20"/>
                <w:color w:val="auto"/>
              </w:rPr>
            </w:pPr>
            <w:r>
              <w:rPr>
                <w:rFonts w:ascii="Arial" w:cs="Arial" w:eastAsia="Arial" w:hAnsi="Arial"/>
                <w:sz w:val="18"/>
                <w:szCs w:val="18"/>
                <w:color w:val="auto"/>
              </w:rPr>
              <w:t>(in thousands)</w:t>
            </w:r>
          </w:p>
        </w:tc>
        <w:tc>
          <w:tcPr>
            <w:tcW w:w="1560" w:type="dxa"/>
            <w:vAlign w:val="bottom"/>
          </w:tcPr>
          <w:p>
            <w:pPr>
              <w:jc w:val="right"/>
              <w:ind w:right="230"/>
              <w:spacing w:after="0" w:line="203" w:lineRule="exact"/>
              <w:rPr>
                <w:sz w:val="20"/>
                <w:szCs w:val="20"/>
                <w:color w:val="auto"/>
              </w:rPr>
            </w:pPr>
            <w:r>
              <w:rPr>
                <w:rFonts w:ascii="Arial" w:cs="Arial" w:eastAsia="Arial" w:hAnsi="Arial"/>
                <w:sz w:val="18"/>
                <w:szCs w:val="18"/>
                <w:color w:val="auto"/>
              </w:rPr>
              <w:t>adjustments</w:t>
            </w:r>
          </w:p>
        </w:tc>
        <w:tc>
          <w:tcPr>
            <w:tcW w:w="1640" w:type="dxa"/>
            <w:vAlign w:val="bottom"/>
          </w:tcPr>
          <w:p>
            <w:pPr>
              <w:jc w:val="center"/>
              <w:spacing w:after="0" w:line="203" w:lineRule="exact"/>
              <w:rPr>
                <w:sz w:val="20"/>
                <w:szCs w:val="20"/>
                <w:color w:val="auto"/>
              </w:rPr>
            </w:pPr>
            <w:r>
              <w:rPr>
                <w:rFonts w:ascii="Arial" w:cs="Arial" w:eastAsia="Arial" w:hAnsi="Arial"/>
                <w:sz w:val="18"/>
                <w:szCs w:val="18"/>
                <w:color w:val="auto"/>
                <w:w w:val="98"/>
              </w:rPr>
              <w:t>adjustments</w:t>
            </w:r>
          </w:p>
        </w:tc>
        <w:tc>
          <w:tcPr>
            <w:tcW w:w="1460" w:type="dxa"/>
            <w:vAlign w:val="bottom"/>
          </w:tcPr>
          <w:p>
            <w:pPr>
              <w:jc w:val="center"/>
              <w:spacing w:after="0" w:line="203" w:lineRule="exact"/>
              <w:rPr>
                <w:sz w:val="20"/>
                <w:szCs w:val="20"/>
                <w:color w:val="auto"/>
              </w:rPr>
            </w:pPr>
            <w:r>
              <w:rPr>
                <w:rFonts w:ascii="Arial" w:cs="Arial" w:eastAsia="Arial" w:hAnsi="Arial"/>
                <w:sz w:val="18"/>
                <w:szCs w:val="18"/>
                <w:color w:val="auto"/>
                <w:w w:val="99"/>
              </w:rPr>
              <w:t>adjustment</w:t>
            </w:r>
          </w:p>
        </w:tc>
        <w:tc>
          <w:tcPr>
            <w:tcW w:w="1440" w:type="dxa"/>
            <w:vAlign w:val="bottom"/>
            <w:gridSpan w:val="2"/>
          </w:tcPr>
          <w:p>
            <w:pPr>
              <w:jc w:val="center"/>
              <w:ind w:left="70"/>
              <w:spacing w:after="0" w:line="203" w:lineRule="exact"/>
              <w:rPr>
                <w:sz w:val="20"/>
                <w:szCs w:val="20"/>
                <w:color w:val="auto"/>
              </w:rPr>
            </w:pPr>
            <w:r>
              <w:rPr>
                <w:rFonts w:ascii="Arial" w:cs="Arial" w:eastAsia="Arial" w:hAnsi="Arial"/>
                <w:sz w:val="18"/>
                <w:szCs w:val="18"/>
                <w:color w:val="auto"/>
              </w:rPr>
              <w:t>Income</w:t>
            </w:r>
          </w:p>
        </w:tc>
      </w:tr>
      <w:tr>
        <w:trPr>
          <w:trHeight w:val="574"/>
        </w:trPr>
        <w:tc>
          <w:tcPr>
            <w:tcW w:w="4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Balance, December 31, 2012</w:t>
            </w:r>
          </w:p>
        </w:tc>
        <w:tc>
          <w:tcPr>
            <w:tcW w:w="15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($7,659)</w:t>
            </w:r>
          </w:p>
        </w:tc>
        <w:tc>
          <w:tcPr>
            <w:tcW w:w="16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($69,484)</w:t>
            </w:r>
          </w:p>
        </w:tc>
        <w:tc>
          <w:tcPr>
            <w:tcW w:w="14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($2,878)</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($80,021)</w:t>
            </w:r>
          </w:p>
        </w:tc>
        <w:tc>
          <w:tcPr>
            <w:tcW w:w="20" w:type="dxa"/>
            <w:vAlign w:val="bottom"/>
          </w:tcPr>
          <w:p>
            <w:pPr>
              <w:spacing w:after="0"/>
              <w:rPr>
                <w:sz w:val="24"/>
                <w:szCs w:val="24"/>
                <w:color w:val="auto"/>
              </w:rPr>
            </w:pPr>
          </w:p>
        </w:tc>
      </w:tr>
      <w:tr>
        <w:trPr>
          <w:trHeight w:val="573"/>
        </w:trPr>
        <w:tc>
          <w:tcPr>
            <w:tcW w:w="4400" w:type="dxa"/>
            <w:vAlign w:val="bottom"/>
          </w:tcPr>
          <w:p>
            <w:pPr>
              <w:spacing w:after="0"/>
              <w:rPr>
                <w:sz w:val="20"/>
                <w:szCs w:val="20"/>
                <w:color w:val="auto"/>
              </w:rPr>
            </w:pPr>
            <w:r>
              <w:rPr>
                <w:rFonts w:ascii="Arial" w:cs="Arial" w:eastAsia="Arial" w:hAnsi="Arial"/>
                <w:sz w:val="18"/>
                <w:szCs w:val="18"/>
                <w:color w:val="auto"/>
              </w:rPr>
              <w:t>Other comprehensive income before</w:t>
            </w:r>
          </w:p>
        </w:tc>
        <w:tc>
          <w:tcPr>
            <w:tcW w:w="15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7"/>
        </w:trPr>
        <w:tc>
          <w:tcPr>
            <w:tcW w:w="4400" w:type="dxa"/>
            <w:vAlign w:val="bottom"/>
          </w:tcPr>
          <w:p>
            <w:pPr>
              <w:spacing w:after="0"/>
              <w:rPr>
                <w:sz w:val="20"/>
                <w:szCs w:val="20"/>
                <w:color w:val="auto"/>
              </w:rPr>
            </w:pPr>
            <w:r>
              <w:rPr>
                <w:rFonts w:ascii="Arial" w:cs="Arial" w:eastAsia="Arial" w:hAnsi="Arial"/>
                <w:sz w:val="18"/>
                <w:szCs w:val="18"/>
                <w:color w:val="auto"/>
              </w:rPr>
              <w:t>reclassifications</w:t>
            </w:r>
          </w:p>
        </w:tc>
        <w:tc>
          <w:tcPr>
            <w:tcW w:w="1560" w:type="dxa"/>
            <w:vAlign w:val="bottom"/>
          </w:tcPr>
          <w:p>
            <w:pPr>
              <w:jc w:val="right"/>
              <w:ind w:right="190"/>
              <w:spacing w:after="0"/>
              <w:rPr>
                <w:sz w:val="20"/>
                <w:szCs w:val="20"/>
                <w:color w:val="auto"/>
              </w:rPr>
            </w:pPr>
            <w:r>
              <w:rPr>
                <w:rFonts w:ascii="Arial" w:cs="Arial" w:eastAsia="Arial" w:hAnsi="Arial"/>
                <w:sz w:val="18"/>
                <w:szCs w:val="18"/>
                <w:color w:val="auto"/>
              </w:rPr>
              <w:t>7,521</w:t>
            </w:r>
          </w:p>
        </w:tc>
        <w:tc>
          <w:tcPr>
            <w:tcW w:w="1640" w:type="dxa"/>
            <w:vAlign w:val="bottom"/>
          </w:tcPr>
          <w:p>
            <w:pPr>
              <w:jc w:val="right"/>
              <w:ind w:right="230"/>
              <w:spacing w:after="0"/>
              <w:rPr>
                <w:sz w:val="20"/>
                <w:szCs w:val="20"/>
                <w:color w:val="auto"/>
              </w:rPr>
            </w:pPr>
            <w:r>
              <w:rPr>
                <w:rFonts w:ascii="Arial" w:cs="Arial" w:eastAsia="Arial" w:hAnsi="Arial"/>
                <w:sz w:val="18"/>
                <w:szCs w:val="18"/>
                <w:color w:val="auto"/>
              </w:rPr>
              <w:t>614</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742</w:t>
            </w:r>
          </w:p>
        </w:tc>
        <w:tc>
          <w:tcPr>
            <w:tcW w:w="1420" w:type="dxa"/>
            <w:vAlign w:val="bottom"/>
          </w:tcPr>
          <w:p>
            <w:pPr>
              <w:jc w:val="right"/>
              <w:spacing w:after="0"/>
              <w:rPr>
                <w:sz w:val="20"/>
                <w:szCs w:val="20"/>
                <w:color w:val="auto"/>
              </w:rPr>
            </w:pPr>
            <w:r>
              <w:rPr>
                <w:rFonts w:ascii="Arial" w:cs="Arial" w:eastAsia="Arial" w:hAnsi="Arial"/>
                <w:sz w:val="18"/>
                <w:szCs w:val="18"/>
                <w:color w:val="auto"/>
              </w:rPr>
              <w:t>8,877</w:t>
            </w:r>
          </w:p>
        </w:tc>
        <w:tc>
          <w:tcPr>
            <w:tcW w:w="20" w:type="dxa"/>
            <w:vAlign w:val="bottom"/>
          </w:tcPr>
          <w:p>
            <w:pPr>
              <w:spacing w:after="0"/>
              <w:rPr>
                <w:sz w:val="18"/>
                <w:szCs w:val="18"/>
                <w:color w:val="auto"/>
              </w:rPr>
            </w:pPr>
          </w:p>
        </w:tc>
      </w:tr>
      <w:tr>
        <w:trPr>
          <w:trHeight w:val="378"/>
        </w:trPr>
        <w:tc>
          <w:tcPr>
            <w:tcW w:w="4400" w:type="dxa"/>
            <w:vAlign w:val="bottom"/>
          </w:tcPr>
          <w:p>
            <w:pPr>
              <w:spacing w:after="0"/>
              <w:rPr>
                <w:sz w:val="20"/>
                <w:szCs w:val="20"/>
                <w:color w:val="auto"/>
              </w:rPr>
            </w:pPr>
            <w:r>
              <w:rPr>
                <w:rFonts w:ascii="Arial" w:cs="Arial" w:eastAsia="Arial" w:hAnsi="Arial"/>
                <w:sz w:val="18"/>
                <w:szCs w:val="18"/>
                <w:color w:val="auto"/>
              </w:rPr>
              <w:t>Postretirement plan change in benefits</w:t>
            </w:r>
          </w:p>
        </w:tc>
        <w:tc>
          <w:tcPr>
            <w:tcW w:w="1560" w:type="dxa"/>
            <w:vAlign w:val="bottom"/>
          </w:tcPr>
          <w:p>
            <w:pPr>
              <w:spacing w:after="0"/>
              <w:rPr>
                <w:sz w:val="24"/>
                <w:szCs w:val="24"/>
                <w:color w:val="auto"/>
              </w:rPr>
            </w:pPr>
          </w:p>
        </w:tc>
        <w:tc>
          <w:tcPr>
            <w:tcW w:w="1640" w:type="dxa"/>
            <w:vAlign w:val="bottom"/>
          </w:tcPr>
          <w:p>
            <w:pPr>
              <w:jc w:val="right"/>
              <w:ind w:right="230"/>
              <w:spacing w:after="0"/>
              <w:rPr>
                <w:sz w:val="20"/>
                <w:szCs w:val="20"/>
                <w:color w:val="auto"/>
              </w:rPr>
            </w:pPr>
            <w:r>
              <w:rPr>
                <w:rFonts w:ascii="Arial" w:cs="Arial" w:eastAsia="Arial" w:hAnsi="Arial"/>
                <w:sz w:val="18"/>
                <w:szCs w:val="18"/>
                <w:color w:val="auto"/>
              </w:rPr>
              <w:t>4,864</w:t>
            </w:r>
          </w:p>
        </w:tc>
        <w:tc>
          <w:tcPr>
            <w:tcW w:w="14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4,864</w:t>
            </w:r>
          </w:p>
        </w:tc>
        <w:tc>
          <w:tcPr>
            <w:tcW w:w="20" w:type="dxa"/>
            <w:vAlign w:val="bottom"/>
          </w:tcPr>
          <w:p>
            <w:pPr>
              <w:spacing w:after="0"/>
              <w:rPr>
                <w:sz w:val="24"/>
                <w:szCs w:val="24"/>
                <w:color w:val="auto"/>
              </w:rPr>
            </w:pPr>
          </w:p>
        </w:tc>
      </w:tr>
      <w:tr>
        <w:trPr>
          <w:trHeight w:val="378"/>
        </w:trPr>
        <w:tc>
          <w:tcPr>
            <w:tcW w:w="4400" w:type="dxa"/>
            <w:vAlign w:val="bottom"/>
          </w:tcPr>
          <w:p>
            <w:pPr>
              <w:spacing w:after="0"/>
              <w:rPr>
                <w:sz w:val="20"/>
                <w:szCs w:val="20"/>
                <w:color w:val="auto"/>
              </w:rPr>
            </w:pPr>
            <w:r>
              <w:rPr>
                <w:rFonts w:ascii="Arial" w:cs="Arial" w:eastAsia="Arial" w:hAnsi="Arial"/>
                <w:sz w:val="18"/>
                <w:szCs w:val="18"/>
                <w:color w:val="auto"/>
              </w:rPr>
              <w:t>Pension/postretirement plan remeasurement</w:t>
            </w:r>
          </w:p>
        </w:tc>
        <w:tc>
          <w:tcPr>
            <w:tcW w:w="1560" w:type="dxa"/>
            <w:vAlign w:val="bottom"/>
          </w:tcPr>
          <w:p>
            <w:pPr>
              <w:spacing w:after="0"/>
              <w:rPr>
                <w:sz w:val="24"/>
                <w:szCs w:val="24"/>
                <w:color w:val="auto"/>
              </w:rPr>
            </w:pPr>
          </w:p>
        </w:tc>
        <w:tc>
          <w:tcPr>
            <w:tcW w:w="1640" w:type="dxa"/>
            <w:vAlign w:val="bottom"/>
          </w:tcPr>
          <w:p>
            <w:pPr>
              <w:jc w:val="right"/>
              <w:ind w:right="230"/>
              <w:spacing w:after="0"/>
              <w:rPr>
                <w:sz w:val="20"/>
                <w:szCs w:val="20"/>
                <w:color w:val="auto"/>
              </w:rPr>
            </w:pPr>
            <w:r>
              <w:rPr>
                <w:rFonts w:ascii="Arial" w:cs="Arial" w:eastAsia="Arial" w:hAnsi="Arial"/>
                <w:sz w:val="18"/>
                <w:szCs w:val="18"/>
                <w:color w:val="auto"/>
              </w:rPr>
              <w:t>13,771</w:t>
            </w:r>
          </w:p>
        </w:tc>
        <w:tc>
          <w:tcPr>
            <w:tcW w:w="14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13,771</w:t>
            </w:r>
          </w:p>
        </w:tc>
        <w:tc>
          <w:tcPr>
            <w:tcW w:w="20" w:type="dxa"/>
            <w:vAlign w:val="bottom"/>
          </w:tcPr>
          <w:p>
            <w:pPr>
              <w:spacing w:after="0"/>
              <w:rPr>
                <w:sz w:val="24"/>
                <w:szCs w:val="24"/>
                <w:color w:val="auto"/>
              </w:rPr>
            </w:pPr>
          </w:p>
        </w:tc>
      </w:tr>
      <w:tr>
        <w:trPr>
          <w:trHeight w:val="378"/>
        </w:trPr>
        <w:tc>
          <w:tcPr>
            <w:tcW w:w="4400" w:type="dxa"/>
            <w:vAlign w:val="bottom"/>
          </w:tcPr>
          <w:p>
            <w:pPr>
              <w:spacing w:after="0"/>
              <w:rPr>
                <w:sz w:val="20"/>
                <w:szCs w:val="20"/>
                <w:color w:val="auto"/>
              </w:rPr>
            </w:pPr>
            <w:r>
              <w:rPr>
                <w:rFonts w:ascii="Arial" w:cs="Arial" w:eastAsia="Arial" w:hAnsi="Arial"/>
                <w:sz w:val="18"/>
                <w:szCs w:val="18"/>
                <w:color w:val="auto"/>
              </w:rPr>
              <w:t>Pension plan change in benefits</w:t>
            </w:r>
          </w:p>
        </w:tc>
        <w:tc>
          <w:tcPr>
            <w:tcW w:w="1560" w:type="dxa"/>
            <w:vAlign w:val="bottom"/>
          </w:tcPr>
          <w:p>
            <w:pPr>
              <w:spacing w:after="0"/>
              <w:rPr>
                <w:sz w:val="24"/>
                <w:szCs w:val="24"/>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color w:val="auto"/>
              </w:rPr>
              <w:t>(374)</w:t>
            </w:r>
          </w:p>
        </w:tc>
        <w:tc>
          <w:tcPr>
            <w:tcW w:w="14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(374)</w:t>
            </w:r>
          </w:p>
        </w:tc>
        <w:tc>
          <w:tcPr>
            <w:tcW w:w="20" w:type="dxa"/>
            <w:vAlign w:val="bottom"/>
          </w:tcPr>
          <w:p>
            <w:pPr>
              <w:spacing w:after="0"/>
              <w:rPr>
                <w:sz w:val="24"/>
                <w:szCs w:val="24"/>
                <w:color w:val="auto"/>
              </w:rPr>
            </w:pPr>
          </w:p>
        </w:tc>
      </w:tr>
      <w:tr>
        <w:trPr>
          <w:trHeight w:val="364"/>
        </w:trPr>
        <w:tc>
          <w:tcPr>
            <w:tcW w:w="4400" w:type="dxa"/>
            <w:vAlign w:val="bottom"/>
          </w:tcPr>
          <w:p>
            <w:pPr>
              <w:spacing w:after="0"/>
              <w:rPr>
                <w:sz w:val="20"/>
                <w:szCs w:val="20"/>
                <w:color w:val="auto"/>
              </w:rPr>
            </w:pPr>
            <w:r>
              <w:rPr>
                <w:rFonts w:ascii="Arial" w:cs="Arial" w:eastAsia="Arial" w:hAnsi="Arial"/>
                <w:sz w:val="18"/>
                <w:szCs w:val="18"/>
                <w:color w:val="auto"/>
              </w:rPr>
              <w:t>Interest expense related to swaps reclassified to the</w:t>
            </w:r>
          </w:p>
        </w:tc>
        <w:tc>
          <w:tcPr>
            <w:tcW w:w="15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7"/>
        </w:trPr>
        <w:tc>
          <w:tcPr>
            <w:tcW w:w="4400" w:type="dxa"/>
            <w:vAlign w:val="bottom"/>
          </w:tcPr>
          <w:p>
            <w:pPr>
              <w:spacing w:after="0"/>
              <w:rPr>
                <w:sz w:val="20"/>
                <w:szCs w:val="20"/>
                <w:color w:val="auto"/>
              </w:rPr>
            </w:pPr>
            <w:r>
              <w:rPr>
                <w:rFonts w:ascii="Arial" w:cs="Arial" w:eastAsia="Arial" w:hAnsi="Arial"/>
                <w:sz w:val="18"/>
                <w:szCs w:val="18"/>
                <w:color w:val="auto"/>
              </w:rPr>
              <w:t>Statement of Income, net of tax</w:t>
            </w:r>
          </w:p>
        </w:tc>
        <w:tc>
          <w:tcPr>
            <w:tcW w:w="15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1,159</w:t>
            </w:r>
          </w:p>
        </w:tc>
        <w:tc>
          <w:tcPr>
            <w:tcW w:w="1420" w:type="dxa"/>
            <w:vAlign w:val="bottom"/>
          </w:tcPr>
          <w:p>
            <w:pPr>
              <w:jc w:val="right"/>
              <w:spacing w:after="0"/>
              <w:rPr>
                <w:sz w:val="20"/>
                <w:szCs w:val="20"/>
                <w:color w:val="auto"/>
              </w:rPr>
            </w:pPr>
            <w:r>
              <w:rPr>
                <w:rFonts w:ascii="Arial" w:cs="Arial" w:eastAsia="Arial" w:hAnsi="Arial"/>
                <w:sz w:val="18"/>
                <w:szCs w:val="18"/>
                <w:color w:val="auto"/>
              </w:rPr>
              <w:t>1,159</w:t>
            </w:r>
          </w:p>
        </w:tc>
        <w:tc>
          <w:tcPr>
            <w:tcW w:w="20" w:type="dxa"/>
            <w:vAlign w:val="bottom"/>
          </w:tcPr>
          <w:p>
            <w:pPr>
              <w:spacing w:after="0"/>
              <w:rPr>
                <w:sz w:val="18"/>
                <w:szCs w:val="18"/>
                <w:color w:val="auto"/>
              </w:rPr>
            </w:pPr>
          </w:p>
        </w:tc>
      </w:tr>
      <w:tr>
        <w:trPr>
          <w:trHeight w:val="364"/>
        </w:trPr>
        <w:tc>
          <w:tcPr>
            <w:tcW w:w="4400" w:type="dxa"/>
            <w:vAlign w:val="bottom"/>
          </w:tcPr>
          <w:p>
            <w:pPr>
              <w:spacing w:after="0"/>
              <w:rPr>
                <w:sz w:val="20"/>
                <w:szCs w:val="20"/>
                <w:color w:val="auto"/>
              </w:rPr>
            </w:pPr>
            <w:r>
              <w:rPr>
                <w:rFonts w:ascii="Arial" w:cs="Arial" w:eastAsia="Arial" w:hAnsi="Arial"/>
                <w:sz w:val="18"/>
                <w:szCs w:val="18"/>
                <w:color w:val="auto"/>
              </w:rPr>
              <w:t>Pension and postretirement liability adjustments</w:t>
            </w:r>
          </w:p>
        </w:tc>
        <w:tc>
          <w:tcPr>
            <w:tcW w:w="15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7"/>
        </w:trPr>
        <w:tc>
          <w:tcPr>
            <w:tcW w:w="4400" w:type="dxa"/>
            <w:vAlign w:val="bottom"/>
          </w:tcPr>
          <w:p>
            <w:pPr>
              <w:spacing w:after="0"/>
              <w:rPr>
                <w:sz w:val="20"/>
                <w:szCs w:val="20"/>
                <w:color w:val="auto"/>
              </w:rPr>
            </w:pPr>
            <w:r>
              <w:rPr>
                <w:rFonts w:ascii="Arial" w:cs="Arial" w:eastAsia="Arial" w:hAnsi="Arial"/>
                <w:sz w:val="18"/>
                <w:szCs w:val="18"/>
                <w:color w:val="auto"/>
              </w:rPr>
              <w:t>reclassified to Statement of Income, net of tax</w:t>
            </w:r>
          </w:p>
        </w:tc>
        <w:tc>
          <w:tcPr>
            <w:tcW w:w="1560" w:type="dxa"/>
            <w:vAlign w:val="bottom"/>
          </w:tcPr>
          <w:p>
            <w:pPr>
              <w:spacing w:after="0"/>
              <w:rPr>
                <w:sz w:val="18"/>
                <w:szCs w:val="18"/>
                <w:color w:val="auto"/>
              </w:rPr>
            </w:pPr>
          </w:p>
        </w:tc>
        <w:tc>
          <w:tcPr>
            <w:tcW w:w="1640" w:type="dxa"/>
            <w:vAlign w:val="bottom"/>
          </w:tcPr>
          <w:p>
            <w:pPr>
              <w:jc w:val="right"/>
              <w:ind w:right="230"/>
              <w:spacing w:after="0"/>
              <w:rPr>
                <w:sz w:val="20"/>
                <w:szCs w:val="20"/>
                <w:color w:val="auto"/>
              </w:rPr>
            </w:pPr>
            <w:r>
              <w:rPr>
                <w:rFonts w:ascii="Arial" w:cs="Arial" w:eastAsia="Arial" w:hAnsi="Arial"/>
                <w:sz w:val="18"/>
                <w:szCs w:val="18"/>
                <w:color w:val="auto"/>
              </w:rPr>
              <w:t>2,226</w:t>
            </w:r>
          </w:p>
        </w:tc>
        <w:tc>
          <w:tcPr>
            <w:tcW w:w="14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2,226</w:t>
            </w:r>
          </w:p>
        </w:tc>
        <w:tc>
          <w:tcPr>
            <w:tcW w:w="20" w:type="dxa"/>
            <w:vAlign w:val="bottom"/>
          </w:tcPr>
          <w:p>
            <w:pPr>
              <w:spacing w:after="0"/>
              <w:rPr>
                <w:sz w:val="18"/>
                <w:szCs w:val="18"/>
                <w:color w:val="auto"/>
              </w:rPr>
            </w:pPr>
          </w:p>
        </w:tc>
      </w:tr>
      <w:tr>
        <w:trPr>
          <w:trHeight w:val="162"/>
        </w:trPr>
        <w:tc>
          <w:tcPr>
            <w:tcW w:w="44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372"/>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current period other comprehensive income</w:t>
            </w:r>
          </w:p>
        </w:tc>
        <w:tc>
          <w:tcPr>
            <w:tcW w:w="15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7,521</w:t>
            </w:r>
          </w:p>
        </w:tc>
        <w:tc>
          <w:tcPr>
            <w:tcW w:w="16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21,101</w:t>
            </w:r>
          </w:p>
        </w:tc>
        <w:tc>
          <w:tcPr>
            <w:tcW w:w="14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1,901</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30,523</w:t>
            </w:r>
          </w:p>
        </w:tc>
        <w:tc>
          <w:tcPr>
            <w:tcW w:w="20" w:type="dxa"/>
            <w:vAlign w:val="bottom"/>
          </w:tcPr>
          <w:p>
            <w:pPr>
              <w:spacing w:after="0"/>
              <w:rPr>
                <w:sz w:val="24"/>
                <w:szCs w:val="24"/>
                <w:color w:val="auto"/>
              </w:rPr>
            </w:pPr>
          </w:p>
        </w:tc>
      </w:tr>
      <w:tr>
        <w:trPr>
          <w:trHeight w:val="574"/>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December 31, 2013</w:t>
            </w:r>
          </w:p>
        </w:tc>
        <w:tc>
          <w:tcPr>
            <w:tcW w:w="15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($138)</w:t>
            </w:r>
          </w:p>
        </w:tc>
        <w:tc>
          <w:tcPr>
            <w:tcW w:w="16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($48,383)</w:t>
            </w:r>
          </w:p>
        </w:tc>
        <w:tc>
          <w:tcPr>
            <w:tcW w:w="14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($977)</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($49,498)</w:t>
            </w:r>
          </w:p>
        </w:tc>
        <w:tc>
          <w:tcPr>
            <w:tcW w:w="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540" w:firstLine="648"/>
        <w:spacing w:after="0"/>
        <w:rPr>
          <w:sz w:val="20"/>
          <w:szCs w:val="20"/>
          <w:color w:val="auto"/>
        </w:rPr>
      </w:pPr>
      <w:r>
        <w:rPr>
          <w:rFonts w:ascii="Arial" w:cs="Arial" w:eastAsia="Arial" w:hAnsi="Arial"/>
          <w:sz w:val="18"/>
          <w:szCs w:val="18"/>
          <w:color w:val="auto"/>
        </w:rPr>
        <w:t>The components of our Accumulated Other Comprehensive Income that are reclassified to the Statement of Income relate to our pension and postretirement plans and interest rate swaps. The table below presents the amounts reclassified, and the line items of the Statement of Income that were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60960</wp:posOffset>
            </wp:positionV>
            <wp:extent cx="542861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428615" cy="8890"/>
                    </a:xfrm>
                    <a:prstGeom prst="rect">
                      <a:avLst/>
                    </a:prstGeom>
                    <a:noFill/>
                  </pic:spPr>
                </pic:pic>
              </a:graphicData>
            </a:graphic>
          </wp:anchor>
        </w:drawing>
      </w:r>
    </w:p>
    <w:p>
      <w:pPr>
        <w:spacing w:after="0" w:line="192"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2300" w:type="dxa"/>
            <w:vAlign w:val="bottom"/>
          </w:tcPr>
          <w:p>
            <w:pPr>
              <w:jc w:val="center"/>
              <w:ind w:left="530"/>
              <w:spacing w:after="0"/>
              <w:rPr>
                <w:sz w:val="20"/>
                <w:szCs w:val="20"/>
                <w:color w:val="auto"/>
              </w:rPr>
            </w:pPr>
            <w:r>
              <w:rPr>
                <w:rFonts w:ascii="Arial" w:cs="Arial" w:eastAsia="Arial" w:hAnsi="Arial"/>
                <w:sz w:val="18"/>
                <w:szCs w:val="18"/>
                <w:color w:val="auto"/>
                <w:w w:val="99"/>
              </w:rPr>
              <w:t>Twelve months</w:t>
            </w:r>
          </w:p>
        </w:tc>
      </w:tr>
      <w:tr>
        <w:trPr>
          <w:trHeight w:val="203"/>
        </w:trPr>
        <w:tc>
          <w:tcPr>
            <w:tcW w:w="6240" w:type="dxa"/>
            <w:vAlign w:val="bottom"/>
            <w:gridSpan w:val="2"/>
          </w:tcPr>
          <w:p>
            <w:pPr>
              <w:spacing w:after="0" w:line="202" w:lineRule="exact"/>
              <w:rPr>
                <w:sz w:val="20"/>
                <w:szCs w:val="20"/>
                <w:color w:val="auto"/>
              </w:rPr>
            </w:pPr>
            <w:r>
              <w:rPr>
                <w:rFonts w:ascii="Arial" w:cs="Arial" w:eastAsia="Arial" w:hAnsi="Arial"/>
                <w:sz w:val="18"/>
                <w:szCs w:val="18"/>
                <w:color w:val="auto"/>
              </w:rPr>
              <w:t>Expense/(income)</w:t>
            </w:r>
          </w:p>
        </w:tc>
        <w:tc>
          <w:tcPr>
            <w:tcW w:w="2300" w:type="dxa"/>
            <w:vAlign w:val="bottom"/>
          </w:tcPr>
          <w:p>
            <w:pPr>
              <w:jc w:val="center"/>
              <w:ind w:left="530"/>
              <w:spacing w:after="0" w:line="202" w:lineRule="exact"/>
              <w:rPr>
                <w:sz w:val="20"/>
                <w:szCs w:val="20"/>
                <w:color w:val="auto"/>
              </w:rPr>
            </w:pPr>
            <w:r>
              <w:rPr>
                <w:rFonts w:ascii="Arial" w:cs="Arial" w:eastAsia="Arial" w:hAnsi="Arial"/>
                <w:sz w:val="18"/>
                <w:szCs w:val="18"/>
                <w:color w:val="auto"/>
                <w:w w:val="99"/>
              </w:rPr>
              <w:t>ended December 31,</w:t>
            </w:r>
          </w:p>
        </w:tc>
      </w:tr>
      <w:tr>
        <w:trPr>
          <w:trHeight w:val="203"/>
        </w:trPr>
        <w:tc>
          <w:tcPr>
            <w:tcW w:w="6240" w:type="dxa"/>
            <w:vAlign w:val="bottom"/>
            <w:tcBorders>
              <w:bottom w:val="single" w:sz="8" w:color="auto"/>
            </w:tcBorders>
            <w:gridSpan w:val="2"/>
          </w:tcPr>
          <w:p>
            <w:pPr>
              <w:spacing w:after="0" w:line="203" w:lineRule="exact"/>
              <w:rPr>
                <w:sz w:val="20"/>
                <w:szCs w:val="20"/>
                <w:color w:val="auto"/>
              </w:rPr>
            </w:pPr>
            <w:r>
              <w:rPr>
                <w:rFonts w:ascii="Arial" w:cs="Arial" w:eastAsia="Arial" w:hAnsi="Arial"/>
                <w:sz w:val="18"/>
                <w:szCs w:val="18"/>
                <w:color w:val="auto"/>
              </w:rPr>
              <w:t>(in thousands)</w:t>
            </w:r>
          </w:p>
        </w:tc>
        <w:tc>
          <w:tcPr>
            <w:tcW w:w="2300" w:type="dxa"/>
            <w:vAlign w:val="bottom"/>
            <w:tcBorders>
              <w:bottom w:val="single" w:sz="8" w:color="auto"/>
            </w:tcBorders>
          </w:tcPr>
          <w:p>
            <w:pPr>
              <w:jc w:val="center"/>
              <w:ind w:left="530"/>
              <w:spacing w:after="0" w:line="203" w:lineRule="exact"/>
              <w:rPr>
                <w:sz w:val="20"/>
                <w:szCs w:val="20"/>
                <w:color w:val="auto"/>
              </w:rPr>
            </w:pPr>
            <w:r>
              <w:rPr>
                <w:rFonts w:ascii="Arial" w:cs="Arial" w:eastAsia="Arial" w:hAnsi="Arial"/>
                <w:sz w:val="18"/>
                <w:szCs w:val="18"/>
                <w:color w:val="auto"/>
                <w:w w:val="99"/>
              </w:rPr>
              <w:t>2013</w:t>
            </w:r>
          </w:p>
        </w:tc>
      </w:tr>
      <w:tr>
        <w:trPr>
          <w:trHeight w:val="173"/>
        </w:trPr>
        <w:tc>
          <w:tcPr>
            <w:tcW w:w="6240" w:type="dxa"/>
            <w:vAlign w:val="bottom"/>
            <w:gridSpan w:val="2"/>
          </w:tcPr>
          <w:p>
            <w:pPr>
              <w:spacing w:after="0" w:line="173" w:lineRule="exact"/>
              <w:rPr>
                <w:sz w:val="20"/>
                <w:szCs w:val="20"/>
                <w:color w:val="auto"/>
              </w:rPr>
            </w:pPr>
            <w:r>
              <w:rPr>
                <w:rFonts w:ascii="Arial" w:cs="Arial" w:eastAsia="Arial" w:hAnsi="Arial"/>
                <w:sz w:val="18"/>
                <w:szCs w:val="18"/>
                <w:b w:val="1"/>
                <w:bCs w:val="1"/>
                <w:color w:val="auto"/>
              </w:rPr>
              <w:t>Pretax Derivative valuation reclassified from Accumulated Other</w:t>
            </w:r>
          </w:p>
        </w:tc>
        <w:tc>
          <w:tcPr>
            <w:tcW w:w="2300" w:type="dxa"/>
            <w:vAlign w:val="bottom"/>
          </w:tcPr>
          <w:p>
            <w:pPr>
              <w:spacing w:after="0"/>
              <w:rPr>
                <w:sz w:val="15"/>
                <w:szCs w:val="15"/>
                <w:color w:val="auto"/>
              </w:rPr>
            </w:pPr>
          </w:p>
        </w:tc>
      </w:tr>
      <w:tr>
        <w:trPr>
          <w:trHeight w:val="225"/>
        </w:trPr>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Comprehensive Income:</w:t>
            </w:r>
          </w:p>
        </w:tc>
        <w:tc>
          <w:tcPr>
            <w:tcW w:w="2300" w:type="dxa"/>
            <w:vAlign w:val="bottom"/>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6220" w:type="dxa"/>
            <w:vAlign w:val="bottom"/>
          </w:tcPr>
          <w:p>
            <w:pPr>
              <w:ind w:left="180"/>
              <w:spacing w:after="0" w:line="202" w:lineRule="exact"/>
              <w:rPr>
                <w:sz w:val="20"/>
                <w:szCs w:val="20"/>
                <w:color w:val="auto"/>
              </w:rPr>
            </w:pPr>
            <w:r>
              <w:rPr>
                <w:rFonts w:ascii="Arial" w:cs="Arial" w:eastAsia="Arial" w:hAnsi="Arial"/>
                <w:sz w:val="18"/>
                <w:szCs w:val="18"/>
                <w:color w:val="auto"/>
              </w:rPr>
              <w:t>Swap interest expense</w:t>
            </w:r>
          </w:p>
        </w:tc>
        <w:tc>
          <w:tcPr>
            <w:tcW w:w="2300" w:type="dxa"/>
            <w:vAlign w:val="bottom"/>
          </w:tcPr>
          <w:p>
            <w:pPr>
              <w:jc w:val="right"/>
              <w:spacing w:after="0" w:line="202" w:lineRule="exact"/>
              <w:rPr>
                <w:sz w:val="20"/>
                <w:szCs w:val="20"/>
                <w:color w:val="auto"/>
              </w:rPr>
            </w:pPr>
            <w:r>
              <w:rPr>
                <w:rFonts w:ascii="Arial" w:cs="Arial" w:eastAsia="Arial" w:hAnsi="Arial"/>
                <w:sz w:val="18"/>
                <w:szCs w:val="18"/>
                <w:color w:val="auto"/>
              </w:rPr>
              <w:t>$1,900</w:t>
            </w:r>
          </w:p>
        </w:tc>
      </w:tr>
      <w:tr>
        <w:trPr>
          <w:trHeight w:val="203"/>
        </w:trPr>
        <w:tc>
          <w:tcPr>
            <w:tcW w:w="20" w:type="dxa"/>
            <w:vAlign w:val="bottom"/>
          </w:tcPr>
          <w:p>
            <w:pPr>
              <w:spacing w:after="0"/>
              <w:rPr>
                <w:sz w:val="17"/>
                <w:szCs w:val="17"/>
                <w:color w:val="auto"/>
              </w:rPr>
            </w:pPr>
          </w:p>
        </w:tc>
        <w:tc>
          <w:tcPr>
            <w:tcW w:w="6220" w:type="dxa"/>
            <w:vAlign w:val="bottom"/>
            <w:tcBorders>
              <w:bottom w:val="single" w:sz="8" w:color="auto"/>
            </w:tcBorders>
          </w:tcPr>
          <w:p>
            <w:pPr>
              <w:ind w:left="180"/>
              <w:spacing w:after="0" w:line="203" w:lineRule="exact"/>
              <w:rPr>
                <w:sz w:val="20"/>
                <w:szCs w:val="20"/>
                <w:color w:val="auto"/>
              </w:rPr>
            </w:pPr>
            <w:r>
              <w:rPr>
                <w:rFonts w:ascii="Arial" w:cs="Arial" w:eastAsia="Arial" w:hAnsi="Arial"/>
                <w:sz w:val="18"/>
                <w:szCs w:val="18"/>
                <w:color w:val="auto"/>
              </w:rPr>
              <w:t>Income tax effect</w:t>
            </w:r>
          </w:p>
        </w:tc>
        <w:tc>
          <w:tcPr>
            <w:tcW w:w="2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(741)</w:t>
            </w:r>
          </w:p>
        </w:tc>
      </w:tr>
      <w:tr>
        <w:trPr>
          <w:trHeight w:val="195"/>
        </w:trPr>
        <w:tc>
          <w:tcPr>
            <w:tcW w:w="20" w:type="dxa"/>
            <w:vAlign w:val="bottom"/>
          </w:tcPr>
          <w:p>
            <w:pPr>
              <w:spacing w:after="0"/>
              <w:rPr>
                <w:sz w:val="16"/>
                <w:szCs w:val="16"/>
                <w:color w:val="auto"/>
              </w:rPr>
            </w:pPr>
          </w:p>
        </w:tc>
        <w:tc>
          <w:tcPr>
            <w:tcW w:w="6220" w:type="dxa"/>
            <w:vAlign w:val="bottom"/>
          </w:tcPr>
          <w:p>
            <w:pPr>
              <w:spacing w:after="0" w:line="195" w:lineRule="exact"/>
              <w:rPr>
                <w:sz w:val="20"/>
                <w:szCs w:val="20"/>
                <w:color w:val="auto"/>
              </w:rPr>
            </w:pPr>
            <w:r>
              <w:rPr>
                <w:rFonts w:ascii="Arial" w:cs="Arial" w:eastAsia="Arial" w:hAnsi="Arial"/>
                <w:sz w:val="18"/>
                <w:szCs w:val="18"/>
                <w:color w:val="auto"/>
              </w:rPr>
              <w:t>Effect on net income due to items reclassified from Accumulated Other</w:t>
            </w:r>
          </w:p>
        </w:tc>
        <w:tc>
          <w:tcPr>
            <w:tcW w:w="2300" w:type="dxa"/>
            <w:vAlign w:val="bottom"/>
          </w:tcPr>
          <w:p>
            <w:pPr>
              <w:spacing w:after="0"/>
              <w:rPr>
                <w:sz w:val="16"/>
                <w:szCs w:val="16"/>
                <w:color w:val="auto"/>
              </w:rPr>
            </w:pPr>
          </w:p>
        </w:tc>
      </w:tr>
      <w:tr>
        <w:trPr>
          <w:trHeight w:val="217"/>
        </w:trPr>
        <w:tc>
          <w:tcPr>
            <w:tcW w:w="6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Comprehensive Income</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w:t>
            </w:r>
          </w:p>
        </w:tc>
      </w:tr>
      <w:tr>
        <w:trPr>
          <w:trHeight w:val="376"/>
        </w:trPr>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Pretax pension and postretirement liabilities reclassified from</w:t>
            </w:r>
          </w:p>
        </w:tc>
        <w:tc>
          <w:tcPr>
            <w:tcW w:w="2300" w:type="dxa"/>
            <w:vAlign w:val="bottom"/>
          </w:tcPr>
          <w:p>
            <w:pPr>
              <w:spacing w:after="0"/>
              <w:rPr>
                <w:sz w:val="24"/>
                <w:szCs w:val="24"/>
                <w:color w:val="auto"/>
              </w:rPr>
            </w:pPr>
          </w:p>
        </w:tc>
      </w:tr>
      <w:tr>
        <w:trPr>
          <w:trHeight w:val="225"/>
        </w:trPr>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Accumulated Other Comprehensive Income:</w:t>
            </w:r>
          </w:p>
        </w:tc>
        <w:tc>
          <w:tcPr>
            <w:tcW w:w="2300" w:type="dxa"/>
            <w:vAlign w:val="bottom"/>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6220" w:type="dxa"/>
            <w:vAlign w:val="bottom"/>
          </w:tcPr>
          <w:p>
            <w:pPr>
              <w:ind w:left="180"/>
              <w:spacing w:after="0" w:line="202" w:lineRule="exact"/>
              <w:rPr>
                <w:sz w:val="20"/>
                <w:szCs w:val="20"/>
                <w:color w:val="auto"/>
              </w:rPr>
            </w:pPr>
            <w:r>
              <w:rPr>
                <w:rFonts w:ascii="Arial" w:cs="Arial" w:eastAsia="Arial" w:hAnsi="Arial"/>
                <w:sz w:val="18"/>
                <w:szCs w:val="18"/>
                <w:color w:val="auto"/>
              </w:rPr>
              <w:t>Amortization of prior service cost/(credit)</w:t>
            </w:r>
          </w:p>
        </w:tc>
        <w:tc>
          <w:tcPr>
            <w:tcW w:w="2300" w:type="dxa"/>
            <w:vAlign w:val="bottom"/>
          </w:tcPr>
          <w:p>
            <w:pPr>
              <w:jc w:val="right"/>
              <w:spacing w:after="0" w:line="202" w:lineRule="exact"/>
              <w:rPr>
                <w:sz w:val="20"/>
                <w:szCs w:val="20"/>
                <w:color w:val="auto"/>
              </w:rPr>
            </w:pPr>
            <w:r>
              <w:rPr>
                <w:rFonts w:ascii="Arial" w:cs="Arial" w:eastAsia="Arial" w:hAnsi="Arial"/>
                <w:sz w:val="18"/>
                <w:szCs w:val="18"/>
                <w:color w:val="auto"/>
              </w:rPr>
              <w:t>($3,905)</w:t>
            </w:r>
          </w:p>
        </w:tc>
      </w:tr>
      <w:tr>
        <w:trPr>
          <w:trHeight w:val="203"/>
        </w:trPr>
        <w:tc>
          <w:tcPr>
            <w:tcW w:w="20" w:type="dxa"/>
            <w:vAlign w:val="bottom"/>
          </w:tcPr>
          <w:p>
            <w:pPr>
              <w:spacing w:after="0"/>
              <w:rPr>
                <w:sz w:val="17"/>
                <w:szCs w:val="17"/>
                <w:color w:val="auto"/>
              </w:rPr>
            </w:pPr>
          </w:p>
        </w:tc>
        <w:tc>
          <w:tcPr>
            <w:tcW w:w="6220" w:type="dxa"/>
            <w:vAlign w:val="bottom"/>
          </w:tcPr>
          <w:p>
            <w:pPr>
              <w:ind w:left="180"/>
              <w:spacing w:after="0" w:line="202" w:lineRule="exact"/>
              <w:rPr>
                <w:sz w:val="20"/>
                <w:szCs w:val="20"/>
                <w:color w:val="auto"/>
              </w:rPr>
            </w:pPr>
            <w:r>
              <w:rPr>
                <w:rFonts w:ascii="Arial" w:cs="Arial" w:eastAsia="Arial" w:hAnsi="Arial"/>
                <w:sz w:val="18"/>
                <w:szCs w:val="18"/>
                <w:color w:val="auto"/>
              </w:rPr>
              <w:t>Amortization of transition obligation</w:t>
            </w:r>
          </w:p>
        </w:tc>
        <w:tc>
          <w:tcPr>
            <w:tcW w:w="2300" w:type="dxa"/>
            <w:vAlign w:val="bottom"/>
          </w:tcPr>
          <w:p>
            <w:pPr>
              <w:jc w:val="right"/>
              <w:spacing w:after="0" w:line="202" w:lineRule="exact"/>
              <w:rPr>
                <w:sz w:val="20"/>
                <w:szCs w:val="20"/>
                <w:color w:val="auto"/>
              </w:rPr>
            </w:pPr>
            <w:r>
              <w:rPr>
                <w:rFonts w:ascii="Arial" w:cs="Arial" w:eastAsia="Arial" w:hAnsi="Arial"/>
                <w:sz w:val="18"/>
                <w:szCs w:val="18"/>
                <w:color w:val="auto"/>
              </w:rPr>
              <w:t>70</w:t>
            </w:r>
          </w:p>
        </w:tc>
      </w:tr>
      <w:tr>
        <w:trPr>
          <w:trHeight w:val="203"/>
        </w:trPr>
        <w:tc>
          <w:tcPr>
            <w:tcW w:w="20" w:type="dxa"/>
            <w:vAlign w:val="bottom"/>
          </w:tcPr>
          <w:p>
            <w:pPr>
              <w:spacing w:after="0"/>
              <w:rPr>
                <w:sz w:val="17"/>
                <w:szCs w:val="17"/>
                <w:color w:val="auto"/>
              </w:rPr>
            </w:pPr>
          </w:p>
        </w:tc>
        <w:tc>
          <w:tcPr>
            <w:tcW w:w="6220" w:type="dxa"/>
            <w:vAlign w:val="bottom"/>
            <w:tcBorders>
              <w:bottom w:val="single" w:sz="8" w:color="auto"/>
            </w:tcBorders>
          </w:tcPr>
          <w:p>
            <w:pPr>
              <w:ind w:left="180"/>
              <w:spacing w:after="0" w:line="203" w:lineRule="exact"/>
              <w:rPr>
                <w:sz w:val="20"/>
                <w:szCs w:val="20"/>
                <w:color w:val="auto"/>
              </w:rPr>
            </w:pPr>
            <w:r>
              <w:rPr>
                <w:rFonts w:ascii="Arial" w:cs="Arial" w:eastAsia="Arial" w:hAnsi="Arial"/>
                <w:sz w:val="18"/>
                <w:szCs w:val="18"/>
                <w:color w:val="auto"/>
              </w:rPr>
              <w:t>Amortization of net actuarial loss</w:t>
            </w:r>
          </w:p>
        </w:tc>
        <w:tc>
          <w:tcPr>
            <w:tcW w:w="2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6,512</w:t>
            </w:r>
          </w:p>
        </w:tc>
      </w:tr>
      <w:tr>
        <w:trPr>
          <w:trHeight w:val="210"/>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Total pretax amount reclassified(a)</w:t>
            </w:r>
          </w:p>
        </w:tc>
        <w:tc>
          <w:tcPr>
            <w:tcW w:w="2300" w:type="dxa"/>
            <w:vAlign w:val="bottom"/>
          </w:tcPr>
          <w:p>
            <w:pPr>
              <w:jc w:val="right"/>
              <w:spacing w:after="0"/>
              <w:rPr>
                <w:sz w:val="20"/>
                <w:szCs w:val="20"/>
                <w:color w:val="auto"/>
              </w:rPr>
            </w:pPr>
            <w:r>
              <w:rPr>
                <w:rFonts w:ascii="Arial" w:cs="Arial" w:eastAsia="Arial" w:hAnsi="Arial"/>
                <w:sz w:val="18"/>
                <w:szCs w:val="18"/>
                <w:color w:val="auto"/>
              </w:rPr>
              <w:t>2,677</w:t>
            </w:r>
          </w:p>
        </w:tc>
      </w:tr>
      <w:tr>
        <w:trPr>
          <w:trHeight w:val="404"/>
        </w:trPr>
        <w:tc>
          <w:tcPr>
            <w:tcW w:w="6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Income tax effect</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w:t>
            </w:r>
          </w:p>
        </w:tc>
      </w:tr>
      <w:tr>
        <w:trPr>
          <w:trHeight w:val="195"/>
        </w:trPr>
        <w:tc>
          <w:tcPr>
            <w:tcW w:w="6240" w:type="dxa"/>
            <w:vAlign w:val="bottom"/>
            <w:gridSpan w:val="2"/>
          </w:tcPr>
          <w:p>
            <w:pPr>
              <w:spacing w:after="0" w:line="195" w:lineRule="exact"/>
              <w:rPr>
                <w:sz w:val="20"/>
                <w:szCs w:val="20"/>
                <w:color w:val="auto"/>
              </w:rPr>
            </w:pPr>
            <w:r>
              <w:rPr>
                <w:rFonts w:ascii="Arial" w:cs="Arial" w:eastAsia="Arial" w:hAnsi="Arial"/>
                <w:sz w:val="18"/>
                <w:szCs w:val="18"/>
                <w:color w:val="auto"/>
              </w:rPr>
              <w:t>Effect on net income due to items reclassified from Accumulated Other</w:t>
            </w:r>
          </w:p>
        </w:tc>
        <w:tc>
          <w:tcPr>
            <w:tcW w:w="2300" w:type="dxa"/>
            <w:vAlign w:val="bottom"/>
          </w:tcPr>
          <w:p>
            <w:pPr>
              <w:spacing w:after="0"/>
              <w:rPr>
                <w:sz w:val="16"/>
                <w:szCs w:val="16"/>
                <w:color w:val="auto"/>
              </w:rPr>
            </w:pPr>
          </w:p>
        </w:tc>
      </w:tr>
      <w:tr>
        <w:trPr>
          <w:trHeight w:val="230"/>
        </w:trPr>
        <w:tc>
          <w:tcPr>
            <w:tcW w:w="624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2300" w:type="dxa"/>
            <w:vAlign w:val="bottom"/>
          </w:tcPr>
          <w:p>
            <w:pPr>
              <w:jc w:val="right"/>
              <w:spacing w:after="0"/>
              <w:rPr>
                <w:sz w:val="20"/>
                <w:szCs w:val="20"/>
                <w:color w:val="auto"/>
              </w:rPr>
            </w:pPr>
            <w:r>
              <w:rPr>
                <w:rFonts w:ascii="Arial" w:cs="Arial" w:eastAsia="Arial" w:hAnsi="Arial"/>
                <w:sz w:val="18"/>
                <w:szCs w:val="18"/>
                <w:color w:val="auto"/>
              </w:rPr>
              <w:t>$2,226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-7620</wp:posOffset>
            </wp:positionV>
            <wp:extent cx="542861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428615" cy="8890"/>
                    </a:xfrm>
                    <a:prstGeom prst="rect">
                      <a:avLst/>
                    </a:prstGeom>
                    <a:noFill/>
                  </pic:spPr>
                </pic:pic>
              </a:graphicData>
            </a:graphic>
          </wp:anchor>
        </w:drawing>
      </w:r>
    </w:p>
    <w:p>
      <w:pPr>
        <w:ind w:left="1080" w:right="2340" w:hanging="397"/>
        <w:spacing w:after="0" w:line="246"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These accumulated other comprehensive income components are included in the computation of net periodic pension cost (see Note 5).</w:t>
      </w: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11. Property, Plant and Equipment</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property, plant and equipment are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109220</wp:posOffset>
            </wp:positionV>
            <wp:extent cx="630301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303010" cy="8890"/>
                    </a:xfrm>
                    <a:prstGeom prst="rect">
                      <a:avLst/>
                    </a:prstGeom>
                    <a:noFill/>
                  </pic:spPr>
                </pic:pic>
              </a:graphicData>
            </a:graphic>
          </wp:anchor>
        </w:drawing>
      </w:r>
    </w:p>
    <w:p>
      <w:pPr>
        <w:spacing w:after="0" w:line="264" w:lineRule="exact"/>
        <w:rPr>
          <w:sz w:val="20"/>
          <w:szCs w:val="20"/>
          <w:color w:val="auto"/>
        </w:rPr>
      </w:pPr>
    </w:p>
    <w:tbl>
      <w:tblPr>
        <w:tblLayout w:type="fixed"/>
        <w:tblInd w:w="660" w:type="dxa"/>
        <w:tblCellMar>
          <w:top w:w="0" w:type="dxa"/>
          <w:left w:w="0" w:type="dxa"/>
          <w:bottom w:w="0" w:type="dxa"/>
          <w:right w:w="0" w:type="dxa"/>
        </w:tblCellMar>
      </w:tblPr>
      <w:tr>
        <w:trPr>
          <w:trHeight w:val="225"/>
        </w:trPr>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2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2013</w:t>
            </w:r>
          </w:p>
        </w:tc>
        <w:tc>
          <w:tcPr>
            <w:tcW w:w="1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2012</w:t>
            </w:r>
          </w:p>
        </w:tc>
        <w:tc>
          <w:tcPr>
            <w:tcW w:w="234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Estimated useful life</w:t>
            </w:r>
          </w:p>
        </w:tc>
      </w:tr>
      <w:tr>
        <w:trPr>
          <w:trHeight w:val="412"/>
        </w:trPr>
        <w:tc>
          <w:tcPr>
            <w:tcW w:w="3600" w:type="dxa"/>
            <w:vAlign w:val="bottom"/>
          </w:tcPr>
          <w:p>
            <w:pPr>
              <w:spacing w:after="0"/>
              <w:rPr>
                <w:sz w:val="20"/>
                <w:szCs w:val="20"/>
                <w:color w:val="auto"/>
              </w:rPr>
            </w:pPr>
            <w:r>
              <w:rPr>
                <w:rFonts w:ascii="Arial" w:cs="Arial" w:eastAsia="Arial" w:hAnsi="Arial"/>
                <w:sz w:val="18"/>
                <w:szCs w:val="18"/>
                <w:color w:val="auto"/>
              </w:rPr>
              <w:t>Land and land improvements</w:t>
            </w:r>
          </w:p>
        </w:tc>
        <w:tc>
          <w:tcPr>
            <w:tcW w:w="2220" w:type="dxa"/>
            <w:vAlign w:val="bottom"/>
          </w:tcPr>
          <w:p>
            <w:pPr>
              <w:jc w:val="right"/>
              <w:ind w:right="690"/>
              <w:spacing w:after="0"/>
              <w:rPr>
                <w:sz w:val="20"/>
                <w:szCs w:val="20"/>
                <w:color w:val="auto"/>
              </w:rPr>
            </w:pPr>
            <w:r>
              <w:rPr>
                <w:rFonts w:ascii="Arial" w:cs="Arial" w:eastAsia="Arial" w:hAnsi="Arial"/>
                <w:sz w:val="18"/>
                <w:szCs w:val="18"/>
                <w:b w:val="1"/>
                <w:bCs w:val="1"/>
                <w:color w:val="auto"/>
              </w:rPr>
              <w:t>$27,081</w:t>
            </w:r>
          </w:p>
        </w:tc>
        <w:tc>
          <w:tcPr>
            <w:tcW w:w="1760" w:type="dxa"/>
            <w:vAlign w:val="bottom"/>
          </w:tcPr>
          <w:p>
            <w:pPr>
              <w:jc w:val="right"/>
              <w:ind w:right="210"/>
              <w:spacing w:after="0"/>
              <w:rPr>
                <w:sz w:val="20"/>
                <w:szCs w:val="20"/>
                <w:color w:val="auto"/>
              </w:rPr>
            </w:pPr>
            <w:r>
              <w:rPr>
                <w:rFonts w:ascii="Arial" w:cs="Arial" w:eastAsia="Arial" w:hAnsi="Arial"/>
                <w:sz w:val="18"/>
                <w:szCs w:val="18"/>
                <w:color w:val="auto"/>
              </w:rPr>
              <w:t>$26,985</w:t>
            </w:r>
          </w:p>
        </w:tc>
        <w:tc>
          <w:tcPr>
            <w:tcW w:w="2340" w:type="dxa"/>
            <w:vAlign w:val="bottom"/>
          </w:tcPr>
          <w:p>
            <w:pPr>
              <w:ind w:left="200"/>
              <w:spacing w:after="0"/>
              <w:rPr>
                <w:sz w:val="20"/>
                <w:szCs w:val="20"/>
                <w:color w:val="auto"/>
              </w:rPr>
            </w:pPr>
            <w:r>
              <w:rPr>
                <w:rFonts w:ascii="Arial" w:cs="Arial" w:eastAsia="Arial" w:hAnsi="Arial"/>
                <w:sz w:val="18"/>
                <w:szCs w:val="18"/>
                <w:color w:val="auto"/>
                <w:w w:val="99"/>
              </w:rPr>
              <w:t>25 years for improvements</w:t>
            </w:r>
          </w:p>
        </w:tc>
      </w:tr>
      <w:tr>
        <w:trPr>
          <w:trHeight w:val="405"/>
        </w:trPr>
        <w:tc>
          <w:tcPr>
            <w:tcW w:w="3600" w:type="dxa"/>
            <w:vAlign w:val="bottom"/>
          </w:tcPr>
          <w:p>
            <w:pPr>
              <w:spacing w:after="0"/>
              <w:rPr>
                <w:sz w:val="20"/>
                <w:szCs w:val="20"/>
                <w:color w:val="auto"/>
              </w:rPr>
            </w:pPr>
            <w:r>
              <w:rPr>
                <w:rFonts w:ascii="Arial" w:cs="Arial" w:eastAsia="Arial" w:hAnsi="Arial"/>
                <w:sz w:val="18"/>
                <w:szCs w:val="18"/>
                <w:color w:val="auto"/>
              </w:rPr>
              <w:t>Buildings</w:t>
            </w:r>
          </w:p>
        </w:tc>
        <w:tc>
          <w:tcPr>
            <w:tcW w:w="2220" w:type="dxa"/>
            <w:vAlign w:val="bottom"/>
          </w:tcPr>
          <w:p>
            <w:pPr>
              <w:jc w:val="right"/>
              <w:ind w:right="690"/>
              <w:spacing w:after="0"/>
              <w:rPr>
                <w:sz w:val="20"/>
                <w:szCs w:val="20"/>
                <w:color w:val="auto"/>
              </w:rPr>
            </w:pPr>
            <w:r>
              <w:rPr>
                <w:rFonts w:ascii="Arial" w:cs="Arial" w:eastAsia="Arial" w:hAnsi="Arial"/>
                <w:sz w:val="18"/>
                <w:szCs w:val="18"/>
                <w:b w:val="1"/>
                <w:bCs w:val="1"/>
                <w:color w:val="auto"/>
              </w:rPr>
              <w:t>240,849</w:t>
            </w:r>
          </w:p>
        </w:tc>
        <w:tc>
          <w:tcPr>
            <w:tcW w:w="1760" w:type="dxa"/>
            <w:vAlign w:val="bottom"/>
          </w:tcPr>
          <w:p>
            <w:pPr>
              <w:jc w:val="right"/>
              <w:ind w:right="210"/>
              <w:spacing w:after="0"/>
              <w:rPr>
                <w:sz w:val="20"/>
                <w:szCs w:val="20"/>
                <w:color w:val="auto"/>
              </w:rPr>
            </w:pPr>
            <w:r>
              <w:rPr>
                <w:rFonts w:ascii="Arial" w:cs="Arial" w:eastAsia="Arial" w:hAnsi="Arial"/>
                <w:sz w:val="18"/>
                <w:szCs w:val="18"/>
                <w:color w:val="auto"/>
              </w:rPr>
              <w:t>244,104</w:t>
            </w:r>
          </w:p>
        </w:tc>
        <w:tc>
          <w:tcPr>
            <w:tcW w:w="2340" w:type="dxa"/>
            <w:vAlign w:val="bottom"/>
          </w:tcPr>
          <w:p>
            <w:pPr>
              <w:ind w:left="200"/>
              <w:spacing w:after="0"/>
              <w:rPr>
                <w:sz w:val="20"/>
                <w:szCs w:val="20"/>
                <w:color w:val="auto"/>
              </w:rPr>
            </w:pPr>
            <w:r>
              <w:rPr>
                <w:rFonts w:ascii="Arial" w:cs="Arial" w:eastAsia="Arial" w:hAnsi="Arial"/>
                <w:sz w:val="18"/>
                <w:szCs w:val="18"/>
                <w:color w:val="auto"/>
              </w:rPr>
              <w:t>25 to 40 years</w:t>
            </w:r>
          </w:p>
        </w:tc>
      </w:tr>
      <w:tr>
        <w:trPr>
          <w:trHeight w:val="405"/>
        </w:trPr>
        <w:tc>
          <w:tcPr>
            <w:tcW w:w="360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2220" w:type="dxa"/>
            <w:vAlign w:val="bottom"/>
          </w:tcPr>
          <w:p>
            <w:pPr>
              <w:jc w:val="right"/>
              <w:ind w:right="690"/>
              <w:spacing w:after="0"/>
              <w:rPr>
                <w:sz w:val="20"/>
                <w:szCs w:val="20"/>
                <w:color w:val="auto"/>
              </w:rPr>
            </w:pPr>
            <w:r>
              <w:rPr>
                <w:rFonts w:ascii="Arial" w:cs="Arial" w:eastAsia="Arial" w:hAnsi="Arial"/>
                <w:sz w:val="18"/>
                <w:szCs w:val="18"/>
                <w:b w:val="1"/>
                <w:bCs w:val="1"/>
                <w:color w:val="auto"/>
              </w:rPr>
              <w:t>903,037</w:t>
            </w:r>
          </w:p>
        </w:tc>
        <w:tc>
          <w:tcPr>
            <w:tcW w:w="1760" w:type="dxa"/>
            <w:vAlign w:val="bottom"/>
          </w:tcPr>
          <w:p>
            <w:pPr>
              <w:jc w:val="right"/>
              <w:ind w:right="210"/>
              <w:spacing w:after="0"/>
              <w:rPr>
                <w:sz w:val="20"/>
                <w:szCs w:val="20"/>
                <w:color w:val="auto"/>
              </w:rPr>
            </w:pPr>
            <w:r>
              <w:rPr>
                <w:rFonts w:ascii="Arial" w:cs="Arial" w:eastAsia="Arial" w:hAnsi="Arial"/>
                <w:sz w:val="18"/>
                <w:szCs w:val="18"/>
                <w:color w:val="auto"/>
              </w:rPr>
              <w:t>863,811</w:t>
            </w:r>
          </w:p>
        </w:tc>
        <w:tc>
          <w:tcPr>
            <w:tcW w:w="2340" w:type="dxa"/>
            <w:vAlign w:val="bottom"/>
          </w:tcPr>
          <w:p>
            <w:pPr>
              <w:ind w:left="200"/>
              <w:spacing w:after="0"/>
              <w:rPr>
                <w:sz w:val="20"/>
                <w:szCs w:val="20"/>
                <w:color w:val="auto"/>
              </w:rPr>
            </w:pPr>
            <w:r>
              <w:rPr>
                <w:rFonts w:ascii="Arial" w:cs="Arial" w:eastAsia="Arial" w:hAnsi="Arial"/>
                <w:sz w:val="18"/>
                <w:szCs w:val="18"/>
                <w:color w:val="auto"/>
              </w:rPr>
              <w:t>10 years</w:t>
            </w:r>
          </w:p>
        </w:tc>
      </w:tr>
      <w:tr>
        <w:trPr>
          <w:trHeight w:val="405"/>
        </w:trPr>
        <w:tc>
          <w:tcPr>
            <w:tcW w:w="36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220" w:type="dxa"/>
            <w:vAlign w:val="bottom"/>
          </w:tcPr>
          <w:p>
            <w:pPr>
              <w:jc w:val="right"/>
              <w:ind w:right="690"/>
              <w:spacing w:after="0"/>
              <w:rPr>
                <w:sz w:val="20"/>
                <w:szCs w:val="20"/>
                <w:color w:val="auto"/>
              </w:rPr>
            </w:pPr>
            <w:r>
              <w:rPr>
                <w:rFonts w:ascii="Arial" w:cs="Arial" w:eastAsia="Arial" w:hAnsi="Arial"/>
                <w:sz w:val="18"/>
                <w:szCs w:val="18"/>
                <w:b w:val="1"/>
                <w:bCs w:val="1"/>
                <w:color w:val="auto"/>
              </w:rPr>
              <w:t>6,818</w:t>
            </w:r>
          </w:p>
        </w:tc>
        <w:tc>
          <w:tcPr>
            <w:tcW w:w="1760" w:type="dxa"/>
            <w:vAlign w:val="bottom"/>
          </w:tcPr>
          <w:p>
            <w:pPr>
              <w:jc w:val="right"/>
              <w:ind w:right="210"/>
              <w:spacing w:after="0"/>
              <w:rPr>
                <w:sz w:val="20"/>
                <w:szCs w:val="20"/>
                <w:color w:val="auto"/>
              </w:rPr>
            </w:pPr>
            <w:r>
              <w:rPr>
                <w:rFonts w:ascii="Arial" w:cs="Arial" w:eastAsia="Arial" w:hAnsi="Arial"/>
                <w:sz w:val="18"/>
                <w:szCs w:val="18"/>
                <w:color w:val="auto"/>
              </w:rPr>
              <w:t>7,249</w:t>
            </w:r>
          </w:p>
        </w:tc>
        <w:tc>
          <w:tcPr>
            <w:tcW w:w="2340" w:type="dxa"/>
            <w:vAlign w:val="bottom"/>
          </w:tcPr>
          <w:p>
            <w:pPr>
              <w:ind w:left="200"/>
              <w:spacing w:after="0"/>
              <w:rPr>
                <w:sz w:val="20"/>
                <w:szCs w:val="20"/>
                <w:color w:val="auto"/>
              </w:rPr>
            </w:pPr>
            <w:r>
              <w:rPr>
                <w:rFonts w:ascii="Arial" w:cs="Arial" w:eastAsia="Arial" w:hAnsi="Arial"/>
                <w:sz w:val="18"/>
                <w:szCs w:val="18"/>
                <w:color w:val="auto"/>
              </w:rPr>
              <w:t>5 years</w:t>
            </w:r>
          </w:p>
        </w:tc>
      </w:tr>
      <w:tr>
        <w:trPr>
          <w:trHeight w:val="405"/>
        </w:trPr>
        <w:tc>
          <w:tcPr>
            <w:tcW w:w="3600" w:type="dxa"/>
            <w:vAlign w:val="bottom"/>
          </w:tcPr>
          <w:p>
            <w:pPr>
              <w:spacing w:after="0"/>
              <w:rPr>
                <w:sz w:val="20"/>
                <w:szCs w:val="20"/>
                <w:color w:val="auto"/>
              </w:rPr>
            </w:pPr>
            <w:r>
              <w:rPr>
                <w:rFonts w:ascii="Arial" w:cs="Arial" w:eastAsia="Arial" w:hAnsi="Arial"/>
                <w:sz w:val="18"/>
                <w:szCs w:val="18"/>
                <w:color w:val="auto"/>
              </w:rPr>
              <w:t>Computer and other equipment</w:t>
            </w:r>
          </w:p>
        </w:tc>
        <w:tc>
          <w:tcPr>
            <w:tcW w:w="2220" w:type="dxa"/>
            <w:vAlign w:val="bottom"/>
          </w:tcPr>
          <w:p>
            <w:pPr>
              <w:jc w:val="right"/>
              <w:ind w:right="690"/>
              <w:spacing w:after="0"/>
              <w:rPr>
                <w:sz w:val="20"/>
                <w:szCs w:val="20"/>
                <w:color w:val="auto"/>
              </w:rPr>
            </w:pPr>
            <w:r>
              <w:rPr>
                <w:rFonts w:ascii="Arial" w:cs="Arial" w:eastAsia="Arial" w:hAnsi="Arial"/>
                <w:sz w:val="18"/>
                <w:szCs w:val="18"/>
                <w:b w:val="1"/>
                <w:bCs w:val="1"/>
                <w:color w:val="auto"/>
              </w:rPr>
              <w:t>12,843</w:t>
            </w:r>
          </w:p>
        </w:tc>
        <w:tc>
          <w:tcPr>
            <w:tcW w:w="1760" w:type="dxa"/>
            <w:vAlign w:val="bottom"/>
          </w:tcPr>
          <w:p>
            <w:pPr>
              <w:jc w:val="right"/>
              <w:ind w:right="210"/>
              <w:spacing w:after="0"/>
              <w:rPr>
                <w:sz w:val="20"/>
                <w:szCs w:val="20"/>
                <w:color w:val="auto"/>
              </w:rPr>
            </w:pPr>
            <w:r>
              <w:rPr>
                <w:rFonts w:ascii="Arial" w:cs="Arial" w:eastAsia="Arial" w:hAnsi="Arial"/>
                <w:sz w:val="18"/>
                <w:szCs w:val="18"/>
                <w:color w:val="auto"/>
              </w:rPr>
              <w:t>11,946</w:t>
            </w:r>
          </w:p>
        </w:tc>
        <w:tc>
          <w:tcPr>
            <w:tcW w:w="2340" w:type="dxa"/>
            <w:vAlign w:val="bottom"/>
          </w:tcPr>
          <w:p>
            <w:pPr>
              <w:ind w:left="200"/>
              <w:spacing w:after="0"/>
              <w:rPr>
                <w:sz w:val="20"/>
                <w:szCs w:val="20"/>
                <w:color w:val="auto"/>
              </w:rPr>
            </w:pPr>
            <w:r>
              <w:rPr>
                <w:rFonts w:ascii="Arial" w:cs="Arial" w:eastAsia="Arial" w:hAnsi="Arial"/>
                <w:sz w:val="18"/>
                <w:szCs w:val="18"/>
                <w:color w:val="auto"/>
              </w:rPr>
              <w:t>3 to 10 years</w:t>
            </w:r>
          </w:p>
        </w:tc>
      </w:tr>
      <w:tr>
        <w:trPr>
          <w:trHeight w:val="405"/>
        </w:trPr>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Software</w:t>
            </w:r>
          </w:p>
        </w:tc>
        <w:tc>
          <w:tcPr>
            <w:tcW w:w="222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50,246</w:t>
            </w:r>
          </w:p>
        </w:tc>
        <w:tc>
          <w:tcPr>
            <w:tcW w:w="1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47,576</w:t>
            </w:r>
          </w:p>
        </w:tc>
        <w:tc>
          <w:tcPr>
            <w:tcW w:w="23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5 to 8 years</w:t>
            </w:r>
          </w:p>
        </w:tc>
      </w:tr>
      <w:tr>
        <w:trPr>
          <w:trHeight w:val="412"/>
        </w:trPr>
        <w:tc>
          <w:tcPr>
            <w:tcW w:w="3600" w:type="dxa"/>
            <w:vAlign w:val="bottom"/>
          </w:tcPr>
          <w:p>
            <w:pPr>
              <w:spacing w:after="0"/>
              <w:rPr>
                <w:sz w:val="20"/>
                <w:szCs w:val="20"/>
                <w:color w:val="auto"/>
              </w:rPr>
            </w:pPr>
            <w:r>
              <w:rPr>
                <w:rFonts w:ascii="Arial" w:cs="Arial" w:eastAsia="Arial" w:hAnsi="Arial"/>
                <w:sz w:val="18"/>
                <w:szCs w:val="18"/>
                <w:color w:val="auto"/>
              </w:rPr>
              <w:t>Property, plant and equipment, gross</w:t>
            </w:r>
          </w:p>
        </w:tc>
        <w:tc>
          <w:tcPr>
            <w:tcW w:w="2220" w:type="dxa"/>
            <w:vAlign w:val="bottom"/>
          </w:tcPr>
          <w:p>
            <w:pPr>
              <w:jc w:val="right"/>
              <w:ind w:right="690"/>
              <w:spacing w:after="0"/>
              <w:rPr>
                <w:sz w:val="20"/>
                <w:szCs w:val="20"/>
                <w:color w:val="auto"/>
              </w:rPr>
            </w:pPr>
            <w:r>
              <w:rPr>
                <w:rFonts w:ascii="Arial" w:cs="Arial" w:eastAsia="Arial" w:hAnsi="Arial"/>
                <w:sz w:val="18"/>
                <w:szCs w:val="18"/>
                <w:b w:val="1"/>
                <w:bCs w:val="1"/>
                <w:color w:val="auto"/>
              </w:rPr>
              <w:t>1,240,874</w:t>
            </w:r>
          </w:p>
        </w:tc>
        <w:tc>
          <w:tcPr>
            <w:tcW w:w="1760" w:type="dxa"/>
            <w:vAlign w:val="bottom"/>
          </w:tcPr>
          <w:p>
            <w:pPr>
              <w:jc w:val="right"/>
              <w:ind w:right="210"/>
              <w:spacing w:after="0"/>
              <w:rPr>
                <w:sz w:val="20"/>
                <w:szCs w:val="20"/>
                <w:color w:val="auto"/>
              </w:rPr>
            </w:pPr>
            <w:r>
              <w:rPr>
                <w:rFonts w:ascii="Arial" w:cs="Arial" w:eastAsia="Arial" w:hAnsi="Arial"/>
                <w:sz w:val="18"/>
                <w:szCs w:val="18"/>
                <w:color w:val="auto"/>
              </w:rPr>
              <w:t>1,201,671</w:t>
            </w:r>
          </w:p>
        </w:tc>
        <w:tc>
          <w:tcPr>
            <w:tcW w:w="2340" w:type="dxa"/>
            <w:vAlign w:val="bottom"/>
          </w:tcPr>
          <w:p>
            <w:pPr>
              <w:spacing w:after="0"/>
              <w:rPr>
                <w:sz w:val="24"/>
                <w:szCs w:val="24"/>
                <w:color w:val="auto"/>
              </w:rPr>
            </w:pPr>
          </w:p>
        </w:tc>
      </w:tr>
      <w:tr>
        <w:trPr>
          <w:trHeight w:val="405"/>
        </w:trPr>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Accumulated depreciation</w:t>
            </w:r>
          </w:p>
        </w:tc>
        <w:tc>
          <w:tcPr>
            <w:tcW w:w="22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(822,044)</w:t>
            </w:r>
          </w:p>
        </w:tc>
        <w:tc>
          <w:tcPr>
            <w:tcW w:w="17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(781,517)</w:t>
            </w:r>
          </w:p>
        </w:tc>
        <w:tc>
          <w:tcPr>
            <w:tcW w:w="2340" w:type="dxa"/>
            <w:vAlign w:val="bottom"/>
            <w:tcBorders>
              <w:bottom w:val="single" w:sz="8" w:color="auto"/>
            </w:tcBorders>
          </w:tcPr>
          <w:p>
            <w:pPr>
              <w:spacing w:after="0"/>
              <w:rPr>
                <w:sz w:val="24"/>
                <w:szCs w:val="24"/>
                <w:color w:val="auto"/>
              </w:rPr>
            </w:pPr>
          </w:p>
        </w:tc>
      </w:tr>
      <w:tr>
        <w:trPr>
          <w:trHeight w:val="412"/>
        </w:trPr>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Property, plant and equipment, net</w:t>
            </w:r>
          </w:p>
        </w:tc>
        <w:tc>
          <w:tcPr>
            <w:tcW w:w="222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$418,830</w:t>
            </w:r>
          </w:p>
        </w:tc>
        <w:tc>
          <w:tcPr>
            <w:tcW w:w="1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$420,154</w:t>
            </w:r>
          </w:p>
        </w:tc>
        <w:tc>
          <w:tcPr>
            <w:tcW w:w="2340" w:type="dxa"/>
            <w:vAlign w:val="bottom"/>
            <w:tcBorders>
              <w:bottom w:val="single" w:sz="8" w:color="auto"/>
            </w:tcBorders>
          </w:tcPr>
          <w:p>
            <w:pPr>
              <w:spacing w:after="0"/>
              <w:rPr>
                <w:sz w:val="24"/>
                <w:szCs w:val="24"/>
                <w:color w:val="auto"/>
              </w:rPr>
            </w:pPr>
          </w:p>
        </w:tc>
      </w:tr>
    </w:tbl>
    <w:p>
      <w:pPr>
        <w:spacing w:after="0" w:line="377" w:lineRule="exact"/>
        <w:rPr>
          <w:sz w:val="20"/>
          <w:szCs w:val="20"/>
          <w:color w:val="auto"/>
        </w:rPr>
      </w:pPr>
    </w:p>
    <w:p>
      <w:pPr>
        <w:ind w:right="240" w:firstLine="648"/>
        <w:spacing w:after="0" w:line="246" w:lineRule="auto"/>
        <w:rPr>
          <w:sz w:val="20"/>
          <w:szCs w:val="20"/>
          <w:color w:val="auto"/>
        </w:rPr>
      </w:pPr>
      <w:r>
        <w:rPr>
          <w:rFonts w:ascii="Arial" w:cs="Arial" w:eastAsia="Arial" w:hAnsi="Arial"/>
          <w:sz w:val="18"/>
          <w:szCs w:val="18"/>
          <w:color w:val="auto"/>
        </w:rPr>
        <w:t>Expenditures for maintenance and repairs are charged to income as incurred and amounted to $17.5 million in 2013, $17.0 million in 2012, and $20.0 million in 2011.</w:t>
      </w:r>
    </w:p>
    <w:p>
      <w:pPr>
        <w:spacing w:after="0" w:line="170" w:lineRule="exact"/>
        <w:rPr>
          <w:sz w:val="20"/>
          <w:szCs w:val="20"/>
          <w:color w:val="auto"/>
        </w:rPr>
      </w:pPr>
    </w:p>
    <w:p>
      <w:pPr>
        <w:ind w:right="120" w:firstLine="648"/>
        <w:spacing w:after="0" w:line="239" w:lineRule="auto"/>
        <w:rPr>
          <w:sz w:val="20"/>
          <w:szCs w:val="20"/>
          <w:color w:val="auto"/>
        </w:rPr>
      </w:pPr>
      <w:r>
        <w:rPr>
          <w:rFonts w:ascii="Arial" w:cs="Arial" w:eastAsia="Arial" w:hAnsi="Arial"/>
          <w:sz w:val="18"/>
          <w:szCs w:val="18"/>
          <w:color w:val="auto"/>
        </w:rPr>
        <w:t>Depreciation expense was $57.0 million in 2013, $ 56.6 million in 2012, $56.1 million in 2011. Software amortization is recorded in Selling, general, and administrative expense and was $6.0 million in 2013, $5.8 million in 2012 and 2011. Capital expenditures, including capitalized software, were $64.5 million in 2013, $37.2 million in 2012, and $27.4 million in 2011. Unamortized software cost was $19.2 million and $22.4 million as of December 31, 2013 and 2012, respectively.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Goodwill and Other Intangible Assets</w:t>
      </w:r>
    </w:p>
    <w:p>
      <w:pPr>
        <w:spacing w:after="0" w:line="193" w:lineRule="exact"/>
        <w:rPr>
          <w:sz w:val="20"/>
          <w:szCs w:val="20"/>
          <w:color w:val="auto"/>
        </w:rPr>
      </w:pPr>
    </w:p>
    <w:p>
      <w:pPr>
        <w:jc w:val="both"/>
        <w:ind w:right="180" w:firstLine="648"/>
        <w:spacing w:after="0"/>
        <w:rPr>
          <w:sz w:val="20"/>
          <w:szCs w:val="20"/>
          <w:color w:val="auto"/>
        </w:rPr>
      </w:pPr>
      <w:r>
        <w:rPr>
          <w:rFonts w:ascii="Arial" w:cs="Arial" w:eastAsia="Arial" w:hAnsi="Arial"/>
          <w:sz w:val="18"/>
          <w:szCs w:val="18"/>
          <w:color w:val="auto"/>
        </w:rPr>
        <w:t>Goodwill and intangible assets with indefinite useful lives are not amortized, but are tested for impairment at least annually. Goodwill represents the excess of the purchase price over the fair value of the net tangible and identifiable intangible assets acquired in each business combination. Our reporting units are consistent with our operating segments.</w:t>
      </w:r>
    </w:p>
    <w:p>
      <w:pPr>
        <w:spacing w:after="0" w:line="176" w:lineRule="exact"/>
        <w:rPr>
          <w:sz w:val="20"/>
          <w:szCs w:val="20"/>
          <w:color w:val="auto"/>
        </w:rPr>
      </w:pPr>
    </w:p>
    <w:p>
      <w:pPr>
        <w:ind w:right="40" w:firstLine="648"/>
        <w:spacing w:after="0" w:line="239" w:lineRule="auto"/>
        <w:rPr>
          <w:sz w:val="20"/>
          <w:szCs w:val="20"/>
          <w:color w:val="auto"/>
        </w:rPr>
      </w:pPr>
      <w:r>
        <w:rPr>
          <w:rFonts w:ascii="Arial" w:cs="Arial" w:eastAsia="Arial" w:hAnsi="Arial"/>
          <w:sz w:val="18"/>
          <w:szCs w:val="18"/>
          <w:color w:val="auto"/>
        </w:rPr>
        <w:t>Determining the fair value of a reporting unit requires the use of significant estimates and assumptions, including revenue growth rates, operating margins, discount rates, and future market conditions, among others. Goodwill and other long-lived assets are reviewed for impairment whenever events, such as significant changes in the business climate, plant closures, changes in product offerings, or other circumstances indicate that the carrying amount may not be recoverable.</w:t>
      </w:r>
    </w:p>
    <w:p>
      <w:pPr>
        <w:spacing w:after="0" w:line="161"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To determine fair value, we utilize two market-based approaches and an income approach. Under the market-based approaches, we utilize information regarding the Company as well as publicly available industry information to determine earnings multiples and sales multiples. Under the income approach, we determine fair value based on estimated future cash flows of each reporting unit, discounted by an estimated weighted-average cost of capital, which reflects the overall level of inherent risk of a reporting unit and the rate of return an outside investor would expect to earn.</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77" w:name="page78"/>
    <w:bookmarkEnd w:id="77"/>
    <w:p>
      <w:pPr>
        <w:ind w:right="480" w:firstLine="648"/>
        <w:spacing w:after="0"/>
        <w:rPr>
          <w:sz w:val="20"/>
          <w:szCs w:val="20"/>
          <w:color w:val="auto"/>
        </w:rPr>
      </w:pPr>
      <w:r>
        <w:rPr>
          <w:rFonts w:ascii="Arial" w:cs="Arial" w:eastAsia="Arial" w:hAnsi="Arial"/>
          <w:sz w:val="18"/>
          <w:szCs w:val="18"/>
          <w:color w:val="auto"/>
        </w:rPr>
        <w:t>The entire balance of goodwill on our books is attributable to the Machine Clothing business. In the second quarter of 2013, the Company applied the quantitative assessment approach in performing its annual evaluation of goodwill and concluded that no impairment provision was required. In addition, there were no amounts at risk due to the large spread between the fair and carrying values.</w:t>
      </w:r>
    </w:p>
    <w:p>
      <w:pPr>
        <w:spacing w:after="0" w:line="162" w:lineRule="exact"/>
        <w:rPr>
          <w:sz w:val="20"/>
          <w:szCs w:val="20"/>
          <w:color w:val="auto"/>
        </w:rPr>
      </w:pPr>
    </w:p>
    <w:p>
      <w:pPr>
        <w:ind w:right="540" w:firstLine="648"/>
        <w:spacing w:after="0" w:line="246" w:lineRule="auto"/>
        <w:rPr>
          <w:sz w:val="20"/>
          <w:szCs w:val="20"/>
          <w:color w:val="auto"/>
        </w:rPr>
      </w:pPr>
      <w:r>
        <w:rPr>
          <w:rFonts w:ascii="Arial" w:cs="Arial" w:eastAsia="Arial" w:hAnsi="Arial"/>
          <w:sz w:val="18"/>
          <w:szCs w:val="18"/>
          <w:color w:val="auto"/>
        </w:rPr>
        <w:t>We are continuing to amortize certain patents, trade names, customer contracts and technology assets that have finite lives. The changes in intangible assets and goodwill from December 31, 2011 to December 31, 2013, were as follows:</w:t>
      </w:r>
    </w:p>
    <w:p>
      <w:pPr>
        <w:spacing w:after="0" w:line="151" w:lineRule="exact"/>
        <w:rPr>
          <w:sz w:val="20"/>
          <w:szCs w:val="20"/>
          <w:color w:val="auto"/>
        </w:rPr>
      </w:pPr>
    </w:p>
    <w:tbl>
      <w:tblPr>
        <w:tblLayout w:type="fixed"/>
        <w:tblInd w:w="66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3340" w:type="dxa"/>
            <w:vAlign w:val="bottom"/>
            <w:tcBorders>
              <w:top w:val="single" w:sz="8" w:color="auto"/>
            </w:tcBorders>
          </w:tcPr>
          <w:p>
            <w:pPr>
              <w:spacing w:after="0"/>
              <w:rPr>
                <w:sz w:val="16"/>
                <w:szCs w:val="16"/>
                <w:color w:val="auto"/>
              </w:rPr>
            </w:pPr>
          </w:p>
        </w:tc>
        <w:tc>
          <w:tcPr>
            <w:tcW w:w="242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b w:val="1"/>
                <w:bCs w:val="1"/>
                <w:color w:val="auto"/>
              </w:rPr>
              <w:t>Balance at</w:t>
            </w:r>
          </w:p>
        </w:tc>
        <w:tc>
          <w:tcPr>
            <w:tcW w:w="2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24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Balance at</w:t>
            </w:r>
          </w:p>
        </w:tc>
        <w:tc>
          <w:tcPr>
            <w:tcW w:w="1560" w:type="dxa"/>
            <w:vAlign w:val="bottom"/>
          </w:tcPr>
          <w:p>
            <w:pPr>
              <w:spacing w:after="0"/>
              <w:rPr>
                <w:sz w:val="17"/>
                <w:szCs w:val="17"/>
                <w:color w:val="auto"/>
              </w:rPr>
            </w:pPr>
          </w:p>
        </w:tc>
        <w:tc>
          <w:tcPr>
            <w:tcW w:w="1380" w:type="dxa"/>
            <w:vAlign w:val="bottom"/>
          </w:tcPr>
          <w:p>
            <w:pPr>
              <w:jc w:val="right"/>
              <w:ind w:right="130"/>
              <w:spacing w:after="0" w:line="202" w:lineRule="exact"/>
              <w:rPr>
                <w:sz w:val="20"/>
                <w:szCs w:val="20"/>
                <w:color w:val="auto"/>
              </w:rPr>
            </w:pPr>
            <w:r>
              <w:rPr>
                <w:rFonts w:ascii="Arial" w:cs="Arial" w:eastAsia="Arial" w:hAnsi="Arial"/>
                <w:sz w:val="18"/>
                <w:szCs w:val="18"/>
                <w:b w:val="1"/>
                <w:bCs w:val="1"/>
                <w:color w:val="auto"/>
              </w:rPr>
              <w:t>Currency</w:t>
            </w:r>
          </w:p>
        </w:tc>
        <w:tc>
          <w:tcPr>
            <w:tcW w:w="1460" w:type="dxa"/>
            <w:vAlign w:val="bottom"/>
            <w:gridSpan w:val="2"/>
          </w:tcPr>
          <w:p>
            <w:pPr>
              <w:ind w:left="220"/>
              <w:spacing w:after="0" w:line="202" w:lineRule="exact"/>
              <w:rPr>
                <w:sz w:val="20"/>
                <w:szCs w:val="20"/>
                <w:color w:val="auto"/>
              </w:rPr>
            </w:pPr>
            <w:r>
              <w:rPr>
                <w:rFonts w:ascii="Arial" w:cs="Arial" w:eastAsia="Arial" w:hAnsi="Arial"/>
                <w:sz w:val="18"/>
                <w:szCs w:val="18"/>
                <w:b w:val="1"/>
                <w:bCs w:val="1"/>
                <w:color w:val="auto"/>
              </w:rPr>
              <w:t>December 31,</w:t>
            </w:r>
          </w:p>
        </w:tc>
      </w:tr>
      <w:tr>
        <w:trPr>
          <w:trHeight w:val="225"/>
        </w:trPr>
        <w:tc>
          <w:tcPr>
            <w:tcW w:w="336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December 31, 2012</w:t>
            </w:r>
          </w:p>
        </w:tc>
        <w:tc>
          <w:tcPr>
            <w:tcW w:w="1560" w:type="dxa"/>
            <w:vAlign w:val="bottom"/>
          </w:tcPr>
          <w:p>
            <w:pPr>
              <w:jc w:val="right"/>
              <w:ind w:right="270"/>
              <w:spacing w:after="0"/>
              <w:rPr>
                <w:sz w:val="20"/>
                <w:szCs w:val="20"/>
                <w:color w:val="auto"/>
              </w:rPr>
            </w:pPr>
            <w:r>
              <w:rPr>
                <w:rFonts w:ascii="Arial" w:cs="Arial" w:eastAsia="Arial" w:hAnsi="Arial"/>
                <w:sz w:val="18"/>
                <w:szCs w:val="18"/>
                <w:b w:val="1"/>
                <w:bCs w:val="1"/>
                <w:color w:val="auto"/>
              </w:rPr>
              <w:t>Amortization</w:t>
            </w: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rPr>
              <w:t>Translation</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2013</w:t>
            </w:r>
          </w:p>
        </w:tc>
      </w:tr>
      <w:tr>
        <w:trPr>
          <w:trHeight w:val="398"/>
        </w:trPr>
        <w:tc>
          <w:tcPr>
            <w:tcW w:w="33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Amortized intangible assets:</w:t>
            </w:r>
          </w:p>
        </w:tc>
        <w:tc>
          <w:tcPr>
            <w:tcW w:w="242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3340" w:type="dxa"/>
            <w:vAlign w:val="bottom"/>
          </w:tcPr>
          <w:p>
            <w:pPr>
              <w:ind w:left="180"/>
              <w:spacing w:after="0" w:line="202" w:lineRule="exact"/>
              <w:rPr>
                <w:sz w:val="20"/>
                <w:szCs w:val="20"/>
                <w:color w:val="auto"/>
              </w:rPr>
            </w:pPr>
            <w:r>
              <w:rPr>
                <w:rFonts w:ascii="Arial" w:cs="Arial" w:eastAsia="Arial" w:hAnsi="Arial"/>
                <w:sz w:val="18"/>
                <w:szCs w:val="18"/>
                <w:color w:val="auto"/>
              </w:rPr>
              <w:t>AEC trade names</w:t>
            </w:r>
          </w:p>
        </w:tc>
        <w:tc>
          <w:tcPr>
            <w:tcW w:w="2420" w:type="dxa"/>
            <w:vAlign w:val="bottom"/>
          </w:tcPr>
          <w:p>
            <w:pPr>
              <w:jc w:val="right"/>
              <w:spacing w:after="0" w:line="202" w:lineRule="exact"/>
              <w:rPr>
                <w:sz w:val="20"/>
                <w:szCs w:val="20"/>
                <w:color w:val="auto"/>
              </w:rPr>
            </w:pPr>
            <w:r>
              <w:rPr>
                <w:rFonts w:ascii="Arial" w:cs="Arial" w:eastAsia="Arial" w:hAnsi="Arial"/>
                <w:sz w:val="18"/>
                <w:szCs w:val="18"/>
                <w:color w:val="auto"/>
              </w:rPr>
              <w:t>$38</w:t>
            </w:r>
          </w:p>
        </w:tc>
        <w:tc>
          <w:tcPr>
            <w:tcW w:w="1560" w:type="dxa"/>
            <w:vAlign w:val="bottom"/>
          </w:tcPr>
          <w:p>
            <w:pPr>
              <w:jc w:val="right"/>
              <w:ind w:right="90"/>
              <w:spacing w:after="0" w:line="202" w:lineRule="exact"/>
              <w:rPr>
                <w:sz w:val="20"/>
                <w:szCs w:val="20"/>
                <w:color w:val="auto"/>
              </w:rPr>
            </w:pPr>
            <w:r>
              <w:rPr>
                <w:rFonts w:ascii="Arial" w:cs="Arial" w:eastAsia="Arial" w:hAnsi="Arial"/>
                <w:sz w:val="18"/>
                <w:szCs w:val="18"/>
                <w:color w:val="auto"/>
              </w:rPr>
              <w:t>($5)</w:t>
            </w:r>
          </w:p>
        </w:tc>
        <w:tc>
          <w:tcPr>
            <w:tcW w:w="138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$33</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340" w:type="dxa"/>
            <w:vAlign w:val="bottom"/>
          </w:tcPr>
          <w:p>
            <w:pPr>
              <w:ind w:left="180"/>
              <w:spacing w:after="0" w:line="202" w:lineRule="exact"/>
              <w:rPr>
                <w:sz w:val="20"/>
                <w:szCs w:val="20"/>
                <w:color w:val="auto"/>
              </w:rPr>
            </w:pPr>
            <w:r>
              <w:rPr>
                <w:rFonts w:ascii="Arial" w:cs="Arial" w:eastAsia="Arial" w:hAnsi="Arial"/>
                <w:sz w:val="18"/>
                <w:szCs w:val="18"/>
                <w:color w:val="auto"/>
              </w:rPr>
              <w:t>AEC customer contracts</w:t>
            </w:r>
          </w:p>
        </w:tc>
        <w:tc>
          <w:tcPr>
            <w:tcW w:w="2420" w:type="dxa"/>
            <w:vAlign w:val="bottom"/>
          </w:tcPr>
          <w:p>
            <w:pPr>
              <w:jc w:val="right"/>
              <w:spacing w:after="0" w:line="202" w:lineRule="exact"/>
              <w:rPr>
                <w:sz w:val="20"/>
                <w:szCs w:val="20"/>
                <w:color w:val="auto"/>
              </w:rPr>
            </w:pPr>
            <w:r>
              <w:rPr>
                <w:rFonts w:ascii="Arial" w:cs="Arial" w:eastAsia="Arial" w:hAnsi="Arial"/>
                <w:sz w:val="18"/>
                <w:szCs w:val="18"/>
                <w:color w:val="auto"/>
              </w:rPr>
              <w:t>606</w:t>
            </w:r>
          </w:p>
        </w:tc>
        <w:tc>
          <w:tcPr>
            <w:tcW w:w="1560" w:type="dxa"/>
            <w:vAlign w:val="bottom"/>
          </w:tcPr>
          <w:p>
            <w:pPr>
              <w:jc w:val="right"/>
              <w:ind w:right="90"/>
              <w:spacing w:after="0" w:line="202" w:lineRule="exact"/>
              <w:rPr>
                <w:sz w:val="20"/>
                <w:szCs w:val="20"/>
                <w:color w:val="auto"/>
              </w:rPr>
            </w:pPr>
            <w:r>
              <w:rPr>
                <w:rFonts w:ascii="Arial" w:cs="Arial" w:eastAsia="Arial" w:hAnsi="Arial"/>
                <w:sz w:val="18"/>
                <w:szCs w:val="18"/>
                <w:color w:val="auto"/>
              </w:rPr>
              <w:t>(202)</w:t>
            </w:r>
          </w:p>
        </w:tc>
        <w:tc>
          <w:tcPr>
            <w:tcW w:w="138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404</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340" w:type="dxa"/>
            <w:vAlign w:val="bottom"/>
            <w:tcBorders>
              <w:bottom w:val="single" w:sz="8" w:color="auto"/>
            </w:tcBorders>
          </w:tcPr>
          <w:p>
            <w:pPr>
              <w:ind w:left="180"/>
              <w:spacing w:after="0" w:line="203" w:lineRule="exact"/>
              <w:rPr>
                <w:sz w:val="20"/>
                <w:szCs w:val="20"/>
                <w:color w:val="auto"/>
              </w:rPr>
            </w:pPr>
            <w:r>
              <w:rPr>
                <w:rFonts w:ascii="Arial" w:cs="Arial" w:eastAsia="Arial" w:hAnsi="Arial"/>
                <w:sz w:val="18"/>
                <w:szCs w:val="18"/>
                <w:color w:val="auto"/>
              </w:rPr>
              <w:t>AEC technology</w:t>
            </w:r>
          </w:p>
        </w:tc>
        <w:tc>
          <w:tcPr>
            <w:tcW w:w="24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204</w:t>
            </w:r>
          </w:p>
        </w:tc>
        <w:tc>
          <w:tcPr>
            <w:tcW w:w="156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(25)</w:t>
            </w:r>
          </w:p>
        </w:tc>
        <w:tc>
          <w:tcPr>
            <w:tcW w:w="138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179</w:t>
            </w:r>
          </w:p>
        </w:tc>
        <w:tc>
          <w:tcPr>
            <w:tcW w:w="20" w:type="dxa"/>
            <w:vAlign w:val="bottom"/>
          </w:tcPr>
          <w:p>
            <w:pPr>
              <w:spacing w:after="0"/>
              <w:rPr>
                <w:sz w:val="17"/>
                <w:szCs w:val="17"/>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33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amortized intangible assets</w:t>
            </w:r>
          </w:p>
        </w:tc>
        <w:tc>
          <w:tcPr>
            <w:tcW w:w="2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$848</w:t>
            </w:r>
          </w:p>
        </w:tc>
        <w:tc>
          <w:tcPr>
            <w:tcW w:w="156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($232)</w:t>
            </w:r>
          </w:p>
        </w:tc>
        <w:tc>
          <w:tcPr>
            <w:tcW w:w="138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$616</w:t>
            </w:r>
          </w:p>
        </w:tc>
        <w:tc>
          <w:tcPr>
            <w:tcW w:w="20" w:type="dxa"/>
            <w:vAlign w:val="bottom"/>
          </w:tcPr>
          <w:p>
            <w:pPr>
              <w:spacing w:after="0"/>
              <w:rPr>
                <w:sz w:val="17"/>
                <w:szCs w:val="17"/>
                <w:color w:val="auto"/>
              </w:rPr>
            </w:pPr>
          </w:p>
        </w:tc>
      </w:tr>
      <w:tr>
        <w:trPr>
          <w:trHeight w:val="398"/>
        </w:trPr>
        <w:tc>
          <w:tcPr>
            <w:tcW w:w="3360" w:type="dxa"/>
            <w:vAlign w:val="bottom"/>
            <w:gridSpan w:val="2"/>
          </w:tcPr>
          <w:p>
            <w:pPr>
              <w:spacing w:after="0"/>
              <w:rPr>
                <w:sz w:val="20"/>
                <w:szCs w:val="20"/>
                <w:color w:val="auto"/>
              </w:rPr>
            </w:pPr>
            <w:r>
              <w:rPr>
                <w:rFonts w:ascii="Arial" w:cs="Arial" w:eastAsia="Arial" w:hAnsi="Arial"/>
                <w:sz w:val="18"/>
                <w:szCs w:val="18"/>
                <w:b w:val="1"/>
                <w:bCs w:val="1"/>
                <w:color w:val="auto"/>
              </w:rPr>
              <w:t>Unamortized intangible assets:</w:t>
            </w:r>
          </w:p>
        </w:tc>
        <w:tc>
          <w:tcPr>
            <w:tcW w:w="24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334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Goodwill</w:t>
            </w:r>
          </w:p>
        </w:tc>
        <w:tc>
          <w:tcPr>
            <w:tcW w:w="24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$76,522</w:t>
            </w:r>
          </w:p>
        </w:tc>
        <w:tc>
          <w:tcPr>
            <w:tcW w:w="156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 -</w:t>
            </w:r>
          </w:p>
        </w:tc>
        <w:tc>
          <w:tcPr>
            <w:tcW w:w="138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$2,368</w:t>
            </w:r>
          </w:p>
        </w:tc>
        <w:tc>
          <w:tcPr>
            <w:tcW w:w="14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$78,890</w:t>
            </w:r>
          </w:p>
        </w:tc>
        <w:tc>
          <w:tcPr>
            <w:tcW w:w="2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66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3000" w:type="dxa"/>
            <w:vAlign w:val="bottom"/>
            <w:tcBorders>
              <w:top w:val="single" w:sz="8" w:color="auto"/>
            </w:tcBorders>
          </w:tcPr>
          <w:p>
            <w:pPr>
              <w:spacing w:after="0"/>
              <w:rPr>
                <w:sz w:val="16"/>
                <w:szCs w:val="16"/>
                <w:color w:val="auto"/>
              </w:rPr>
            </w:pPr>
          </w:p>
        </w:tc>
        <w:tc>
          <w:tcPr>
            <w:tcW w:w="2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b w:val="1"/>
                <w:bCs w:val="1"/>
                <w:color w:val="auto"/>
              </w:rPr>
              <w:t>Balance at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276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Balance at</w:t>
            </w:r>
          </w:p>
        </w:tc>
        <w:tc>
          <w:tcPr>
            <w:tcW w:w="1560" w:type="dxa"/>
            <w:vAlign w:val="bottom"/>
          </w:tcPr>
          <w:p>
            <w:pPr>
              <w:spacing w:after="0"/>
              <w:rPr>
                <w:sz w:val="17"/>
                <w:szCs w:val="17"/>
                <w:color w:val="auto"/>
              </w:rPr>
            </w:pPr>
          </w:p>
        </w:tc>
        <w:tc>
          <w:tcPr>
            <w:tcW w:w="1380" w:type="dxa"/>
            <w:vAlign w:val="bottom"/>
          </w:tcPr>
          <w:p>
            <w:pPr>
              <w:jc w:val="right"/>
              <w:ind w:right="130"/>
              <w:spacing w:after="0" w:line="202" w:lineRule="exact"/>
              <w:rPr>
                <w:sz w:val="20"/>
                <w:szCs w:val="20"/>
                <w:color w:val="auto"/>
              </w:rPr>
            </w:pPr>
            <w:r>
              <w:rPr>
                <w:rFonts w:ascii="Arial" w:cs="Arial" w:eastAsia="Arial" w:hAnsi="Arial"/>
                <w:sz w:val="18"/>
                <w:szCs w:val="18"/>
                <w:b w:val="1"/>
                <w:bCs w:val="1"/>
                <w:color w:val="auto"/>
              </w:rPr>
              <w:t>Currency</w:t>
            </w:r>
          </w:p>
        </w:tc>
        <w:tc>
          <w:tcPr>
            <w:tcW w:w="1460" w:type="dxa"/>
            <w:vAlign w:val="bottom"/>
            <w:gridSpan w:val="2"/>
          </w:tcPr>
          <w:p>
            <w:pPr>
              <w:ind w:left="220"/>
              <w:spacing w:after="0" w:line="202" w:lineRule="exact"/>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5"/>
        </w:trPr>
        <w:tc>
          <w:tcPr>
            <w:tcW w:w="302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27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December 31, 2011</w:t>
            </w:r>
          </w:p>
        </w:tc>
        <w:tc>
          <w:tcPr>
            <w:tcW w:w="1560" w:type="dxa"/>
            <w:vAlign w:val="bottom"/>
          </w:tcPr>
          <w:p>
            <w:pPr>
              <w:jc w:val="right"/>
              <w:ind w:right="270"/>
              <w:spacing w:after="0"/>
              <w:rPr>
                <w:sz w:val="20"/>
                <w:szCs w:val="20"/>
                <w:color w:val="auto"/>
              </w:rPr>
            </w:pPr>
            <w:r>
              <w:rPr>
                <w:rFonts w:ascii="Arial" w:cs="Arial" w:eastAsia="Arial" w:hAnsi="Arial"/>
                <w:sz w:val="18"/>
                <w:szCs w:val="18"/>
                <w:b w:val="1"/>
                <w:bCs w:val="1"/>
                <w:color w:val="auto"/>
              </w:rPr>
              <w:t>Amortization</w:t>
            </w: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rPr>
              <w:t>Translation</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398"/>
        </w:trPr>
        <w:tc>
          <w:tcPr>
            <w:tcW w:w="30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Amortized intangible assets:</w:t>
            </w:r>
          </w:p>
        </w:tc>
        <w:tc>
          <w:tcPr>
            <w:tcW w:w="2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0" w:type="dxa"/>
            <w:vAlign w:val="bottom"/>
          </w:tcPr>
          <w:p>
            <w:pPr>
              <w:ind w:left="180"/>
              <w:spacing w:after="0" w:line="202" w:lineRule="exact"/>
              <w:rPr>
                <w:sz w:val="20"/>
                <w:szCs w:val="20"/>
                <w:color w:val="auto"/>
              </w:rPr>
            </w:pPr>
            <w:r>
              <w:rPr>
                <w:rFonts w:ascii="Arial" w:cs="Arial" w:eastAsia="Arial" w:hAnsi="Arial"/>
                <w:sz w:val="18"/>
                <w:szCs w:val="18"/>
                <w:color w:val="auto"/>
              </w:rPr>
              <w:t>AEC trade names</w:t>
            </w:r>
          </w:p>
        </w:tc>
        <w:tc>
          <w:tcPr>
            <w:tcW w:w="27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$43</w:t>
            </w:r>
          </w:p>
        </w:tc>
        <w:tc>
          <w:tcPr>
            <w:tcW w:w="1560" w:type="dxa"/>
            <w:vAlign w:val="bottom"/>
          </w:tcPr>
          <w:p>
            <w:pPr>
              <w:jc w:val="right"/>
              <w:ind w:right="90"/>
              <w:spacing w:after="0" w:line="202" w:lineRule="exact"/>
              <w:rPr>
                <w:sz w:val="20"/>
                <w:szCs w:val="20"/>
                <w:color w:val="auto"/>
              </w:rPr>
            </w:pPr>
            <w:r>
              <w:rPr>
                <w:rFonts w:ascii="Arial" w:cs="Arial" w:eastAsia="Arial" w:hAnsi="Arial"/>
                <w:sz w:val="18"/>
                <w:szCs w:val="18"/>
                <w:color w:val="auto"/>
              </w:rPr>
              <w:t>($5)</w:t>
            </w:r>
          </w:p>
        </w:tc>
        <w:tc>
          <w:tcPr>
            <w:tcW w:w="138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 -</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0" w:type="dxa"/>
            <w:vAlign w:val="bottom"/>
          </w:tcPr>
          <w:p>
            <w:pPr>
              <w:ind w:left="180"/>
              <w:spacing w:after="0" w:line="202" w:lineRule="exact"/>
              <w:rPr>
                <w:sz w:val="20"/>
                <w:szCs w:val="20"/>
                <w:color w:val="auto"/>
              </w:rPr>
            </w:pPr>
            <w:r>
              <w:rPr>
                <w:rFonts w:ascii="Arial" w:cs="Arial" w:eastAsia="Arial" w:hAnsi="Arial"/>
                <w:sz w:val="18"/>
                <w:szCs w:val="18"/>
                <w:color w:val="auto"/>
              </w:rPr>
              <w:t>AEC customer contracts</w:t>
            </w:r>
          </w:p>
        </w:tc>
        <w:tc>
          <w:tcPr>
            <w:tcW w:w="27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808</w:t>
            </w:r>
          </w:p>
        </w:tc>
        <w:tc>
          <w:tcPr>
            <w:tcW w:w="1560" w:type="dxa"/>
            <w:vAlign w:val="bottom"/>
          </w:tcPr>
          <w:p>
            <w:pPr>
              <w:jc w:val="right"/>
              <w:ind w:right="90"/>
              <w:spacing w:after="0" w:line="202" w:lineRule="exact"/>
              <w:rPr>
                <w:sz w:val="20"/>
                <w:szCs w:val="20"/>
                <w:color w:val="auto"/>
              </w:rPr>
            </w:pPr>
            <w:r>
              <w:rPr>
                <w:rFonts w:ascii="Arial" w:cs="Arial" w:eastAsia="Arial" w:hAnsi="Arial"/>
                <w:sz w:val="18"/>
                <w:szCs w:val="18"/>
                <w:color w:val="auto"/>
              </w:rPr>
              <w:t>(202)</w:t>
            </w:r>
          </w:p>
        </w:tc>
        <w:tc>
          <w:tcPr>
            <w:tcW w:w="138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606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0" w:type="dxa"/>
            <w:vAlign w:val="bottom"/>
            <w:tcBorders>
              <w:bottom w:val="single" w:sz="8" w:color="auto"/>
            </w:tcBorders>
          </w:tcPr>
          <w:p>
            <w:pPr>
              <w:ind w:left="180"/>
              <w:spacing w:after="0" w:line="203" w:lineRule="exact"/>
              <w:rPr>
                <w:sz w:val="20"/>
                <w:szCs w:val="20"/>
                <w:color w:val="auto"/>
              </w:rPr>
            </w:pPr>
            <w:r>
              <w:rPr>
                <w:rFonts w:ascii="Arial" w:cs="Arial" w:eastAsia="Arial" w:hAnsi="Arial"/>
                <w:sz w:val="18"/>
                <w:szCs w:val="18"/>
                <w:color w:val="auto"/>
              </w:rPr>
              <w:t>AEC technology</w:t>
            </w:r>
          </w:p>
        </w:tc>
        <w:tc>
          <w:tcPr>
            <w:tcW w:w="2760" w:type="dxa"/>
            <w:vAlign w:val="bottom"/>
            <w:tcBorders>
              <w:bottom w:val="single" w:sz="8" w:color="auto"/>
            </w:tcBorders>
            <w:gridSpan w:val="2"/>
          </w:tcPr>
          <w:p>
            <w:pPr>
              <w:jc w:val="right"/>
              <w:ind w:right="80"/>
              <w:spacing w:after="0" w:line="203" w:lineRule="exact"/>
              <w:rPr>
                <w:sz w:val="20"/>
                <w:szCs w:val="20"/>
                <w:color w:val="auto"/>
              </w:rPr>
            </w:pPr>
            <w:r>
              <w:rPr>
                <w:rFonts w:ascii="Arial" w:cs="Arial" w:eastAsia="Arial" w:hAnsi="Arial"/>
                <w:sz w:val="18"/>
                <w:szCs w:val="18"/>
                <w:color w:val="auto"/>
              </w:rPr>
              <w:t>228</w:t>
            </w:r>
          </w:p>
        </w:tc>
        <w:tc>
          <w:tcPr>
            <w:tcW w:w="156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(24)</w:t>
            </w:r>
          </w:p>
        </w:tc>
        <w:tc>
          <w:tcPr>
            <w:tcW w:w="138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amortized intangible assets</w:t>
            </w:r>
          </w:p>
        </w:tc>
        <w:tc>
          <w:tcPr>
            <w:tcW w:w="2760" w:type="dxa"/>
            <w:vAlign w:val="bottom"/>
            <w:tcBorders>
              <w:bottom w:val="single" w:sz="8" w:color="auto"/>
            </w:tcBorders>
            <w:gridSpan w:val="2"/>
          </w:tcPr>
          <w:p>
            <w:pPr>
              <w:jc w:val="right"/>
              <w:ind w:right="80"/>
              <w:spacing w:after="0" w:line="196" w:lineRule="exact"/>
              <w:rPr>
                <w:sz w:val="20"/>
                <w:szCs w:val="20"/>
                <w:color w:val="auto"/>
              </w:rPr>
            </w:pPr>
            <w:r>
              <w:rPr>
                <w:rFonts w:ascii="Arial" w:cs="Arial" w:eastAsia="Arial" w:hAnsi="Arial"/>
                <w:sz w:val="18"/>
                <w:szCs w:val="18"/>
                <w:color w:val="auto"/>
              </w:rPr>
              <w:t>$1,079</w:t>
            </w:r>
          </w:p>
        </w:tc>
        <w:tc>
          <w:tcPr>
            <w:tcW w:w="156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($231)</w:t>
            </w:r>
          </w:p>
        </w:tc>
        <w:tc>
          <w:tcPr>
            <w:tcW w:w="138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 -</w:t>
            </w:r>
          </w:p>
        </w:tc>
        <w:tc>
          <w:tcPr>
            <w:tcW w:w="1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3020" w:type="dxa"/>
            <w:vAlign w:val="bottom"/>
            <w:gridSpan w:val="2"/>
          </w:tcPr>
          <w:p>
            <w:pPr>
              <w:spacing w:after="0"/>
              <w:rPr>
                <w:sz w:val="20"/>
                <w:szCs w:val="20"/>
                <w:color w:val="auto"/>
              </w:rPr>
            </w:pPr>
            <w:r>
              <w:rPr>
                <w:rFonts w:ascii="Arial" w:cs="Arial" w:eastAsia="Arial" w:hAnsi="Arial"/>
                <w:sz w:val="18"/>
                <w:szCs w:val="18"/>
                <w:b w:val="1"/>
                <w:bCs w:val="1"/>
                <w:color w:val="auto"/>
              </w:rPr>
              <w:t>Unamortized intangible assets:</w:t>
            </w:r>
          </w:p>
        </w:tc>
        <w:tc>
          <w:tcPr>
            <w:tcW w:w="2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Goodwill</w:t>
            </w:r>
          </w:p>
        </w:tc>
        <w:tc>
          <w:tcPr>
            <w:tcW w:w="2760" w:type="dxa"/>
            <w:vAlign w:val="bottom"/>
            <w:tcBorders>
              <w:bottom w:val="single" w:sz="8" w:color="auto"/>
            </w:tcBorders>
            <w:gridSpan w:val="2"/>
          </w:tcPr>
          <w:p>
            <w:pPr>
              <w:jc w:val="right"/>
              <w:ind w:right="80"/>
              <w:spacing w:after="0" w:line="203" w:lineRule="exact"/>
              <w:rPr>
                <w:sz w:val="20"/>
                <w:szCs w:val="20"/>
                <w:color w:val="auto"/>
              </w:rPr>
            </w:pPr>
            <w:r>
              <w:rPr>
                <w:rFonts w:ascii="Arial" w:cs="Arial" w:eastAsia="Arial" w:hAnsi="Arial"/>
                <w:sz w:val="18"/>
                <w:szCs w:val="18"/>
                <w:color w:val="auto"/>
              </w:rPr>
              <w:t>$75,469</w:t>
            </w:r>
          </w:p>
        </w:tc>
        <w:tc>
          <w:tcPr>
            <w:tcW w:w="156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 -</w:t>
            </w:r>
          </w:p>
        </w:tc>
        <w:tc>
          <w:tcPr>
            <w:tcW w:w="138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$1,053</w:t>
            </w:r>
          </w:p>
        </w:tc>
        <w:tc>
          <w:tcPr>
            <w:tcW w:w="14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$76,522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8"/>
        </w:trPr>
        <w:tc>
          <w:tcPr>
            <w:tcW w:w="10180" w:type="dxa"/>
            <w:vAlign w:val="bottom"/>
            <w:gridSpan w:val="8"/>
          </w:tcPr>
          <w:p>
            <w:pPr>
              <w:spacing w:after="0"/>
              <w:rPr>
                <w:sz w:val="20"/>
                <w:szCs w:val="20"/>
                <w:color w:val="auto"/>
              </w:rPr>
            </w:pPr>
            <w:r>
              <w:rPr>
                <w:rFonts w:ascii="Arial" w:cs="Arial" w:eastAsia="Arial" w:hAnsi="Arial"/>
                <w:sz w:val="18"/>
                <w:szCs w:val="18"/>
                <w:color w:val="auto"/>
              </w:rPr>
              <w:t>Estimated amortization expense of intangibles for the years ending December 31, 2014 through 2018, is as follows: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tcPr>
          <w:p>
            <w:pPr>
              <w:spacing w:after="0"/>
              <w:rPr>
                <w:sz w:val="14"/>
                <w:szCs w:val="14"/>
                <w:color w:val="auto"/>
              </w:rPr>
            </w:pPr>
          </w:p>
        </w:tc>
        <w:tc>
          <w:tcPr>
            <w:tcW w:w="660" w:type="dxa"/>
            <w:vAlign w:val="bottom"/>
            <w:vMerge w:val="restart"/>
          </w:tcPr>
          <w:p>
            <w:pPr>
              <w:spacing w:after="0"/>
              <w:rPr>
                <w:sz w:val="14"/>
                <w:szCs w:val="14"/>
                <w:color w:val="auto"/>
              </w:rPr>
            </w:pPr>
          </w:p>
        </w:tc>
        <w:tc>
          <w:tcPr>
            <w:tcW w:w="15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2100" w:type="dxa"/>
            <w:vAlign w:val="bottom"/>
          </w:tcPr>
          <w:p>
            <w:pPr>
              <w:jc w:val="right"/>
              <w:spacing w:after="0" w:line="173" w:lineRule="exact"/>
              <w:rPr>
                <w:sz w:val="20"/>
                <w:szCs w:val="20"/>
                <w:color w:val="auto"/>
              </w:rPr>
            </w:pPr>
            <w:r>
              <w:rPr>
                <w:rFonts w:ascii="Arial" w:cs="Arial" w:eastAsia="Arial" w:hAnsi="Arial"/>
                <w:sz w:val="18"/>
                <w:szCs w:val="18"/>
                <w:b w:val="1"/>
                <w:bCs w:val="1"/>
                <w:color w:val="auto"/>
              </w:rPr>
              <w:t>Annual amortization</w:t>
            </w:r>
          </w:p>
        </w:tc>
        <w:tc>
          <w:tcPr>
            <w:tcW w:w="660" w:type="dxa"/>
            <w:vAlign w:val="bottom"/>
            <w:vMerge w:val="continue"/>
          </w:tcPr>
          <w:p>
            <w:pPr>
              <w:spacing w:after="0"/>
              <w:rPr>
                <w:sz w:val="15"/>
                <w:szCs w:val="15"/>
                <w:color w:val="auto"/>
              </w:rPr>
            </w:pPr>
          </w:p>
        </w:tc>
        <w:tc>
          <w:tcPr>
            <w:tcW w:w="15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000" w:type="dxa"/>
            <w:vAlign w:val="bottom"/>
          </w:tcPr>
          <w:p>
            <w:pPr>
              <w:ind w:left="860"/>
              <w:spacing w:after="0"/>
              <w:rPr>
                <w:sz w:val="20"/>
                <w:szCs w:val="20"/>
                <w:color w:val="auto"/>
              </w:rPr>
            </w:pPr>
            <w:r>
              <w:rPr>
                <w:rFonts w:ascii="Arial" w:cs="Arial" w:eastAsia="Arial" w:hAnsi="Arial"/>
                <w:sz w:val="18"/>
                <w:szCs w:val="18"/>
                <w:b w:val="1"/>
                <w:bCs w:val="1"/>
                <w:color w:val="auto"/>
              </w:rPr>
              <w:t>Year</w:t>
            </w:r>
          </w:p>
        </w:tc>
        <w:tc>
          <w:tcPr>
            <w:tcW w:w="276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(in thousands)</w:t>
            </w:r>
          </w:p>
        </w:tc>
        <w:tc>
          <w:tcPr>
            <w:tcW w:w="15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000" w:type="dxa"/>
            <w:vAlign w:val="bottom"/>
            <w:tcBorders>
              <w:top w:val="single" w:sz="8" w:color="auto"/>
            </w:tcBorders>
          </w:tcPr>
          <w:p>
            <w:pPr>
              <w:ind w:left="860"/>
              <w:spacing w:after="0" w:line="195" w:lineRule="exact"/>
              <w:rPr>
                <w:sz w:val="20"/>
                <w:szCs w:val="20"/>
                <w:color w:val="auto"/>
              </w:rPr>
            </w:pPr>
            <w:r>
              <w:rPr>
                <w:rFonts w:ascii="Arial" w:cs="Arial" w:eastAsia="Arial" w:hAnsi="Arial"/>
                <w:sz w:val="18"/>
                <w:szCs w:val="18"/>
                <w:color w:val="auto"/>
              </w:rPr>
              <w:t>2014</w:t>
            </w:r>
          </w:p>
        </w:tc>
        <w:tc>
          <w:tcPr>
            <w:tcW w:w="2100" w:type="dxa"/>
            <w:vAlign w:val="bottom"/>
            <w:tcBorders>
              <w:top w:val="single" w:sz="8" w:color="auto"/>
            </w:tcBorders>
          </w:tcPr>
          <w:p>
            <w:pPr>
              <w:jc w:val="right"/>
              <w:ind w:right="550"/>
              <w:spacing w:after="0" w:line="195" w:lineRule="exact"/>
              <w:rPr>
                <w:sz w:val="20"/>
                <w:szCs w:val="20"/>
                <w:color w:val="auto"/>
              </w:rPr>
            </w:pPr>
            <w:r>
              <w:rPr>
                <w:rFonts w:ascii="Arial" w:cs="Arial" w:eastAsia="Arial" w:hAnsi="Arial"/>
                <w:sz w:val="18"/>
                <w:szCs w:val="18"/>
                <w:color w:val="auto"/>
              </w:rPr>
              <w:t>231</w:t>
            </w:r>
          </w:p>
        </w:tc>
        <w:tc>
          <w:tcPr>
            <w:tcW w:w="6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020" w:type="dxa"/>
            <w:vAlign w:val="bottom"/>
            <w:gridSpan w:val="2"/>
          </w:tcPr>
          <w:p>
            <w:pPr>
              <w:ind w:left="880"/>
              <w:spacing w:after="0" w:line="202" w:lineRule="exact"/>
              <w:rPr>
                <w:sz w:val="20"/>
                <w:szCs w:val="20"/>
                <w:color w:val="auto"/>
              </w:rPr>
            </w:pPr>
            <w:r>
              <w:rPr>
                <w:rFonts w:ascii="Arial" w:cs="Arial" w:eastAsia="Arial" w:hAnsi="Arial"/>
                <w:sz w:val="18"/>
                <w:szCs w:val="18"/>
                <w:color w:val="auto"/>
              </w:rPr>
              <w:t>2015</w:t>
            </w:r>
          </w:p>
        </w:tc>
        <w:tc>
          <w:tcPr>
            <w:tcW w:w="2100" w:type="dxa"/>
            <w:vAlign w:val="bottom"/>
          </w:tcPr>
          <w:p>
            <w:pPr>
              <w:jc w:val="right"/>
              <w:ind w:right="550"/>
              <w:spacing w:after="0" w:line="202" w:lineRule="exact"/>
              <w:rPr>
                <w:sz w:val="20"/>
                <w:szCs w:val="20"/>
                <w:color w:val="auto"/>
              </w:rPr>
            </w:pPr>
            <w:r>
              <w:rPr>
                <w:rFonts w:ascii="Arial" w:cs="Arial" w:eastAsia="Arial" w:hAnsi="Arial"/>
                <w:sz w:val="18"/>
                <w:szCs w:val="18"/>
                <w:color w:val="auto"/>
              </w:rPr>
              <w:t>231</w:t>
            </w:r>
          </w:p>
        </w:tc>
        <w:tc>
          <w:tcPr>
            <w:tcW w:w="6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gridSpan w:val="2"/>
          </w:tcPr>
          <w:p>
            <w:pPr>
              <w:ind w:left="880"/>
              <w:spacing w:after="0" w:line="202" w:lineRule="exact"/>
              <w:rPr>
                <w:sz w:val="20"/>
                <w:szCs w:val="20"/>
                <w:color w:val="auto"/>
              </w:rPr>
            </w:pPr>
            <w:r>
              <w:rPr>
                <w:rFonts w:ascii="Arial" w:cs="Arial" w:eastAsia="Arial" w:hAnsi="Arial"/>
                <w:sz w:val="18"/>
                <w:szCs w:val="18"/>
                <w:color w:val="auto"/>
              </w:rPr>
              <w:t>2016</w:t>
            </w:r>
          </w:p>
        </w:tc>
        <w:tc>
          <w:tcPr>
            <w:tcW w:w="2100" w:type="dxa"/>
            <w:vAlign w:val="bottom"/>
          </w:tcPr>
          <w:p>
            <w:pPr>
              <w:jc w:val="right"/>
              <w:ind w:right="550"/>
              <w:spacing w:after="0" w:line="202" w:lineRule="exact"/>
              <w:rPr>
                <w:sz w:val="20"/>
                <w:szCs w:val="20"/>
                <w:color w:val="auto"/>
              </w:rPr>
            </w:pPr>
            <w:r>
              <w:rPr>
                <w:rFonts w:ascii="Arial" w:cs="Arial" w:eastAsia="Arial" w:hAnsi="Arial"/>
                <w:sz w:val="18"/>
                <w:szCs w:val="18"/>
                <w:color w:val="auto"/>
              </w:rPr>
              <w:t>29</w:t>
            </w:r>
          </w:p>
        </w:tc>
        <w:tc>
          <w:tcPr>
            <w:tcW w:w="6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gridSpan w:val="2"/>
          </w:tcPr>
          <w:p>
            <w:pPr>
              <w:ind w:left="880"/>
              <w:spacing w:after="0" w:line="202" w:lineRule="exact"/>
              <w:rPr>
                <w:sz w:val="20"/>
                <w:szCs w:val="20"/>
                <w:color w:val="auto"/>
              </w:rPr>
            </w:pPr>
            <w:r>
              <w:rPr>
                <w:rFonts w:ascii="Arial" w:cs="Arial" w:eastAsia="Arial" w:hAnsi="Arial"/>
                <w:sz w:val="18"/>
                <w:szCs w:val="18"/>
                <w:color w:val="auto"/>
              </w:rPr>
              <w:t>2017</w:t>
            </w:r>
          </w:p>
        </w:tc>
        <w:tc>
          <w:tcPr>
            <w:tcW w:w="2100" w:type="dxa"/>
            <w:vAlign w:val="bottom"/>
          </w:tcPr>
          <w:p>
            <w:pPr>
              <w:jc w:val="right"/>
              <w:ind w:right="550"/>
              <w:spacing w:after="0" w:line="202" w:lineRule="exact"/>
              <w:rPr>
                <w:sz w:val="20"/>
                <w:szCs w:val="20"/>
                <w:color w:val="auto"/>
              </w:rPr>
            </w:pPr>
            <w:r>
              <w:rPr>
                <w:rFonts w:ascii="Arial" w:cs="Arial" w:eastAsia="Arial" w:hAnsi="Arial"/>
                <w:sz w:val="18"/>
                <w:szCs w:val="18"/>
                <w:color w:val="auto"/>
              </w:rPr>
              <w:t>29</w:t>
            </w:r>
          </w:p>
        </w:tc>
        <w:tc>
          <w:tcPr>
            <w:tcW w:w="6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0" w:type="dxa"/>
            <w:vAlign w:val="bottom"/>
            <w:tcBorders>
              <w:bottom w:val="single" w:sz="8" w:color="auto"/>
            </w:tcBorders>
          </w:tcPr>
          <w:p>
            <w:pPr>
              <w:ind w:left="860"/>
              <w:spacing w:after="0" w:line="203" w:lineRule="exact"/>
              <w:rPr>
                <w:sz w:val="20"/>
                <w:szCs w:val="20"/>
                <w:color w:val="auto"/>
              </w:rPr>
            </w:pPr>
            <w:r>
              <w:rPr>
                <w:rFonts w:ascii="Arial" w:cs="Arial" w:eastAsia="Arial" w:hAnsi="Arial"/>
                <w:sz w:val="18"/>
                <w:szCs w:val="18"/>
                <w:color w:val="auto"/>
              </w:rPr>
              <w:t>2018</w:t>
            </w:r>
          </w:p>
        </w:tc>
        <w:tc>
          <w:tcPr>
            <w:tcW w:w="2100" w:type="dxa"/>
            <w:vAlign w:val="bottom"/>
            <w:tcBorders>
              <w:bottom w:val="single" w:sz="8" w:color="auto"/>
            </w:tcBorders>
          </w:tcPr>
          <w:p>
            <w:pPr>
              <w:jc w:val="right"/>
              <w:ind w:right="550"/>
              <w:spacing w:after="0" w:line="203" w:lineRule="exact"/>
              <w:rPr>
                <w:sz w:val="20"/>
                <w:szCs w:val="20"/>
                <w:color w:val="auto"/>
              </w:rPr>
            </w:pPr>
            <w:r>
              <w:rPr>
                <w:rFonts w:ascii="Arial" w:cs="Arial" w:eastAsia="Arial" w:hAnsi="Arial"/>
                <w:sz w:val="18"/>
                <w:szCs w:val="18"/>
                <w:color w:val="auto"/>
              </w:rPr>
              <w:t>29</w:t>
            </w:r>
          </w:p>
        </w:tc>
        <w:tc>
          <w:tcPr>
            <w:tcW w:w="6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13. Accrued Liabilities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liabilities consist of:</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3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2012</w:t>
            </w:r>
          </w:p>
        </w:tc>
        <w:tc>
          <w:tcPr>
            <w:tcW w:w="20" w:type="dxa"/>
            <w:vAlign w:val="bottom"/>
          </w:tcPr>
          <w:p>
            <w:pPr>
              <w:spacing w:after="0"/>
              <w:rPr>
                <w:sz w:val="18"/>
                <w:szCs w:val="18"/>
                <w:color w:val="auto"/>
              </w:rPr>
            </w:pPr>
          </w:p>
        </w:tc>
      </w:tr>
      <w:tr>
        <w:trPr>
          <w:trHeight w:val="173"/>
        </w:trPr>
        <w:tc>
          <w:tcPr>
            <w:tcW w:w="5140" w:type="dxa"/>
            <w:vAlign w:val="bottom"/>
          </w:tcPr>
          <w:p>
            <w:pPr>
              <w:spacing w:after="0" w:line="173" w:lineRule="exact"/>
              <w:rPr>
                <w:sz w:val="20"/>
                <w:szCs w:val="20"/>
                <w:color w:val="auto"/>
              </w:rPr>
            </w:pPr>
            <w:r>
              <w:rPr>
                <w:rFonts w:ascii="Arial" w:cs="Arial" w:eastAsia="Arial" w:hAnsi="Arial"/>
                <w:sz w:val="18"/>
                <w:szCs w:val="18"/>
                <w:color w:val="auto"/>
              </w:rPr>
              <w:t>Salaries and wages</w:t>
            </w:r>
          </w:p>
        </w:tc>
        <w:tc>
          <w:tcPr>
            <w:tcW w:w="2340" w:type="dxa"/>
            <w:vAlign w:val="bottom"/>
          </w:tcPr>
          <w:p>
            <w:pPr>
              <w:jc w:val="right"/>
              <w:ind w:right="210"/>
              <w:spacing w:after="0" w:line="173" w:lineRule="exact"/>
              <w:rPr>
                <w:sz w:val="20"/>
                <w:szCs w:val="20"/>
                <w:color w:val="auto"/>
              </w:rPr>
            </w:pPr>
            <w:r>
              <w:rPr>
                <w:rFonts w:ascii="Arial" w:cs="Arial" w:eastAsia="Arial" w:hAnsi="Arial"/>
                <w:sz w:val="18"/>
                <w:szCs w:val="18"/>
                <w:b w:val="1"/>
                <w:bCs w:val="1"/>
                <w:color w:val="auto"/>
              </w:rPr>
              <w:t>$18,177</w:t>
            </w:r>
          </w:p>
        </w:tc>
        <w:tc>
          <w:tcPr>
            <w:tcW w:w="1060" w:type="dxa"/>
            <w:vAlign w:val="bottom"/>
          </w:tcPr>
          <w:p>
            <w:pPr>
              <w:jc w:val="right"/>
              <w:spacing w:after="0" w:line="173" w:lineRule="exact"/>
              <w:rPr>
                <w:sz w:val="20"/>
                <w:szCs w:val="20"/>
                <w:color w:val="auto"/>
              </w:rPr>
            </w:pPr>
            <w:r>
              <w:rPr>
                <w:rFonts w:ascii="Arial" w:cs="Arial" w:eastAsia="Arial" w:hAnsi="Arial"/>
                <w:sz w:val="18"/>
                <w:szCs w:val="18"/>
                <w:color w:val="auto"/>
              </w:rPr>
              <w:t>$18,562</w:t>
            </w:r>
          </w:p>
        </w:tc>
        <w:tc>
          <w:tcPr>
            <w:tcW w:w="20" w:type="dxa"/>
            <w:vAlign w:val="bottom"/>
          </w:tcPr>
          <w:p>
            <w:pPr>
              <w:spacing w:after="0"/>
              <w:rPr>
                <w:sz w:val="15"/>
                <w:szCs w:val="15"/>
                <w:color w:val="auto"/>
              </w:rPr>
            </w:pP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Accrual for compensated absences</w:t>
            </w:r>
          </w:p>
        </w:tc>
        <w:tc>
          <w:tcPr>
            <w:tcW w:w="234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12,886</w:t>
            </w:r>
          </w:p>
        </w:tc>
        <w:tc>
          <w:tcPr>
            <w:tcW w:w="10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12,985</w:t>
            </w: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Employee benefits</w:t>
            </w:r>
          </w:p>
        </w:tc>
        <w:tc>
          <w:tcPr>
            <w:tcW w:w="234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9,960</w:t>
            </w:r>
          </w:p>
        </w:tc>
        <w:tc>
          <w:tcPr>
            <w:tcW w:w="10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9,627</w:t>
            </w: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Pension liability - current portion</w:t>
            </w:r>
          </w:p>
        </w:tc>
        <w:tc>
          <w:tcPr>
            <w:tcW w:w="234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2,321</w:t>
            </w:r>
          </w:p>
        </w:tc>
        <w:tc>
          <w:tcPr>
            <w:tcW w:w="10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2,318</w:t>
            </w: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Postretirement medical benefits - current portion</w:t>
            </w:r>
          </w:p>
        </w:tc>
        <w:tc>
          <w:tcPr>
            <w:tcW w:w="234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5,056</w:t>
            </w:r>
          </w:p>
        </w:tc>
        <w:tc>
          <w:tcPr>
            <w:tcW w:w="10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5,547</w:t>
            </w: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Returns and allowances</w:t>
            </w:r>
          </w:p>
        </w:tc>
        <w:tc>
          <w:tcPr>
            <w:tcW w:w="234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22,428</w:t>
            </w:r>
          </w:p>
        </w:tc>
        <w:tc>
          <w:tcPr>
            <w:tcW w:w="10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19,536</w:t>
            </w: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Interest</w:t>
            </w:r>
          </w:p>
        </w:tc>
        <w:tc>
          <w:tcPr>
            <w:tcW w:w="234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2,131</w:t>
            </w:r>
          </w:p>
        </w:tc>
        <w:tc>
          <w:tcPr>
            <w:tcW w:w="10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3,062</w:t>
            </w: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Restructuring costs</w:t>
            </w:r>
          </w:p>
        </w:tc>
        <w:tc>
          <w:tcPr>
            <w:tcW w:w="234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9,656</w:t>
            </w:r>
          </w:p>
        </w:tc>
        <w:tc>
          <w:tcPr>
            <w:tcW w:w="10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4,947</w:t>
            </w: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Dividends</w:t>
            </w:r>
          </w:p>
        </w:tc>
        <w:tc>
          <w:tcPr>
            <w:tcW w:w="234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4,765</w:t>
            </w:r>
          </w:p>
        </w:tc>
        <w:tc>
          <w:tcPr>
            <w:tcW w:w="10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Workers' compensation</w:t>
            </w:r>
          </w:p>
        </w:tc>
        <w:tc>
          <w:tcPr>
            <w:tcW w:w="234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2,582</w:t>
            </w:r>
          </w:p>
        </w:tc>
        <w:tc>
          <w:tcPr>
            <w:tcW w:w="10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2,924</w:t>
            </w: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Billings in excess of revenue recognized</w:t>
            </w:r>
          </w:p>
        </w:tc>
        <w:tc>
          <w:tcPr>
            <w:tcW w:w="234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7,081</w:t>
            </w:r>
          </w:p>
        </w:tc>
        <w:tc>
          <w:tcPr>
            <w:tcW w:w="10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4,920</w:t>
            </w: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Professional fees</w:t>
            </w:r>
          </w:p>
        </w:tc>
        <w:tc>
          <w:tcPr>
            <w:tcW w:w="234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2,486</w:t>
            </w:r>
          </w:p>
        </w:tc>
        <w:tc>
          <w:tcPr>
            <w:tcW w:w="10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3,173</w:t>
            </w: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Utilities</w:t>
            </w:r>
          </w:p>
        </w:tc>
        <w:tc>
          <w:tcPr>
            <w:tcW w:w="234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1,175</w:t>
            </w:r>
          </w:p>
        </w:tc>
        <w:tc>
          <w:tcPr>
            <w:tcW w:w="10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1,073</w:t>
            </w:r>
          </w:p>
        </w:tc>
      </w:tr>
      <w:tr>
        <w:trPr>
          <w:trHeight w:val="225"/>
        </w:trPr>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23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11,627</w:t>
            </w: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14,583</w:t>
            </w:r>
          </w:p>
        </w:tc>
      </w:tr>
      <w:tr>
        <w:trPr>
          <w:trHeight w:val="196"/>
        </w:trPr>
        <w:tc>
          <w:tcPr>
            <w:tcW w:w="51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234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auto"/>
              </w:rPr>
              <w:t>$112,331</w:t>
            </w:r>
          </w:p>
        </w:tc>
        <w:tc>
          <w:tcPr>
            <w:tcW w:w="108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$103,257</w:t>
            </w: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Financial Instruments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Long-term debt, principally to banks and bondholders, consists of:</w:t>
      </w:r>
    </w:p>
    <w:p>
      <w:pPr>
        <w:spacing w:after="0" w:line="166"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6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interest rates)</w:t>
            </w:r>
          </w:p>
        </w:tc>
        <w:tc>
          <w:tcPr>
            <w:tcW w:w="12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0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398"/>
        </w:trPr>
        <w:tc>
          <w:tcPr>
            <w:tcW w:w="6300" w:type="dxa"/>
            <w:vAlign w:val="bottom"/>
          </w:tcPr>
          <w:p>
            <w:pPr>
              <w:spacing w:after="0"/>
              <w:rPr>
                <w:sz w:val="20"/>
                <w:szCs w:val="20"/>
                <w:color w:val="auto"/>
              </w:rPr>
            </w:pPr>
            <w:r>
              <w:rPr>
                <w:rFonts w:ascii="Arial" w:cs="Arial" w:eastAsia="Arial" w:hAnsi="Arial"/>
                <w:sz w:val="18"/>
                <w:szCs w:val="18"/>
                <w:color w:val="auto"/>
              </w:rPr>
              <w:t>Private placement with a fixed interest rate of 6.84%, $50,000 paid in</w:t>
            </w:r>
          </w:p>
        </w:tc>
        <w:tc>
          <w:tcPr>
            <w:tcW w:w="122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$100,000</w:t>
            </w: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$150,000</w:t>
            </w:r>
          </w:p>
        </w:tc>
        <w:tc>
          <w:tcPr>
            <w:tcW w:w="0" w:type="dxa"/>
            <w:vAlign w:val="bottom"/>
          </w:tcPr>
          <w:p>
            <w:pPr>
              <w:spacing w:after="0"/>
              <w:rPr>
                <w:sz w:val="1"/>
                <w:szCs w:val="1"/>
                <w:color w:val="auto"/>
              </w:rPr>
            </w:pPr>
          </w:p>
        </w:tc>
      </w:tr>
      <w:tr>
        <w:trPr>
          <w:trHeight w:val="217"/>
        </w:trPr>
        <w:tc>
          <w:tcPr>
            <w:tcW w:w="6300" w:type="dxa"/>
            <w:vAlign w:val="bottom"/>
          </w:tcPr>
          <w:p>
            <w:pPr>
              <w:spacing w:after="0"/>
              <w:rPr>
                <w:sz w:val="20"/>
                <w:szCs w:val="20"/>
                <w:color w:val="auto"/>
              </w:rPr>
            </w:pPr>
            <w:r>
              <w:rPr>
                <w:rFonts w:ascii="Arial" w:cs="Arial" w:eastAsia="Arial" w:hAnsi="Arial"/>
                <w:sz w:val="18"/>
                <w:szCs w:val="18"/>
                <w:color w:val="auto"/>
              </w:rPr>
              <w:t>October 2013, remaining due 2015 through 2017</w:t>
            </w:r>
          </w:p>
        </w:tc>
        <w:tc>
          <w:tcPr>
            <w:tcW w:w="122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6300" w:type="dxa"/>
            <w:vAlign w:val="bottom"/>
          </w:tcPr>
          <w:p>
            <w:pPr>
              <w:spacing w:after="0"/>
              <w:rPr>
                <w:sz w:val="20"/>
                <w:szCs w:val="20"/>
                <w:color w:val="auto"/>
              </w:rPr>
            </w:pPr>
            <w:r>
              <w:rPr>
                <w:rFonts w:ascii="Arial" w:cs="Arial" w:eastAsia="Arial" w:hAnsi="Arial"/>
                <w:sz w:val="18"/>
                <w:szCs w:val="18"/>
                <w:color w:val="auto"/>
              </w:rPr>
              <w:t>Credit agreement with borrowings outstanding at an end of period interest</w:t>
            </w: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300" w:type="dxa"/>
            <w:vAlign w:val="bottom"/>
          </w:tcPr>
          <w:p>
            <w:pPr>
              <w:spacing w:after="0" w:line="202" w:lineRule="exact"/>
              <w:rPr>
                <w:sz w:val="20"/>
                <w:szCs w:val="20"/>
                <w:color w:val="auto"/>
              </w:rPr>
            </w:pPr>
            <w:r>
              <w:rPr>
                <w:rFonts w:ascii="Arial" w:cs="Arial" w:eastAsia="Arial" w:hAnsi="Arial"/>
                <w:sz w:val="18"/>
                <w:szCs w:val="18"/>
                <w:color w:val="auto"/>
              </w:rPr>
              <w:t>rate of 2.53% in 2013 and 3.92% in 2012 (including the effect of interest rate</w:t>
            </w:r>
          </w:p>
        </w:tc>
        <w:tc>
          <w:tcPr>
            <w:tcW w:w="122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200,000</w:t>
            </w: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132,000</w:t>
            </w:r>
          </w:p>
        </w:tc>
        <w:tc>
          <w:tcPr>
            <w:tcW w:w="0" w:type="dxa"/>
            <w:vAlign w:val="bottom"/>
          </w:tcPr>
          <w:p>
            <w:pPr>
              <w:spacing w:after="0"/>
              <w:rPr>
                <w:sz w:val="1"/>
                <w:szCs w:val="1"/>
                <w:color w:val="auto"/>
              </w:rPr>
            </w:pPr>
          </w:p>
        </w:tc>
      </w:tr>
      <w:tr>
        <w:trPr>
          <w:trHeight w:val="217"/>
        </w:trPr>
        <w:tc>
          <w:tcPr>
            <w:tcW w:w="6300" w:type="dxa"/>
            <w:vAlign w:val="bottom"/>
          </w:tcPr>
          <w:p>
            <w:pPr>
              <w:spacing w:after="0"/>
              <w:rPr>
                <w:sz w:val="20"/>
                <w:szCs w:val="20"/>
                <w:color w:val="auto"/>
              </w:rPr>
            </w:pPr>
            <w:r>
              <w:rPr>
                <w:rFonts w:ascii="Arial" w:cs="Arial" w:eastAsia="Arial" w:hAnsi="Arial"/>
                <w:sz w:val="18"/>
                <w:szCs w:val="18"/>
                <w:color w:val="auto"/>
              </w:rPr>
              <w:t>hedging transactions, as described below), due in 2018</w:t>
            </w:r>
          </w:p>
        </w:tc>
        <w:tc>
          <w:tcPr>
            <w:tcW w:w="122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6300" w:type="dxa"/>
            <w:vAlign w:val="bottom"/>
          </w:tcPr>
          <w:p>
            <w:pPr>
              <w:spacing w:after="0"/>
              <w:rPr>
                <w:sz w:val="20"/>
                <w:szCs w:val="20"/>
                <w:color w:val="auto"/>
              </w:rPr>
            </w:pPr>
            <w:r>
              <w:rPr>
                <w:rFonts w:ascii="Arial" w:cs="Arial" w:eastAsia="Arial" w:hAnsi="Arial"/>
                <w:sz w:val="18"/>
                <w:szCs w:val="18"/>
                <w:color w:val="auto"/>
              </w:rPr>
              <w:t>Convertible notes, par value $28,437, issued in March 2006 with fixed</w:t>
            </w:r>
          </w:p>
        </w:tc>
        <w:tc>
          <w:tcPr>
            <w:tcW w:w="122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28,261</w:t>
            </w:r>
          </w:p>
        </w:tc>
        <w:tc>
          <w:tcPr>
            <w:tcW w:w="0" w:type="dxa"/>
            <w:vAlign w:val="bottom"/>
          </w:tcPr>
          <w:p>
            <w:pPr>
              <w:spacing w:after="0"/>
              <w:rPr>
                <w:sz w:val="1"/>
                <w:szCs w:val="1"/>
                <w:color w:val="auto"/>
              </w:rPr>
            </w:pPr>
          </w:p>
        </w:tc>
      </w:tr>
      <w:tr>
        <w:trPr>
          <w:trHeight w:val="217"/>
        </w:trPr>
        <w:tc>
          <w:tcPr>
            <w:tcW w:w="6300" w:type="dxa"/>
            <w:vAlign w:val="bottom"/>
          </w:tcPr>
          <w:p>
            <w:pPr>
              <w:spacing w:after="0"/>
              <w:rPr>
                <w:sz w:val="20"/>
                <w:szCs w:val="20"/>
                <w:color w:val="auto"/>
              </w:rPr>
            </w:pPr>
            <w:r>
              <w:rPr>
                <w:rFonts w:ascii="Arial" w:cs="Arial" w:eastAsia="Arial" w:hAnsi="Arial"/>
                <w:sz w:val="18"/>
                <w:szCs w:val="18"/>
                <w:color w:val="auto"/>
              </w:rPr>
              <w:t>contractual interest rates of 2.25%, due in 2026, redeemed March 2013</w:t>
            </w:r>
          </w:p>
        </w:tc>
        <w:tc>
          <w:tcPr>
            <w:tcW w:w="122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6300" w:type="dxa"/>
            <w:vAlign w:val="bottom"/>
          </w:tcPr>
          <w:p>
            <w:pPr>
              <w:spacing w:after="0"/>
              <w:rPr>
                <w:sz w:val="20"/>
                <w:szCs w:val="20"/>
                <w:color w:val="auto"/>
              </w:rPr>
            </w:pPr>
            <w:r>
              <w:rPr>
                <w:rFonts w:ascii="Arial" w:cs="Arial" w:eastAsia="Arial" w:hAnsi="Arial"/>
                <w:sz w:val="18"/>
                <w:szCs w:val="18"/>
                <w:color w:val="auto"/>
              </w:rPr>
              <w:t>Various notes and mortgages relative to operations principally outside the</w:t>
            </w: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300" w:type="dxa"/>
            <w:vAlign w:val="bottom"/>
          </w:tcPr>
          <w:p>
            <w:pPr>
              <w:spacing w:after="0" w:line="202" w:lineRule="exact"/>
              <w:rPr>
                <w:sz w:val="20"/>
                <w:szCs w:val="20"/>
                <w:color w:val="auto"/>
              </w:rPr>
            </w:pPr>
            <w:r>
              <w:rPr>
                <w:rFonts w:ascii="Arial" w:cs="Arial" w:eastAsia="Arial" w:hAnsi="Arial"/>
                <w:sz w:val="18"/>
                <w:szCs w:val="18"/>
                <w:color w:val="auto"/>
              </w:rPr>
              <w:t>United States, at an average end of period rate of 3.10% in 2013 and 3.06%</w:t>
            </w:r>
          </w:p>
        </w:tc>
        <w:tc>
          <w:tcPr>
            <w:tcW w:w="122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3,875</w:t>
            </w: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8,892</w:t>
            </w:r>
          </w:p>
        </w:tc>
        <w:tc>
          <w:tcPr>
            <w:tcW w:w="0" w:type="dxa"/>
            <w:vAlign w:val="bottom"/>
          </w:tcPr>
          <w:p>
            <w:pPr>
              <w:spacing w:after="0"/>
              <w:rPr>
                <w:sz w:val="1"/>
                <w:szCs w:val="1"/>
                <w:color w:val="auto"/>
              </w:rPr>
            </w:pPr>
          </w:p>
        </w:tc>
      </w:tr>
      <w:tr>
        <w:trPr>
          <w:trHeight w:val="203"/>
        </w:trPr>
        <w:tc>
          <w:tcPr>
            <w:tcW w:w="63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in 2012, due in varying amounts through 2021</w:t>
            </w:r>
          </w:p>
        </w:tc>
        <w:tc>
          <w:tcPr>
            <w:tcW w:w="1220" w:type="dxa"/>
            <w:vAlign w:val="bottom"/>
            <w:tcBorders>
              <w:bottom w:val="single" w:sz="8" w:color="auto"/>
            </w:tcBorders>
            <w:vMerge w:val="continue"/>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6300" w:type="dxa"/>
            <w:vAlign w:val="bottom"/>
          </w:tcPr>
          <w:p>
            <w:pPr>
              <w:spacing w:after="0"/>
              <w:rPr>
                <w:sz w:val="20"/>
                <w:szCs w:val="20"/>
                <w:color w:val="auto"/>
              </w:rPr>
            </w:pPr>
            <w:r>
              <w:rPr>
                <w:rFonts w:ascii="Arial" w:cs="Arial" w:eastAsia="Arial" w:hAnsi="Arial"/>
                <w:sz w:val="18"/>
                <w:szCs w:val="18"/>
                <w:color w:val="auto"/>
              </w:rPr>
              <w:t>Long-term debt</w:t>
            </w:r>
          </w:p>
        </w:tc>
        <w:tc>
          <w:tcPr>
            <w:tcW w:w="1220" w:type="dxa"/>
            <w:vAlign w:val="bottom"/>
          </w:tcPr>
          <w:p>
            <w:pPr>
              <w:jc w:val="right"/>
              <w:ind w:right="150"/>
              <w:spacing w:after="0"/>
              <w:rPr>
                <w:sz w:val="20"/>
                <w:szCs w:val="20"/>
                <w:color w:val="auto"/>
              </w:rPr>
            </w:pPr>
            <w:r>
              <w:rPr>
                <w:rFonts w:ascii="Arial" w:cs="Arial" w:eastAsia="Arial" w:hAnsi="Arial"/>
                <w:sz w:val="18"/>
                <w:szCs w:val="18"/>
                <w:b w:val="1"/>
                <w:bCs w:val="1"/>
                <w:color w:val="auto"/>
              </w:rPr>
              <w:t>303,875</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319,153</w:t>
            </w:r>
          </w:p>
        </w:tc>
        <w:tc>
          <w:tcPr>
            <w:tcW w:w="0" w:type="dxa"/>
            <w:vAlign w:val="bottom"/>
          </w:tcPr>
          <w:p>
            <w:pPr>
              <w:spacing w:after="0"/>
              <w:rPr>
                <w:sz w:val="1"/>
                <w:szCs w:val="1"/>
                <w:color w:val="auto"/>
              </w:rPr>
            </w:pPr>
          </w:p>
        </w:tc>
      </w:tr>
      <w:tr>
        <w:trPr>
          <w:trHeight w:val="392"/>
        </w:trPr>
        <w:tc>
          <w:tcPr>
            <w:tcW w:w="6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current portion</w:t>
            </w:r>
          </w:p>
        </w:tc>
        <w:tc>
          <w:tcPr>
            <w:tcW w:w="1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(3,764)</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(83,276)</w:t>
            </w:r>
          </w:p>
        </w:tc>
        <w:tc>
          <w:tcPr>
            <w:tcW w:w="0" w:type="dxa"/>
            <w:vAlign w:val="bottom"/>
          </w:tcPr>
          <w:p>
            <w:pPr>
              <w:spacing w:after="0"/>
              <w:rPr>
                <w:sz w:val="1"/>
                <w:szCs w:val="1"/>
                <w:color w:val="auto"/>
              </w:rPr>
            </w:pPr>
          </w:p>
        </w:tc>
      </w:tr>
      <w:tr>
        <w:trPr>
          <w:trHeight w:val="399"/>
        </w:trPr>
        <w:tc>
          <w:tcPr>
            <w:tcW w:w="6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Long-term debt, net of current portion</w:t>
            </w: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$300,111</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$235,877</w:t>
            </w:r>
          </w:p>
        </w:tc>
        <w:tc>
          <w:tcPr>
            <w:tcW w:w="0" w:type="dxa"/>
            <w:vAlign w:val="bottom"/>
          </w:tcPr>
          <w:p>
            <w:pPr>
              <w:spacing w:after="0"/>
              <w:rPr>
                <w:sz w:val="1"/>
                <w:szCs w:val="1"/>
                <w:color w:val="auto"/>
              </w:rPr>
            </w:pPr>
          </w:p>
        </w:tc>
      </w:tr>
    </w:tbl>
    <w:p>
      <w:pPr>
        <w:spacing w:after="0" w:line="3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79" w:name="page80"/>
    <w:bookmarkEnd w:id="79"/>
    <w:p>
      <w:pPr>
        <w:jc w:val="both"/>
        <w:ind w:right="320" w:firstLine="648"/>
        <w:spacing w:after="0"/>
        <w:rPr>
          <w:sz w:val="20"/>
          <w:szCs w:val="20"/>
          <w:color w:val="auto"/>
        </w:rPr>
      </w:pPr>
      <w:r>
        <w:rPr>
          <w:rFonts w:ascii="Arial" w:cs="Arial" w:eastAsia="Arial" w:hAnsi="Arial"/>
          <w:sz w:val="18"/>
          <w:szCs w:val="18"/>
          <w:color w:val="auto"/>
        </w:rPr>
        <w:t>Principal payments due on long-term debt are: 2014, $3.8 million; 2015, $50.0 million; 2017, $50.0 million and 2018, $200.0 million. Total principal payments in 2016, 2019 and thereafter total $0.0 million. Cash payments of interest amounted to $16.1 million in 2013, $18.4 million in 2012, and $20.2 million in 2011.</w:t>
      </w:r>
    </w:p>
    <w:p>
      <w:pPr>
        <w:spacing w:after="0" w:line="162" w:lineRule="exact"/>
        <w:rPr>
          <w:sz w:val="20"/>
          <w:szCs w:val="20"/>
          <w:color w:val="auto"/>
        </w:rPr>
      </w:pPr>
    </w:p>
    <w:p>
      <w:pPr>
        <w:ind w:right="80" w:firstLine="648"/>
        <w:spacing w:after="0" w:line="236" w:lineRule="auto"/>
        <w:rPr>
          <w:sz w:val="20"/>
          <w:szCs w:val="20"/>
          <w:color w:val="auto"/>
        </w:rPr>
      </w:pPr>
      <w:r>
        <w:rPr>
          <w:rFonts w:ascii="Arial" w:cs="Arial" w:eastAsia="Arial" w:hAnsi="Arial"/>
          <w:sz w:val="18"/>
          <w:szCs w:val="18"/>
          <w:color w:val="auto"/>
        </w:rPr>
        <w:t>A note agreement and guaranty (“Prudential agreement”) was entered into in October 2005, and was amended and restated as September 17, 2010 and March 26, 2013, with the Prudential Insurance Company of America, and certain other purchasers, in an aggregate principal amount of $150 million, with interest at 6.84% and a maturity date of October 25, 2017. The Prudential Agreement provides for mandatory payments of $ 50 million on each of October 25, 2013, and October 25, 2015, of which the first payment was made on schedule. At the noteholders’ election, certain prepayments may also be required in connection with certain asset dispositions or financings. The notes may not otherwise be prepaid without a premium, under certain market conditions. The Prudential Agreement contains customary terms, as well as affirmative covenants, negative covenants, and events of default comparable to those in our current principal credit facility (as described below). For disclosure purposes, we are required to measure the fair value of outstanding debt on a recurring basis. As of December 31, 2013, the fair value of the Prudential Agreement was approximately $114.5 million, which was measured using active market interest rates, which would be considered Level 2 for fair value measurement purposes.</w:t>
      </w:r>
    </w:p>
    <w:p>
      <w:pPr>
        <w:spacing w:after="0" w:line="180" w:lineRule="exact"/>
        <w:rPr>
          <w:sz w:val="20"/>
          <w:szCs w:val="20"/>
          <w:color w:val="auto"/>
        </w:rPr>
      </w:pPr>
    </w:p>
    <w:p>
      <w:pPr>
        <w:ind w:right="120" w:firstLine="648"/>
        <w:spacing w:after="0" w:line="238" w:lineRule="auto"/>
        <w:rPr>
          <w:sz w:val="20"/>
          <w:szCs w:val="20"/>
          <w:color w:val="auto"/>
        </w:rPr>
      </w:pPr>
      <w:r>
        <w:rPr>
          <w:rFonts w:ascii="Arial" w:cs="Arial" w:eastAsia="Arial" w:hAnsi="Arial"/>
          <w:sz w:val="18"/>
          <w:szCs w:val="18"/>
          <w:color w:val="auto"/>
        </w:rPr>
        <w:t>On March 26, 2013, we entered into a $330 million, unsecured Five-Year Revolving Credit Facility Agreement (“Credit Agreement”), under which $200 million of borrowings were outstanding as of December 31, 2013. The Credit Agreement replaces the previous $390 million five-year Credit Agreement made in 2010. The applicable interest rate for borrowings under the Credit Agreement, as well as under the former agreement, is LIBOR plus a spread, based on our leverage ratio at the time of borrowing. At the time of the last borrowing on December 23, 2013, the spread was 1.375%. The spread is based on a pricing grid, which ranges from 1.25% to 1.875%, based on our leverage ratio.</w:t>
      </w:r>
    </w:p>
    <w:p>
      <w:pPr>
        <w:spacing w:after="0" w:line="162" w:lineRule="exact"/>
        <w:rPr>
          <w:sz w:val="20"/>
          <w:szCs w:val="20"/>
          <w:color w:val="auto"/>
        </w:rPr>
      </w:pPr>
    </w:p>
    <w:p>
      <w:pPr>
        <w:ind w:right="340" w:firstLine="648"/>
        <w:spacing w:after="0" w:line="239" w:lineRule="auto"/>
        <w:rPr>
          <w:sz w:val="20"/>
          <w:szCs w:val="20"/>
          <w:color w:val="auto"/>
        </w:rPr>
      </w:pPr>
      <w:r>
        <w:rPr>
          <w:rFonts w:ascii="Arial" w:cs="Arial" w:eastAsia="Arial" w:hAnsi="Arial"/>
          <w:sz w:val="18"/>
          <w:szCs w:val="18"/>
          <w:color w:val="auto"/>
        </w:rPr>
        <w:t>Our ability to borrow additional amounts under the Credit Agreement is conditional upon the absence of any defaults, as well as the absence of any material adverse change. Based on our maximum leverage ratio and our consolidated EBITDA (as defined in the Credit Agreement), and without modification to any other credit agreements, as of December 31, 2013, we would have been able to borrow an additional $130 million under our agreement.</w:t>
      </w:r>
    </w:p>
    <w:p>
      <w:pPr>
        <w:spacing w:after="0" w:line="161"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On July 16, 2010, we entered into interest rate hedging transactions that have the effect of fixing the LIBOR portion of the effective interest rate (before addition of the spread) on $105 million of the indebtedness drawn under the Credit Agreement at the rate of 2.04% until July 16, 2015. Under the terms of these transactions, we pay the fixed rate of 2.04% and the counterparties pay a floating rate based on the three-month LIBOR rate at each quarterly calculation date, which on October 16, 2013 was 0.25%. The net effect is to fix the effective interest rate on $105 million of indebtedness at 2.04%, plus the applicable spread, until these swap agreements expire. On December 31, 2013, the all-in rate on the $105 million of debt was 3.415%.</w:t>
      </w:r>
    </w:p>
    <w:p>
      <w:pPr>
        <w:spacing w:after="0" w:line="178"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On May 20, 2013, we entered into interest rate hedging transactions for the period July 16, 2015 through March 16, 2018. These transactions have the effect of fixing the LIBOR portion of the effective interest rate (before addition of the spread) on $110 million of indebtedness drawn under the Credit Agreement at the rate of 1.414% during this period. Under the terms of these transactions, we pay the fixed rate of 1.414% and the counterparties pay a floating rate based on the one-month LIBOR rate at each monthly calculation date, which on December 31, 2013 was 0.17%. The net effect is to fix the effective interest rate on $110 million of indebtedness at 1.414%, plus the applicable spread, during the swap period.</w:t>
      </w:r>
    </w:p>
    <w:p>
      <w:pPr>
        <w:spacing w:after="0" w:line="165" w:lineRule="exact"/>
        <w:rPr>
          <w:sz w:val="20"/>
          <w:szCs w:val="20"/>
          <w:color w:val="auto"/>
        </w:rPr>
      </w:pPr>
    </w:p>
    <w:p>
      <w:pPr>
        <w:ind w:right="920" w:firstLine="648"/>
        <w:spacing w:after="0" w:line="246" w:lineRule="auto"/>
        <w:rPr>
          <w:sz w:val="20"/>
          <w:szCs w:val="20"/>
          <w:color w:val="auto"/>
        </w:rPr>
      </w:pPr>
      <w:r>
        <w:rPr>
          <w:rFonts w:ascii="Arial" w:cs="Arial" w:eastAsia="Arial" w:hAnsi="Arial"/>
          <w:sz w:val="18"/>
          <w:szCs w:val="18"/>
          <w:color w:val="auto"/>
        </w:rPr>
        <w:t>These interest rate swaps are accounted for as a hedge of future cash flows, as further described in Note 15 of the Notes to Consolidated Financial Statements. No cash collateral was received or pledged in relation to the swap agreements.</w:t>
      </w:r>
    </w:p>
    <w:p>
      <w:pPr>
        <w:spacing w:after="0" w:line="1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80" w:name="page81"/>
    <w:bookmarkEnd w:id="80"/>
    <w:p>
      <w:pPr>
        <w:ind w:right="640" w:firstLine="648"/>
        <w:spacing w:after="0" w:line="246" w:lineRule="auto"/>
        <w:rPr>
          <w:sz w:val="20"/>
          <w:szCs w:val="20"/>
          <w:color w:val="auto"/>
        </w:rPr>
      </w:pPr>
      <w:r>
        <w:rPr>
          <w:rFonts w:ascii="Arial" w:cs="Arial" w:eastAsia="Arial" w:hAnsi="Arial"/>
          <w:sz w:val="18"/>
          <w:szCs w:val="18"/>
          <w:color w:val="auto"/>
        </w:rPr>
        <w:t>Under the Credit Agreement and Prudential Agreement, we are currently required to maintain a leverage ratio (as defined in the agreements) of not greater than 3.50 to 1.00 and minimum interest coverage (as defined) of 3.00 to 1.00.</w:t>
      </w:r>
    </w:p>
    <w:p>
      <w:pPr>
        <w:spacing w:after="0" w:line="156" w:lineRule="exact"/>
        <w:rPr>
          <w:sz w:val="20"/>
          <w:szCs w:val="20"/>
          <w:color w:val="auto"/>
        </w:rPr>
      </w:pPr>
    </w:p>
    <w:p>
      <w:pPr>
        <w:ind w:right="140" w:firstLine="648"/>
        <w:spacing w:after="0"/>
        <w:rPr>
          <w:sz w:val="20"/>
          <w:szCs w:val="20"/>
          <w:color w:val="auto"/>
        </w:rPr>
      </w:pPr>
      <w:r>
        <w:rPr>
          <w:rFonts w:ascii="Arial" w:cs="Arial" w:eastAsia="Arial" w:hAnsi="Arial"/>
          <w:sz w:val="18"/>
          <w:szCs w:val="18"/>
          <w:color w:val="auto"/>
        </w:rPr>
        <w:t>As of December 31, 2013, our leverage ratio was 1.78 to 1.00 and our interest coverage ratio was 8.85 to 1.00. We may purchase our Common Stock or pay dividends to the extent our leverage ratio remains at or below 3.50 to 1.00, and may make acquisitions with cash provided our leverage ratio would not exceed 3.50 to 1.00 after giving pro forma effect to the acquisition.</w:t>
      </w:r>
    </w:p>
    <w:p>
      <w:pPr>
        <w:spacing w:after="0" w:line="176" w:lineRule="exact"/>
        <w:rPr>
          <w:sz w:val="20"/>
          <w:szCs w:val="20"/>
          <w:color w:val="auto"/>
        </w:rPr>
      </w:pPr>
    </w:p>
    <w:p>
      <w:pPr>
        <w:ind w:right="540" w:firstLine="648"/>
        <w:spacing w:after="0" w:line="246" w:lineRule="auto"/>
        <w:rPr>
          <w:sz w:val="20"/>
          <w:szCs w:val="20"/>
          <w:color w:val="auto"/>
        </w:rPr>
      </w:pPr>
      <w:r>
        <w:rPr>
          <w:rFonts w:ascii="Arial" w:cs="Arial" w:eastAsia="Arial" w:hAnsi="Arial"/>
          <w:sz w:val="18"/>
          <w:szCs w:val="18"/>
          <w:color w:val="auto"/>
        </w:rPr>
        <w:t>On March 15, 2013, the Company redeemed, at 100 percent of par, all remaining 2.25% Convertible Senior Notes due 2026 (the “Notes”). The cash payments of $28.4 million were funded by borrowings under the Credit Agreement.</w:t>
      </w:r>
    </w:p>
    <w:p>
      <w:pPr>
        <w:spacing w:after="0" w:line="156"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In connection with the original sale of the Notes in 2006, we entered into hedge and warrant transactions with respect to our Class A common stock. These transactions were intended to reduce the potential dilution upon conversion of the Notes by providing us with the option, subject to certain exceptions, to acquire shares in an amount equal to the number of shares that we would be required to deliver upon conversion of the Notes. These transactions had the economic effect to the Company of increasing the conversion price of the Notes to $52.25 per share. These transactions had a net cost of $14.7 million. The hedge transactions expired on March 15, 2013 and all warrants were expired by September 10, 2013.</w:t>
      </w:r>
    </w:p>
    <w:p>
      <w:pPr>
        <w:spacing w:after="0" w:line="165" w:lineRule="exact"/>
        <w:rPr>
          <w:sz w:val="20"/>
          <w:szCs w:val="20"/>
          <w:color w:val="auto"/>
        </w:rPr>
      </w:pPr>
    </w:p>
    <w:p>
      <w:pPr>
        <w:ind w:right="80" w:firstLine="648"/>
        <w:spacing w:after="0" w:line="246" w:lineRule="auto"/>
        <w:rPr>
          <w:sz w:val="20"/>
          <w:szCs w:val="20"/>
          <w:color w:val="auto"/>
        </w:rPr>
      </w:pPr>
      <w:r>
        <w:rPr>
          <w:rFonts w:ascii="Arial" w:cs="Arial" w:eastAsia="Arial" w:hAnsi="Arial"/>
          <w:sz w:val="18"/>
          <w:szCs w:val="18"/>
          <w:color w:val="auto"/>
        </w:rPr>
        <w:t>Indebtedness under each of the Prudential Agreement and the Credit Agreement is ranked equally in right of payment to all unsecured senior debt.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were in compliance with all debt covenants as of December 31, 2013.</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Fair-Value Measurements</w:t>
      </w:r>
    </w:p>
    <w:p>
      <w:pPr>
        <w:spacing w:after="0" w:line="193" w:lineRule="exact"/>
        <w:rPr>
          <w:sz w:val="20"/>
          <w:szCs w:val="20"/>
          <w:color w:val="auto"/>
        </w:rPr>
      </w:pPr>
    </w:p>
    <w:p>
      <w:pPr>
        <w:ind w:right="100" w:firstLine="648"/>
        <w:spacing w:after="0" w:line="237"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Accounting principles establish a hierarchy for inputs used in measuring fair value that maximizes the use of observable inputs and minimizes the use of unobservable inputs by requiring that the most observable inputs be used when available. Level 3 inputs are unobservable data points for the asset or liability, and include situations in which there is little, if any, market activity for the asset or liability. As of December 31, 2013 and 2012, we have no Level 3 financial assets or liabilities.</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81" w:name="page82"/>
    <w:bookmarkEnd w:id="81"/>
    <w:p>
      <w:pPr>
        <w:ind w:right="20" w:firstLine="648"/>
        <w:spacing w:after="0" w:line="246" w:lineRule="auto"/>
        <w:rPr>
          <w:sz w:val="20"/>
          <w:szCs w:val="20"/>
          <w:color w:val="auto"/>
        </w:rPr>
      </w:pPr>
      <w:r>
        <w:rPr>
          <w:rFonts w:ascii="Arial" w:cs="Arial" w:eastAsia="Arial" w:hAnsi="Arial"/>
          <w:sz w:val="18"/>
          <w:szCs w:val="18"/>
          <w:color w:val="auto"/>
        </w:rPr>
        <w:t>The following table presents the fair-value hierarchy for our Level 1 and Level 2 financial assets and liabilities measured at fair value on a recurring basis:</w:t>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620" w:type="dxa"/>
            <w:vAlign w:val="bottom"/>
            <w:tcBorders>
              <w:top w:val="single" w:sz="8" w:color="auto"/>
            </w:tcBorders>
          </w:tcPr>
          <w:p>
            <w:pPr>
              <w:spacing w:after="0"/>
              <w:rPr>
                <w:sz w:val="16"/>
                <w:szCs w:val="16"/>
                <w:color w:val="auto"/>
              </w:rPr>
            </w:pPr>
          </w:p>
        </w:tc>
        <w:tc>
          <w:tcPr>
            <w:tcW w:w="3840" w:type="dxa"/>
            <w:vAlign w:val="bottom"/>
            <w:tcBorders>
              <w:top w:val="single" w:sz="8" w:color="auto"/>
            </w:tcBorders>
            <w:gridSpan w:val="2"/>
          </w:tcPr>
          <w:p>
            <w:pPr>
              <w:jc w:val="right"/>
              <w:ind w:right="731"/>
              <w:spacing w:after="0" w:line="194" w:lineRule="exact"/>
              <w:rPr>
                <w:sz w:val="20"/>
                <w:szCs w:val="20"/>
                <w:color w:val="auto"/>
              </w:rPr>
            </w:pPr>
            <w:r>
              <w:rPr>
                <w:rFonts w:ascii="Arial" w:cs="Arial" w:eastAsia="Arial" w:hAnsi="Arial"/>
                <w:sz w:val="18"/>
                <w:szCs w:val="18"/>
                <w:b w:val="1"/>
                <w:bCs w:val="1"/>
                <w:color w:val="auto"/>
              </w:rPr>
              <w:t>December 31, 2013</w:t>
            </w:r>
          </w:p>
        </w:tc>
        <w:tc>
          <w:tcPr>
            <w:tcW w:w="2620" w:type="dxa"/>
            <w:vAlign w:val="bottom"/>
            <w:tcBorders>
              <w:top w:val="single" w:sz="8" w:color="auto"/>
            </w:tcBorders>
            <w:gridSpan w:val="2"/>
          </w:tcPr>
          <w:p>
            <w:pPr>
              <w:ind w:left="540"/>
              <w:spacing w:after="0" w:line="194" w:lineRule="exact"/>
              <w:rPr>
                <w:sz w:val="20"/>
                <w:szCs w:val="20"/>
                <w:color w:val="auto"/>
              </w:rPr>
            </w:pPr>
            <w:r>
              <w:rPr>
                <w:rFonts w:ascii="Arial" w:cs="Arial" w:eastAsia="Arial" w:hAnsi="Arial"/>
                <w:sz w:val="18"/>
                <w:szCs w:val="18"/>
                <w:color w:val="auto"/>
              </w:rPr>
              <w:t>December 31, 2012</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6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560" w:type="dxa"/>
            <w:vAlign w:val="bottom"/>
          </w:tcPr>
          <w:p>
            <w:pPr>
              <w:jc w:val="center"/>
              <w:ind w:right="231"/>
              <w:spacing w:after="0" w:line="202" w:lineRule="exact"/>
              <w:rPr>
                <w:sz w:val="20"/>
                <w:szCs w:val="20"/>
                <w:color w:val="auto"/>
              </w:rPr>
            </w:pPr>
            <w:r>
              <w:rPr>
                <w:rFonts w:ascii="Arial" w:cs="Arial" w:eastAsia="Arial" w:hAnsi="Arial"/>
                <w:sz w:val="18"/>
                <w:szCs w:val="18"/>
                <w:b w:val="1"/>
                <w:bCs w:val="1"/>
                <w:color w:val="auto"/>
                <w:w w:val="99"/>
              </w:rPr>
              <w:t>Significant</w:t>
            </w:r>
          </w:p>
        </w:tc>
        <w:tc>
          <w:tcPr>
            <w:tcW w:w="1420" w:type="dxa"/>
            <w:vAlign w:val="bottom"/>
          </w:tcPr>
          <w:p>
            <w:pPr>
              <w:spacing w:after="0"/>
              <w:rPr>
                <w:sz w:val="17"/>
                <w:szCs w:val="17"/>
                <w:color w:val="auto"/>
              </w:rPr>
            </w:pPr>
          </w:p>
        </w:tc>
        <w:tc>
          <w:tcPr>
            <w:tcW w:w="1540" w:type="dxa"/>
            <w:vAlign w:val="bottom"/>
            <w:gridSpan w:val="2"/>
          </w:tcPr>
          <w:p>
            <w:pPr>
              <w:jc w:val="center"/>
              <w:ind w:right="380"/>
              <w:spacing w:after="0" w:line="202" w:lineRule="exact"/>
              <w:rPr>
                <w:sz w:val="20"/>
                <w:szCs w:val="20"/>
                <w:color w:val="auto"/>
              </w:rPr>
            </w:pPr>
            <w:r>
              <w:rPr>
                <w:rFonts w:ascii="Arial" w:cs="Arial" w:eastAsia="Arial" w:hAnsi="Arial"/>
                <w:sz w:val="18"/>
                <w:szCs w:val="18"/>
                <w:color w:val="auto"/>
              </w:rPr>
              <w:t>Significant</w:t>
            </w:r>
          </w:p>
        </w:tc>
        <w:tc>
          <w:tcPr>
            <w:tcW w:w="0" w:type="dxa"/>
            <w:vAlign w:val="bottom"/>
          </w:tcPr>
          <w:p>
            <w:pPr>
              <w:spacing w:after="0"/>
              <w:rPr>
                <w:sz w:val="1"/>
                <w:szCs w:val="1"/>
                <w:color w:val="auto"/>
              </w:rPr>
            </w:pPr>
          </w:p>
        </w:tc>
      </w:tr>
      <w:tr>
        <w:trPr>
          <w:trHeight w:val="203"/>
        </w:trPr>
        <w:tc>
          <w:tcPr>
            <w:tcW w:w="4620" w:type="dxa"/>
            <w:vAlign w:val="bottom"/>
          </w:tcPr>
          <w:p>
            <w:pPr>
              <w:spacing w:after="0"/>
              <w:rPr>
                <w:sz w:val="17"/>
                <w:szCs w:val="17"/>
                <w:color w:val="auto"/>
              </w:rPr>
            </w:pPr>
          </w:p>
        </w:tc>
        <w:tc>
          <w:tcPr>
            <w:tcW w:w="2280" w:type="dxa"/>
            <w:vAlign w:val="bottom"/>
          </w:tcPr>
          <w:p>
            <w:pPr>
              <w:jc w:val="center"/>
              <w:ind w:left="650"/>
              <w:spacing w:after="0" w:line="202" w:lineRule="exact"/>
              <w:rPr>
                <w:sz w:val="20"/>
                <w:szCs w:val="20"/>
                <w:color w:val="auto"/>
              </w:rPr>
            </w:pPr>
            <w:r>
              <w:rPr>
                <w:rFonts w:ascii="Arial" w:cs="Arial" w:eastAsia="Arial" w:hAnsi="Arial"/>
                <w:sz w:val="18"/>
                <w:szCs w:val="18"/>
                <w:b w:val="1"/>
                <w:bCs w:val="1"/>
                <w:color w:val="auto"/>
              </w:rPr>
              <w:t>Quoted prices</w:t>
            </w:r>
          </w:p>
        </w:tc>
        <w:tc>
          <w:tcPr>
            <w:tcW w:w="1560" w:type="dxa"/>
            <w:vAlign w:val="bottom"/>
          </w:tcPr>
          <w:p>
            <w:pPr>
              <w:jc w:val="center"/>
              <w:ind w:right="251"/>
              <w:spacing w:after="0" w:line="202" w:lineRule="exact"/>
              <w:rPr>
                <w:sz w:val="20"/>
                <w:szCs w:val="20"/>
                <w:color w:val="auto"/>
              </w:rPr>
            </w:pPr>
            <w:r>
              <w:rPr>
                <w:rFonts w:ascii="Arial" w:cs="Arial" w:eastAsia="Arial" w:hAnsi="Arial"/>
                <w:sz w:val="18"/>
                <w:szCs w:val="18"/>
                <w:b w:val="1"/>
                <w:bCs w:val="1"/>
                <w:color w:val="auto"/>
              </w:rPr>
              <w:t>other</w:t>
            </w:r>
          </w:p>
        </w:tc>
        <w:tc>
          <w:tcPr>
            <w:tcW w:w="1420" w:type="dxa"/>
            <w:vAlign w:val="bottom"/>
          </w:tcPr>
          <w:p>
            <w:pPr>
              <w:jc w:val="center"/>
              <w:ind w:right="10"/>
              <w:spacing w:after="0" w:line="202" w:lineRule="exact"/>
              <w:rPr>
                <w:sz w:val="20"/>
                <w:szCs w:val="20"/>
                <w:color w:val="auto"/>
              </w:rPr>
            </w:pPr>
            <w:r>
              <w:rPr>
                <w:rFonts w:ascii="Arial" w:cs="Arial" w:eastAsia="Arial" w:hAnsi="Arial"/>
                <w:sz w:val="18"/>
                <w:szCs w:val="18"/>
                <w:color w:val="auto"/>
                <w:w w:val="99"/>
              </w:rPr>
              <w:t>Quoted prices</w:t>
            </w:r>
          </w:p>
        </w:tc>
        <w:tc>
          <w:tcPr>
            <w:tcW w:w="1540" w:type="dxa"/>
            <w:vAlign w:val="bottom"/>
            <w:gridSpan w:val="2"/>
          </w:tcPr>
          <w:p>
            <w:pPr>
              <w:jc w:val="center"/>
              <w:ind w:right="380"/>
              <w:spacing w:after="0" w:line="202" w:lineRule="exact"/>
              <w:rPr>
                <w:sz w:val="20"/>
                <w:szCs w:val="20"/>
                <w:color w:val="auto"/>
              </w:rPr>
            </w:pPr>
            <w:r>
              <w:rPr>
                <w:rFonts w:ascii="Arial" w:cs="Arial" w:eastAsia="Arial" w:hAnsi="Arial"/>
                <w:sz w:val="18"/>
                <w:szCs w:val="18"/>
                <w:color w:val="auto"/>
                <w:w w:val="97"/>
              </w:rPr>
              <w:t>other</w:t>
            </w:r>
          </w:p>
        </w:tc>
        <w:tc>
          <w:tcPr>
            <w:tcW w:w="0" w:type="dxa"/>
            <w:vAlign w:val="bottom"/>
          </w:tcPr>
          <w:p>
            <w:pPr>
              <w:spacing w:after="0"/>
              <w:rPr>
                <w:sz w:val="1"/>
                <w:szCs w:val="1"/>
                <w:color w:val="auto"/>
              </w:rPr>
            </w:pPr>
          </w:p>
        </w:tc>
      </w:tr>
      <w:tr>
        <w:trPr>
          <w:trHeight w:val="203"/>
        </w:trPr>
        <w:tc>
          <w:tcPr>
            <w:tcW w:w="4620" w:type="dxa"/>
            <w:vAlign w:val="bottom"/>
          </w:tcPr>
          <w:p>
            <w:pPr>
              <w:spacing w:after="0"/>
              <w:rPr>
                <w:sz w:val="17"/>
                <w:szCs w:val="17"/>
                <w:color w:val="auto"/>
              </w:rPr>
            </w:pPr>
          </w:p>
        </w:tc>
        <w:tc>
          <w:tcPr>
            <w:tcW w:w="2280" w:type="dxa"/>
            <w:vAlign w:val="bottom"/>
          </w:tcPr>
          <w:p>
            <w:pPr>
              <w:jc w:val="center"/>
              <w:ind w:left="670"/>
              <w:spacing w:after="0" w:line="202" w:lineRule="exact"/>
              <w:rPr>
                <w:sz w:val="20"/>
                <w:szCs w:val="20"/>
                <w:color w:val="auto"/>
              </w:rPr>
            </w:pPr>
            <w:r>
              <w:rPr>
                <w:rFonts w:ascii="Arial" w:cs="Arial" w:eastAsia="Arial" w:hAnsi="Arial"/>
                <w:sz w:val="18"/>
                <w:szCs w:val="18"/>
                <w:b w:val="1"/>
                <w:bCs w:val="1"/>
                <w:color w:val="auto"/>
                <w:w w:val="99"/>
              </w:rPr>
              <w:t>in active</w:t>
            </w:r>
          </w:p>
        </w:tc>
        <w:tc>
          <w:tcPr>
            <w:tcW w:w="1560" w:type="dxa"/>
            <w:vAlign w:val="bottom"/>
          </w:tcPr>
          <w:p>
            <w:pPr>
              <w:jc w:val="center"/>
              <w:ind w:right="251"/>
              <w:spacing w:after="0" w:line="202" w:lineRule="exact"/>
              <w:rPr>
                <w:sz w:val="20"/>
                <w:szCs w:val="20"/>
                <w:color w:val="auto"/>
              </w:rPr>
            </w:pPr>
            <w:r>
              <w:rPr>
                <w:rFonts w:ascii="Arial" w:cs="Arial" w:eastAsia="Arial" w:hAnsi="Arial"/>
                <w:sz w:val="18"/>
                <w:szCs w:val="18"/>
                <w:b w:val="1"/>
                <w:bCs w:val="1"/>
                <w:color w:val="auto"/>
                <w:w w:val="98"/>
              </w:rPr>
              <w:t>observable</w:t>
            </w:r>
          </w:p>
        </w:tc>
        <w:tc>
          <w:tcPr>
            <w:tcW w:w="1420" w:type="dxa"/>
            <w:vAlign w:val="bottom"/>
          </w:tcPr>
          <w:p>
            <w:pPr>
              <w:jc w:val="center"/>
              <w:ind w:right="30"/>
              <w:spacing w:after="0" w:line="202" w:lineRule="exact"/>
              <w:rPr>
                <w:sz w:val="20"/>
                <w:szCs w:val="20"/>
                <w:color w:val="auto"/>
              </w:rPr>
            </w:pPr>
            <w:r>
              <w:rPr>
                <w:rFonts w:ascii="Arial" w:cs="Arial" w:eastAsia="Arial" w:hAnsi="Arial"/>
                <w:sz w:val="18"/>
                <w:szCs w:val="18"/>
                <w:color w:val="auto"/>
                <w:w w:val="99"/>
              </w:rPr>
              <w:t>in active</w:t>
            </w:r>
          </w:p>
        </w:tc>
        <w:tc>
          <w:tcPr>
            <w:tcW w:w="1540" w:type="dxa"/>
            <w:vAlign w:val="bottom"/>
            <w:gridSpan w:val="2"/>
          </w:tcPr>
          <w:p>
            <w:pPr>
              <w:jc w:val="center"/>
              <w:ind w:right="380"/>
              <w:spacing w:after="0" w:line="202" w:lineRule="exact"/>
              <w:rPr>
                <w:sz w:val="20"/>
                <w:szCs w:val="20"/>
                <w:color w:val="auto"/>
              </w:rPr>
            </w:pPr>
            <w:r>
              <w:rPr>
                <w:rFonts w:ascii="Arial" w:cs="Arial" w:eastAsia="Arial" w:hAnsi="Arial"/>
                <w:sz w:val="18"/>
                <w:szCs w:val="18"/>
                <w:color w:val="auto"/>
                <w:w w:val="99"/>
              </w:rPr>
              <w:t>observable</w:t>
            </w:r>
          </w:p>
        </w:tc>
        <w:tc>
          <w:tcPr>
            <w:tcW w:w="0" w:type="dxa"/>
            <w:vAlign w:val="bottom"/>
          </w:tcPr>
          <w:p>
            <w:pPr>
              <w:spacing w:after="0"/>
              <w:rPr>
                <w:sz w:val="1"/>
                <w:szCs w:val="1"/>
                <w:color w:val="auto"/>
              </w:rPr>
            </w:pPr>
          </w:p>
        </w:tc>
      </w:tr>
      <w:tr>
        <w:trPr>
          <w:trHeight w:val="203"/>
        </w:trPr>
        <w:tc>
          <w:tcPr>
            <w:tcW w:w="4620" w:type="dxa"/>
            <w:vAlign w:val="bottom"/>
          </w:tcPr>
          <w:p>
            <w:pPr>
              <w:spacing w:after="0"/>
              <w:rPr>
                <w:sz w:val="17"/>
                <w:szCs w:val="17"/>
                <w:color w:val="auto"/>
              </w:rPr>
            </w:pPr>
          </w:p>
        </w:tc>
        <w:tc>
          <w:tcPr>
            <w:tcW w:w="2280" w:type="dxa"/>
            <w:vAlign w:val="bottom"/>
          </w:tcPr>
          <w:p>
            <w:pPr>
              <w:jc w:val="center"/>
              <w:ind w:left="650"/>
              <w:spacing w:after="0" w:line="202" w:lineRule="exact"/>
              <w:rPr>
                <w:sz w:val="20"/>
                <w:szCs w:val="20"/>
                <w:color w:val="auto"/>
              </w:rPr>
            </w:pPr>
            <w:r>
              <w:rPr>
                <w:rFonts w:ascii="Arial" w:cs="Arial" w:eastAsia="Arial" w:hAnsi="Arial"/>
                <w:sz w:val="18"/>
                <w:szCs w:val="18"/>
                <w:b w:val="1"/>
                <w:bCs w:val="1"/>
                <w:color w:val="auto"/>
              </w:rPr>
              <w:t>markets</w:t>
            </w:r>
          </w:p>
        </w:tc>
        <w:tc>
          <w:tcPr>
            <w:tcW w:w="1560" w:type="dxa"/>
            <w:vAlign w:val="bottom"/>
          </w:tcPr>
          <w:p>
            <w:pPr>
              <w:jc w:val="center"/>
              <w:ind w:right="251"/>
              <w:spacing w:after="0" w:line="202" w:lineRule="exact"/>
              <w:rPr>
                <w:sz w:val="20"/>
                <w:szCs w:val="20"/>
                <w:color w:val="auto"/>
              </w:rPr>
            </w:pPr>
            <w:r>
              <w:rPr>
                <w:rFonts w:ascii="Arial" w:cs="Arial" w:eastAsia="Arial" w:hAnsi="Arial"/>
                <w:sz w:val="18"/>
                <w:szCs w:val="18"/>
                <w:b w:val="1"/>
                <w:bCs w:val="1"/>
                <w:color w:val="auto"/>
                <w:w w:val="99"/>
              </w:rPr>
              <w:t>inputs</w:t>
            </w:r>
          </w:p>
        </w:tc>
        <w:tc>
          <w:tcPr>
            <w:tcW w:w="1420" w:type="dxa"/>
            <w:vAlign w:val="bottom"/>
          </w:tcPr>
          <w:p>
            <w:pPr>
              <w:jc w:val="center"/>
              <w:ind w:right="10"/>
              <w:spacing w:after="0" w:line="202" w:lineRule="exact"/>
              <w:rPr>
                <w:sz w:val="20"/>
                <w:szCs w:val="20"/>
                <w:color w:val="auto"/>
              </w:rPr>
            </w:pPr>
            <w:r>
              <w:rPr>
                <w:rFonts w:ascii="Arial" w:cs="Arial" w:eastAsia="Arial" w:hAnsi="Arial"/>
                <w:sz w:val="18"/>
                <w:szCs w:val="18"/>
                <w:color w:val="auto"/>
                <w:w w:val="99"/>
              </w:rPr>
              <w:t>markets</w:t>
            </w:r>
          </w:p>
        </w:tc>
        <w:tc>
          <w:tcPr>
            <w:tcW w:w="1540" w:type="dxa"/>
            <w:vAlign w:val="bottom"/>
            <w:gridSpan w:val="2"/>
          </w:tcPr>
          <w:p>
            <w:pPr>
              <w:jc w:val="center"/>
              <w:ind w:right="380"/>
              <w:spacing w:after="0" w:line="202" w:lineRule="exact"/>
              <w:rPr>
                <w:sz w:val="20"/>
                <w:szCs w:val="20"/>
                <w:color w:val="auto"/>
              </w:rPr>
            </w:pPr>
            <w:r>
              <w:rPr>
                <w:rFonts w:ascii="Arial" w:cs="Arial" w:eastAsia="Arial" w:hAnsi="Arial"/>
                <w:sz w:val="18"/>
                <w:szCs w:val="18"/>
                <w:color w:val="auto"/>
                <w:w w:val="99"/>
              </w:rPr>
              <w:t>inputs</w:t>
            </w:r>
          </w:p>
        </w:tc>
        <w:tc>
          <w:tcPr>
            <w:tcW w:w="0" w:type="dxa"/>
            <w:vAlign w:val="bottom"/>
          </w:tcPr>
          <w:p>
            <w:pPr>
              <w:spacing w:after="0"/>
              <w:rPr>
                <w:sz w:val="1"/>
                <w:szCs w:val="1"/>
                <w:color w:val="auto"/>
              </w:rPr>
            </w:pPr>
          </w:p>
        </w:tc>
      </w:tr>
      <w:tr>
        <w:trPr>
          <w:trHeight w:val="225"/>
        </w:trPr>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280" w:type="dxa"/>
            <w:vAlign w:val="bottom"/>
            <w:tcBorders>
              <w:bottom w:val="single" w:sz="8" w:color="auto"/>
            </w:tcBorders>
          </w:tcPr>
          <w:p>
            <w:pPr>
              <w:jc w:val="center"/>
              <w:ind w:left="650"/>
              <w:spacing w:after="0"/>
              <w:rPr>
                <w:sz w:val="20"/>
                <w:szCs w:val="20"/>
                <w:color w:val="auto"/>
              </w:rPr>
            </w:pPr>
            <w:r>
              <w:rPr>
                <w:rFonts w:ascii="Arial" w:cs="Arial" w:eastAsia="Arial" w:hAnsi="Arial"/>
                <w:sz w:val="18"/>
                <w:szCs w:val="18"/>
                <w:b w:val="1"/>
                <w:bCs w:val="1"/>
                <w:color w:val="auto"/>
              </w:rPr>
              <w:t>(Level 1)</w:t>
            </w:r>
          </w:p>
        </w:tc>
        <w:tc>
          <w:tcPr>
            <w:tcW w:w="1560" w:type="dxa"/>
            <w:vAlign w:val="bottom"/>
            <w:tcBorders>
              <w:bottom w:val="single" w:sz="8" w:color="auto"/>
            </w:tcBorders>
          </w:tcPr>
          <w:p>
            <w:pPr>
              <w:jc w:val="center"/>
              <w:ind w:right="251"/>
              <w:spacing w:after="0"/>
              <w:rPr>
                <w:sz w:val="20"/>
                <w:szCs w:val="20"/>
                <w:color w:val="auto"/>
              </w:rPr>
            </w:pPr>
            <w:r>
              <w:rPr>
                <w:rFonts w:ascii="Arial" w:cs="Arial" w:eastAsia="Arial" w:hAnsi="Arial"/>
                <w:sz w:val="18"/>
                <w:szCs w:val="18"/>
                <w:b w:val="1"/>
                <w:bCs w:val="1"/>
                <w:color w:val="auto"/>
              </w:rPr>
              <w:t>(Level 2)</w:t>
            </w:r>
          </w:p>
        </w:tc>
        <w:tc>
          <w:tcPr>
            <w:tcW w:w="14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9"/>
              </w:rPr>
              <w:t>(Level 1)</w:t>
            </w:r>
          </w:p>
        </w:tc>
        <w:tc>
          <w:tcPr>
            <w:tcW w:w="15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8"/>
                <w:szCs w:val="18"/>
                <w:color w:val="auto"/>
                <w:w w:val="99"/>
              </w:rPr>
              <w:t>(Level 2)</w:t>
            </w:r>
          </w:p>
        </w:tc>
        <w:tc>
          <w:tcPr>
            <w:tcW w:w="0" w:type="dxa"/>
            <w:vAlign w:val="bottom"/>
          </w:tcPr>
          <w:p>
            <w:pPr>
              <w:spacing w:after="0"/>
              <w:rPr>
                <w:sz w:val="1"/>
                <w:szCs w:val="1"/>
                <w:color w:val="auto"/>
              </w:rPr>
            </w:pPr>
          </w:p>
        </w:tc>
      </w:tr>
      <w:tr>
        <w:trPr>
          <w:trHeight w:val="177"/>
        </w:trPr>
        <w:tc>
          <w:tcPr>
            <w:tcW w:w="4620" w:type="dxa"/>
            <w:vAlign w:val="bottom"/>
          </w:tcPr>
          <w:p>
            <w:pPr>
              <w:spacing w:after="0" w:line="177" w:lineRule="exact"/>
              <w:rPr>
                <w:sz w:val="20"/>
                <w:szCs w:val="20"/>
                <w:color w:val="auto"/>
              </w:rPr>
            </w:pPr>
            <w:r>
              <w:rPr>
                <w:rFonts w:ascii="Arial" w:cs="Arial" w:eastAsia="Arial" w:hAnsi="Arial"/>
                <w:sz w:val="18"/>
                <w:szCs w:val="18"/>
                <w:b w:val="1"/>
                <w:bCs w:val="1"/>
                <w:color w:val="auto"/>
              </w:rPr>
              <w:t>Fair Value</w:t>
            </w:r>
          </w:p>
        </w:tc>
        <w:tc>
          <w:tcPr>
            <w:tcW w:w="22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620" w:type="dxa"/>
            <w:vAlign w:val="bottom"/>
          </w:tcPr>
          <w:p>
            <w:pPr>
              <w:spacing w:after="0"/>
              <w:rPr>
                <w:sz w:val="20"/>
                <w:szCs w:val="20"/>
                <w:color w:val="auto"/>
              </w:rPr>
            </w:pPr>
            <w:r>
              <w:rPr>
                <w:rFonts w:ascii="Arial" w:cs="Arial" w:eastAsia="Arial" w:hAnsi="Arial"/>
                <w:sz w:val="18"/>
                <w:szCs w:val="18"/>
                <w:i w:val="1"/>
                <w:iCs w:val="1"/>
                <w:color w:val="auto"/>
              </w:rPr>
              <w:t>Assets:</w:t>
            </w:r>
          </w:p>
        </w:tc>
        <w:tc>
          <w:tcPr>
            <w:tcW w:w="2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620" w:type="dxa"/>
            <w:vAlign w:val="bottom"/>
          </w:tcPr>
          <w:p>
            <w:pPr>
              <w:ind w:left="220"/>
              <w:spacing w:after="0" w:line="202" w:lineRule="exact"/>
              <w:rPr>
                <w:sz w:val="20"/>
                <w:szCs w:val="20"/>
                <w:color w:val="auto"/>
              </w:rPr>
            </w:pPr>
            <w:r>
              <w:rPr>
                <w:rFonts w:ascii="Arial" w:cs="Arial" w:eastAsia="Arial" w:hAnsi="Arial"/>
                <w:sz w:val="18"/>
                <w:szCs w:val="18"/>
                <w:color w:val="auto"/>
              </w:rPr>
              <w:t>Cash equivalents</w:t>
            </w:r>
          </w:p>
        </w:tc>
        <w:tc>
          <w:tcPr>
            <w:tcW w:w="22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$25,073</w:t>
            </w:r>
          </w:p>
        </w:tc>
        <w:tc>
          <w:tcPr>
            <w:tcW w:w="1560" w:type="dxa"/>
            <w:vAlign w:val="bottom"/>
          </w:tcPr>
          <w:p>
            <w:pPr>
              <w:jc w:val="right"/>
              <w:ind w:right="231"/>
              <w:spacing w:after="0" w:line="202" w:lineRule="exact"/>
              <w:rPr>
                <w:sz w:val="20"/>
                <w:szCs w:val="20"/>
                <w:color w:val="auto"/>
              </w:rPr>
            </w:pPr>
            <w:r>
              <w:rPr>
                <w:rFonts w:ascii="Arial" w:cs="Arial" w:eastAsia="Arial" w:hAnsi="Arial"/>
                <w:sz w:val="18"/>
                <w:szCs w:val="18"/>
                <w:color w:val="auto"/>
              </w:rPr>
              <w:t>$ -</w:t>
            </w:r>
          </w:p>
        </w:tc>
        <w:tc>
          <w:tcPr>
            <w:tcW w:w="14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$ 33,171</w:t>
            </w:r>
          </w:p>
        </w:tc>
        <w:tc>
          <w:tcPr>
            <w:tcW w:w="15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3"/>
        </w:trPr>
        <w:tc>
          <w:tcPr>
            <w:tcW w:w="4620" w:type="dxa"/>
            <w:vAlign w:val="bottom"/>
          </w:tcPr>
          <w:p>
            <w:pPr>
              <w:ind w:left="22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2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4620" w:type="dxa"/>
            <w:vAlign w:val="bottom"/>
          </w:tcPr>
          <w:p>
            <w:pPr>
              <w:ind w:left="380"/>
              <w:spacing w:after="0" w:line="185" w:lineRule="exact"/>
              <w:rPr>
                <w:sz w:val="20"/>
                <w:szCs w:val="20"/>
                <w:color w:val="auto"/>
              </w:rPr>
            </w:pPr>
            <w:r>
              <w:rPr>
                <w:rFonts w:ascii="Arial" w:cs="Arial" w:eastAsia="Arial" w:hAnsi="Arial"/>
                <w:sz w:val="18"/>
                <w:szCs w:val="18"/>
                <w:color w:val="auto"/>
              </w:rPr>
              <w:t>Foreign currency instruments</w:t>
            </w:r>
          </w:p>
        </w:tc>
        <w:tc>
          <w:tcPr>
            <w:tcW w:w="2280" w:type="dxa"/>
            <w:vAlign w:val="bottom"/>
          </w:tcPr>
          <w:p>
            <w:pPr>
              <w:jc w:val="right"/>
              <w:ind w:right="50"/>
              <w:spacing w:after="0" w:line="185" w:lineRule="exact"/>
              <w:rPr>
                <w:sz w:val="20"/>
                <w:szCs w:val="20"/>
                <w:color w:val="auto"/>
              </w:rPr>
            </w:pPr>
            <w:r>
              <w:rPr>
                <w:rFonts w:ascii="Arial" w:cs="Arial" w:eastAsia="Arial" w:hAnsi="Arial"/>
                <w:sz w:val="18"/>
                <w:szCs w:val="18"/>
                <w:color w:val="auto"/>
              </w:rPr>
              <w:t>-</w:t>
            </w:r>
          </w:p>
        </w:tc>
        <w:tc>
          <w:tcPr>
            <w:tcW w:w="1560" w:type="dxa"/>
            <w:vAlign w:val="bottom"/>
          </w:tcPr>
          <w:p>
            <w:pPr>
              <w:jc w:val="right"/>
              <w:ind w:right="231"/>
              <w:spacing w:after="0" w:line="185" w:lineRule="exact"/>
              <w:rPr>
                <w:sz w:val="20"/>
                <w:szCs w:val="20"/>
                <w:color w:val="auto"/>
              </w:rPr>
            </w:pPr>
            <w:r>
              <w:rPr>
                <w:rFonts w:ascii="Arial" w:cs="Arial" w:eastAsia="Arial" w:hAnsi="Arial"/>
                <w:sz w:val="18"/>
                <w:szCs w:val="18"/>
                <w:color w:val="auto"/>
              </w:rPr>
              <w:t>-</w:t>
            </w:r>
          </w:p>
        </w:tc>
        <w:tc>
          <w:tcPr>
            <w:tcW w:w="1420" w:type="dxa"/>
            <w:vAlign w:val="bottom"/>
          </w:tcPr>
          <w:p>
            <w:pPr>
              <w:jc w:val="right"/>
              <w:ind w:right="50"/>
              <w:spacing w:after="0" w:line="185" w:lineRule="exact"/>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40"/>
              <w:spacing w:after="0" w:line="18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4620" w:type="dxa"/>
            <w:vAlign w:val="bottom"/>
          </w:tcPr>
          <w:p>
            <w:pPr>
              <w:ind w:left="220"/>
              <w:spacing w:after="0"/>
              <w:rPr>
                <w:sz w:val="20"/>
                <w:szCs w:val="20"/>
                <w:color w:val="auto"/>
              </w:rPr>
            </w:pPr>
            <w:r>
              <w:rPr>
                <w:rFonts w:ascii="Arial" w:cs="Arial" w:eastAsia="Arial" w:hAnsi="Arial"/>
                <w:sz w:val="18"/>
                <w:szCs w:val="18"/>
                <w:i w:val="1"/>
                <w:iCs w:val="1"/>
                <w:color w:val="auto"/>
              </w:rPr>
              <w:t>Other Assets:</w:t>
            </w:r>
          </w:p>
        </w:tc>
        <w:tc>
          <w:tcPr>
            <w:tcW w:w="2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620" w:type="dxa"/>
            <w:vAlign w:val="bottom"/>
          </w:tcPr>
          <w:p>
            <w:pPr>
              <w:ind w:left="380"/>
              <w:spacing w:after="0" w:line="203" w:lineRule="exact"/>
              <w:rPr>
                <w:sz w:val="20"/>
                <w:szCs w:val="20"/>
                <w:color w:val="auto"/>
              </w:rPr>
            </w:pPr>
            <w:r>
              <w:rPr>
                <w:rFonts w:ascii="Arial" w:cs="Arial" w:eastAsia="Arial" w:hAnsi="Arial"/>
                <w:sz w:val="18"/>
                <w:szCs w:val="18"/>
                <w:color w:val="auto"/>
              </w:rPr>
              <w:t>Common stock of foreign public company</w:t>
            </w:r>
          </w:p>
        </w:tc>
        <w:tc>
          <w:tcPr>
            <w:tcW w:w="2280" w:type="dxa"/>
            <w:vAlign w:val="bottom"/>
          </w:tcPr>
          <w:p>
            <w:pPr>
              <w:jc w:val="right"/>
              <w:ind w:right="50"/>
              <w:spacing w:after="0" w:line="203" w:lineRule="exact"/>
              <w:rPr>
                <w:sz w:val="20"/>
                <w:szCs w:val="20"/>
                <w:color w:val="auto"/>
              </w:rPr>
            </w:pPr>
            <w:r>
              <w:rPr>
                <w:rFonts w:ascii="Arial" w:cs="Arial" w:eastAsia="Arial" w:hAnsi="Arial"/>
                <w:sz w:val="18"/>
                <w:szCs w:val="18"/>
                <w:color w:val="auto"/>
              </w:rPr>
              <w:t>952</w:t>
            </w:r>
          </w:p>
        </w:tc>
        <w:tc>
          <w:tcPr>
            <w:tcW w:w="1560" w:type="dxa"/>
            <w:vAlign w:val="bottom"/>
          </w:tcPr>
          <w:p>
            <w:pPr>
              <w:jc w:val="right"/>
              <w:ind w:right="231"/>
              <w:spacing w:after="0" w:line="203" w:lineRule="exact"/>
              <w:rPr>
                <w:sz w:val="20"/>
                <w:szCs w:val="20"/>
                <w:color w:val="auto"/>
              </w:rPr>
            </w:pPr>
            <w:r>
              <w:rPr>
                <w:rFonts w:ascii="Arial" w:cs="Arial" w:eastAsia="Arial" w:hAnsi="Arial"/>
                <w:sz w:val="18"/>
                <w:szCs w:val="18"/>
                <w:color w:val="auto"/>
              </w:rPr>
              <w:t>-</w:t>
            </w:r>
          </w:p>
        </w:tc>
        <w:tc>
          <w:tcPr>
            <w:tcW w:w="1420" w:type="dxa"/>
            <w:vAlign w:val="bottom"/>
          </w:tcPr>
          <w:p>
            <w:pPr>
              <w:jc w:val="right"/>
              <w:ind w:right="50"/>
              <w:spacing w:after="0" w:line="203" w:lineRule="exact"/>
              <w:rPr>
                <w:sz w:val="20"/>
                <w:szCs w:val="20"/>
                <w:color w:val="auto"/>
              </w:rPr>
            </w:pPr>
            <w:r>
              <w:rPr>
                <w:rFonts w:ascii="Arial" w:cs="Arial" w:eastAsia="Arial" w:hAnsi="Arial"/>
                <w:sz w:val="18"/>
                <w:szCs w:val="18"/>
                <w:color w:val="auto"/>
              </w:rPr>
              <w:t>562</w:t>
            </w:r>
          </w:p>
        </w:tc>
        <w:tc>
          <w:tcPr>
            <w:tcW w:w="154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620" w:type="dxa"/>
            <w:vAlign w:val="bottom"/>
          </w:tcPr>
          <w:p>
            <w:pPr>
              <w:ind w:left="380"/>
              <w:spacing w:after="0"/>
              <w:rPr>
                <w:sz w:val="20"/>
                <w:szCs w:val="20"/>
                <w:color w:val="auto"/>
              </w:rPr>
            </w:pPr>
            <w:r>
              <w:rPr>
                <w:rFonts w:ascii="Arial" w:cs="Arial" w:eastAsia="Arial" w:hAnsi="Arial"/>
                <w:sz w:val="18"/>
                <w:szCs w:val="18"/>
                <w:color w:val="auto"/>
              </w:rPr>
              <w:t>Interest rate swap</w:t>
            </w:r>
          </w:p>
        </w:tc>
        <w:tc>
          <w:tcPr>
            <w:tcW w:w="2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line="225" w:lineRule="exact"/>
              <w:rPr>
                <w:sz w:val="20"/>
                <w:szCs w:val="20"/>
                <w:color w:val="auto"/>
              </w:rPr>
            </w:pPr>
            <w:r>
              <w:rPr>
                <w:rFonts w:ascii="Arial" w:cs="Arial" w:eastAsia="Arial" w:hAnsi="Arial"/>
                <w:sz w:val="16"/>
                <w:szCs w:val="16"/>
                <w:color w:val="auto"/>
              </w:rPr>
              <w:t xml:space="preserve">1,517 </w:t>
            </w:r>
            <w:r>
              <w:rPr>
                <w:rFonts w:ascii="Arial" w:cs="Arial" w:eastAsia="Arial" w:hAnsi="Arial"/>
                <w:sz w:val="26"/>
                <w:szCs w:val="26"/>
                <w:color w:val="auto"/>
                <w:vertAlign w:val="superscript"/>
              </w:rPr>
              <w:t>(a)</w:t>
            </w: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620" w:type="dxa"/>
            <w:vAlign w:val="bottom"/>
          </w:tcPr>
          <w:p>
            <w:pPr>
              <w:spacing w:after="0" w:line="202" w:lineRule="exact"/>
              <w:rPr>
                <w:sz w:val="20"/>
                <w:szCs w:val="20"/>
                <w:color w:val="auto"/>
              </w:rPr>
            </w:pPr>
            <w:r>
              <w:rPr>
                <w:rFonts w:ascii="Arial" w:cs="Arial" w:eastAsia="Arial" w:hAnsi="Arial"/>
                <w:sz w:val="18"/>
                <w:szCs w:val="18"/>
                <w:i w:val="1"/>
                <w:iCs w:val="1"/>
                <w:color w:val="auto"/>
              </w:rPr>
              <w:t>Liabilities:</w:t>
            </w:r>
          </w:p>
        </w:tc>
        <w:tc>
          <w:tcPr>
            <w:tcW w:w="22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620" w:type="dxa"/>
            <w:vAlign w:val="bottom"/>
          </w:tcPr>
          <w:p>
            <w:pPr>
              <w:ind w:left="220"/>
              <w:spacing w:after="0"/>
              <w:rPr>
                <w:sz w:val="20"/>
                <w:szCs w:val="20"/>
                <w:color w:val="auto"/>
              </w:rPr>
            </w:pPr>
            <w:r>
              <w:rPr>
                <w:rFonts w:ascii="Arial" w:cs="Arial" w:eastAsia="Arial" w:hAnsi="Arial"/>
                <w:sz w:val="18"/>
                <w:szCs w:val="18"/>
                <w:i w:val="1"/>
                <w:iCs w:val="1"/>
                <w:color w:val="auto"/>
              </w:rPr>
              <w:t>Other noncurrent liabilities</w:t>
            </w:r>
          </w:p>
        </w:tc>
        <w:tc>
          <w:tcPr>
            <w:tcW w:w="2280" w:type="dxa"/>
            <w:vAlign w:val="bottom"/>
          </w:tcPr>
          <w:p>
            <w:pPr>
              <w:spacing w:after="0"/>
              <w:rPr>
                <w:sz w:val="20"/>
                <w:szCs w:val="20"/>
                <w:color w:val="auto"/>
              </w:rPr>
            </w:pP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 xml:space="preserve">(3,119) </w:t>
            </w:r>
            <w:r>
              <w:rPr>
                <w:rFonts w:ascii="Arial" w:cs="Arial" w:eastAsia="Arial" w:hAnsi="Arial"/>
                <w:sz w:val="30"/>
                <w:szCs w:val="30"/>
                <w:color w:val="auto"/>
                <w:vertAlign w:val="superscript"/>
              </w:rPr>
              <w:t>(b)</w:t>
            </w:r>
          </w:p>
        </w:tc>
        <w:tc>
          <w:tcPr>
            <w:tcW w:w="1420" w:type="dxa"/>
            <w:vAlign w:val="bottom"/>
          </w:tcPr>
          <w:p>
            <w:pPr>
              <w:spacing w:after="0"/>
              <w:rPr>
                <w:sz w:val="20"/>
                <w:szCs w:val="20"/>
                <w:color w:val="auto"/>
              </w:rPr>
            </w:pPr>
          </w:p>
        </w:tc>
        <w:tc>
          <w:tcPr>
            <w:tcW w:w="15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 xml:space="preserve">(4,718) </w:t>
            </w:r>
            <w:r>
              <w:rPr>
                <w:rFonts w:ascii="Arial" w:cs="Arial" w:eastAsia="Arial" w:hAnsi="Arial"/>
                <w:sz w:val="30"/>
                <w:szCs w:val="30"/>
                <w:color w:val="auto"/>
                <w:vertAlign w:val="superscript"/>
              </w:rPr>
              <w:t>(c)</w:t>
            </w:r>
          </w:p>
        </w:tc>
        <w:tc>
          <w:tcPr>
            <w:tcW w:w="0" w:type="dxa"/>
            <w:vAlign w:val="bottom"/>
          </w:tcPr>
          <w:p>
            <w:pPr>
              <w:spacing w:after="0"/>
              <w:rPr>
                <w:sz w:val="1"/>
                <w:szCs w:val="1"/>
                <w:color w:val="auto"/>
              </w:rPr>
            </w:pPr>
          </w:p>
        </w:tc>
      </w:tr>
      <w:tr>
        <w:trPr>
          <w:trHeight w:val="369"/>
        </w:trPr>
        <w:tc>
          <w:tcPr>
            <w:tcW w:w="4620" w:type="dxa"/>
            <w:vAlign w:val="bottom"/>
          </w:tcPr>
          <w:p>
            <w:pPr>
              <w:ind w:left="380"/>
              <w:spacing w:after="0"/>
              <w:rPr>
                <w:sz w:val="20"/>
                <w:szCs w:val="20"/>
                <w:color w:val="auto"/>
              </w:rPr>
            </w:pPr>
            <w:r>
              <w:rPr>
                <w:rFonts w:ascii="Arial" w:cs="Arial" w:eastAsia="Arial" w:hAnsi="Arial"/>
                <w:sz w:val="18"/>
                <w:szCs w:val="18"/>
                <w:color w:val="auto"/>
              </w:rPr>
              <w:t>Interest rate swap</w:t>
            </w:r>
          </w:p>
        </w:tc>
        <w:tc>
          <w:tcPr>
            <w:tcW w:w="22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560" w:type="dxa"/>
            <w:vAlign w:val="bottom"/>
            <w:vMerge w:val="continue"/>
          </w:tcPr>
          <w:p>
            <w:pPr>
              <w:spacing w:after="0"/>
              <w:rPr>
                <w:sz w:val="24"/>
                <w:szCs w:val="24"/>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5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0"/>
          <w:szCs w:val="20"/>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Net of $5.6 million receivable floating leg and $4.1 million liability fixed leg</w:t>
      </w:r>
    </w:p>
    <w:p>
      <w:pPr>
        <w:spacing w:after="0" w:line="49"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Net of $0.7 million receivable floating leg and $3.8 million liability fixed leg</w:t>
      </w:r>
    </w:p>
    <w:p>
      <w:pPr>
        <w:spacing w:after="0" w:line="49"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Net of $1.2 million receivable floating leg and $5.9 million liability fixed leg</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2013 and 2012 there were no transfers between levels 1, 2, and 3.</w:t>
      </w:r>
    </w:p>
    <w:p>
      <w:pPr>
        <w:spacing w:after="0" w:line="185" w:lineRule="exact"/>
        <w:rPr>
          <w:sz w:val="20"/>
          <w:szCs w:val="20"/>
          <w:color w:val="auto"/>
        </w:rPr>
      </w:pPr>
    </w:p>
    <w:p>
      <w:pPr>
        <w:ind w:right="180" w:firstLine="648"/>
        <w:spacing w:after="0" w:line="246" w:lineRule="auto"/>
        <w:rPr>
          <w:sz w:val="20"/>
          <w:szCs w:val="20"/>
          <w:color w:val="auto"/>
        </w:rPr>
      </w:pPr>
      <w:r>
        <w:rPr>
          <w:rFonts w:ascii="Arial" w:cs="Arial" w:eastAsia="Arial" w:hAnsi="Arial"/>
          <w:sz w:val="18"/>
          <w:szCs w:val="18"/>
          <w:color w:val="auto"/>
        </w:rPr>
        <w:t>Cash equivalents include short-term securities that are considered to be highly liquid and easily tradable. These securities are valued using inputs observable in active markets for identical securities.</w:t>
      </w:r>
    </w:p>
    <w:p>
      <w:pPr>
        <w:spacing w:after="0" w:line="156" w:lineRule="exact"/>
        <w:rPr>
          <w:sz w:val="20"/>
          <w:szCs w:val="20"/>
          <w:color w:val="auto"/>
        </w:rPr>
      </w:pPr>
    </w:p>
    <w:p>
      <w:pPr>
        <w:ind w:right="120" w:firstLine="648"/>
        <w:spacing w:after="0" w:line="238" w:lineRule="auto"/>
        <w:rPr>
          <w:sz w:val="20"/>
          <w:szCs w:val="20"/>
          <w:color w:val="auto"/>
        </w:rPr>
      </w:pPr>
      <w:r>
        <w:rPr>
          <w:rFonts w:ascii="Arial" w:cs="Arial" w:eastAsia="Arial" w:hAnsi="Arial"/>
          <w:sz w:val="18"/>
          <w:szCs w:val="18"/>
          <w:color w:val="auto"/>
        </w:rPr>
        <w:t>The common stock of a foreign public company is traded in an active market exchange. The shares are measured at fair value using closing stock prices and are recorded in the Consolidated Balance Sheets as Other assets. The securities are classified as available for sale, and as a result any unrealized gain or loss is recorded in the Shareholders’ Equity section of the Consolidated Balance Sheets rather than in the Consolidated Statements of Income. When the security is sold or impaired, gains and losses are reported on the Consolidated Statements of Income. Investments are considered to be impaired when a decline in fair value is judged to be other than temporary.</w:t>
      </w:r>
    </w:p>
    <w:p>
      <w:pPr>
        <w:spacing w:after="0" w:line="162" w:lineRule="exact"/>
        <w:rPr>
          <w:sz w:val="20"/>
          <w:szCs w:val="20"/>
          <w:color w:val="auto"/>
        </w:rPr>
      </w:pPr>
    </w:p>
    <w:p>
      <w:pPr>
        <w:ind w:right="180" w:firstLine="648"/>
        <w:spacing w:after="0" w:line="238" w:lineRule="auto"/>
        <w:rPr>
          <w:sz w:val="20"/>
          <w:szCs w:val="20"/>
          <w:color w:val="auto"/>
        </w:rPr>
      </w:pPr>
      <w:r>
        <w:rPr>
          <w:rFonts w:ascii="Arial" w:cs="Arial" w:eastAsia="Arial" w:hAnsi="Arial"/>
          <w:sz w:val="18"/>
          <w:szCs w:val="18"/>
          <w:color w:val="auto"/>
        </w:rPr>
        <w:t>Foreign currency instruments are entered into periodically, and consist of foreign currency option contracts and forward contracts that are valued using quoted prices in active markets obtained from independent pricing sources. These instruments are measured using market foreign exchange prices and are recorded in the Consolidated Balance Sheets as Other current assets and Accounts payable, as applicable. Changes in fair value of these instruments are recorded as gains or losses within Other expense/ (income), net. Losses totaled $0.1 million during 2013, and gains totaled $0.0 million during 2012.</w:t>
      </w:r>
    </w:p>
    <w:p>
      <w:pPr>
        <w:spacing w:after="0" w:line="176"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When exercised, the foreign currency instruments are net settled with the same financial institution that bought or sold them. For all positions, whether options or forward contracts, there is risk from the possible inability of the financial institution to meet the terms of the contracts and the risk of unfavorable changes in interest and currency rates, which may reduce the value of the instruments. We seek to control risk by evaluating the creditworthiness of counterparties and by monitoring the currency exchange and interest rate markets while reviewing the hedging risks and contracts to ensure compliance with our internal guidelines and policies.</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82" w:name="page83"/>
    <w:bookmarkEnd w:id="82"/>
    <w:p>
      <w:pPr>
        <w:ind w:left="660" w:right="40"/>
        <w:spacing w:after="0" w:line="336" w:lineRule="auto"/>
        <w:rPr>
          <w:sz w:val="20"/>
          <w:szCs w:val="20"/>
          <w:color w:val="auto"/>
        </w:rPr>
      </w:pPr>
      <w:r>
        <w:rPr>
          <w:rFonts w:ascii="Arial" w:cs="Arial" w:eastAsia="Arial" w:hAnsi="Arial"/>
          <w:sz w:val="18"/>
          <w:szCs w:val="18"/>
          <w:color w:val="auto"/>
        </w:rPr>
        <w:t>We operate our business in many regions of the world, and currency rate movements can have a significant effect on operating results. Changes in exchange rates can result in revaluation gains and losses that are recorded in Selling, General and Administrative</w:t>
      </w:r>
    </w:p>
    <w:p>
      <w:pPr>
        <w:spacing w:after="0" w:line="1"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expenses or Other expense/ (income), net. Revaluation gains and losses occur when our business units have cash, intercompany (recorded in Other expense/ (income), net) or third-party trade receivable or payable balances (recorded in Selling, General and Administrative expenses) in a currency other than their local reporting (or functional) currency.</w:t>
      </w:r>
    </w:p>
    <w:p>
      <w:pPr>
        <w:spacing w:after="0" w:line="176" w:lineRule="exact"/>
        <w:rPr>
          <w:sz w:val="20"/>
          <w:szCs w:val="20"/>
          <w:color w:val="auto"/>
        </w:rPr>
      </w:pPr>
    </w:p>
    <w:p>
      <w:pPr>
        <w:ind w:right="120" w:firstLine="648"/>
        <w:spacing w:after="0" w:line="239" w:lineRule="auto"/>
        <w:rPr>
          <w:sz w:val="20"/>
          <w:szCs w:val="20"/>
          <w:color w:val="auto"/>
        </w:rPr>
      </w:pPr>
      <w:r>
        <w:rPr>
          <w:rFonts w:ascii="Arial" w:cs="Arial" w:eastAsia="Arial" w:hAnsi="Arial"/>
          <w:sz w:val="18"/>
          <w:szCs w:val="18"/>
          <w:color w:val="auto"/>
        </w:rPr>
        <w:t>Operating results can also be affected by the translation of sales and costs, for each non-U.S. subsidiary, from the local functional currency to the U.S. dollar. The translation effect on the income statement is dependent on our net income or expense position in each non-U.S. currency in which we do business. A net income position exists when sales realized in a particular currency exceed expenses paid in that currency; a net expense position exists if the opposite is true.</w:t>
      </w:r>
    </w:p>
    <w:p>
      <w:pPr>
        <w:spacing w:after="0" w:line="161" w:lineRule="exact"/>
        <w:rPr>
          <w:sz w:val="20"/>
          <w:szCs w:val="20"/>
          <w:color w:val="auto"/>
        </w:rPr>
      </w:pPr>
    </w:p>
    <w:p>
      <w:pPr>
        <w:ind w:right="60" w:firstLine="648"/>
        <w:spacing w:after="0" w:line="236" w:lineRule="auto"/>
        <w:rPr>
          <w:sz w:val="20"/>
          <w:szCs w:val="20"/>
          <w:color w:val="auto"/>
        </w:rPr>
      </w:pPr>
      <w:r>
        <w:rPr>
          <w:rFonts w:ascii="Arial" w:cs="Arial" w:eastAsia="Arial" w:hAnsi="Arial"/>
          <w:sz w:val="18"/>
          <w:szCs w:val="18"/>
          <w:color w:val="auto"/>
        </w:rPr>
        <w:t>The interest rate swaps are accounted for as hedges of future cash flows. The fair value of our interest rate swaps are derived from a discounted cash flow analysis based on the terms of the contract and the interest rate curve, and is included in Other assets and Other noncurrent liabilities in the Consolidated Balance Sheets. Unrealized gains and losses on the swaps will flow through the caption Derivative valuation adjustment in the Shareholders’ equity section of the Consolidated Balance Sheets, to the extent that the hedges are highly effective. As of December 31, 2013, these interest rate swaps were determined to be 100% effective hedges of interest rate cash flow risk. Gains and losses related to the ineffective portion of the hedges will be recognized in the current period in earnings. Amounts accumulated in Other comprehensive income are reclassified as Interest expense, net when the related interest payments (that is, the hedged forecasted transactions) affect earnings. Interest expense related to the swaps totaled $1.9 million for 2013, $1.7 million for 2012, and $1.9 million for 2011.</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Gains/ (losses) related to changes in fair value of derivative instruments that were recognized in Other expense/ (income), net in the</w:t>
      </w:r>
    </w:p>
    <w:p>
      <w:pPr>
        <w:spacing w:after="0"/>
        <w:rPr>
          <w:sz w:val="20"/>
          <w:szCs w:val="20"/>
          <w:color w:val="auto"/>
        </w:rPr>
      </w:pPr>
      <w:r>
        <w:rPr>
          <w:rFonts w:ascii="Arial" w:cs="Arial" w:eastAsia="Arial" w:hAnsi="Arial"/>
          <w:sz w:val="18"/>
          <w:szCs w:val="18"/>
          <w:color w:val="auto"/>
        </w:rPr>
        <w:t>Statement of Income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60" w:type="dxa"/>
            <w:vAlign w:val="bottom"/>
          </w:tcPr>
          <w:p>
            <w:pPr>
              <w:spacing w:after="0"/>
              <w:rPr>
                <w:sz w:val="16"/>
                <w:szCs w:val="16"/>
                <w:color w:val="auto"/>
              </w:rPr>
            </w:pPr>
          </w:p>
        </w:tc>
        <w:tc>
          <w:tcPr>
            <w:tcW w:w="6440" w:type="dxa"/>
            <w:vAlign w:val="bottom"/>
            <w:tcBorders>
              <w:top w:val="single" w:sz="8" w:color="auto"/>
            </w:tcBorders>
          </w:tcPr>
          <w:p>
            <w:pPr>
              <w:spacing w:after="0"/>
              <w:rPr>
                <w:sz w:val="16"/>
                <w:szCs w:val="16"/>
                <w:color w:val="auto"/>
              </w:rPr>
            </w:pPr>
          </w:p>
        </w:tc>
        <w:tc>
          <w:tcPr>
            <w:tcW w:w="3820" w:type="dxa"/>
            <w:vAlign w:val="bottom"/>
            <w:tcBorders>
              <w:top w:val="single" w:sz="8" w:color="auto"/>
            </w:tcBorders>
            <w:gridSpan w:val="2"/>
          </w:tcPr>
          <w:p>
            <w:pPr>
              <w:jc w:val="right"/>
              <w:ind w:right="670"/>
              <w:spacing w:after="0" w:line="194" w:lineRule="exact"/>
              <w:rPr>
                <w:sz w:val="20"/>
                <w:szCs w:val="20"/>
                <w:color w:val="auto"/>
              </w:rPr>
            </w:pPr>
            <w:r>
              <w:rPr>
                <w:rFonts w:ascii="Arial" w:cs="Arial" w:eastAsia="Arial" w:hAnsi="Arial"/>
                <w:sz w:val="18"/>
                <w:szCs w:val="18"/>
                <w:color w:val="auto"/>
              </w:rPr>
              <w:t>Years ended December 31,</w:t>
            </w:r>
          </w:p>
        </w:tc>
        <w:tc>
          <w:tcPr>
            <w:tcW w:w="0" w:type="dxa"/>
            <w:vAlign w:val="bottom"/>
          </w:tcPr>
          <w:p>
            <w:pPr>
              <w:spacing w:after="0"/>
              <w:rPr>
                <w:sz w:val="1"/>
                <w:szCs w:val="1"/>
                <w:color w:val="auto"/>
              </w:rPr>
            </w:pPr>
          </w:p>
        </w:tc>
      </w:tr>
      <w:tr>
        <w:trPr>
          <w:trHeight w:val="225"/>
        </w:trPr>
        <w:tc>
          <w:tcPr>
            <w:tcW w:w="660" w:type="dxa"/>
            <w:vAlign w:val="bottom"/>
          </w:tcPr>
          <w:p>
            <w:pPr>
              <w:spacing w:after="0"/>
              <w:rPr>
                <w:sz w:val="19"/>
                <w:szCs w:val="19"/>
                <w:color w:val="auto"/>
              </w:rPr>
            </w:pPr>
          </w:p>
        </w:tc>
        <w:tc>
          <w:tcPr>
            <w:tcW w:w="64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(in thousands)</w:t>
            </w:r>
          </w:p>
        </w:tc>
        <w:tc>
          <w:tcPr>
            <w:tcW w:w="21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2013</w:t>
            </w:r>
          </w:p>
        </w:tc>
        <w:tc>
          <w:tcPr>
            <w:tcW w:w="16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398"/>
        </w:trPr>
        <w:tc>
          <w:tcPr>
            <w:tcW w:w="660" w:type="dxa"/>
            <w:vAlign w:val="bottom"/>
          </w:tcPr>
          <w:p>
            <w:pPr>
              <w:spacing w:after="0"/>
              <w:rPr>
                <w:sz w:val="24"/>
                <w:szCs w:val="24"/>
                <w:color w:val="auto"/>
              </w:rPr>
            </w:pPr>
          </w:p>
        </w:tc>
        <w:tc>
          <w:tcPr>
            <w:tcW w:w="6440" w:type="dxa"/>
            <w:vAlign w:val="bottom"/>
          </w:tcPr>
          <w:p>
            <w:pPr>
              <w:ind w:left="80"/>
              <w:spacing w:after="0"/>
              <w:rPr>
                <w:sz w:val="20"/>
                <w:szCs w:val="20"/>
                <w:color w:val="auto"/>
              </w:rPr>
            </w:pPr>
            <w:r>
              <w:rPr>
                <w:rFonts w:ascii="Arial" w:cs="Arial" w:eastAsia="Arial" w:hAnsi="Arial"/>
                <w:sz w:val="18"/>
                <w:szCs w:val="18"/>
                <w:color w:val="auto"/>
              </w:rPr>
              <w:t>Derivatives not designated as hedging instruments</w:t>
            </w:r>
          </w:p>
        </w:tc>
        <w:tc>
          <w:tcPr>
            <w:tcW w:w="2140" w:type="dxa"/>
            <w:vAlign w:val="bottom"/>
            <w:vMerge w:val="restart"/>
          </w:tcPr>
          <w:p>
            <w:pPr>
              <w:jc w:val="right"/>
              <w:ind w:right="790"/>
              <w:spacing w:after="0"/>
              <w:rPr>
                <w:sz w:val="20"/>
                <w:szCs w:val="20"/>
                <w:color w:val="auto"/>
              </w:rPr>
            </w:pPr>
            <w:r>
              <w:rPr>
                <w:rFonts w:ascii="Arial" w:cs="Arial" w:eastAsia="Arial" w:hAnsi="Arial"/>
                <w:sz w:val="18"/>
                <w:szCs w:val="18"/>
                <w:b w:val="1"/>
                <w:bCs w:val="1"/>
                <w:color w:val="auto"/>
              </w:rPr>
              <w:t>$(107)</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6440" w:type="dxa"/>
            <w:vAlign w:val="bottom"/>
            <w:tcBorders>
              <w:bottom w:val="single" w:sz="8" w:color="auto"/>
            </w:tcBorders>
          </w:tcPr>
          <w:p>
            <w:pPr>
              <w:ind w:left="140"/>
              <w:spacing w:after="0" w:line="203" w:lineRule="exact"/>
              <w:rPr>
                <w:sz w:val="20"/>
                <w:szCs w:val="20"/>
                <w:color w:val="auto"/>
              </w:rPr>
            </w:pPr>
            <w:r>
              <w:rPr>
                <w:rFonts w:ascii="Arial" w:cs="Arial" w:eastAsia="Arial" w:hAnsi="Arial"/>
                <w:sz w:val="18"/>
                <w:szCs w:val="18"/>
                <w:color w:val="auto"/>
              </w:rPr>
              <w:t>Forward exchange options</w:t>
            </w:r>
          </w:p>
        </w:tc>
        <w:tc>
          <w:tcPr>
            <w:tcW w:w="2140" w:type="dxa"/>
            <w:vAlign w:val="bottom"/>
            <w:tcBorders>
              <w:bottom w:val="single" w:sz="8" w:color="auto"/>
            </w:tcBorders>
            <w:vMerge w:val="continue"/>
          </w:tcPr>
          <w:p>
            <w:pPr>
              <w:spacing w:after="0"/>
              <w:rPr>
                <w:sz w:val="17"/>
                <w:szCs w:val="17"/>
                <w:color w:val="auto"/>
              </w:rPr>
            </w:pPr>
          </w:p>
        </w:tc>
        <w:tc>
          <w:tcPr>
            <w:tcW w:w="1680" w:type="dxa"/>
            <w:vAlign w:val="bottom"/>
            <w:tcBorders>
              <w:bottom w:val="single" w:sz="8" w:color="auto"/>
            </w:tcBorders>
          </w:tcPr>
          <w:p>
            <w:pPr>
              <w:jc w:val="right"/>
              <w:ind w:right="590"/>
              <w:spacing w:after="0" w:line="203"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588"/>
        </w:trPr>
        <w:tc>
          <w:tcPr>
            <w:tcW w:w="7100" w:type="dxa"/>
            <w:vAlign w:val="bottom"/>
            <w:gridSpan w:val="2"/>
          </w:tcPr>
          <w:p>
            <w:pPr>
              <w:spacing w:after="0"/>
              <w:rPr>
                <w:sz w:val="20"/>
                <w:szCs w:val="20"/>
                <w:color w:val="auto"/>
              </w:rPr>
            </w:pPr>
            <w:r>
              <w:rPr>
                <w:rFonts w:ascii="Arial" w:cs="Arial" w:eastAsia="Arial" w:hAnsi="Arial"/>
                <w:sz w:val="18"/>
                <w:szCs w:val="18"/>
                <w:b w:val="1"/>
                <w:bCs w:val="1"/>
                <w:color w:val="auto"/>
              </w:rPr>
              <w:t>16. Other Noncurrent Liabilities</w:t>
            </w:r>
          </w:p>
        </w:tc>
        <w:tc>
          <w:tcPr>
            <w:tcW w:w="2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100" w:type="dxa"/>
            <w:vAlign w:val="bottom"/>
            <w:gridSpan w:val="2"/>
          </w:tcPr>
          <w:p>
            <w:pPr>
              <w:ind w:left="660"/>
              <w:spacing w:after="0"/>
              <w:rPr>
                <w:sz w:val="20"/>
                <w:szCs w:val="20"/>
                <w:color w:val="auto"/>
              </w:rPr>
            </w:pPr>
            <w:r>
              <w:rPr>
                <w:rFonts w:ascii="Arial" w:cs="Arial" w:eastAsia="Arial" w:hAnsi="Arial"/>
                <w:sz w:val="18"/>
                <w:szCs w:val="18"/>
                <w:color w:val="auto"/>
              </w:rPr>
              <w:t>As of December 31 of each year, Other noncurrent liabilities consists of:</w:t>
            </w:r>
          </w:p>
        </w:tc>
        <w:tc>
          <w:tcPr>
            <w:tcW w:w="2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60" w:type="dxa"/>
            <w:vAlign w:val="bottom"/>
          </w:tcPr>
          <w:p>
            <w:pPr>
              <w:spacing w:after="0"/>
              <w:rPr>
                <w:sz w:val="15"/>
                <w:szCs w:val="15"/>
                <w:color w:val="auto"/>
              </w:rPr>
            </w:pPr>
          </w:p>
        </w:tc>
        <w:tc>
          <w:tcPr>
            <w:tcW w:w="644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99"/>
        </w:trPr>
        <w:tc>
          <w:tcPr>
            <w:tcW w:w="660" w:type="dxa"/>
            <w:vAlign w:val="bottom"/>
          </w:tcPr>
          <w:p>
            <w:pPr>
              <w:spacing w:after="0"/>
              <w:rPr>
                <w:sz w:val="24"/>
                <w:szCs w:val="24"/>
                <w:color w:val="auto"/>
              </w:rPr>
            </w:pPr>
          </w:p>
        </w:tc>
        <w:tc>
          <w:tcPr>
            <w:tcW w:w="64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(in thousands)</w:t>
            </w:r>
          </w:p>
        </w:tc>
        <w:tc>
          <w:tcPr>
            <w:tcW w:w="21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2013</w:t>
            </w:r>
          </w:p>
        </w:tc>
        <w:tc>
          <w:tcPr>
            <w:tcW w:w="16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376"/>
        </w:trPr>
        <w:tc>
          <w:tcPr>
            <w:tcW w:w="660" w:type="dxa"/>
            <w:vAlign w:val="bottom"/>
          </w:tcPr>
          <w:p>
            <w:pPr>
              <w:spacing w:after="0"/>
              <w:rPr>
                <w:sz w:val="24"/>
                <w:szCs w:val="24"/>
                <w:color w:val="auto"/>
              </w:rPr>
            </w:pPr>
          </w:p>
        </w:tc>
        <w:tc>
          <w:tcPr>
            <w:tcW w:w="6440" w:type="dxa"/>
            <w:vAlign w:val="bottom"/>
          </w:tcPr>
          <w:p>
            <w:pPr>
              <w:ind w:left="80"/>
              <w:spacing w:after="0"/>
              <w:rPr>
                <w:sz w:val="20"/>
                <w:szCs w:val="20"/>
                <w:color w:val="auto"/>
              </w:rPr>
            </w:pPr>
            <w:r>
              <w:rPr>
                <w:rFonts w:ascii="Arial" w:cs="Arial" w:eastAsia="Arial" w:hAnsi="Arial"/>
                <w:sz w:val="18"/>
                <w:szCs w:val="18"/>
                <w:color w:val="auto"/>
              </w:rPr>
              <w:t>Pension liabilities</w:t>
            </w:r>
          </w:p>
        </w:tc>
        <w:tc>
          <w:tcPr>
            <w:tcW w:w="2140" w:type="dxa"/>
            <w:vAlign w:val="bottom"/>
          </w:tcPr>
          <w:p>
            <w:pPr>
              <w:jc w:val="right"/>
              <w:ind w:right="570"/>
              <w:spacing w:after="0"/>
              <w:rPr>
                <w:sz w:val="20"/>
                <w:szCs w:val="20"/>
                <w:color w:val="auto"/>
              </w:rPr>
            </w:pPr>
            <w:r>
              <w:rPr>
                <w:rFonts w:ascii="Arial" w:cs="Arial" w:eastAsia="Arial" w:hAnsi="Arial"/>
                <w:sz w:val="18"/>
                <w:szCs w:val="18"/>
                <w:b w:val="1"/>
                <w:bCs w:val="1"/>
                <w:color w:val="auto"/>
              </w:rPr>
              <w:t>$40,981</w:t>
            </w:r>
          </w:p>
        </w:tc>
        <w:tc>
          <w:tcPr>
            <w:tcW w:w="1680" w:type="dxa"/>
            <w:vAlign w:val="bottom"/>
          </w:tcPr>
          <w:p>
            <w:pPr>
              <w:jc w:val="right"/>
              <w:spacing w:after="0"/>
              <w:rPr>
                <w:sz w:val="20"/>
                <w:szCs w:val="20"/>
                <w:color w:val="auto"/>
              </w:rPr>
            </w:pPr>
            <w:r>
              <w:rPr>
                <w:rFonts w:ascii="Arial" w:cs="Arial" w:eastAsia="Arial" w:hAnsi="Arial"/>
                <w:sz w:val="18"/>
                <w:szCs w:val="18"/>
                <w:color w:val="auto"/>
              </w:rPr>
              <w:t>$49,820</w:t>
            </w: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6440" w:type="dxa"/>
            <w:vAlign w:val="bottom"/>
          </w:tcPr>
          <w:p>
            <w:pPr>
              <w:ind w:left="80"/>
              <w:spacing w:after="0" w:line="202" w:lineRule="exact"/>
              <w:rPr>
                <w:sz w:val="20"/>
                <w:szCs w:val="20"/>
                <w:color w:val="auto"/>
              </w:rPr>
            </w:pPr>
            <w:r>
              <w:rPr>
                <w:rFonts w:ascii="Arial" w:cs="Arial" w:eastAsia="Arial" w:hAnsi="Arial"/>
                <w:sz w:val="18"/>
                <w:szCs w:val="18"/>
                <w:color w:val="auto"/>
              </w:rPr>
              <w:t>Postretirement benefits other than pensions</w:t>
            </w:r>
          </w:p>
        </w:tc>
        <w:tc>
          <w:tcPr>
            <w:tcW w:w="2140" w:type="dxa"/>
            <w:vAlign w:val="bottom"/>
          </w:tcPr>
          <w:p>
            <w:pPr>
              <w:jc w:val="right"/>
              <w:ind w:right="570"/>
              <w:spacing w:after="0" w:line="202" w:lineRule="exact"/>
              <w:rPr>
                <w:sz w:val="20"/>
                <w:szCs w:val="20"/>
                <w:color w:val="auto"/>
              </w:rPr>
            </w:pPr>
            <w:r>
              <w:rPr>
                <w:rFonts w:ascii="Arial" w:cs="Arial" w:eastAsia="Arial" w:hAnsi="Arial"/>
                <w:sz w:val="18"/>
                <w:szCs w:val="18"/>
                <w:b w:val="1"/>
                <w:bCs w:val="1"/>
                <w:color w:val="auto"/>
              </w:rPr>
              <w:t>56,052</w:t>
            </w: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78,821</w:t>
            </w: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6440" w:type="dxa"/>
            <w:vAlign w:val="bottom"/>
          </w:tcPr>
          <w:p>
            <w:pPr>
              <w:ind w:left="80"/>
              <w:spacing w:after="0" w:line="202" w:lineRule="exact"/>
              <w:rPr>
                <w:sz w:val="20"/>
                <w:szCs w:val="20"/>
                <w:color w:val="auto"/>
              </w:rPr>
            </w:pPr>
            <w:r>
              <w:rPr>
                <w:rFonts w:ascii="Arial" w:cs="Arial" w:eastAsia="Arial" w:hAnsi="Arial"/>
                <w:sz w:val="18"/>
                <w:szCs w:val="18"/>
                <w:color w:val="auto"/>
              </w:rPr>
              <w:t>Interest rate swap agreement</w:t>
            </w:r>
          </w:p>
        </w:tc>
        <w:tc>
          <w:tcPr>
            <w:tcW w:w="2140" w:type="dxa"/>
            <w:vAlign w:val="bottom"/>
          </w:tcPr>
          <w:p>
            <w:pPr>
              <w:jc w:val="right"/>
              <w:ind w:right="570"/>
              <w:spacing w:after="0" w:line="202" w:lineRule="exact"/>
              <w:rPr>
                <w:sz w:val="20"/>
                <w:szCs w:val="20"/>
                <w:color w:val="auto"/>
              </w:rPr>
            </w:pPr>
            <w:r>
              <w:rPr>
                <w:rFonts w:ascii="Arial" w:cs="Arial" w:eastAsia="Arial" w:hAnsi="Arial"/>
                <w:sz w:val="18"/>
                <w:szCs w:val="18"/>
                <w:b w:val="1"/>
                <w:bCs w:val="1"/>
                <w:color w:val="auto"/>
              </w:rPr>
              <w:t>3,119</w:t>
            </w: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4,718</w:t>
            </w: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6440" w:type="dxa"/>
            <w:vAlign w:val="bottom"/>
          </w:tcPr>
          <w:p>
            <w:pPr>
              <w:ind w:left="80"/>
              <w:spacing w:after="0" w:line="202" w:lineRule="exact"/>
              <w:rPr>
                <w:sz w:val="20"/>
                <w:szCs w:val="20"/>
                <w:color w:val="auto"/>
              </w:rPr>
            </w:pPr>
            <w:r>
              <w:rPr>
                <w:rFonts w:ascii="Arial" w:cs="Arial" w:eastAsia="Arial" w:hAnsi="Arial"/>
                <w:sz w:val="18"/>
                <w:szCs w:val="18"/>
                <w:color w:val="auto"/>
              </w:rPr>
              <w:t>Incentive and deferred compensation</w:t>
            </w:r>
          </w:p>
        </w:tc>
        <w:tc>
          <w:tcPr>
            <w:tcW w:w="2140" w:type="dxa"/>
            <w:vAlign w:val="bottom"/>
          </w:tcPr>
          <w:p>
            <w:pPr>
              <w:jc w:val="right"/>
              <w:ind w:right="570"/>
              <w:spacing w:after="0" w:line="202" w:lineRule="exact"/>
              <w:rPr>
                <w:sz w:val="20"/>
                <w:szCs w:val="20"/>
                <w:color w:val="auto"/>
              </w:rPr>
            </w:pPr>
            <w:r>
              <w:rPr>
                <w:rFonts w:ascii="Arial" w:cs="Arial" w:eastAsia="Arial" w:hAnsi="Arial"/>
                <w:sz w:val="18"/>
                <w:szCs w:val="18"/>
                <w:b w:val="1"/>
                <w:bCs w:val="1"/>
                <w:color w:val="auto"/>
              </w:rPr>
              <w:t>4,960</w:t>
            </w: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2,087</w:t>
            </w:r>
          </w:p>
        </w:tc>
        <w:tc>
          <w:tcPr>
            <w:tcW w:w="0" w:type="dxa"/>
            <w:vAlign w:val="bottom"/>
          </w:tcPr>
          <w:p>
            <w:pPr>
              <w:spacing w:after="0"/>
              <w:rPr>
                <w:sz w:val="1"/>
                <w:szCs w:val="1"/>
                <w:color w:val="auto"/>
              </w:rPr>
            </w:pPr>
          </w:p>
        </w:tc>
      </w:tr>
      <w:tr>
        <w:trPr>
          <w:trHeight w:val="225"/>
        </w:trPr>
        <w:tc>
          <w:tcPr>
            <w:tcW w:w="660" w:type="dxa"/>
            <w:vAlign w:val="bottom"/>
          </w:tcPr>
          <w:p>
            <w:pPr>
              <w:spacing w:after="0"/>
              <w:rPr>
                <w:sz w:val="19"/>
                <w:szCs w:val="19"/>
                <w:color w:val="auto"/>
              </w:rPr>
            </w:pPr>
          </w:p>
        </w:tc>
        <w:tc>
          <w:tcPr>
            <w:tcW w:w="64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Other</w:t>
            </w:r>
          </w:p>
        </w:tc>
        <w:tc>
          <w:tcPr>
            <w:tcW w:w="21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902</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6440" w:type="dxa"/>
            <w:vAlign w:val="bottom"/>
            <w:tcBorders>
              <w:bottom w:val="single" w:sz="8" w:color="auto"/>
            </w:tcBorders>
          </w:tcPr>
          <w:p>
            <w:pPr>
              <w:ind w:left="80"/>
              <w:spacing w:after="0" w:line="196" w:lineRule="exact"/>
              <w:rPr>
                <w:sz w:val="20"/>
                <w:szCs w:val="20"/>
                <w:color w:val="auto"/>
              </w:rPr>
            </w:pPr>
            <w:r>
              <w:rPr>
                <w:rFonts w:ascii="Arial" w:cs="Arial" w:eastAsia="Arial" w:hAnsi="Arial"/>
                <w:sz w:val="18"/>
                <w:szCs w:val="18"/>
                <w:color w:val="auto"/>
              </w:rPr>
              <w:t>Total</w:t>
            </w:r>
          </w:p>
        </w:tc>
        <w:tc>
          <w:tcPr>
            <w:tcW w:w="2140" w:type="dxa"/>
            <w:vAlign w:val="bottom"/>
            <w:tcBorders>
              <w:bottom w:val="single" w:sz="8" w:color="auto"/>
            </w:tcBorders>
          </w:tcPr>
          <w:p>
            <w:pPr>
              <w:jc w:val="right"/>
              <w:ind w:right="570"/>
              <w:spacing w:after="0" w:line="196" w:lineRule="exact"/>
              <w:rPr>
                <w:sz w:val="20"/>
                <w:szCs w:val="20"/>
                <w:color w:val="auto"/>
              </w:rPr>
            </w:pPr>
            <w:r>
              <w:rPr>
                <w:rFonts w:ascii="Arial" w:cs="Arial" w:eastAsia="Arial" w:hAnsi="Arial"/>
                <w:sz w:val="18"/>
                <w:szCs w:val="18"/>
                <w:b w:val="1"/>
                <w:bCs w:val="1"/>
                <w:color w:val="auto"/>
              </w:rPr>
              <w:t>$106,014</w:t>
            </w:r>
          </w:p>
        </w:tc>
        <w:tc>
          <w:tcPr>
            <w:tcW w:w="1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$136,012</w:t>
            </w:r>
          </w:p>
        </w:tc>
        <w:tc>
          <w:tcPr>
            <w:tcW w:w="0" w:type="dxa"/>
            <w:vAlign w:val="bottom"/>
          </w:tcPr>
          <w:p>
            <w:pPr>
              <w:spacing w:after="0"/>
              <w:rPr>
                <w:sz w:val="1"/>
                <w:szCs w:val="1"/>
                <w:color w:val="auto"/>
              </w:rPr>
            </w:pPr>
          </w:p>
        </w:tc>
      </w:tr>
    </w:tbl>
    <w:p>
      <w:pPr>
        <w:spacing w:after="0" w:line="3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17. Commitments and Contingencies</w:t>
      </w:r>
    </w:p>
    <w:p>
      <w:pPr>
        <w:spacing w:after="0" w:line="193" w:lineRule="exact"/>
        <w:rPr>
          <w:sz w:val="20"/>
          <w:szCs w:val="20"/>
          <w:color w:val="auto"/>
        </w:rPr>
      </w:pPr>
    </w:p>
    <w:p>
      <w:pPr>
        <w:jc w:val="both"/>
        <w:ind w:right="360" w:firstLine="648"/>
        <w:spacing w:after="0"/>
        <w:rPr>
          <w:sz w:val="20"/>
          <w:szCs w:val="20"/>
          <w:color w:val="auto"/>
        </w:rPr>
      </w:pPr>
      <w:r>
        <w:rPr>
          <w:rFonts w:ascii="Arial" w:cs="Arial" w:eastAsia="Arial" w:hAnsi="Arial"/>
          <w:sz w:val="18"/>
          <w:szCs w:val="18"/>
          <w:color w:val="auto"/>
        </w:rPr>
        <w:t>Principal leases are for machinery and equipment, vehicles, and real property. Certain leases contain renewal and purchase option provisions at fair values. There were no significant capital leases entered into during 2013. Total rental expense amounted to $4.6 million in 2013, $5.8 million in both 2012 and 2011.</w:t>
      </w:r>
    </w:p>
    <w:p>
      <w:pPr>
        <w:spacing w:after="0" w:line="176" w:lineRule="exact"/>
        <w:rPr>
          <w:sz w:val="20"/>
          <w:szCs w:val="20"/>
          <w:color w:val="auto"/>
        </w:rPr>
      </w:pPr>
    </w:p>
    <w:p>
      <w:pPr>
        <w:ind w:right="140" w:firstLine="648"/>
        <w:spacing w:after="0"/>
        <w:rPr>
          <w:sz w:val="20"/>
          <w:szCs w:val="20"/>
          <w:color w:val="auto"/>
        </w:rPr>
      </w:pPr>
      <w:r>
        <w:rPr>
          <w:rFonts w:ascii="Arial" w:cs="Arial" w:eastAsia="Arial" w:hAnsi="Arial"/>
          <w:sz w:val="18"/>
          <w:szCs w:val="18"/>
          <w:color w:val="auto"/>
        </w:rPr>
        <w:t>Future rental payments required under operating leases that have initial or remaining non-cancelable lease terms in excess of one year, as of December 31, 2013 are: 2014, $4.4 million; 2015, $2.7 million; 2016, $1.4 million; 2017, $0.4 million, and 2018 and thereafter, $1.6 million.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Asbestos Litigation</w:t>
      </w:r>
    </w:p>
    <w:p>
      <w:pPr>
        <w:spacing w:after="0" w:line="193" w:lineRule="exact"/>
        <w:rPr>
          <w:sz w:val="20"/>
          <w:szCs w:val="20"/>
          <w:color w:val="auto"/>
        </w:rPr>
      </w:pPr>
    </w:p>
    <w:p>
      <w:pPr>
        <w:ind w:right="160" w:firstLine="648"/>
        <w:spacing w:after="0" w:line="239" w:lineRule="auto"/>
        <w:rPr>
          <w:sz w:val="20"/>
          <w:szCs w:val="20"/>
          <w:color w:val="auto"/>
        </w:rPr>
      </w:pPr>
      <w:r>
        <w:rPr>
          <w:rFonts w:ascii="Arial" w:cs="Arial" w:eastAsia="Arial" w:hAnsi="Arial"/>
          <w:sz w:val="18"/>
          <w:szCs w:val="18"/>
          <w:color w:val="auto"/>
        </w:rPr>
        <w:t>Albany International Corp. is a defendant in suits brought in various courts in the United States by plaintiffs who allege that they have suffered personal injury as a result of exposure to asbestos-containing products that we previously manufactured. We produced asbestos-containing paper machine clothing synthetic dryer fabrics marketed during the period from 1967 to 1976 and used in certain paper mills. Such fabrics generally had a useful life of three to twelve months.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were defending 4,315 claims as of January 31, 2014.</w:t>
      </w:r>
    </w:p>
    <w:p>
      <w:pPr>
        <w:spacing w:after="0" w:line="171" w:lineRule="exact"/>
        <w:rPr>
          <w:sz w:val="20"/>
          <w:szCs w:val="20"/>
          <w:color w:val="auto"/>
        </w:rPr>
      </w:pPr>
    </w:p>
    <w:p>
      <w:pPr>
        <w:ind w:right="660" w:firstLine="648"/>
        <w:spacing w:after="0" w:line="246" w:lineRule="auto"/>
        <w:rPr>
          <w:sz w:val="20"/>
          <w:szCs w:val="20"/>
          <w:color w:val="auto"/>
        </w:rPr>
      </w:pPr>
      <w:r>
        <w:rPr>
          <w:rFonts w:ascii="Arial" w:cs="Arial" w:eastAsia="Arial" w:hAnsi="Arial"/>
          <w:sz w:val="18"/>
          <w:szCs w:val="18"/>
          <w:color w:val="auto"/>
        </w:rPr>
        <w:t>The following table sets forth the number of claims filed, the number of claims settled, dismissed or otherwise resolved, and the aggregate settlement amount during the periods presented:</w:t>
      </w:r>
    </w:p>
    <w:p>
      <w:pPr>
        <w:spacing w:after="0" w:line="137" w:lineRule="exact"/>
        <w:rPr>
          <w:sz w:val="20"/>
          <w:szCs w:val="20"/>
          <w:color w:val="auto"/>
        </w:rPr>
      </w:pPr>
    </w:p>
    <w:tbl>
      <w:tblPr>
        <w:tblLayout w:type="fixed"/>
        <w:tblInd w:w="660" w:type="dxa"/>
        <w:tblCellMar>
          <w:top w:w="0" w:type="dxa"/>
          <w:left w:w="0" w:type="dxa"/>
          <w:bottom w:w="0" w:type="dxa"/>
          <w:right w:w="0" w:type="dxa"/>
        </w:tblCellMar>
      </w:tblPr>
      <w:tr>
        <w:trPr>
          <w:trHeight w:val="193"/>
        </w:trPr>
        <w:tc>
          <w:tcPr>
            <w:tcW w:w="1800" w:type="dxa"/>
            <w:vAlign w:val="bottom"/>
            <w:tcBorders>
              <w:top w:val="single" w:sz="8" w:color="auto"/>
            </w:tcBorders>
          </w:tcPr>
          <w:p>
            <w:pPr>
              <w:ind w:left="360"/>
              <w:spacing w:after="0" w:line="194" w:lineRule="exact"/>
              <w:rPr>
                <w:sz w:val="20"/>
                <w:szCs w:val="20"/>
                <w:color w:val="auto"/>
              </w:rPr>
            </w:pPr>
            <w:r>
              <w:rPr>
                <w:rFonts w:ascii="Arial" w:cs="Arial" w:eastAsia="Arial" w:hAnsi="Arial"/>
                <w:sz w:val="18"/>
                <w:szCs w:val="18"/>
                <w:b w:val="1"/>
                <w:bCs w:val="1"/>
                <w:color w:val="auto"/>
              </w:rPr>
              <w:t>Year ended</w:t>
            </w:r>
          </w:p>
        </w:tc>
        <w:tc>
          <w:tcPr>
            <w:tcW w:w="1580" w:type="dxa"/>
            <w:vAlign w:val="bottom"/>
            <w:tcBorders>
              <w:top w:val="single" w:sz="8" w:color="auto"/>
            </w:tcBorders>
          </w:tcPr>
          <w:p>
            <w:pPr>
              <w:jc w:val="center"/>
              <w:ind w:right="30"/>
              <w:spacing w:after="0" w:line="194" w:lineRule="exact"/>
              <w:rPr>
                <w:sz w:val="20"/>
                <w:szCs w:val="20"/>
                <w:color w:val="auto"/>
              </w:rPr>
            </w:pPr>
            <w:r>
              <w:rPr>
                <w:rFonts w:ascii="Arial" w:cs="Arial" w:eastAsia="Arial" w:hAnsi="Arial"/>
                <w:sz w:val="18"/>
                <w:szCs w:val="18"/>
                <w:b w:val="1"/>
                <w:bCs w:val="1"/>
                <w:color w:val="auto"/>
              </w:rPr>
              <w:t>Opening</w:t>
            </w:r>
          </w:p>
        </w:tc>
        <w:tc>
          <w:tcPr>
            <w:tcW w:w="2100" w:type="dxa"/>
            <w:vAlign w:val="bottom"/>
            <w:tcBorders>
              <w:top w:val="single" w:sz="8" w:color="auto"/>
            </w:tcBorders>
          </w:tcPr>
          <w:p>
            <w:pPr>
              <w:jc w:val="right"/>
              <w:ind w:right="250"/>
              <w:spacing w:after="0" w:line="194" w:lineRule="exact"/>
              <w:rPr>
                <w:sz w:val="20"/>
                <w:szCs w:val="20"/>
                <w:color w:val="auto"/>
              </w:rPr>
            </w:pPr>
            <w:r>
              <w:rPr>
                <w:rFonts w:ascii="Arial" w:cs="Arial" w:eastAsia="Arial" w:hAnsi="Arial"/>
                <w:sz w:val="18"/>
                <w:szCs w:val="18"/>
                <w:b w:val="1"/>
                <w:bCs w:val="1"/>
                <w:color w:val="auto"/>
              </w:rPr>
              <w:t>Claims Dismissed,</w:t>
            </w:r>
          </w:p>
        </w:tc>
        <w:tc>
          <w:tcPr>
            <w:tcW w:w="1460" w:type="dxa"/>
            <w:vAlign w:val="bottom"/>
            <w:tcBorders>
              <w:top w:val="single" w:sz="8" w:color="auto"/>
            </w:tcBorders>
          </w:tcPr>
          <w:p>
            <w:pPr>
              <w:jc w:val="right"/>
              <w:ind w:right="250"/>
              <w:spacing w:after="0" w:line="194" w:lineRule="exact"/>
              <w:rPr>
                <w:sz w:val="20"/>
                <w:szCs w:val="20"/>
                <w:color w:val="auto"/>
              </w:rPr>
            </w:pPr>
            <w:r>
              <w:rPr>
                <w:rFonts w:ascii="Arial" w:cs="Arial" w:eastAsia="Arial" w:hAnsi="Arial"/>
                <w:sz w:val="18"/>
                <w:szCs w:val="18"/>
                <w:b w:val="1"/>
                <w:bCs w:val="1"/>
                <w:color w:val="auto"/>
              </w:rPr>
              <w:t>New Claims</w:t>
            </w:r>
          </w:p>
        </w:tc>
        <w:tc>
          <w:tcPr>
            <w:tcW w:w="1420" w:type="dxa"/>
            <w:vAlign w:val="bottom"/>
            <w:tcBorders>
              <w:top w:val="single" w:sz="8" w:color="auto"/>
            </w:tcBorders>
          </w:tcPr>
          <w:p>
            <w:pPr>
              <w:jc w:val="center"/>
              <w:ind w:right="190"/>
              <w:spacing w:after="0" w:line="194" w:lineRule="exact"/>
              <w:rPr>
                <w:sz w:val="20"/>
                <w:szCs w:val="20"/>
                <w:color w:val="auto"/>
              </w:rPr>
            </w:pPr>
            <w:r>
              <w:rPr>
                <w:rFonts w:ascii="Arial" w:cs="Arial" w:eastAsia="Arial" w:hAnsi="Arial"/>
                <w:sz w:val="18"/>
                <w:szCs w:val="18"/>
                <w:b w:val="1"/>
                <w:bCs w:val="1"/>
                <w:color w:val="auto"/>
                <w:w w:val="99"/>
              </w:rPr>
              <w:t>Closing</w:t>
            </w:r>
          </w:p>
        </w:tc>
        <w:tc>
          <w:tcPr>
            <w:tcW w:w="1900" w:type="dxa"/>
            <w:vAlign w:val="bottom"/>
            <w:tcBorders>
              <w:top w:val="single" w:sz="8" w:color="auto"/>
            </w:tcBorders>
          </w:tcPr>
          <w:p>
            <w:pPr>
              <w:jc w:val="center"/>
              <w:ind w:right="90"/>
              <w:spacing w:after="0" w:line="194" w:lineRule="exact"/>
              <w:rPr>
                <w:sz w:val="20"/>
                <w:szCs w:val="20"/>
                <w:color w:val="auto"/>
              </w:rPr>
            </w:pPr>
            <w:r>
              <w:rPr>
                <w:rFonts w:ascii="Arial" w:cs="Arial" w:eastAsia="Arial" w:hAnsi="Arial"/>
                <w:sz w:val="18"/>
                <w:szCs w:val="18"/>
                <w:b w:val="1"/>
                <w:bCs w:val="1"/>
                <w:color w:val="auto"/>
                <w:w w:val="99"/>
              </w:rPr>
              <w:t>Amounts Paid</w:t>
            </w:r>
          </w:p>
        </w:tc>
      </w:tr>
      <w:tr>
        <w:trPr>
          <w:trHeight w:val="203"/>
        </w:trPr>
        <w:tc>
          <w:tcPr>
            <w:tcW w:w="1800" w:type="dxa"/>
            <w:vAlign w:val="bottom"/>
          </w:tcPr>
          <w:p>
            <w:pPr>
              <w:ind w:left="260"/>
              <w:spacing w:after="0" w:line="202" w:lineRule="exact"/>
              <w:rPr>
                <w:sz w:val="20"/>
                <w:szCs w:val="20"/>
                <w:color w:val="auto"/>
              </w:rPr>
            </w:pPr>
            <w:r>
              <w:rPr>
                <w:rFonts w:ascii="Arial" w:cs="Arial" w:eastAsia="Arial" w:hAnsi="Arial"/>
                <w:sz w:val="18"/>
                <w:szCs w:val="18"/>
                <w:b w:val="1"/>
                <w:bCs w:val="1"/>
                <w:color w:val="auto"/>
              </w:rPr>
              <w:t>December 31,</w:t>
            </w:r>
          </w:p>
        </w:tc>
        <w:tc>
          <w:tcPr>
            <w:tcW w:w="158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99"/>
              </w:rPr>
              <w:t>Number of</w:t>
            </w:r>
          </w:p>
        </w:tc>
        <w:tc>
          <w:tcPr>
            <w:tcW w:w="2100" w:type="dxa"/>
            <w:vAlign w:val="bottom"/>
          </w:tcPr>
          <w:p>
            <w:pPr>
              <w:jc w:val="right"/>
              <w:ind w:right="170"/>
              <w:spacing w:after="0" w:line="202" w:lineRule="exact"/>
              <w:rPr>
                <w:sz w:val="20"/>
                <w:szCs w:val="20"/>
                <w:color w:val="auto"/>
              </w:rPr>
            </w:pPr>
            <w:r>
              <w:rPr>
                <w:rFonts w:ascii="Arial" w:cs="Arial" w:eastAsia="Arial" w:hAnsi="Arial"/>
                <w:sz w:val="18"/>
                <w:szCs w:val="18"/>
                <w:b w:val="1"/>
                <w:bCs w:val="1"/>
                <w:color w:val="auto"/>
              </w:rPr>
              <w:t>Settled, or Resolved</w:t>
            </w:r>
          </w:p>
        </w:tc>
        <w:tc>
          <w:tcPr>
            <w:tcW w:w="1460" w:type="dxa"/>
            <w:vAlign w:val="bottom"/>
          </w:tcPr>
          <w:p>
            <w:pPr>
              <w:spacing w:after="0"/>
              <w:rPr>
                <w:sz w:val="17"/>
                <w:szCs w:val="17"/>
                <w:color w:val="auto"/>
              </w:rPr>
            </w:pPr>
          </w:p>
        </w:tc>
        <w:tc>
          <w:tcPr>
            <w:tcW w:w="1420" w:type="dxa"/>
            <w:vAlign w:val="bottom"/>
          </w:tcPr>
          <w:p>
            <w:pPr>
              <w:jc w:val="center"/>
              <w:ind w:right="150"/>
              <w:spacing w:after="0" w:line="202" w:lineRule="exact"/>
              <w:rPr>
                <w:sz w:val="20"/>
                <w:szCs w:val="20"/>
                <w:color w:val="auto"/>
              </w:rPr>
            </w:pPr>
            <w:r>
              <w:rPr>
                <w:rFonts w:ascii="Arial" w:cs="Arial" w:eastAsia="Arial" w:hAnsi="Arial"/>
                <w:sz w:val="18"/>
                <w:szCs w:val="18"/>
                <w:b w:val="1"/>
                <w:bCs w:val="1"/>
                <w:color w:val="auto"/>
                <w:w w:val="99"/>
              </w:rPr>
              <w:t>Number of</w:t>
            </w:r>
          </w:p>
        </w:tc>
        <w:tc>
          <w:tcPr>
            <w:tcW w:w="1900" w:type="dxa"/>
            <w:vAlign w:val="bottom"/>
          </w:tcPr>
          <w:p>
            <w:pPr>
              <w:jc w:val="center"/>
              <w:ind w:right="150"/>
              <w:spacing w:after="0" w:line="202" w:lineRule="exact"/>
              <w:rPr>
                <w:sz w:val="20"/>
                <w:szCs w:val="20"/>
                <w:color w:val="auto"/>
              </w:rPr>
            </w:pPr>
            <w:r>
              <w:rPr>
                <w:rFonts w:ascii="Arial" w:cs="Arial" w:eastAsia="Arial" w:hAnsi="Arial"/>
                <w:sz w:val="18"/>
                <w:szCs w:val="18"/>
                <w:b w:val="1"/>
                <w:bCs w:val="1"/>
                <w:color w:val="auto"/>
              </w:rPr>
              <w:t>(thousands) to</w:t>
            </w:r>
          </w:p>
        </w:tc>
      </w:tr>
      <w:tr>
        <w:trPr>
          <w:trHeight w:val="225"/>
        </w:trPr>
        <w:tc>
          <w:tcPr>
            <w:tcW w:w="18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Claims</w:t>
            </w:r>
          </w:p>
        </w:tc>
        <w:tc>
          <w:tcPr>
            <w:tcW w:w="2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8"/>
              </w:rPr>
              <w:t>Claims</w:t>
            </w:r>
          </w:p>
        </w:tc>
        <w:tc>
          <w:tcPr>
            <w:tcW w:w="19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Settle or Resolve</w:t>
            </w:r>
          </w:p>
        </w:tc>
      </w:tr>
      <w:tr>
        <w:trPr>
          <w:trHeight w:val="196"/>
        </w:trPr>
        <w:tc>
          <w:tcPr>
            <w:tcW w:w="180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2005</w:t>
            </w:r>
          </w:p>
        </w:tc>
        <w:tc>
          <w:tcPr>
            <w:tcW w:w="15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29,411</w:t>
            </w:r>
          </w:p>
        </w:tc>
        <w:tc>
          <w:tcPr>
            <w:tcW w:w="210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6,257</w:t>
            </w:r>
          </w:p>
        </w:tc>
        <w:tc>
          <w:tcPr>
            <w:tcW w:w="146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1,297</w:t>
            </w:r>
          </w:p>
        </w:tc>
        <w:tc>
          <w:tcPr>
            <w:tcW w:w="142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24,451</w:t>
            </w:r>
          </w:p>
        </w:tc>
        <w:tc>
          <w:tcPr>
            <w:tcW w:w="190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$504</w:t>
            </w:r>
          </w:p>
        </w:tc>
      </w:tr>
      <w:tr>
        <w:trPr>
          <w:trHeight w:val="196"/>
        </w:trPr>
        <w:tc>
          <w:tcPr>
            <w:tcW w:w="180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2006</w:t>
            </w:r>
          </w:p>
        </w:tc>
        <w:tc>
          <w:tcPr>
            <w:tcW w:w="15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24,451</w:t>
            </w:r>
          </w:p>
        </w:tc>
        <w:tc>
          <w:tcPr>
            <w:tcW w:w="210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6,841</w:t>
            </w:r>
          </w:p>
        </w:tc>
        <w:tc>
          <w:tcPr>
            <w:tcW w:w="146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1,806</w:t>
            </w:r>
          </w:p>
        </w:tc>
        <w:tc>
          <w:tcPr>
            <w:tcW w:w="142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19,416</w:t>
            </w:r>
          </w:p>
        </w:tc>
        <w:tc>
          <w:tcPr>
            <w:tcW w:w="190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3,879</w:t>
            </w:r>
          </w:p>
        </w:tc>
      </w:tr>
      <w:tr>
        <w:trPr>
          <w:trHeight w:val="196"/>
        </w:trPr>
        <w:tc>
          <w:tcPr>
            <w:tcW w:w="180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2007</w:t>
            </w:r>
          </w:p>
        </w:tc>
        <w:tc>
          <w:tcPr>
            <w:tcW w:w="15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19,416</w:t>
            </w:r>
          </w:p>
        </w:tc>
        <w:tc>
          <w:tcPr>
            <w:tcW w:w="210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808</w:t>
            </w:r>
          </w:p>
        </w:tc>
        <w:tc>
          <w:tcPr>
            <w:tcW w:w="146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190</w:t>
            </w:r>
          </w:p>
        </w:tc>
        <w:tc>
          <w:tcPr>
            <w:tcW w:w="142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18,798</w:t>
            </w:r>
          </w:p>
        </w:tc>
        <w:tc>
          <w:tcPr>
            <w:tcW w:w="190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15</w:t>
            </w:r>
          </w:p>
        </w:tc>
      </w:tr>
      <w:tr>
        <w:trPr>
          <w:trHeight w:val="196"/>
        </w:trPr>
        <w:tc>
          <w:tcPr>
            <w:tcW w:w="180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2008</w:t>
            </w:r>
          </w:p>
        </w:tc>
        <w:tc>
          <w:tcPr>
            <w:tcW w:w="15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18,798</w:t>
            </w:r>
          </w:p>
        </w:tc>
        <w:tc>
          <w:tcPr>
            <w:tcW w:w="210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523</w:t>
            </w:r>
          </w:p>
        </w:tc>
        <w:tc>
          <w:tcPr>
            <w:tcW w:w="146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110</w:t>
            </w:r>
          </w:p>
        </w:tc>
        <w:tc>
          <w:tcPr>
            <w:tcW w:w="142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18,385</w:t>
            </w:r>
          </w:p>
        </w:tc>
        <w:tc>
          <w:tcPr>
            <w:tcW w:w="190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52</w:t>
            </w:r>
          </w:p>
        </w:tc>
      </w:tr>
      <w:tr>
        <w:trPr>
          <w:trHeight w:val="196"/>
        </w:trPr>
        <w:tc>
          <w:tcPr>
            <w:tcW w:w="180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2009</w:t>
            </w:r>
          </w:p>
        </w:tc>
        <w:tc>
          <w:tcPr>
            <w:tcW w:w="15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18,385</w:t>
            </w:r>
          </w:p>
        </w:tc>
        <w:tc>
          <w:tcPr>
            <w:tcW w:w="210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9,482</w:t>
            </w:r>
          </w:p>
        </w:tc>
        <w:tc>
          <w:tcPr>
            <w:tcW w:w="146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42</w:t>
            </w:r>
          </w:p>
        </w:tc>
        <w:tc>
          <w:tcPr>
            <w:tcW w:w="142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8,945</w:t>
            </w:r>
          </w:p>
        </w:tc>
        <w:tc>
          <w:tcPr>
            <w:tcW w:w="190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88</w:t>
            </w:r>
          </w:p>
        </w:tc>
      </w:tr>
      <w:tr>
        <w:trPr>
          <w:trHeight w:val="196"/>
        </w:trPr>
        <w:tc>
          <w:tcPr>
            <w:tcW w:w="180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2010</w:t>
            </w:r>
          </w:p>
        </w:tc>
        <w:tc>
          <w:tcPr>
            <w:tcW w:w="15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8,945</w:t>
            </w:r>
          </w:p>
        </w:tc>
        <w:tc>
          <w:tcPr>
            <w:tcW w:w="210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3,963</w:t>
            </w:r>
          </w:p>
        </w:tc>
        <w:tc>
          <w:tcPr>
            <w:tcW w:w="146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188</w:t>
            </w:r>
          </w:p>
        </w:tc>
        <w:tc>
          <w:tcPr>
            <w:tcW w:w="142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5,170</w:t>
            </w:r>
          </w:p>
        </w:tc>
        <w:tc>
          <w:tcPr>
            <w:tcW w:w="190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159</w:t>
            </w:r>
          </w:p>
        </w:tc>
      </w:tr>
      <w:tr>
        <w:trPr>
          <w:trHeight w:val="196"/>
        </w:trPr>
        <w:tc>
          <w:tcPr>
            <w:tcW w:w="180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2011</w:t>
            </w:r>
          </w:p>
        </w:tc>
        <w:tc>
          <w:tcPr>
            <w:tcW w:w="15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5,170</w:t>
            </w:r>
          </w:p>
        </w:tc>
        <w:tc>
          <w:tcPr>
            <w:tcW w:w="210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789</w:t>
            </w:r>
          </w:p>
        </w:tc>
        <w:tc>
          <w:tcPr>
            <w:tcW w:w="146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65</w:t>
            </w:r>
          </w:p>
        </w:tc>
        <w:tc>
          <w:tcPr>
            <w:tcW w:w="142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4,446</w:t>
            </w:r>
          </w:p>
        </w:tc>
        <w:tc>
          <w:tcPr>
            <w:tcW w:w="190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1,111</w:t>
            </w:r>
          </w:p>
        </w:tc>
      </w:tr>
      <w:tr>
        <w:trPr>
          <w:trHeight w:val="196"/>
        </w:trPr>
        <w:tc>
          <w:tcPr>
            <w:tcW w:w="180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2012</w:t>
            </w:r>
          </w:p>
        </w:tc>
        <w:tc>
          <w:tcPr>
            <w:tcW w:w="15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4,446</w:t>
            </w:r>
          </w:p>
        </w:tc>
        <w:tc>
          <w:tcPr>
            <w:tcW w:w="210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90</w:t>
            </w:r>
          </w:p>
        </w:tc>
        <w:tc>
          <w:tcPr>
            <w:tcW w:w="146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107</w:t>
            </w:r>
          </w:p>
        </w:tc>
        <w:tc>
          <w:tcPr>
            <w:tcW w:w="142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4,463</w:t>
            </w:r>
          </w:p>
        </w:tc>
        <w:tc>
          <w:tcPr>
            <w:tcW w:w="190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530</w:t>
            </w:r>
          </w:p>
        </w:tc>
      </w:tr>
      <w:tr>
        <w:trPr>
          <w:trHeight w:val="173"/>
        </w:trPr>
        <w:tc>
          <w:tcPr>
            <w:tcW w:w="1800" w:type="dxa"/>
            <w:vAlign w:val="bottom"/>
          </w:tcPr>
          <w:p>
            <w:pPr>
              <w:ind w:left="60"/>
              <w:spacing w:after="0" w:line="173" w:lineRule="exact"/>
              <w:rPr>
                <w:sz w:val="20"/>
                <w:szCs w:val="20"/>
                <w:color w:val="auto"/>
              </w:rPr>
            </w:pPr>
            <w:r>
              <w:rPr>
                <w:rFonts w:ascii="Arial" w:cs="Arial" w:eastAsia="Arial" w:hAnsi="Arial"/>
                <w:sz w:val="18"/>
                <w:szCs w:val="18"/>
                <w:b w:val="1"/>
                <w:bCs w:val="1"/>
                <w:color w:val="auto"/>
              </w:rPr>
              <w:t>2013 as of</w:t>
            </w:r>
          </w:p>
        </w:tc>
        <w:tc>
          <w:tcPr>
            <w:tcW w:w="15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225"/>
        </w:trPr>
        <w:tc>
          <w:tcPr>
            <w:tcW w:w="18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January 31, 2014</w:t>
            </w:r>
          </w:p>
        </w:tc>
        <w:tc>
          <w:tcPr>
            <w:tcW w:w="1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4,463</w:t>
            </w:r>
          </w:p>
        </w:tc>
        <w:tc>
          <w:tcPr>
            <w:tcW w:w="2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233</w:t>
            </w:r>
          </w:p>
        </w:tc>
        <w:tc>
          <w:tcPr>
            <w:tcW w:w="14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85</w:t>
            </w:r>
          </w:p>
        </w:tc>
        <w:tc>
          <w:tcPr>
            <w:tcW w:w="14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4,315</w:t>
            </w:r>
          </w:p>
        </w:tc>
        <w:tc>
          <w:tcPr>
            <w:tcW w:w="1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$ 82</w:t>
            </w:r>
          </w:p>
        </w:tc>
      </w:tr>
    </w:tbl>
    <w:p>
      <w:pPr>
        <w:spacing w:after="0" w:line="215" w:lineRule="exact"/>
        <w:rPr>
          <w:sz w:val="20"/>
          <w:szCs w:val="20"/>
          <w:color w:val="auto"/>
        </w:rPr>
      </w:pPr>
    </w:p>
    <w:p>
      <w:pPr>
        <w:ind w:right="60" w:firstLine="648"/>
        <w:spacing w:after="0" w:line="246" w:lineRule="auto"/>
        <w:rPr>
          <w:sz w:val="20"/>
          <w:szCs w:val="20"/>
          <w:color w:val="auto"/>
        </w:rPr>
      </w:pPr>
      <w:r>
        <w:rPr>
          <w:rFonts w:ascii="Arial" w:cs="Arial" w:eastAsia="Arial" w:hAnsi="Arial"/>
          <w:sz w:val="18"/>
          <w:szCs w:val="18"/>
          <w:color w:val="auto"/>
        </w:rPr>
        <w:t>We anticipate that additional claims will be filed against the Company and related companies in the future, but are unable to predict the number and timing of such future claims.</w:t>
      </w:r>
    </w:p>
    <w:p>
      <w:pPr>
        <w:spacing w:after="0" w:line="170" w:lineRule="exact"/>
        <w:rPr>
          <w:sz w:val="20"/>
          <w:szCs w:val="20"/>
          <w:color w:val="auto"/>
        </w:rPr>
      </w:pPr>
    </w:p>
    <w:p>
      <w:pPr>
        <w:ind w:right="160" w:firstLine="648"/>
        <w:spacing w:after="0"/>
        <w:rPr>
          <w:sz w:val="20"/>
          <w:szCs w:val="20"/>
          <w:color w:val="auto"/>
        </w:rPr>
      </w:pPr>
      <w:r>
        <w:rPr>
          <w:rFonts w:ascii="Arial" w:cs="Arial" w:eastAsia="Arial" w:hAnsi="Arial"/>
          <w:sz w:val="18"/>
          <w:szCs w:val="18"/>
          <w:color w:val="auto"/>
        </w:rPr>
        <w:t>Exposure and disease information sufficient to meaningfully estimate a range of possible loss of a particular claim is typically not available until late in the discovery process, and often not until a trial date is imminent and a settlement demand has been received. For these reasons, we do not believe a meaningful estimate can be made regarding the range of possible loss with respect to pending or future claims.</w:t>
      </w:r>
    </w:p>
    <w:p>
      <w:pPr>
        <w:spacing w:after="0" w:line="162"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While we believe we have meritorious defenses to these claims, we have settled certain claims for amounts we consider reasonable given the facts and circumstances of each case. Our insurer, Liberty Mutual, has defended each case and funded settlements under a standard reservation of rights. As of January 31, 2014, we had resolved, by means of settlement or dismissal, 36,603 claims. The total cost of resolving all claims was $8.7 million. Of this amount, almost 100% was paid by our insurance carrier. The Company has over $125 million in confirmed insurance coverage that should be available with respect to current and future asbestos claims, as well as additional insurance coverage that we should be able to access.</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84" w:name="page85"/>
    <w:bookmarkEnd w:id="84"/>
    <w:p>
      <w:pPr>
        <w:ind w:firstLine="648"/>
        <w:spacing w:after="0"/>
        <w:rPr>
          <w:sz w:val="20"/>
          <w:szCs w:val="20"/>
          <w:color w:val="auto"/>
        </w:rPr>
      </w:pPr>
      <w:r>
        <w:rPr>
          <w:rFonts w:ascii="Arial" w:cs="Arial" w:eastAsia="Arial" w:hAnsi="Arial"/>
          <w:sz w:val="18"/>
          <w:szCs w:val="18"/>
          <w:color w:val="auto"/>
        </w:rPr>
        <w:t>Brandon Drying Fabrics, Inc. (“Brandon”), a subsidiary of Geschmay Corp., which is a subsidiary of the Company, is also a separate defendant in many of the asbestos cases in which Albany is named as a defendant. Brandon was defending against 7,815 claims as of January 31, 2014.</w:t>
      </w:r>
    </w:p>
    <w:p>
      <w:pPr>
        <w:spacing w:after="0" w:line="162" w:lineRule="exact"/>
        <w:rPr>
          <w:sz w:val="20"/>
          <w:szCs w:val="20"/>
          <w:color w:val="auto"/>
        </w:rPr>
      </w:pPr>
    </w:p>
    <w:p>
      <w:pPr>
        <w:ind w:right="660" w:firstLine="648"/>
        <w:spacing w:after="0" w:line="246" w:lineRule="auto"/>
        <w:rPr>
          <w:sz w:val="20"/>
          <w:szCs w:val="20"/>
          <w:color w:val="auto"/>
        </w:rPr>
      </w:pPr>
      <w:r>
        <w:rPr>
          <w:rFonts w:ascii="Arial" w:cs="Arial" w:eastAsia="Arial" w:hAnsi="Arial"/>
          <w:sz w:val="18"/>
          <w:szCs w:val="18"/>
          <w:color w:val="auto"/>
        </w:rPr>
        <w:t>The following table sets forth the number of claims filed, the number of claims settled, dismissed or otherwise resolved, and the aggregate settlement amount during the periods presented:</w:t>
      </w:r>
    </w:p>
    <w:p>
      <w:pPr>
        <w:spacing w:after="0" w:line="151" w:lineRule="exact"/>
        <w:rPr>
          <w:sz w:val="20"/>
          <w:szCs w:val="20"/>
          <w:color w:val="auto"/>
        </w:rPr>
      </w:pPr>
    </w:p>
    <w:tbl>
      <w:tblPr>
        <w:tblLayout w:type="fixed"/>
        <w:tblInd w:w="660" w:type="dxa"/>
        <w:tblCellMar>
          <w:top w:w="0" w:type="dxa"/>
          <w:left w:w="0" w:type="dxa"/>
          <w:bottom w:w="0" w:type="dxa"/>
          <w:right w:w="0" w:type="dxa"/>
        </w:tblCellMar>
      </w:tblPr>
      <w:tr>
        <w:trPr>
          <w:trHeight w:val="193"/>
        </w:trPr>
        <w:tc>
          <w:tcPr>
            <w:tcW w:w="2100" w:type="dxa"/>
            <w:vAlign w:val="bottom"/>
            <w:tcBorders>
              <w:top w:val="single" w:sz="8" w:color="auto"/>
            </w:tcBorders>
          </w:tcPr>
          <w:p>
            <w:pPr>
              <w:ind w:left="520"/>
              <w:spacing w:after="0" w:line="194" w:lineRule="exact"/>
              <w:rPr>
                <w:sz w:val="20"/>
                <w:szCs w:val="20"/>
                <w:color w:val="auto"/>
              </w:rPr>
            </w:pPr>
            <w:r>
              <w:rPr>
                <w:rFonts w:ascii="Arial" w:cs="Arial" w:eastAsia="Arial" w:hAnsi="Arial"/>
                <w:sz w:val="18"/>
                <w:szCs w:val="18"/>
                <w:b w:val="1"/>
                <w:bCs w:val="1"/>
                <w:color w:val="auto"/>
              </w:rPr>
              <w:t>Year ended</w:t>
            </w:r>
          </w:p>
        </w:tc>
        <w:tc>
          <w:tcPr>
            <w:tcW w:w="1960" w:type="dxa"/>
            <w:vAlign w:val="bottom"/>
            <w:tcBorders>
              <w:top w:val="single" w:sz="8" w:color="auto"/>
            </w:tcBorders>
          </w:tcPr>
          <w:p>
            <w:pPr>
              <w:jc w:val="center"/>
              <w:ind w:right="50"/>
              <w:spacing w:after="0" w:line="194" w:lineRule="exact"/>
              <w:rPr>
                <w:sz w:val="20"/>
                <w:szCs w:val="20"/>
                <w:color w:val="auto"/>
              </w:rPr>
            </w:pPr>
            <w:r>
              <w:rPr>
                <w:rFonts w:ascii="Arial" w:cs="Arial" w:eastAsia="Arial" w:hAnsi="Arial"/>
                <w:sz w:val="18"/>
                <w:szCs w:val="18"/>
                <w:b w:val="1"/>
                <w:bCs w:val="1"/>
                <w:color w:val="auto"/>
              </w:rPr>
              <w:t>Opening</w:t>
            </w:r>
          </w:p>
        </w:tc>
        <w:tc>
          <w:tcPr>
            <w:tcW w:w="1520" w:type="dxa"/>
            <w:vAlign w:val="bottom"/>
            <w:tcBorders>
              <w:top w:val="single" w:sz="8" w:color="auto"/>
            </w:tcBorders>
          </w:tcPr>
          <w:p>
            <w:pPr>
              <w:jc w:val="center"/>
              <w:ind w:right="90"/>
              <w:spacing w:after="0" w:line="194" w:lineRule="exact"/>
              <w:rPr>
                <w:sz w:val="20"/>
                <w:szCs w:val="20"/>
                <w:color w:val="auto"/>
              </w:rPr>
            </w:pPr>
            <w:r>
              <w:rPr>
                <w:rFonts w:ascii="Arial" w:cs="Arial" w:eastAsia="Arial" w:hAnsi="Arial"/>
                <w:sz w:val="18"/>
                <w:szCs w:val="18"/>
                <w:b w:val="1"/>
                <w:bCs w:val="1"/>
                <w:color w:val="auto"/>
                <w:w w:val="98"/>
              </w:rPr>
              <w:t>Claims</w:t>
            </w:r>
          </w:p>
        </w:tc>
        <w:tc>
          <w:tcPr>
            <w:tcW w:w="1580" w:type="dxa"/>
            <w:vAlign w:val="bottom"/>
            <w:tcBorders>
              <w:top w:val="single" w:sz="8" w:color="auto"/>
            </w:tcBorders>
          </w:tcPr>
          <w:p>
            <w:pPr>
              <w:jc w:val="right"/>
              <w:ind w:right="290"/>
              <w:spacing w:after="0" w:line="194" w:lineRule="exact"/>
              <w:rPr>
                <w:sz w:val="20"/>
                <w:szCs w:val="20"/>
                <w:color w:val="auto"/>
              </w:rPr>
            </w:pPr>
            <w:r>
              <w:rPr>
                <w:rFonts w:ascii="Arial" w:cs="Arial" w:eastAsia="Arial" w:hAnsi="Arial"/>
                <w:sz w:val="18"/>
                <w:szCs w:val="18"/>
                <w:b w:val="1"/>
                <w:bCs w:val="1"/>
                <w:color w:val="auto"/>
              </w:rPr>
              <w:t>New Claims</w:t>
            </w:r>
          </w:p>
        </w:tc>
        <w:tc>
          <w:tcPr>
            <w:tcW w:w="1520" w:type="dxa"/>
            <w:vAlign w:val="bottom"/>
            <w:tcBorders>
              <w:top w:val="single" w:sz="8" w:color="auto"/>
            </w:tcBorders>
          </w:tcPr>
          <w:p>
            <w:pPr>
              <w:jc w:val="center"/>
              <w:ind w:right="170"/>
              <w:spacing w:after="0" w:line="194" w:lineRule="exact"/>
              <w:rPr>
                <w:sz w:val="20"/>
                <w:szCs w:val="20"/>
                <w:color w:val="auto"/>
              </w:rPr>
            </w:pPr>
            <w:r>
              <w:rPr>
                <w:rFonts w:ascii="Arial" w:cs="Arial" w:eastAsia="Arial" w:hAnsi="Arial"/>
                <w:sz w:val="18"/>
                <w:szCs w:val="18"/>
                <w:b w:val="1"/>
                <w:bCs w:val="1"/>
                <w:color w:val="auto"/>
                <w:w w:val="99"/>
              </w:rPr>
              <w:t>Closing</w:t>
            </w:r>
          </w:p>
        </w:tc>
        <w:tc>
          <w:tcPr>
            <w:tcW w:w="1580" w:type="dxa"/>
            <w:vAlign w:val="bottom"/>
            <w:tcBorders>
              <w:top w:val="single" w:sz="8" w:color="auto"/>
            </w:tcBorders>
          </w:tcPr>
          <w:p>
            <w:pPr>
              <w:jc w:val="center"/>
              <w:ind w:right="110"/>
              <w:spacing w:after="0" w:line="194" w:lineRule="exact"/>
              <w:rPr>
                <w:sz w:val="20"/>
                <w:szCs w:val="20"/>
                <w:color w:val="auto"/>
              </w:rPr>
            </w:pPr>
            <w:r>
              <w:rPr>
                <w:rFonts w:ascii="Arial" w:cs="Arial" w:eastAsia="Arial" w:hAnsi="Arial"/>
                <w:sz w:val="18"/>
                <w:szCs w:val="18"/>
                <w:b w:val="1"/>
                <w:bCs w:val="1"/>
                <w:color w:val="auto"/>
                <w:w w:val="99"/>
              </w:rPr>
              <w:t>Amounts</w:t>
            </w:r>
          </w:p>
        </w:tc>
      </w:tr>
      <w:tr>
        <w:trPr>
          <w:trHeight w:val="203"/>
        </w:trPr>
        <w:tc>
          <w:tcPr>
            <w:tcW w:w="2100" w:type="dxa"/>
            <w:vAlign w:val="bottom"/>
          </w:tcPr>
          <w:p>
            <w:pPr>
              <w:ind w:left="440"/>
              <w:spacing w:after="0" w:line="202" w:lineRule="exact"/>
              <w:rPr>
                <w:sz w:val="20"/>
                <w:szCs w:val="20"/>
                <w:color w:val="auto"/>
              </w:rPr>
            </w:pPr>
            <w:r>
              <w:rPr>
                <w:rFonts w:ascii="Arial" w:cs="Arial" w:eastAsia="Arial" w:hAnsi="Arial"/>
                <w:sz w:val="18"/>
                <w:szCs w:val="18"/>
                <w:b w:val="1"/>
                <w:bCs w:val="1"/>
                <w:color w:val="auto"/>
              </w:rPr>
              <w:t>December 31,</w:t>
            </w:r>
          </w:p>
        </w:tc>
        <w:tc>
          <w:tcPr>
            <w:tcW w:w="1960" w:type="dxa"/>
            <w:vAlign w:val="bottom"/>
          </w:tcPr>
          <w:p>
            <w:pPr>
              <w:jc w:val="center"/>
              <w:ind w:right="10"/>
              <w:spacing w:after="0" w:line="202" w:lineRule="exact"/>
              <w:rPr>
                <w:sz w:val="20"/>
                <w:szCs w:val="20"/>
                <w:color w:val="auto"/>
              </w:rPr>
            </w:pPr>
            <w:r>
              <w:rPr>
                <w:rFonts w:ascii="Arial" w:cs="Arial" w:eastAsia="Arial" w:hAnsi="Arial"/>
                <w:sz w:val="18"/>
                <w:szCs w:val="18"/>
                <w:b w:val="1"/>
                <w:bCs w:val="1"/>
                <w:color w:val="auto"/>
                <w:w w:val="99"/>
              </w:rPr>
              <w:t>Number of</w:t>
            </w:r>
          </w:p>
        </w:tc>
        <w:tc>
          <w:tcPr>
            <w:tcW w:w="1520" w:type="dxa"/>
            <w:vAlign w:val="bottom"/>
          </w:tcPr>
          <w:p>
            <w:pPr>
              <w:jc w:val="center"/>
              <w:ind w:right="90"/>
              <w:spacing w:after="0" w:line="202" w:lineRule="exact"/>
              <w:rPr>
                <w:sz w:val="20"/>
                <w:szCs w:val="20"/>
                <w:color w:val="auto"/>
              </w:rPr>
            </w:pPr>
            <w:r>
              <w:rPr>
                <w:rFonts w:ascii="Arial" w:cs="Arial" w:eastAsia="Arial" w:hAnsi="Arial"/>
                <w:sz w:val="18"/>
                <w:szCs w:val="18"/>
                <w:b w:val="1"/>
                <w:bCs w:val="1"/>
                <w:color w:val="auto"/>
                <w:w w:val="98"/>
              </w:rPr>
              <w:t>Dismissed,</w:t>
            </w:r>
          </w:p>
        </w:tc>
        <w:tc>
          <w:tcPr>
            <w:tcW w:w="1580" w:type="dxa"/>
            <w:vAlign w:val="bottom"/>
          </w:tcPr>
          <w:p>
            <w:pPr>
              <w:spacing w:after="0"/>
              <w:rPr>
                <w:sz w:val="17"/>
                <w:szCs w:val="17"/>
                <w:color w:val="auto"/>
              </w:rPr>
            </w:pPr>
          </w:p>
        </w:tc>
        <w:tc>
          <w:tcPr>
            <w:tcW w:w="1520" w:type="dxa"/>
            <w:vAlign w:val="bottom"/>
          </w:tcPr>
          <w:p>
            <w:pPr>
              <w:jc w:val="center"/>
              <w:ind w:right="130"/>
              <w:spacing w:after="0" w:line="202" w:lineRule="exact"/>
              <w:rPr>
                <w:sz w:val="20"/>
                <w:szCs w:val="20"/>
                <w:color w:val="auto"/>
              </w:rPr>
            </w:pPr>
            <w:r>
              <w:rPr>
                <w:rFonts w:ascii="Arial" w:cs="Arial" w:eastAsia="Arial" w:hAnsi="Arial"/>
                <w:sz w:val="18"/>
                <w:szCs w:val="18"/>
                <w:b w:val="1"/>
                <w:bCs w:val="1"/>
                <w:color w:val="auto"/>
                <w:w w:val="99"/>
              </w:rPr>
              <w:t>Number of</w:t>
            </w:r>
          </w:p>
        </w:tc>
        <w:tc>
          <w:tcPr>
            <w:tcW w:w="1580" w:type="dxa"/>
            <w:vAlign w:val="bottom"/>
          </w:tcPr>
          <w:p>
            <w:pPr>
              <w:jc w:val="center"/>
              <w:ind w:right="110"/>
              <w:spacing w:after="0" w:line="202" w:lineRule="exact"/>
              <w:rPr>
                <w:sz w:val="20"/>
                <w:szCs w:val="20"/>
                <w:color w:val="auto"/>
              </w:rPr>
            </w:pPr>
            <w:r>
              <w:rPr>
                <w:rFonts w:ascii="Arial" w:cs="Arial" w:eastAsia="Arial" w:hAnsi="Arial"/>
                <w:sz w:val="18"/>
                <w:szCs w:val="18"/>
                <w:b w:val="1"/>
                <w:bCs w:val="1"/>
                <w:color w:val="auto"/>
                <w:w w:val="99"/>
              </w:rPr>
              <w:t>Paid</w:t>
            </w:r>
          </w:p>
        </w:tc>
      </w:tr>
      <w:tr>
        <w:trPr>
          <w:trHeight w:val="203"/>
        </w:trPr>
        <w:tc>
          <w:tcPr>
            <w:tcW w:w="2100" w:type="dxa"/>
            <w:vAlign w:val="bottom"/>
          </w:tcPr>
          <w:p>
            <w:pPr>
              <w:spacing w:after="0"/>
              <w:rPr>
                <w:sz w:val="17"/>
                <w:szCs w:val="17"/>
                <w:color w:val="auto"/>
              </w:rPr>
            </w:pPr>
          </w:p>
        </w:tc>
        <w:tc>
          <w:tcPr>
            <w:tcW w:w="19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Claims</w:t>
            </w:r>
          </w:p>
        </w:tc>
        <w:tc>
          <w:tcPr>
            <w:tcW w:w="152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99"/>
              </w:rPr>
              <w:t>Settled, or</w:t>
            </w:r>
          </w:p>
        </w:tc>
        <w:tc>
          <w:tcPr>
            <w:tcW w:w="1580" w:type="dxa"/>
            <w:vAlign w:val="bottom"/>
          </w:tcPr>
          <w:p>
            <w:pPr>
              <w:spacing w:after="0"/>
              <w:rPr>
                <w:sz w:val="17"/>
                <w:szCs w:val="17"/>
                <w:color w:val="auto"/>
              </w:rPr>
            </w:pPr>
          </w:p>
        </w:tc>
        <w:tc>
          <w:tcPr>
            <w:tcW w:w="1520" w:type="dxa"/>
            <w:vAlign w:val="bottom"/>
          </w:tcPr>
          <w:p>
            <w:pPr>
              <w:jc w:val="center"/>
              <w:ind w:right="130"/>
              <w:spacing w:after="0" w:line="202" w:lineRule="exact"/>
              <w:rPr>
                <w:sz w:val="20"/>
                <w:szCs w:val="20"/>
                <w:color w:val="auto"/>
              </w:rPr>
            </w:pPr>
            <w:r>
              <w:rPr>
                <w:rFonts w:ascii="Arial" w:cs="Arial" w:eastAsia="Arial" w:hAnsi="Arial"/>
                <w:sz w:val="18"/>
                <w:szCs w:val="18"/>
                <w:b w:val="1"/>
                <w:bCs w:val="1"/>
                <w:color w:val="auto"/>
                <w:w w:val="98"/>
              </w:rPr>
              <w:t>Claims</w:t>
            </w:r>
          </w:p>
        </w:tc>
        <w:tc>
          <w:tcPr>
            <w:tcW w:w="1580" w:type="dxa"/>
            <w:vAlign w:val="bottom"/>
          </w:tcPr>
          <w:p>
            <w:pPr>
              <w:jc w:val="center"/>
              <w:ind w:right="110"/>
              <w:spacing w:after="0" w:line="202" w:lineRule="exact"/>
              <w:rPr>
                <w:sz w:val="20"/>
                <w:szCs w:val="20"/>
                <w:color w:val="auto"/>
              </w:rPr>
            </w:pPr>
            <w:r>
              <w:rPr>
                <w:rFonts w:ascii="Arial" w:cs="Arial" w:eastAsia="Arial" w:hAnsi="Arial"/>
                <w:sz w:val="18"/>
                <w:szCs w:val="18"/>
                <w:b w:val="1"/>
                <w:bCs w:val="1"/>
                <w:color w:val="auto"/>
                <w:w w:val="98"/>
              </w:rPr>
              <w:t>(thousands)</w:t>
            </w:r>
          </w:p>
        </w:tc>
      </w:tr>
      <w:tr>
        <w:trPr>
          <w:trHeight w:val="203"/>
        </w:trPr>
        <w:tc>
          <w:tcPr>
            <w:tcW w:w="21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2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99"/>
              </w:rPr>
              <w:t>Resolved</w:t>
            </w:r>
          </w:p>
        </w:tc>
        <w:tc>
          <w:tcPr>
            <w:tcW w:w="15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8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99"/>
              </w:rPr>
              <w:t>to Settle or</w:t>
            </w:r>
          </w:p>
        </w:tc>
      </w:tr>
      <w:tr>
        <w:trPr>
          <w:trHeight w:val="225"/>
        </w:trPr>
        <w:tc>
          <w:tcPr>
            <w:tcW w:w="21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8"/>
              </w:rPr>
              <w:t>Resolve</w:t>
            </w:r>
          </w:p>
        </w:tc>
      </w:tr>
      <w:tr>
        <w:trPr>
          <w:trHeight w:val="196"/>
        </w:trPr>
        <w:tc>
          <w:tcPr>
            <w:tcW w:w="210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2005</w:t>
            </w:r>
          </w:p>
        </w:tc>
        <w:tc>
          <w:tcPr>
            <w:tcW w:w="196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9,985</w:t>
            </w:r>
          </w:p>
        </w:tc>
        <w:tc>
          <w:tcPr>
            <w:tcW w:w="152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642</w:t>
            </w:r>
          </w:p>
        </w:tc>
        <w:tc>
          <w:tcPr>
            <w:tcW w:w="158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223</w:t>
            </w:r>
          </w:p>
        </w:tc>
        <w:tc>
          <w:tcPr>
            <w:tcW w:w="152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9,566</w:t>
            </w:r>
          </w:p>
        </w:tc>
        <w:tc>
          <w:tcPr>
            <w:tcW w:w="158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 -</w:t>
            </w:r>
          </w:p>
        </w:tc>
      </w:tr>
      <w:tr>
        <w:trPr>
          <w:trHeight w:val="196"/>
        </w:trPr>
        <w:tc>
          <w:tcPr>
            <w:tcW w:w="210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2006</w:t>
            </w:r>
          </w:p>
        </w:tc>
        <w:tc>
          <w:tcPr>
            <w:tcW w:w="196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9,566</w:t>
            </w:r>
          </w:p>
        </w:tc>
        <w:tc>
          <w:tcPr>
            <w:tcW w:w="152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1,182</w:t>
            </w:r>
          </w:p>
        </w:tc>
        <w:tc>
          <w:tcPr>
            <w:tcW w:w="158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730</w:t>
            </w:r>
          </w:p>
        </w:tc>
        <w:tc>
          <w:tcPr>
            <w:tcW w:w="152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9,114</w:t>
            </w:r>
          </w:p>
        </w:tc>
        <w:tc>
          <w:tcPr>
            <w:tcW w:w="158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w:t>
            </w:r>
          </w:p>
        </w:tc>
      </w:tr>
      <w:tr>
        <w:trPr>
          <w:trHeight w:val="196"/>
        </w:trPr>
        <w:tc>
          <w:tcPr>
            <w:tcW w:w="210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2007</w:t>
            </w:r>
          </w:p>
        </w:tc>
        <w:tc>
          <w:tcPr>
            <w:tcW w:w="196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9,114</w:t>
            </w:r>
          </w:p>
        </w:tc>
        <w:tc>
          <w:tcPr>
            <w:tcW w:w="152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462</w:t>
            </w:r>
          </w:p>
        </w:tc>
        <w:tc>
          <w:tcPr>
            <w:tcW w:w="158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88</w:t>
            </w:r>
          </w:p>
        </w:tc>
        <w:tc>
          <w:tcPr>
            <w:tcW w:w="152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8,740</w:t>
            </w:r>
          </w:p>
        </w:tc>
        <w:tc>
          <w:tcPr>
            <w:tcW w:w="158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w:t>
            </w:r>
          </w:p>
        </w:tc>
      </w:tr>
      <w:tr>
        <w:trPr>
          <w:trHeight w:val="196"/>
        </w:trPr>
        <w:tc>
          <w:tcPr>
            <w:tcW w:w="210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2008</w:t>
            </w:r>
          </w:p>
        </w:tc>
        <w:tc>
          <w:tcPr>
            <w:tcW w:w="196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8,740</w:t>
            </w:r>
          </w:p>
        </w:tc>
        <w:tc>
          <w:tcPr>
            <w:tcW w:w="152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86</w:t>
            </w:r>
          </w:p>
        </w:tc>
        <w:tc>
          <w:tcPr>
            <w:tcW w:w="158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10</w:t>
            </w:r>
          </w:p>
        </w:tc>
        <w:tc>
          <w:tcPr>
            <w:tcW w:w="152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8,664</w:t>
            </w:r>
          </w:p>
        </w:tc>
        <w:tc>
          <w:tcPr>
            <w:tcW w:w="158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w:t>
            </w:r>
          </w:p>
        </w:tc>
      </w:tr>
      <w:tr>
        <w:trPr>
          <w:trHeight w:val="196"/>
        </w:trPr>
        <w:tc>
          <w:tcPr>
            <w:tcW w:w="210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2009</w:t>
            </w:r>
          </w:p>
        </w:tc>
        <w:tc>
          <w:tcPr>
            <w:tcW w:w="196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8,664</w:t>
            </w:r>
          </w:p>
        </w:tc>
        <w:tc>
          <w:tcPr>
            <w:tcW w:w="152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760</w:t>
            </w:r>
          </w:p>
        </w:tc>
        <w:tc>
          <w:tcPr>
            <w:tcW w:w="158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3</w:t>
            </w:r>
          </w:p>
        </w:tc>
        <w:tc>
          <w:tcPr>
            <w:tcW w:w="152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7,907</w:t>
            </w:r>
          </w:p>
        </w:tc>
        <w:tc>
          <w:tcPr>
            <w:tcW w:w="158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w:t>
            </w:r>
          </w:p>
        </w:tc>
      </w:tr>
      <w:tr>
        <w:trPr>
          <w:trHeight w:val="196"/>
        </w:trPr>
        <w:tc>
          <w:tcPr>
            <w:tcW w:w="210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2010</w:t>
            </w:r>
          </w:p>
        </w:tc>
        <w:tc>
          <w:tcPr>
            <w:tcW w:w="196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7,907</w:t>
            </w:r>
          </w:p>
        </w:tc>
        <w:tc>
          <w:tcPr>
            <w:tcW w:w="152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47</w:t>
            </w:r>
          </w:p>
        </w:tc>
        <w:tc>
          <w:tcPr>
            <w:tcW w:w="158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9</w:t>
            </w:r>
          </w:p>
        </w:tc>
        <w:tc>
          <w:tcPr>
            <w:tcW w:w="152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7,869</w:t>
            </w:r>
          </w:p>
        </w:tc>
        <w:tc>
          <w:tcPr>
            <w:tcW w:w="158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w:t>
            </w:r>
          </w:p>
        </w:tc>
      </w:tr>
      <w:tr>
        <w:trPr>
          <w:trHeight w:val="196"/>
        </w:trPr>
        <w:tc>
          <w:tcPr>
            <w:tcW w:w="210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2011</w:t>
            </w:r>
          </w:p>
        </w:tc>
        <w:tc>
          <w:tcPr>
            <w:tcW w:w="196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7,869</w:t>
            </w:r>
          </w:p>
        </w:tc>
        <w:tc>
          <w:tcPr>
            <w:tcW w:w="152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3</w:t>
            </w:r>
          </w:p>
        </w:tc>
        <w:tc>
          <w:tcPr>
            <w:tcW w:w="158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11</w:t>
            </w:r>
          </w:p>
        </w:tc>
        <w:tc>
          <w:tcPr>
            <w:tcW w:w="152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7,877</w:t>
            </w:r>
          </w:p>
        </w:tc>
        <w:tc>
          <w:tcPr>
            <w:tcW w:w="158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w:t>
            </w:r>
          </w:p>
        </w:tc>
      </w:tr>
      <w:tr>
        <w:trPr>
          <w:trHeight w:val="196"/>
        </w:trPr>
        <w:tc>
          <w:tcPr>
            <w:tcW w:w="210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2012</w:t>
            </w:r>
          </w:p>
        </w:tc>
        <w:tc>
          <w:tcPr>
            <w:tcW w:w="196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7,877</w:t>
            </w:r>
          </w:p>
        </w:tc>
        <w:tc>
          <w:tcPr>
            <w:tcW w:w="152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12</w:t>
            </w:r>
          </w:p>
        </w:tc>
        <w:tc>
          <w:tcPr>
            <w:tcW w:w="158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2</w:t>
            </w:r>
          </w:p>
        </w:tc>
        <w:tc>
          <w:tcPr>
            <w:tcW w:w="152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7,867</w:t>
            </w:r>
          </w:p>
        </w:tc>
        <w:tc>
          <w:tcPr>
            <w:tcW w:w="158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w:t>
            </w:r>
          </w:p>
        </w:tc>
      </w:tr>
      <w:tr>
        <w:trPr>
          <w:trHeight w:val="173"/>
        </w:trPr>
        <w:tc>
          <w:tcPr>
            <w:tcW w:w="2100" w:type="dxa"/>
            <w:vAlign w:val="bottom"/>
          </w:tcPr>
          <w:p>
            <w:pPr>
              <w:ind w:left="60"/>
              <w:spacing w:after="0" w:line="173" w:lineRule="exact"/>
              <w:rPr>
                <w:sz w:val="20"/>
                <w:szCs w:val="20"/>
                <w:color w:val="auto"/>
              </w:rPr>
            </w:pPr>
            <w:r>
              <w:rPr>
                <w:rFonts w:ascii="Arial" w:cs="Arial" w:eastAsia="Arial" w:hAnsi="Arial"/>
                <w:sz w:val="18"/>
                <w:szCs w:val="18"/>
                <w:b w:val="1"/>
                <w:bCs w:val="1"/>
                <w:color w:val="auto"/>
              </w:rPr>
              <w:t>2013 as of</w:t>
            </w:r>
          </w:p>
        </w:tc>
        <w:tc>
          <w:tcPr>
            <w:tcW w:w="19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225"/>
        </w:trPr>
        <w:tc>
          <w:tcPr>
            <w:tcW w:w="21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January 31, 2014</w:t>
            </w:r>
          </w:p>
        </w:tc>
        <w:tc>
          <w:tcPr>
            <w:tcW w:w="1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7,867</w:t>
            </w:r>
          </w:p>
        </w:tc>
        <w:tc>
          <w:tcPr>
            <w:tcW w:w="15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55</w:t>
            </w:r>
          </w:p>
        </w:tc>
        <w:tc>
          <w:tcPr>
            <w:tcW w:w="15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3</w:t>
            </w:r>
          </w:p>
        </w:tc>
        <w:tc>
          <w:tcPr>
            <w:tcW w:w="15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7,815</w:t>
            </w:r>
          </w:p>
        </w:tc>
        <w:tc>
          <w:tcPr>
            <w:tcW w:w="15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 -</w:t>
            </w:r>
          </w:p>
        </w:tc>
      </w:tr>
    </w:tbl>
    <w:p>
      <w:pPr>
        <w:spacing w:after="0" w:line="377" w:lineRule="exact"/>
        <w:rPr>
          <w:sz w:val="20"/>
          <w:szCs w:val="20"/>
          <w:color w:val="auto"/>
        </w:rPr>
      </w:pPr>
    </w:p>
    <w:p>
      <w:pPr>
        <w:ind w:right="40" w:firstLine="648"/>
        <w:spacing w:after="0" w:line="236" w:lineRule="auto"/>
        <w:rPr>
          <w:sz w:val="20"/>
          <w:szCs w:val="20"/>
          <w:color w:val="auto"/>
        </w:rPr>
      </w:pPr>
      <w:r>
        <w:rPr>
          <w:rFonts w:ascii="Arial" w:cs="Arial" w:eastAsia="Arial" w:hAnsi="Arial"/>
          <w:sz w:val="18"/>
          <w:szCs w:val="18"/>
          <w:color w:val="auto"/>
        </w:rPr>
        <w:t>We acquired Geschmay Corp., formerly known as Wangner Systems Corporation, in 1999. Brandon is a wholly owned subsidiary of Geschmay Corp. In 1978, Brandon acquired certain assets from Abney Mills (“Abney”), a South Carolina textile manufacturer. Among the assets acquired by Brandon from Abney were assets of Abney’s wholly owned subsidiary, Brandon Sales, Inc. which had sold, among other things, dryer fabrics containing asbestos made by its parent, Abney. Although Brandon manufactured and sold dryer fabrics under its own name subsequent to the asset purchase, none of such fabrics contained asbestos. Because Brandon did not manufacture asbestos-containing products, and because it does not believe that it was the legal successor to, or otherwise responsible for obligations of Abney with respect to products manufactured by Abney, it believes it has strong defenses to the claims that have been asserted against it. As of January 31, 2014, Brandon has resolved, by means of settlement or dismissal, 9,788 claims for a total of $0.2 million. Brandon’s insurance carriers initially agreed to pay 88.2% of the total indemnification and defense costs related to these proceedings, subject to the standard reservation of rights. The remaining 11.8% of the costs had been borne directly by Brandon. During 2004, Brandon’s insurance carriers agreed to cover 100% of indemnification and defense costs, subject to policy limits and the standard reservation of rights, and to reimburse Brandon for all indemnity and defense costs paid directly by Brandon related to these proceedings.</w:t>
      </w:r>
    </w:p>
    <w:p>
      <w:pPr>
        <w:spacing w:after="0" w:line="164" w:lineRule="exact"/>
        <w:rPr>
          <w:sz w:val="20"/>
          <w:szCs w:val="20"/>
          <w:color w:val="auto"/>
        </w:rPr>
      </w:pPr>
    </w:p>
    <w:p>
      <w:pPr>
        <w:ind w:right="300" w:firstLine="648"/>
        <w:spacing w:after="0"/>
        <w:rPr>
          <w:sz w:val="20"/>
          <w:szCs w:val="20"/>
          <w:color w:val="auto"/>
        </w:rPr>
      </w:pPr>
      <w:r>
        <w:rPr>
          <w:rFonts w:ascii="Arial" w:cs="Arial" w:eastAsia="Arial" w:hAnsi="Arial"/>
          <w:sz w:val="18"/>
          <w:szCs w:val="18"/>
          <w:color w:val="auto"/>
        </w:rPr>
        <w:t>For the same reasons set forth above with respect to Albany’s claims, as well as the fact that no amounts have been paid to resolve any Brandon claims since 2001, we do not believe a meaningful estimate can be made regarding the range of possible loss with respect to these remaining claims.</w:t>
      </w:r>
    </w:p>
    <w:p>
      <w:pPr>
        <w:spacing w:after="0" w:line="176" w:lineRule="exact"/>
        <w:rPr>
          <w:sz w:val="20"/>
          <w:szCs w:val="20"/>
          <w:color w:val="auto"/>
        </w:rPr>
      </w:pPr>
    </w:p>
    <w:p>
      <w:pPr>
        <w:ind w:right="80" w:firstLine="648"/>
        <w:spacing w:after="0" w:line="237" w:lineRule="auto"/>
        <w:rPr>
          <w:sz w:val="20"/>
          <w:szCs w:val="20"/>
          <w:color w:val="auto"/>
        </w:rPr>
      </w:pPr>
      <w:r>
        <w:rPr>
          <w:rFonts w:ascii="Arial" w:cs="Arial" w:eastAsia="Arial" w:hAnsi="Arial"/>
          <w:sz w:val="18"/>
          <w:szCs w:val="18"/>
          <w:color w:val="auto"/>
        </w:rPr>
        <w:t>In some of these asbestos cases, the Company is named both as a direct defendant and as the “successor in interest” to Mount Vernon Mills (“Mount Vernon”). We acquired certain assets from Mount Vernon in 1993. Certain plaintiffs allege injury caused by asbestos-containing products alleged to have been sold by Mount Vernon many years prior to this acquisition. Mount Vernon is contractually obligated to indemnify the Company against any liability arising out of such products. We deny any liability for products sold by Mount Vernon prior to the acquisition of the Mount Vernon assets. Pursuant to its contractual indemnification obligations, Mount Vernon has assumed the defense of these claims. On this basis, we have successfully moved for dismissal in a number of actions.</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85" w:name="page86"/>
    <w:bookmarkEnd w:id="85"/>
    <w:p>
      <w:pPr>
        <w:ind w:right="60" w:firstLine="648"/>
        <w:spacing w:after="0" w:line="238" w:lineRule="auto"/>
        <w:rPr>
          <w:sz w:val="20"/>
          <w:szCs w:val="20"/>
          <w:color w:val="auto"/>
        </w:rPr>
      </w:pPr>
      <w:r>
        <w:rPr>
          <w:rFonts w:ascii="Arial" w:cs="Arial" w:eastAsia="Arial" w:hAnsi="Arial"/>
          <w:sz w:val="18"/>
          <w:szCs w:val="18"/>
          <w:color w:val="auto"/>
        </w:rPr>
        <w:t>Although we do not believe, based on currently available information and for the reasons stated above, that a meaningful estimate of a range of possible loss can be made with respect to such claims, based on our understanding of the insurance policies available, how settlement amounts have been allocated to various policies, our settlement experience, the absence of any judgments against the Company or Brandon, the ratio of paper mill claims to total claims filed, and the defenses available, we currently do not anticipate any material liability relating to the resolution of the aforementioned pending proceedings in excess of existing insurance limits.</w:t>
      </w:r>
    </w:p>
    <w:p>
      <w:pPr>
        <w:spacing w:after="0" w:line="162" w:lineRule="exact"/>
        <w:rPr>
          <w:sz w:val="20"/>
          <w:szCs w:val="20"/>
          <w:color w:val="auto"/>
        </w:rPr>
      </w:pPr>
    </w:p>
    <w:p>
      <w:pPr>
        <w:ind w:right="80" w:firstLine="648"/>
        <w:spacing w:after="0" w:line="237" w:lineRule="auto"/>
        <w:rPr>
          <w:sz w:val="20"/>
          <w:szCs w:val="20"/>
          <w:color w:val="auto"/>
        </w:rPr>
      </w:pPr>
      <w:r>
        <w:rPr>
          <w:rFonts w:ascii="Arial" w:cs="Arial" w:eastAsia="Arial" w:hAnsi="Arial"/>
          <w:sz w:val="18"/>
          <w:szCs w:val="18"/>
          <w:color w:val="auto"/>
        </w:rPr>
        <w:t>Consequently, we currently do not anticipate, based on currently available information, that the ultimate resolution of the aforementioned proceedings will have a material adverse effect on the financial position, results of operations, or cash flows of the Company. Although we cannot predict the number and timing of future claims, based on the foregoing factors and the trends in claims against us to date, we do not anticipate that additional claims likely to be filed against us in the future will have a material adverse effect on our financial position, results of operations, or cash flows. We are aware that litigation is inherently uncertain, especially when the outcome is dependent primarily on determinations of factual matters to be made by juries.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Translation Adjustments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Consolidated Statements of Cash Flows were affected by translation as follows:</w:t>
      </w:r>
    </w:p>
    <w:p>
      <w:pPr>
        <w:spacing w:after="0" w:line="152"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6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rPr>
              <w:t>(in thousands)</w:t>
            </w:r>
          </w:p>
        </w:tc>
        <w:tc>
          <w:tcPr>
            <w:tcW w:w="230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2013</w:t>
            </w:r>
          </w:p>
        </w:tc>
        <w:tc>
          <w:tcPr>
            <w:tcW w:w="182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2012</w:t>
            </w:r>
          </w:p>
        </w:tc>
        <w:tc>
          <w:tcPr>
            <w:tcW w:w="13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2011</w:t>
            </w:r>
          </w:p>
        </w:tc>
      </w:tr>
      <w:tr>
        <w:trPr>
          <w:trHeight w:val="376"/>
        </w:trPr>
        <w:tc>
          <w:tcPr>
            <w:tcW w:w="4680" w:type="dxa"/>
            <w:vAlign w:val="bottom"/>
          </w:tcPr>
          <w:p>
            <w:pPr>
              <w:ind w:left="80"/>
              <w:spacing w:after="0"/>
              <w:rPr>
                <w:sz w:val="20"/>
                <w:szCs w:val="20"/>
                <w:color w:val="auto"/>
              </w:rPr>
            </w:pPr>
            <w:r>
              <w:rPr>
                <w:rFonts w:ascii="Arial" w:cs="Arial" w:eastAsia="Arial" w:hAnsi="Arial"/>
                <w:sz w:val="18"/>
                <w:szCs w:val="18"/>
                <w:color w:val="auto"/>
              </w:rPr>
              <w:t>Change in cumulative translation adjustments</w:t>
            </w:r>
          </w:p>
        </w:tc>
        <w:tc>
          <w:tcPr>
            <w:tcW w:w="2300" w:type="dxa"/>
            <w:vAlign w:val="bottom"/>
          </w:tcPr>
          <w:p>
            <w:pPr>
              <w:jc w:val="right"/>
              <w:ind w:right="470"/>
              <w:spacing w:after="0"/>
              <w:rPr>
                <w:sz w:val="20"/>
                <w:szCs w:val="20"/>
                <w:color w:val="auto"/>
              </w:rPr>
            </w:pPr>
            <w:r>
              <w:rPr>
                <w:rFonts w:ascii="Arial" w:cs="Arial" w:eastAsia="Arial" w:hAnsi="Arial"/>
                <w:sz w:val="18"/>
                <w:szCs w:val="18"/>
                <w:b w:val="1"/>
                <w:bCs w:val="1"/>
                <w:color w:val="auto"/>
              </w:rPr>
              <w:t>$7,521</w:t>
            </w:r>
          </w:p>
        </w:tc>
        <w:tc>
          <w:tcPr>
            <w:tcW w:w="1820" w:type="dxa"/>
            <w:vAlign w:val="bottom"/>
          </w:tcPr>
          <w:p>
            <w:pPr>
              <w:jc w:val="right"/>
              <w:ind w:right="470"/>
              <w:spacing w:after="0"/>
              <w:rPr>
                <w:sz w:val="20"/>
                <w:szCs w:val="20"/>
                <w:color w:val="auto"/>
              </w:rPr>
            </w:pPr>
            <w:r>
              <w:rPr>
                <w:rFonts w:ascii="Arial" w:cs="Arial" w:eastAsia="Arial" w:hAnsi="Arial"/>
                <w:sz w:val="18"/>
                <w:szCs w:val="18"/>
                <w:color w:val="auto"/>
              </w:rPr>
              <w:t>$18,287</w:t>
            </w:r>
          </w:p>
        </w:tc>
        <w:tc>
          <w:tcPr>
            <w:tcW w:w="1360" w:type="dxa"/>
            <w:vAlign w:val="bottom"/>
          </w:tcPr>
          <w:p>
            <w:pPr>
              <w:jc w:val="right"/>
              <w:spacing w:after="0"/>
              <w:rPr>
                <w:sz w:val="20"/>
                <w:szCs w:val="20"/>
                <w:color w:val="auto"/>
              </w:rPr>
            </w:pPr>
            <w:r>
              <w:rPr>
                <w:rFonts w:ascii="Arial" w:cs="Arial" w:eastAsia="Arial" w:hAnsi="Arial"/>
                <w:sz w:val="18"/>
                <w:szCs w:val="18"/>
                <w:color w:val="auto"/>
              </w:rPr>
              <w:t>($13,070)</w:t>
            </w:r>
          </w:p>
        </w:tc>
      </w:tr>
      <w:tr>
        <w:trPr>
          <w:trHeight w:val="203"/>
        </w:trPr>
        <w:tc>
          <w:tcPr>
            <w:tcW w:w="4680" w:type="dxa"/>
            <w:vAlign w:val="bottom"/>
          </w:tcPr>
          <w:p>
            <w:pPr>
              <w:ind w:left="80"/>
              <w:spacing w:after="0" w:line="202" w:lineRule="exact"/>
              <w:rPr>
                <w:sz w:val="20"/>
                <w:szCs w:val="20"/>
                <w:color w:val="auto"/>
              </w:rPr>
            </w:pPr>
            <w:r>
              <w:rPr>
                <w:rFonts w:ascii="Arial" w:cs="Arial" w:eastAsia="Arial" w:hAnsi="Arial"/>
                <w:sz w:val="18"/>
                <w:szCs w:val="18"/>
                <w:color w:val="auto"/>
              </w:rPr>
              <w:t>Accounts receivable</w:t>
            </w:r>
          </w:p>
        </w:tc>
        <w:tc>
          <w:tcPr>
            <w:tcW w:w="2300" w:type="dxa"/>
            <w:vAlign w:val="bottom"/>
          </w:tcPr>
          <w:p>
            <w:pPr>
              <w:jc w:val="right"/>
              <w:ind w:right="470"/>
              <w:spacing w:after="0" w:line="202" w:lineRule="exact"/>
              <w:rPr>
                <w:sz w:val="20"/>
                <w:szCs w:val="20"/>
                <w:color w:val="auto"/>
              </w:rPr>
            </w:pPr>
            <w:r>
              <w:rPr>
                <w:rFonts w:ascii="Arial" w:cs="Arial" w:eastAsia="Arial" w:hAnsi="Arial"/>
                <w:sz w:val="18"/>
                <w:szCs w:val="18"/>
                <w:b w:val="1"/>
                <w:bCs w:val="1"/>
                <w:color w:val="auto"/>
              </w:rPr>
              <w:t>69</w:t>
            </w:r>
          </w:p>
        </w:tc>
        <w:tc>
          <w:tcPr>
            <w:tcW w:w="182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(1,119)</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4,284</w:t>
            </w:r>
          </w:p>
        </w:tc>
      </w:tr>
      <w:tr>
        <w:trPr>
          <w:trHeight w:val="203"/>
        </w:trPr>
        <w:tc>
          <w:tcPr>
            <w:tcW w:w="4680" w:type="dxa"/>
            <w:vAlign w:val="bottom"/>
          </w:tcPr>
          <w:p>
            <w:pPr>
              <w:ind w:left="80"/>
              <w:spacing w:after="0" w:line="202" w:lineRule="exact"/>
              <w:rPr>
                <w:sz w:val="20"/>
                <w:szCs w:val="20"/>
                <w:color w:val="auto"/>
              </w:rPr>
            </w:pPr>
            <w:r>
              <w:rPr>
                <w:rFonts w:ascii="Arial" w:cs="Arial" w:eastAsia="Arial" w:hAnsi="Arial"/>
                <w:sz w:val="18"/>
                <w:szCs w:val="18"/>
                <w:color w:val="auto"/>
              </w:rPr>
              <w:t>Inventories</w:t>
            </w:r>
          </w:p>
        </w:tc>
        <w:tc>
          <w:tcPr>
            <w:tcW w:w="2300" w:type="dxa"/>
            <w:vAlign w:val="bottom"/>
          </w:tcPr>
          <w:p>
            <w:pPr>
              <w:jc w:val="right"/>
              <w:ind w:right="470"/>
              <w:spacing w:after="0" w:line="202" w:lineRule="exact"/>
              <w:rPr>
                <w:sz w:val="20"/>
                <w:szCs w:val="20"/>
                <w:color w:val="auto"/>
              </w:rPr>
            </w:pPr>
            <w:r>
              <w:rPr>
                <w:rFonts w:ascii="Arial" w:cs="Arial" w:eastAsia="Arial" w:hAnsi="Arial"/>
                <w:sz w:val="18"/>
                <w:szCs w:val="18"/>
                <w:b w:val="1"/>
                <w:bCs w:val="1"/>
                <w:color w:val="auto"/>
              </w:rPr>
              <w:t>705</w:t>
            </w:r>
          </w:p>
        </w:tc>
        <w:tc>
          <w:tcPr>
            <w:tcW w:w="182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(779)</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2,756</w:t>
            </w:r>
          </w:p>
        </w:tc>
      </w:tr>
      <w:tr>
        <w:trPr>
          <w:trHeight w:val="203"/>
        </w:trPr>
        <w:tc>
          <w:tcPr>
            <w:tcW w:w="4680" w:type="dxa"/>
            <w:vAlign w:val="bottom"/>
          </w:tcPr>
          <w:p>
            <w:pPr>
              <w:ind w:left="80"/>
              <w:spacing w:after="0" w:line="202" w:lineRule="exact"/>
              <w:rPr>
                <w:sz w:val="20"/>
                <w:szCs w:val="20"/>
                <w:color w:val="auto"/>
              </w:rPr>
            </w:pPr>
            <w:r>
              <w:rPr>
                <w:rFonts w:ascii="Arial" w:cs="Arial" w:eastAsia="Arial" w:hAnsi="Arial"/>
                <w:sz w:val="18"/>
                <w:szCs w:val="18"/>
                <w:color w:val="auto"/>
              </w:rPr>
              <w:t>Property, plant and equipment, net</w:t>
            </w:r>
          </w:p>
        </w:tc>
        <w:tc>
          <w:tcPr>
            <w:tcW w:w="2300" w:type="dxa"/>
            <w:vAlign w:val="bottom"/>
          </w:tcPr>
          <w:p>
            <w:pPr>
              <w:jc w:val="right"/>
              <w:ind w:right="410"/>
              <w:spacing w:after="0" w:line="202" w:lineRule="exact"/>
              <w:rPr>
                <w:sz w:val="20"/>
                <w:szCs w:val="20"/>
                <w:color w:val="auto"/>
              </w:rPr>
            </w:pPr>
            <w:r>
              <w:rPr>
                <w:rFonts w:ascii="Arial" w:cs="Arial" w:eastAsia="Arial" w:hAnsi="Arial"/>
                <w:sz w:val="18"/>
                <w:szCs w:val="18"/>
                <w:b w:val="1"/>
                <w:bCs w:val="1"/>
                <w:color w:val="auto"/>
              </w:rPr>
              <w:t>(625)</w:t>
            </w:r>
          </w:p>
        </w:tc>
        <w:tc>
          <w:tcPr>
            <w:tcW w:w="182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(7,859)</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2,789</w:t>
            </w:r>
          </w:p>
        </w:tc>
      </w:tr>
      <w:tr>
        <w:trPr>
          <w:trHeight w:val="203"/>
        </w:trPr>
        <w:tc>
          <w:tcPr>
            <w:tcW w:w="4680" w:type="dxa"/>
            <w:vAlign w:val="bottom"/>
          </w:tcPr>
          <w:p>
            <w:pPr>
              <w:ind w:left="80"/>
              <w:spacing w:after="0" w:line="202" w:lineRule="exact"/>
              <w:rPr>
                <w:sz w:val="20"/>
                <w:szCs w:val="20"/>
                <w:color w:val="auto"/>
              </w:rPr>
            </w:pPr>
            <w:r>
              <w:rPr>
                <w:rFonts w:ascii="Arial" w:cs="Arial" w:eastAsia="Arial" w:hAnsi="Arial"/>
                <w:sz w:val="18"/>
                <w:szCs w:val="18"/>
                <w:color w:val="auto"/>
              </w:rPr>
              <w:t>Goodwill and intangibles</w:t>
            </w:r>
          </w:p>
        </w:tc>
        <w:tc>
          <w:tcPr>
            <w:tcW w:w="2300" w:type="dxa"/>
            <w:vAlign w:val="bottom"/>
          </w:tcPr>
          <w:p>
            <w:pPr>
              <w:jc w:val="right"/>
              <w:ind w:right="410"/>
              <w:spacing w:after="0" w:line="202" w:lineRule="exact"/>
              <w:rPr>
                <w:sz w:val="20"/>
                <w:szCs w:val="20"/>
                <w:color w:val="auto"/>
              </w:rPr>
            </w:pPr>
            <w:r>
              <w:rPr>
                <w:rFonts w:ascii="Arial" w:cs="Arial" w:eastAsia="Arial" w:hAnsi="Arial"/>
                <w:sz w:val="18"/>
                <w:szCs w:val="18"/>
                <w:b w:val="1"/>
                <w:bCs w:val="1"/>
                <w:color w:val="auto"/>
              </w:rPr>
              <w:t>(2,368)</w:t>
            </w:r>
          </w:p>
        </w:tc>
        <w:tc>
          <w:tcPr>
            <w:tcW w:w="182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(1,053)</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2,449</w:t>
            </w:r>
          </w:p>
        </w:tc>
      </w:tr>
      <w:tr>
        <w:trPr>
          <w:trHeight w:val="203"/>
        </w:trPr>
        <w:tc>
          <w:tcPr>
            <w:tcW w:w="4680" w:type="dxa"/>
            <w:vAlign w:val="bottom"/>
          </w:tcPr>
          <w:p>
            <w:pPr>
              <w:ind w:left="80"/>
              <w:spacing w:after="0" w:line="202" w:lineRule="exact"/>
              <w:rPr>
                <w:sz w:val="20"/>
                <w:szCs w:val="20"/>
                <w:color w:val="auto"/>
              </w:rPr>
            </w:pPr>
            <w:r>
              <w:rPr>
                <w:rFonts w:ascii="Arial" w:cs="Arial" w:eastAsia="Arial" w:hAnsi="Arial"/>
                <w:sz w:val="18"/>
                <w:szCs w:val="18"/>
                <w:color w:val="auto"/>
              </w:rPr>
              <w:t>Deferred taxes</w:t>
            </w:r>
          </w:p>
        </w:tc>
        <w:tc>
          <w:tcPr>
            <w:tcW w:w="2300" w:type="dxa"/>
            <w:vAlign w:val="bottom"/>
          </w:tcPr>
          <w:p>
            <w:pPr>
              <w:jc w:val="right"/>
              <w:ind w:right="410"/>
              <w:spacing w:after="0" w:line="202" w:lineRule="exact"/>
              <w:rPr>
                <w:sz w:val="20"/>
                <w:szCs w:val="20"/>
                <w:color w:val="auto"/>
              </w:rPr>
            </w:pPr>
            <w:r>
              <w:rPr>
                <w:rFonts w:ascii="Arial" w:cs="Arial" w:eastAsia="Arial" w:hAnsi="Arial"/>
                <w:sz w:val="18"/>
                <w:szCs w:val="18"/>
                <w:b w:val="1"/>
                <w:bCs w:val="1"/>
                <w:color w:val="auto"/>
              </w:rPr>
              <w:t>(116)</w:t>
            </w:r>
          </w:p>
        </w:tc>
        <w:tc>
          <w:tcPr>
            <w:tcW w:w="182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(7,895)</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1,204</w:t>
            </w:r>
          </w:p>
        </w:tc>
      </w:tr>
      <w:tr>
        <w:trPr>
          <w:trHeight w:val="216"/>
        </w:trPr>
        <w:tc>
          <w:tcPr>
            <w:tcW w:w="4680" w:type="dxa"/>
            <w:vAlign w:val="bottom"/>
          </w:tcPr>
          <w:p>
            <w:pPr>
              <w:ind w:left="80"/>
              <w:spacing w:after="0"/>
              <w:rPr>
                <w:sz w:val="20"/>
                <w:szCs w:val="20"/>
                <w:color w:val="auto"/>
              </w:rPr>
            </w:pPr>
            <w:r>
              <w:rPr>
                <w:rFonts w:ascii="Arial" w:cs="Arial" w:eastAsia="Arial" w:hAnsi="Arial"/>
                <w:sz w:val="18"/>
                <w:szCs w:val="18"/>
                <w:color w:val="auto"/>
              </w:rPr>
              <w:t>Other noncurrent liabilities</w:t>
            </w:r>
          </w:p>
        </w:tc>
        <w:tc>
          <w:tcPr>
            <w:tcW w:w="2300" w:type="dxa"/>
            <w:vAlign w:val="bottom"/>
          </w:tcPr>
          <w:p>
            <w:pPr>
              <w:jc w:val="right"/>
              <w:ind w:right="470"/>
              <w:spacing w:after="0"/>
              <w:rPr>
                <w:sz w:val="20"/>
                <w:szCs w:val="20"/>
                <w:color w:val="auto"/>
              </w:rPr>
            </w:pPr>
            <w:r>
              <w:rPr>
                <w:rFonts w:ascii="Arial" w:cs="Arial" w:eastAsia="Arial" w:hAnsi="Arial"/>
                <w:sz w:val="18"/>
                <w:szCs w:val="18"/>
                <w:b w:val="1"/>
                <w:bCs w:val="1"/>
                <w:color w:val="auto"/>
              </w:rPr>
              <w:t>952</w:t>
            </w:r>
          </w:p>
        </w:tc>
        <w:tc>
          <w:tcPr>
            <w:tcW w:w="1820" w:type="dxa"/>
            <w:vAlign w:val="bottom"/>
          </w:tcPr>
          <w:p>
            <w:pPr>
              <w:jc w:val="right"/>
              <w:ind w:right="470"/>
              <w:spacing w:after="0"/>
              <w:rPr>
                <w:sz w:val="20"/>
                <w:szCs w:val="20"/>
                <w:color w:val="auto"/>
              </w:rPr>
            </w:pPr>
            <w:r>
              <w:rPr>
                <w:rFonts w:ascii="Arial" w:cs="Arial" w:eastAsia="Arial" w:hAnsi="Arial"/>
                <w:sz w:val="18"/>
                <w:szCs w:val="18"/>
                <w:color w:val="auto"/>
              </w:rPr>
              <w:t>1,352</w:t>
            </w:r>
          </w:p>
        </w:tc>
        <w:tc>
          <w:tcPr>
            <w:tcW w:w="1360" w:type="dxa"/>
            <w:vAlign w:val="bottom"/>
          </w:tcPr>
          <w:p>
            <w:pPr>
              <w:jc w:val="right"/>
              <w:spacing w:after="0"/>
              <w:rPr>
                <w:sz w:val="20"/>
                <w:szCs w:val="20"/>
                <w:color w:val="auto"/>
              </w:rPr>
            </w:pPr>
            <w:r>
              <w:rPr>
                <w:rFonts w:ascii="Arial" w:cs="Arial" w:eastAsia="Arial" w:hAnsi="Arial"/>
                <w:sz w:val="18"/>
                <w:szCs w:val="18"/>
                <w:color w:val="auto"/>
              </w:rPr>
              <w:t>(1,209)</w:t>
            </w:r>
          </w:p>
        </w:tc>
      </w:tr>
      <w:tr>
        <w:trPr>
          <w:trHeight w:val="225"/>
        </w:trPr>
        <w:tc>
          <w:tcPr>
            <w:tcW w:w="46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Other</w:t>
            </w:r>
          </w:p>
        </w:tc>
        <w:tc>
          <w:tcPr>
            <w:tcW w:w="2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706</w:t>
            </w:r>
          </w:p>
        </w:tc>
        <w:tc>
          <w:tcPr>
            <w:tcW w:w="18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(1,015)</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(2,576)</w:t>
            </w:r>
          </w:p>
        </w:tc>
      </w:tr>
      <w:tr>
        <w:trPr>
          <w:trHeight w:val="210"/>
        </w:trPr>
        <w:tc>
          <w:tcPr>
            <w:tcW w:w="46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Effect of exchange rate changes</w:t>
            </w:r>
          </w:p>
        </w:tc>
        <w:tc>
          <w:tcPr>
            <w:tcW w:w="2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$6,844</w:t>
            </w:r>
          </w:p>
        </w:tc>
        <w:tc>
          <w:tcPr>
            <w:tcW w:w="18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($81)</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($3,373)</w:t>
            </w:r>
          </w:p>
        </w:tc>
      </w:tr>
      <w:tr>
        <w:trPr>
          <w:trHeight w:val="399"/>
        </w:trPr>
        <w:tc>
          <w:tcPr>
            <w:tcW w:w="6980" w:type="dxa"/>
            <w:vAlign w:val="bottom"/>
            <w:gridSpan w:val="2"/>
          </w:tcPr>
          <w:p>
            <w:pPr>
              <w:spacing w:after="0"/>
              <w:rPr>
                <w:sz w:val="20"/>
                <w:szCs w:val="20"/>
                <w:color w:val="auto"/>
              </w:rPr>
            </w:pPr>
            <w:r>
              <w:rPr>
                <w:rFonts w:ascii="Arial" w:cs="Arial" w:eastAsia="Arial" w:hAnsi="Arial"/>
                <w:sz w:val="18"/>
                <w:szCs w:val="18"/>
                <w:color w:val="auto"/>
              </w:rPr>
              <w:t>The change in cumulative translation adjustments includes the following:</w:t>
            </w:r>
          </w:p>
        </w:tc>
        <w:tc>
          <w:tcPr>
            <w:tcW w:w="18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2"/>
        </w:trPr>
        <w:tc>
          <w:tcPr>
            <w:tcW w:w="468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r>
      <w:tr>
        <w:trPr>
          <w:trHeight w:val="210"/>
        </w:trPr>
        <w:tc>
          <w:tcPr>
            <w:tcW w:w="46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(in thousands)</w:t>
            </w:r>
          </w:p>
        </w:tc>
        <w:tc>
          <w:tcPr>
            <w:tcW w:w="230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2013</w:t>
            </w:r>
          </w:p>
        </w:tc>
        <w:tc>
          <w:tcPr>
            <w:tcW w:w="182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2012</w:t>
            </w:r>
          </w:p>
        </w:tc>
        <w:tc>
          <w:tcPr>
            <w:tcW w:w="13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2011</w:t>
            </w:r>
          </w:p>
        </w:tc>
      </w:tr>
      <w:tr>
        <w:trPr>
          <w:trHeight w:val="376"/>
        </w:trPr>
        <w:tc>
          <w:tcPr>
            <w:tcW w:w="4680" w:type="dxa"/>
            <w:vAlign w:val="bottom"/>
          </w:tcPr>
          <w:p>
            <w:pPr>
              <w:ind w:left="80"/>
              <w:spacing w:after="0"/>
              <w:rPr>
                <w:sz w:val="20"/>
                <w:szCs w:val="20"/>
                <w:color w:val="auto"/>
              </w:rPr>
            </w:pPr>
            <w:r>
              <w:rPr>
                <w:rFonts w:ascii="Arial" w:cs="Arial" w:eastAsia="Arial" w:hAnsi="Arial"/>
                <w:sz w:val="18"/>
                <w:szCs w:val="18"/>
                <w:color w:val="auto"/>
              </w:rPr>
              <w:t>Translation of non-U.S. subsidiaries</w:t>
            </w:r>
          </w:p>
        </w:tc>
        <w:tc>
          <w:tcPr>
            <w:tcW w:w="2300" w:type="dxa"/>
            <w:vAlign w:val="bottom"/>
          </w:tcPr>
          <w:p>
            <w:pPr>
              <w:jc w:val="right"/>
              <w:ind w:right="470"/>
              <w:spacing w:after="0"/>
              <w:rPr>
                <w:sz w:val="20"/>
                <w:szCs w:val="20"/>
                <w:color w:val="auto"/>
              </w:rPr>
            </w:pPr>
            <w:r>
              <w:rPr>
                <w:rFonts w:ascii="Arial" w:cs="Arial" w:eastAsia="Arial" w:hAnsi="Arial"/>
                <w:sz w:val="18"/>
                <w:szCs w:val="18"/>
                <w:b w:val="1"/>
                <w:bCs w:val="1"/>
                <w:color w:val="auto"/>
              </w:rPr>
              <w:t>$25,573</w:t>
            </w:r>
          </w:p>
        </w:tc>
        <w:tc>
          <w:tcPr>
            <w:tcW w:w="1820" w:type="dxa"/>
            <w:vAlign w:val="bottom"/>
          </w:tcPr>
          <w:p>
            <w:pPr>
              <w:jc w:val="right"/>
              <w:ind w:right="470"/>
              <w:spacing w:after="0"/>
              <w:rPr>
                <w:sz w:val="20"/>
                <w:szCs w:val="20"/>
                <w:color w:val="auto"/>
              </w:rPr>
            </w:pPr>
            <w:r>
              <w:rPr>
                <w:rFonts w:ascii="Arial" w:cs="Arial" w:eastAsia="Arial" w:hAnsi="Arial"/>
                <w:sz w:val="18"/>
                <w:szCs w:val="18"/>
                <w:color w:val="auto"/>
              </w:rPr>
              <w:t>$16,589</w:t>
            </w:r>
          </w:p>
        </w:tc>
        <w:tc>
          <w:tcPr>
            <w:tcW w:w="1360" w:type="dxa"/>
            <w:vAlign w:val="bottom"/>
          </w:tcPr>
          <w:p>
            <w:pPr>
              <w:jc w:val="right"/>
              <w:spacing w:after="0"/>
              <w:rPr>
                <w:sz w:val="20"/>
                <w:szCs w:val="20"/>
                <w:color w:val="auto"/>
              </w:rPr>
            </w:pPr>
            <w:r>
              <w:rPr>
                <w:rFonts w:ascii="Arial" w:cs="Arial" w:eastAsia="Arial" w:hAnsi="Arial"/>
                <w:sz w:val="18"/>
                <w:szCs w:val="18"/>
                <w:color w:val="auto"/>
              </w:rPr>
              <w:t>($17,061)</w:t>
            </w:r>
          </w:p>
        </w:tc>
      </w:tr>
      <w:tr>
        <w:trPr>
          <w:trHeight w:val="239"/>
        </w:trPr>
        <w:tc>
          <w:tcPr>
            <w:tcW w:w="46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Gain/(loss) on long-term intercompany loans</w:t>
            </w:r>
          </w:p>
        </w:tc>
        <w:tc>
          <w:tcPr>
            <w:tcW w:w="23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(18,052)</w:t>
            </w:r>
          </w:p>
        </w:tc>
        <w:tc>
          <w:tcPr>
            <w:tcW w:w="18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1,698</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3,991</w:t>
            </w:r>
          </w:p>
        </w:tc>
      </w:tr>
      <w:tr>
        <w:trPr>
          <w:trHeight w:val="210"/>
        </w:trPr>
        <w:tc>
          <w:tcPr>
            <w:tcW w:w="46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Effect of exchange rate changes</w:t>
            </w:r>
          </w:p>
        </w:tc>
        <w:tc>
          <w:tcPr>
            <w:tcW w:w="2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$7,521</w:t>
            </w:r>
          </w:p>
        </w:tc>
        <w:tc>
          <w:tcPr>
            <w:tcW w:w="18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$18,287</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($13,070)</w:t>
            </w: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Stock Options and Incentive Plans</w:t>
      </w:r>
    </w:p>
    <w:p>
      <w:pPr>
        <w:spacing w:after="0" w:line="207" w:lineRule="exact"/>
        <w:rPr>
          <w:sz w:val="20"/>
          <w:szCs w:val="20"/>
          <w:color w:val="auto"/>
        </w:rPr>
      </w:pPr>
    </w:p>
    <w:p>
      <w:pPr>
        <w:ind w:right="280" w:firstLine="648"/>
        <w:spacing w:after="0" w:line="246" w:lineRule="auto"/>
        <w:rPr>
          <w:sz w:val="20"/>
          <w:szCs w:val="20"/>
          <w:color w:val="auto"/>
        </w:rPr>
      </w:pPr>
      <w:r>
        <w:rPr>
          <w:rFonts w:ascii="Arial" w:cs="Arial" w:eastAsia="Arial" w:hAnsi="Arial"/>
          <w:sz w:val="18"/>
          <w:szCs w:val="18"/>
          <w:color w:val="auto"/>
        </w:rPr>
        <w:t>We recognized no stock option expense during 2013, 2012 or 2011 and there are currently no remaining unvested options for which stock-option compensation costs will be recognized in future periods.</w:t>
      </w:r>
    </w:p>
    <w:p>
      <w:pPr>
        <w:spacing w:after="0" w:line="156" w:lineRule="exact"/>
        <w:rPr>
          <w:sz w:val="20"/>
          <w:szCs w:val="20"/>
          <w:color w:val="auto"/>
        </w:rPr>
      </w:pPr>
    </w:p>
    <w:p>
      <w:pPr>
        <w:ind w:right="160" w:firstLine="648"/>
        <w:spacing w:after="0" w:line="238" w:lineRule="auto"/>
        <w:rPr>
          <w:sz w:val="20"/>
          <w:szCs w:val="20"/>
          <w:color w:val="auto"/>
        </w:rPr>
      </w:pPr>
      <w:r>
        <w:rPr>
          <w:rFonts w:ascii="Arial" w:cs="Arial" w:eastAsia="Arial" w:hAnsi="Arial"/>
          <w:sz w:val="18"/>
          <w:szCs w:val="18"/>
          <w:color w:val="auto"/>
        </w:rPr>
        <w:t>There have been no stock options granted since November 2002 and we have no stock option plan under which options may be granted. Options issued under previous plans and still outstanding were exercisable in five cumulative annual amounts beginning twelve months after date of grant. Option exercise prices were normally equal to and were not permitted to be less than the market value on the date of grant. Unexercised options generally terminate twenty years after the date of grant for all plans, and must be exercised within ten years of retirement.</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86" w:name="page87"/>
    <w:bookmarkEnd w:id="86"/>
    <w:p>
      <w:pPr>
        <w:ind w:left="660"/>
        <w:spacing w:after="0"/>
        <w:rPr>
          <w:sz w:val="20"/>
          <w:szCs w:val="20"/>
          <w:color w:val="auto"/>
        </w:rPr>
      </w:pPr>
      <w:r>
        <w:rPr>
          <w:rFonts w:ascii="Arial" w:cs="Arial" w:eastAsia="Arial" w:hAnsi="Arial"/>
          <w:sz w:val="18"/>
          <w:szCs w:val="18"/>
          <w:color w:val="auto"/>
        </w:rPr>
        <w:t>Activity with respect to these plans is as follows:</w:t>
      </w:r>
    </w:p>
    <w:p>
      <w:pPr>
        <w:spacing w:after="0" w:line="152"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980" w:type="dxa"/>
            <w:vAlign w:val="bottom"/>
            <w:tcBorders>
              <w:top w:val="single" w:sz="8" w:color="auto"/>
              <w:bottom w:val="single" w:sz="8" w:color="auto"/>
            </w:tcBorders>
          </w:tcPr>
          <w:p>
            <w:pPr>
              <w:spacing w:after="0"/>
              <w:rPr>
                <w:sz w:val="18"/>
                <w:szCs w:val="18"/>
                <w:color w:val="auto"/>
              </w:rPr>
            </w:pPr>
          </w:p>
        </w:tc>
        <w:tc>
          <w:tcPr>
            <w:tcW w:w="220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2013</w:t>
            </w:r>
          </w:p>
        </w:tc>
        <w:tc>
          <w:tcPr>
            <w:tcW w:w="162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2012</w:t>
            </w:r>
          </w:p>
        </w:tc>
        <w:tc>
          <w:tcPr>
            <w:tcW w:w="136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2011</w:t>
            </w:r>
          </w:p>
        </w:tc>
      </w:tr>
      <w:tr>
        <w:trPr>
          <w:trHeight w:val="173"/>
        </w:trPr>
        <w:tc>
          <w:tcPr>
            <w:tcW w:w="4980" w:type="dxa"/>
            <w:vAlign w:val="bottom"/>
          </w:tcPr>
          <w:p>
            <w:pPr>
              <w:ind w:left="80"/>
              <w:spacing w:after="0" w:line="173" w:lineRule="exact"/>
              <w:rPr>
                <w:sz w:val="20"/>
                <w:szCs w:val="20"/>
                <w:color w:val="auto"/>
              </w:rPr>
            </w:pPr>
            <w:r>
              <w:rPr>
                <w:rFonts w:ascii="Arial" w:cs="Arial" w:eastAsia="Arial" w:hAnsi="Arial"/>
                <w:sz w:val="18"/>
                <w:szCs w:val="18"/>
                <w:color w:val="auto"/>
              </w:rPr>
              <w:t>Shares under option January 1</w:t>
            </w:r>
          </w:p>
        </w:tc>
        <w:tc>
          <w:tcPr>
            <w:tcW w:w="2200" w:type="dxa"/>
            <w:vAlign w:val="bottom"/>
          </w:tcPr>
          <w:p>
            <w:pPr>
              <w:jc w:val="right"/>
              <w:ind w:right="270"/>
              <w:spacing w:after="0" w:line="173" w:lineRule="exact"/>
              <w:rPr>
                <w:sz w:val="20"/>
                <w:szCs w:val="20"/>
                <w:color w:val="auto"/>
              </w:rPr>
            </w:pPr>
            <w:r>
              <w:rPr>
                <w:rFonts w:ascii="Arial" w:cs="Arial" w:eastAsia="Arial" w:hAnsi="Arial"/>
                <w:sz w:val="18"/>
                <w:szCs w:val="18"/>
                <w:b w:val="1"/>
                <w:bCs w:val="1"/>
                <w:color w:val="auto"/>
              </w:rPr>
              <w:t>507,313</w:t>
            </w:r>
          </w:p>
        </w:tc>
        <w:tc>
          <w:tcPr>
            <w:tcW w:w="1620" w:type="dxa"/>
            <w:vAlign w:val="bottom"/>
          </w:tcPr>
          <w:p>
            <w:pPr>
              <w:jc w:val="right"/>
              <w:ind w:right="270"/>
              <w:spacing w:after="0" w:line="173" w:lineRule="exact"/>
              <w:rPr>
                <w:sz w:val="20"/>
                <w:szCs w:val="20"/>
                <w:color w:val="auto"/>
              </w:rPr>
            </w:pPr>
            <w:r>
              <w:rPr>
                <w:rFonts w:ascii="Arial" w:cs="Arial" w:eastAsia="Arial" w:hAnsi="Arial"/>
                <w:sz w:val="18"/>
                <w:szCs w:val="18"/>
                <w:color w:val="auto"/>
              </w:rPr>
              <w:t>597,313</w:t>
            </w:r>
          </w:p>
        </w:tc>
        <w:tc>
          <w:tcPr>
            <w:tcW w:w="1360" w:type="dxa"/>
            <w:vAlign w:val="bottom"/>
          </w:tcPr>
          <w:p>
            <w:pPr>
              <w:jc w:val="right"/>
              <w:ind w:right="10"/>
              <w:spacing w:after="0" w:line="173" w:lineRule="exact"/>
              <w:rPr>
                <w:sz w:val="20"/>
                <w:szCs w:val="20"/>
                <w:color w:val="auto"/>
              </w:rPr>
            </w:pPr>
            <w:r>
              <w:rPr>
                <w:rFonts w:ascii="Arial" w:cs="Arial" w:eastAsia="Arial" w:hAnsi="Arial"/>
                <w:sz w:val="18"/>
                <w:szCs w:val="18"/>
                <w:color w:val="auto"/>
              </w:rPr>
              <w:t>639,163</w:t>
            </w:r>
          </w:p>
        </w:tc>
      </w:tr>
      <w:tr>
        <w:trPr>
          <w:trHeight w:val="203"/>
        </w:trPr>
        <w:tc>
          <w:tcPr>
            <w:tcW w:w="4980" w:type="dxa"/>
            <w:vAlign w:val="bottom"/>
          </w:tcPr>
          <w:p>
            <w:pPr>
              <w:ind w:left="80"/>
              <w:spacing w:after="0" w:line="202" w:lineRule="exact"/>
              <w:rPr>
                <w:sz w:val="20"/>
                <w:szCs w:val="20"/>
                <w:color w:val="auto"/>
              </w:rPr>
            </w:pPr>
            <w:r>
              <w:rPr>
                <w:rFonts w:ascii="Arial" w:cs="Arial" w:eastAsia="Arial" w:hAnsi="Arial"/>
                <w:sz w:val="18"/>
                <w:szCs w:val="18"/>
                <w:color w:val="auto"/>
              </w:rPr>
              <w:t>Options canceled</w:t>
            </w:r>
          </w:p>
        </w:tc>
        <w:tc>
          <w:tcPr>
            <w:tcW w:w="2200" w:type="dxa"/>
            <w:vAlign w:val="bottom"/>
          </w:tcPr>
          <w:p>
            <w:pPr>
              <w:jc w:val="right"/>
              <w:ind w:right="270"/>
              <w:spacing w:after="0" w:line="202" w:lineRule="exact"/>
              <w:rPr>
                <w:sz w:val="20"/>
                <w:szCs w:val="20"/>
                <w:color w:val="auto"/>
              </w:rPr>
            </w:pPr>
            <w:r>
              <w:rPr>
                <w:rFonts w:ascii="Arial" w:cs="Arial" w:eastAsia="Arial" w:hAnsi="Arial"/>
                <w:sz w:val="18"/>
                <w:szCs w:val="18"/>
                <w:b w:val="1"/>
                <w:bCs w:val="1"/>
                <w:color w:val="auto"/>
              </w:rPr>
              <w:t>-</w:t>
            </w:r>
          </w:p>
        </w:tc>
        <w:tc>
          <w:tcPr>
            <w:tcW w:w="16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23,300</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400</w:t>
            </w:r>
          </w:p>
        </w:tc>
      </w:tr>
      <w:tr>
        <w:trPr>
          <w:trHeight w:val="225"/>
        </w:trPr>
        <w:tc>
          <w:tcPr>
            <w:tcW w:w="49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Options exercised</w:t>
            </w:r>
          </w:p>
        </w:tc>
        <w:tc>
          <w:tcPr>
            <w:tcW w:w="22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278,780</w:t>
            </w:r>
          </w:p>
        </w:tc>
        <w:tc>
          <w:tcPr>
            <w:tcW w:w="16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66,700</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41,450</w:t>
            </w:r>
          </w:p>
        </w:tc>
      </w:tr>
      <w:tr>
        <w:trPr>
          <w:trHeight w:val="173"/>
        </w:trPr>
        <w:tc>
          <w:tcPr>
            <w:tcW w:w="4980" w:type="dxa"/>
            <w:vAlign w:val="bottom"/>
          </w:tcPr>
          <w:p>
            <w:pPr>
              <w:ind w:left="80"/>
              <w:spacing w:after="0" w:line="173" w:lineRule="exact"/>
              <w:rPr>
                <w:sz w:val="20"/>
                <w:szCs w:val="20"/>
                <w:color w:val="auto"/>
              </w:rPr>
            </w:pPr>
            <w:r>
              <w:rPr>
                <w:rFonts w:ascii="Arial" w:cs="Arial" w:eastAsia="Arial" w:hAnsi="Arial"/>
                <w:sz w:val="18"/>
                <w:szCs w:val="18"/>
                <w:color w:val="auto"/>
              </w:rPr>
              <w:t>Shares under option at December 31</w:t>
            </w:r>
          </w:p>
        </w:tc>
        <w:tc>
          <w:tcPr>
            <w:tcW w:w="2200" w:type="dxa"/>
            <w:vAlign w:val="bottom"/>
          </w:tcPr>
          <w:p>
            <w:pPr>
              <w:jc w:val="right"/>
              <w:ind w:right="270"/>
              <w:spacing w:after="0" w:line="173" w:lineRule="exact"/>
              <w:rPr>
                <w:sz w:val="20"/>
                <w:szCs w:val="20"/>
                <w:color w:val="auto"/>
              </w:rPr>
            </w:pPr>
            <w:r>
              <w:rPr>
                <w:rFonts w:ascii="Arial" w:cs="Arial" w:eastAsia="Arial" w:hAnsi="Arial"/>
                <w:sz w:val="18"/>
                <w:szCs w:val="18"/>
                <w:b w:val="1"/>
                <w:bCs w:val="1"/>
                <w:color w:val="auto"/>
              </w:rPr>
              <w:t>228,533</w:t>
            </w:r>
          </w:p>
        </w:tc>
        <w:tc>
          <w:tcPr>
            <w:tcW w:w="1620" w:type="dxa"/>
            <w:vAlign w:val="bottom"/>
          </w:tcPr>
          <w:p>
            <w:pPr>
              <w:jc w:val="right"/>
              <w:ind w:right="270"/>
              <w:spacing w:after="0" w:line="173" w:lineRule="exact"/>
              <w:rPr>
                <w:sz w:val="20"/>
                <w:szCs w:val="20"/>
                <w:color w:val="auto"/>
              </w:rPr>
            </w:pPr>
            <w:r>
              <w:rPr>
                <w:rFonts w:ascii="Arial" w:cs="Arial" w:eastAsia="Arial" w:hAnsi="Arial"/>
                <w:sz w:val="18"/>
                <w:szCs w:val="18"/>
                <w:color w:val="auto"/>
              </w:rPr>
              <w:t>507,313</w:t>
            </w:r>
          </w:p>
        </w:tc>
        <w:tc>
          <w:tcPr>
            <w:tcW w:w="1360" w:type="dxa"/>
            <w:vAlign w:val="bottom"/>
          </w:tcPr>
          <w:p>
            <w:pPr>
              <w:jc w:val="right"/>
              <w:ind w:right="10"/>
              <w:spacing w:after="0" w:line="173" w:lineRule="exact"/>
              <w:rPr>
                <w:sz w:val="20"/>
                <w:szCs w:val="20"/>
                <w:color w:val="auto"/>
              </w:rPr>
            </w:pPr>
            <w:r>
              <w:rPr>
                <w:rFonts w:ascii="Arial" w:cs="Arial" w:eastAsia="Arial" w:hAnsi="Arial"/>
                <w:sz w:val="18"/>
                <w:szCs w:val="18"/>
                <w:color w:val="auto"/>
              </w:rPr>
              <w:t>597,313</w:t>
            </w:r>
          </w:p>
        </w:tc>
      </w:tr>
      <w:tr>
        <w:trPr>
          <w:trHeight w:val="225"/>
        </w:trPr>
        <w:tc>
          <w:tcPr>
            <w:tcW w:w="49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Options exercisable at December 31</w:t>
            </w:r>
          </w:p>
        </w:tc>
        <w:tc>
          <w:tcPr>
            <w:tcW w:w="22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228,533</w:t>
            </w:r>
          </w:p>
        </w:tc>
        <w:tc>
          <w:tcPr>
            <w:tcW w:w="16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507,313</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597,313</w:t>
            </w:r>
          </w:p>
        </w:tc>
      </w:tr>
      <w:tr>
        <w:trPr>
          <w:trHeight w:val="601"/>
        </w:trPr>
        <w:tc>
          <w:tcPr>
            <w:tcW w:w="4980" w:type="dxa"/>
            <w:vAlign w:val="bottom"/>
          </w:tcPr>
          <w:p>
            <w:pPr>
              <w:spacing w:after="0"/>
              <w:rPr>
                <w:sz w:val="20"/>
                <w:szCs w:val="20"/>
                <w:color w:val="auto"/>
              </w:rPr>
            </w:pPr>
            <w:r>
              <w:rPr>
                <w:rFonts w:ascii="Arial" w:cs="Arial" w:eastAsia="Arial" w:hAnsi="Arial"/>
                <w:sz w:val="18"/>
                <w:szCs w:val="18"/>
                <w:color w:val="auto"/>
              </w:rPr>
              <w:t>The weighted average exercise price is as follows:</w:t>
            </w:r>
          </w:p>
        </w:tc>
        <w:tc>
          <w:tcPr>
            <w:tcW w:w="2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2"/>
        </w:trPr>
        <w:tc>
          <w:tcPr>
            <w:tcW w:w="498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r>
      <w:tr>
        <w:trPr>
          <w:trHeight w:val="196"/>
        </w:trPr>
        <w:tc>
          <w:tcPr>
            <w:tcW w:w="498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tcPr>
          <w:p>
            <w:pPr>
              <w:jc w:val="right"/>
              <w:ind w:right="750"/>
              <w:spacing w:after="0" w:line="196" w:lineRule="exact"/>
              <w:rPr>
                <w:sz w:val="20"/>
                <w:szCs w:val="20"/>
                <w:color w:val="auto"/>
              </w:rPr>
            </w:pPr>
            <w:r>
              <w:rPr>
                <w:rFonts w:ascii="Arial" w:cs="Arial" w:eastAsia="Arial" w:hAnsi="Arial"/>
                <w:sz w:val="18"/>
                <w:szCs w:val="18"/>
                <w:b w:val="1"/>
                <w:bCs w:val="1"/>
                <w:color w:val="auto"/>
              </w:rPr>
              <w:t>2013</w:t>
            </w:r>
          </w:p>
        </w:tc>
        <w:tc>
          <w:tcPr>
            <w:tcW w:w="1620" w:type="dxa"/>
            <w:vAlign w:val="bottom"/>
            <w:tcBorders>
              <w:bottom w:val="single" w:sz="8" w:color="auto"/>
            </w:tcBorders>
          </w:tcPr>
          <w:p>
            <w:pPr>
              <w:jc w:val="right"/>
              <w:ind w:right="790"/>
              <w:spacing w:after="0" w:line="196" w:lineRule="exact"/>
              <w:rPr>
                <w:sz w:val="20"/>
                <w:szCs w:val="20"/>
                <w:color w:val="auto"/>
              </w:rPr>
            </w:pPr>
            <w:r>
              <w:rPr>
                <w:rFonts w:ascii="Arial" w:cs="Arial" w:eastAsia="Arial" w:hAnsi="Arial"/>
                <w:sz w:val="18"/>
                <w:szCs w:val="18"/>
                <w:b w:val="1"/>
                <w:bCs w:val="1"/>
                <w:color w:val="auto"/>
              </w:rPr>
              <w:t>2012</w:t>
            </w:r>
          </w:p>
        </w:tc>
        <w:tc>
          <w:tcPr>
            <w:tcW w:w="136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b w:val="1"/>
                <w:bCs w:val="1"/>
                <w:color w:val="auto"/>
              </w:rPr>
              <w:t>2011</w:t>
            </w:r>
          </w:p>
        </w:tc>
      </w:tr>
      <w:tr>
        <w:trPr>
          <w:trHeight w:val="173"/>
        </w:trPr>
        <w:tc>
          <w:tcPr>
            <w:tcW w:w="4980" w:type="dxa"/>
            <w:vAlign w:val="bottom"/>
          </w:tcPr>
          <w:p>
            <w:pPr>
              <w:ind w:left="80"/>
              <w:spacing w:after="0" w:line="173" w:lineRule="exact"/>
              <w:rPr>
                <w:sz w:val="20"/>
                <w:szCs w:val="20"/>
                <w:color w:val="auto"/>
              </w:rPr>
            </w:pPr>
            <w:r>
              <w:rPr>
                <w:rFonts w:ascii="Arial" w:cs="Arial" w:eastAsia="Arial" w:hAnsi="Arial"/>
                <w:sz w:val="18"/>
                <w:szCs w:val="18"/>
                <w:color w:val="auto"/>
              </w:rPr>
              <w:t>Shares under option January 1</w:t>
            </w:r>
          </w:p>
        </w:tc>
        <w:tc>
          <w:tcPr>
            <w:tcW w:w="2200" w:type="dxa"/>
            <w:vAlign w:val="bottom"/>
          </w:tcPr>
          <w:p>
            <w:pPr>
              <w:jc w:val="right"/>
              <w:ind w:right="270"/>
              <w:spacing w:after="0" w:line="173" w:lineRule="exact"/>
              <w:rPr>
                <w:sz w:val="20"/>
                <w:szCs w:val="20"/>
                <w:color w:val="auto"/>
              </w:rPr>
            </w:pPr>
            <w:r>
              <w:rPr>
                <w:rFonts w:ascii="Arial" w:cs="Arial" w:eastAsia="Arial" w:hAnsi="Arial"/>
                <w:sz w:val="18"/>
                <w:szCs w:val="18"/>
                <w:b w:val="1"/>
                <w:bCs w:val="1"/>
                <w:color w:val="auto"/>
              </w:rPr>
              <w:t>$19.45</w:t>
            </w:r>
          </w:p>
        </w:tc>
        <w:tc>
          <w:tcPr>
            <w:tcW w:w="1620" w:type="dxa"/>
            <w:vAlign w:val="bottom"/>
          </w:tcPr>
          <w:p>
            <w:pPr>
              <w:jc w:val="right"/>
              <w:ind w:right="270"/>
              <w:spacing w:after="0" w:line="173" w:lineRule="exact"/>
              <w:rPr>
                <w:sz w:val="20"/>
                <w:szCs w:val="20"/>
                <w:color w:val="auto"/>
              </w:rPr>
            </w:pPr>
            <w:r>
              <w:rPr>
                <w:rFonts w:ascii="Arial" w:cs="Arial" w:eastAsia="Arial" w:hAnsi="Arial"/>
                <w:sz w:val="18"/>
                <w:szCs w:val="18"/>
                <w:color w:val="auto"/>
              </w:rPr>
              <w:t>$19.54</w:t>
            </w:r>
          </w:p>
        </w:tc>
        <w:tc>
          <w:tcPr>
            <w:tcW w:w="1360" w:type="dxa"/>
            <w:vAlign w:val="bottom"/>
          </w:tcPr>
          <w:p>
            <w:pPr>
              <w:jc w:val="right"/>
              <w:ind w:right="10"/>
              <w:spacing w:after="0" w:line="173" w:lineRule="exact"/>
              <w:rPr>
                <w:sz w:val="20"/>
                <w:szCs w:val="20"/>
                <w:color w:val="auto"/>
              </w:rPr>
            </w:pPr>
            <w:r>
              <w:rPr>
                <w:rFonts w:ascii="Arial" w:cs="Arial" w:eastAsia="Arial" w:hAnsi="Arial"/>
                <w:sz w:val="18"/>
                <w:szCs w:val="18"/>
                <w:color w:val="auto"/>
              </w:rPr>
              <w:t>$19.51</w:t>
            </w:r>
          </w:p>
        </w:tc>
      </w:tr>
      <w:tr>
        <w:trPr>
          <w:trHeight w:val="203"/>
        </w:trPr>
        <w:tc>
          <w:tcPr>
            <w:tcW w:w="4980" w:type="dxa"/>
            <w:vAlign w:val="bottom"/>
          </w:tcPr>
          <w:p>
            <w:pPr>
              <w:ind w:left="80"/>
              <w:spacing w:after="0" w:line="202" w:lineRule="exact"/>
              <w:rPr>
                <w:sz w:val="20"/>
                <w:szCs w:val="20"/>
                <w:color w:val="auto"/>
              </w:rPr>
            </w:pPr>
            <w:r>
              <w:rPr>
                <w:rFonts w:ascii="Arial" w:cs="Arial" w:eastAsia="Arial" w:hAnsi="Arial"/>
                <w:sz w:val="18"/>
                <w:szCs w:val="18"/>
                <w:color w:val="auto"/>
              </w:rPr>
              <w:t>Options granted</w:t>
            </w:r>
          </w:p>
        </w:tc>
        <w:tc>
          <w:tcPr>
            <w:tcW w:w="2200" w:type="dxa"/>
            <w:vAlign w:val="bottom"/>
          </w:tcPr>
          <w:p>
            <w:pPr>
              <w:jc w:val="right"/>
              <w:ind w:right="270"/>
              <w:spacing w:after="0" w:line="202" w:lineRule="exact"/>
              <w:rPr>
                <w:sz w:val="20"/>
                <w:szCs w:val="20"/>
                <w:color w:val="auto"/>
              </w:rPr>
            </w:pPr>
            <w:r>
              <w:rPr>
                <w:rFonts w:ascii="Arial" w:cs="Arial" w:eastAsia="Arial" w:hAnsi="Arial"/>
                <w:sz w:val="18"/>
                <w:szCs w:val="18"/>
                <w:b w:val="1"/>
                <w:bCs w:val="1"/>
                <w:color w:val="auto"/>
              </w:rPr>
              <w:t>-</w:t>
            </w:r>
          </w:p>
        </w:tc>
        <w:tc>
          <w:tcPr>
            <w:tcW w:w="16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4980" w:type="dxa"/>
            <w:vAlign w:val="bottom"/>
          </w:tcPr>
          <w:p>
            <w:pPr>
              <w:ind w:left="80"/>
              <w:spacing w:after="0" w:line="202" w:lineRule="exact"/>
              <w:rPr>
                <w:sz w:val="20"/>
                <w:szCs w:val="20"/>
                <w:color w:val="auto"/>
              </w:rPr>
            </w:pPr>
            <w:r>
              <w:rPr>
                <w:rFonts w:ascii="Arial" w:cs="Arial" w:eastAsia="Arial" w:hAnsi="Arial"/>
                <w:sz w:val="18"/>
                <w:szCs w:val="18"/>
                <w:color w:val="auto"/>
              </w:rPr>
              <w:t>Options canceled</w:t>
            </w:r>
          </w:p>
        </w:tc>
        <w:tc>
          <w:tcPr>
            <w:tcW w:w="2200" w:type="dxa"/>
            <w:vAlign w:val="bottom"/>
          </w:tcPr>
          <w:p>
            <w:pPr>
              <w:jc w:val="right"/>
              <w:ind w:right="270"/>
              <w:spacing w:after="0" w:line="202" w:lineRule="exact"/>
              <w:rPr>
                <w:sz w:val="20"/>
                <w:szCs w:val="20"/>
                <w:color w:val="auto"/>
              </w:rPr>
            </w:pPr>
            <w:r>
              <w:rPr>
                <w:rFonts w:ascii="Arial" w:cs="Arial" w:eastAsia="Arial" w:hAnsi="Arial"/>
                <w:sz w:val="18"/>
                <w:szCs w:val="18"/>
                <w:b w:val="1"/>
                <w:bCs w:val="1"/>
                <w:color w:val="auto"/>
              </w:rPr>
              <w:t>-</w:t>
            </w:r>
          </w:p>
        </w:tc>
        <w:tc>
          <w:tcPr>
            <w:tcW w:w="16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21.23</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20.54</w:t>
            </w:r>
          </w:p>
        </w:tc>
      </w:tr>
      <w:tr>
        <w:trPr>
          <w:trHeight w:val="225"/>
        </w:trPr>
        <w:tc>
          <w:tcPr>
            <w:tcW w:w="49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Options exercised</w:t>
            </w:r>
          </w:p>
        </w:tc>
        <w:tc>
          <w:tcPr>
            <w:tcW w:w="22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19.87</w:t>
            </w:r>
          </w:p>
        </w:tc>
        <w:tc>
          <w:tcPr>
            <w:tcW w:w="16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19.65</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19.03</w:t>
            </w:r>
          </w:p>
        </w:tc>
      </w:tr>
      <w:tr>
        <w:trPr>
          <w:trHeight w:val="173"/>
        </w:trPr>
        <w:tc>
          <w:tcPr>
            <w:tcW w:w="4980" w:type="dxa"/>
            <w:vAlign w:val="bottom"/>
          </w:tcPr>
          <w:p>
            <w:pPr>
              <w:ind w:left="80"/>
              <w:spacing w:after="0" w:line="173" w:lineRule="exact"/>
              <w:rPr>
                <w:sz w:val="20"/>
                <w:szCs w:val="20"/>
                <w:color w:val="auto"/>
              </w:rPr>
            </w:pPr>
            <w:r>
              <w:rPr>
                <w:rFonts w:ascii="Arial" w:cs="Arial" w:eastAsia="Arial" w:hAnsi="Arial"/>
                <w:sz w:val="18"/>
                <w:szCs w:val="18"/>
                <w:color w:val="auto"/>
              </w:rPr>
              <w:t>Shares under option December 31</w:t>
            </w:r>
          </w:p>
        </w:tc>
        <w:tc>
          <w:tcPr>
            <w:tcW w:w="2200" w:type="dxa"/>
            <w:vAlign w:val="bottom"/>
          </w:tcPr>
          <w:p>
            <w:pPr>
              <w:jc w:val="right"/>
              <w:ind w:right="270"/>
              <w:spacing w:after="0" w:line="173" w:lineRule="exact"/>
              <w:rPr>
                <w:sz w:val="20"/>
                <w:szCs w:val="20"/>
                <w:color w:val="auto"/>
              </w:rPr>
            </w:pPr>
            <w:r>
              <w:rPr>
                <w:rFonts w:ascii="Arial" w:cs="Arial" w:eastAsia="Arial" w:hAnsi="Arial"/>
                <w:sz w:val="18"/>
                <w:szCs w:val="18"/>
                <w:b w:val="1"/>
                <w:bCs w:val="1"/>
                <w:color w:val="auto"/>
              </w:rPr>
              <w:t>18.94</w:t>
            </w:r>
          </w:p>
        </w:tc>
        <w:tc>
          <w:tcPr>
            <w:tcW w:w="1620" w:type="dxa"/>
            <w:vAlign w:val="bottom"/>
          </w:tcPr>
          <w:p>
            <w:pPr>
              <w:jc w:val="right"/>
              <w:ind w:right="270"/>
              <w:spacing w:after="0" w:line="173" w:lineRule="exact"/>
              <w:rPr>
                <w:sz w:val="20"/>
                <w:szCs w:val="20"/>
                <w:color w:val="auto"/>
              </w:rPr>
            </w:pPr>
            <w:r>
              <w:rPr>
                <w:rFonts w:ascii="Arial" w:cs="Arial" w:eastAsia="Arial" w:hAnsi="Arial"/>
                <w:sz w:val="18"/>
                <w:szCs w:val="18"/>
                <w:color w:val="auto"/>
              </w:rPr>
              <w:t>19.45</w:t>
            </w:r>
          </w:p>
        </w:tc>
        <w:tc>
          <w:tcPr>
            <w:tcW w:w="1360" w:type="dxa"/>
            <w:vAlign w:val="bottom"/>
          </w:tcPr>
          <w:p>
            <w:pPr>
              <w:jc w:val="right"/>
              <w:ind w:right="10"/>
              <w:spacing w:after="0" w:line="173" w:lineRule="exact"/>
              <w:rPr>
                <w:sz w:val="20"/>
                <w:szCs w:val="20"/>
                <w:color w:val="auto"/>
              </w:rPr>
            </w:pPr>
            <w:r>
              <w:rPr>
                <w:rFonts w:ascii="Arial" w:cs="Arial" w:eastAsia="Arial" w:hAnsi="Arial"/>
                <w:sz w:val="18"/>
                <w:szCs w:val="18"/>
                <w:color w:val="auto"/>
              </w:rPr>
              <w:t>19.54</w:t>
            </w:r>
          </w:p>
        </w:tc>
      </w:tr>
      <w:tr>
        <w:trPr>
          <w:trHeight w:val="225"/>
        </w:trPr>
        <w:tc>
          <w:tcPr>
            <w:tcW w:w="49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Options exercisable December 31</w:t>
            </w:r>
          </w:p>
        </w:tc>
        <w:tc>
          <w:tcPr>
            <w:tcW w:w="22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18.94</w:t>
            </w:r>
          </w:p>
        </w:tc>
        <w:tc>
          <w:tcPr>
            <w:tcW w:w="16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19.45</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19.54</w:t>
            </w:r>
          </w:p>
        </w:tc>
      </w:tr>
    </w:tbl>
    <w:p>
      <w:pPr>
        <w:spacing w:after="0" w:line="377" w:lineRule="exact"/>
        <w:rPr>
          <w:sz w:val="20"/>
          <w:szCs w:val="20"/>
          <w:color w:val="auto"/>
        </w:rPr>
      </w:pPr>
    </w:p>
    <w:p>
      <w:pPr>
        <w:ind w:right="380" w:firstLine="648"/>
        <w:spacing w:after="0" w:line="246" w:lineRule="auto"/>
        <w:rPr>
          <w:sz w:val="20"/>
          <w:szCs w:val="20"/>
          <w:color w:val="auto"/>
        </w:rPr>
      </w:pPr>
      <w:r>
        <w:rPr>
          <w:rFonts w:ascii="Arial" w:cs="Arial" w:eastAsia="Arial" w:hAnsi="Arial"/>
          <w:sz w:val="18"/>
          <w:szCs w:val="18"/>
          <w:color w:val="auto"/>
        </w:rPr>
        <w:t>As of December 31, 2013, the aggregate intrinsic value of vested options was $3.9 million. The aggregate intrinsic value of options exercised was $3.1 million in 2013, $0.2 million in 2012, and $0.3 million in 2011.</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Management share-based compensation</w:t>
      </w:r>
      <w:r>
        <w:rPr>
          <w:rFonts w:ascii="Arial" w:cs="Arial" w:eastAsia="Arial" w:hAnsi="Arial"/>
          <w:sz w:val="18"/>
          <w:szCs w:val="18"/>
          <w:color w:val="auto"/>
        </w:rPr>
        <w:t>:</w:t>
      </w:r>
    </w:p>
    <w:p>
      <w:pPr>
        <w:spacing w:after="0" w:line="193"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auto"/>
        </w:rPr>
        <w:t>In 2011, shareholders approved the Albany International 2011 Incentive Plan, replacing the similar 2005 Incentive Plan approved by shareholders in 2005. Awards granted to date under these plans provide key members of management with incentive compensation based on achieving certain performance targets over a three year period. Such awards are paid out partly in cash and partly in shares of Class A Common Stock. In March 2013 we issued 40,255 shares and made cash payments totaling $1.1 million. In March 2012 we issued 6,727 shares and made cash payments totaling $0.2 million, and in March 2011, we issued 32,177 shares and made cash payments totaling $0.8 million. Shares that are expected to be paid out are included in the calculation of diluted earnings per share. If a person terminates employment prior to the award becoming fully vested, the person may forfeit all or a portion of the incentive compensation award. Expense associated with these awards is recognized over the vesting period, which includes the year for which performance targets are measured and may, if payment is made over three years, include the two subsequent years. In connection with this plan, we recognized expense of $2.4 million per year in 2013, 2012 and 2011.</w:t>
      </w:r>
    </w:p>
    <w:p>
      <w:pPr>
        <w:spacing w:after="0" w:line="166" w:lineRule="exact"/>
        <w:rPr>
          <w:sz w:val="20"/>
          <w:szCs w:val="20"/>
          <w:color w:val="auto"/>
        </w:rPr>
      </w:pPr>
    </w:p>
    <w:p>
      <w:pPr>
        <w:ind w:right="120" w:firstLine="648"/>
        <w:spacing w:after="0" w:line="238" w:lineRule="auto"/>
        <w:rPr>
          <w:sz w:val="20"/>
          <w:szCs w:val="20"/>
          <w:color w:val="auto"/>
        </w:rPr>
      </w:pPr>
      <w:r>
        <w:rPr>
          <w:rFonts w:ascii="Arial" w:cs="Arial" w:eastAsia="Arial" w:hAnsi="Arial"/>
          <w:sz w:val="18"/>
          <w:szCs w:val="18"/>
          <w:color w:val="auto"/>
        </w:rPr>
        <w:t>In 2011, the Board of Directors modified the annual incentive plan for executive management whereby 40 percent of the earned incentive compensation is payable in the form of shares of Class A Common Stock. In March 2013, the Company issued 34,988 shares and made cash payments totaling $2.0 million as a result of performance in 2012. In March 2012, the Company issued 27,768 shares and made cash payments totaling $ 1.5 million as a result of performance in 2011. Expense recorded for this plan was $2.3 million in 2013, $3.4 million in 2012, and $2.7 million in 2011.</w:t>
      </w:r>
    </w:p>
    <w:p>
      <w:pPr>
        <w:spacing w:after="0" w:line="176"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The grant date share price is determined when the awards are approved each year and that price is used for measuring the cost for the share-based portion of the award. Shares payable under these plans generally vest immediately prior to payment. Participants may elect to receive shares net of applicable income taxes, which is taken into consideration for the calculation of diluted earnings per share. As of December 31, 2013, there were 339,050 shares of Company stock authorized for the payment of awards under these plans. Information with respect to these plans is presented below:</w:t>
      </w:r>
    </w:p>
    <w:p>
      <w:pPr>
        <w:spacing w:after="0" w:line="143" w:lineRule="exact"/>
        <w:rPr>
          <w:sz w:val="20"/>
          <w:szCs w:val="20"/>
          <w:color w:val="auto"/>
        </w:rPr>
      </w:pPr>
    </w:p>
    <w:tbl>
      <w:tblPr>
        <w:tblLayout w:type="fixed"/>
        <w:tblInd w:w="640" w:type="dxa"/>
        <w:tblCellMar>
          <w:top w:w="0" w:type="dxa"/>
          <w:left w:w="0" w:type="dxa"/>
          <w:bottom w:w="0" w:type="dxa"/>
          <w:right w:w="0" w:type="dxa"/>
        </w:tblCellMar>
      </w:tblPr>
      <w:tr>
        <w:trPr>
          <w:trHeight w:val="193"/>
        </w:trPr>
        <w:tc>
          <w:tcPr>
            <w:tcW w:w="4700" w:type="dxa"/>
            <w:vAlign w:val="bottom"/>
            <w:tcBorders>
              <w:top w:val="single" w:sz="8" w:color="auto"/>
            </w:tcBorders>
          </w:tcPr>
          <w:p>
            <w:pPr>
              <w:spacing w:after="0"/>
              <w:rPr>
                <w:sz w:val="16"/>
                <w:szCs w:val="16"/>
                <w:color w:val="auto"/>
              </w:rPr>
            </w:pPr>
          </w:p>
        </w:tc>
        <w:tc>
          <w:tcPr>
            <w:tcW w:w="206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tcPr>
          <w:p>
            <w:pPr>
              <w:ind w:left="260"/>
              <w:spacing w:after="0" w:line="194" w:lineRule="exact"/>
              <w:rPr>
                <w:sz w:val="20"/>
                <w:szCs w:val="20"/>
                <w:color w:val="auto"/>
              </w:rPr>
            </w:pPr>
            <w:r>
              <w:rPr>
                <w:rFonts w:ascii="Arial" w:cs="Arial" w:eastAsia="Arial" w:hAnsi="Arial"/>
                <w:sz w:val="18"/>
                <w:szCs w:val="18"/>
                <w:b w:val="1"/>
                <w:bCs w:val="1"/>
                <w:color w:val="auto"/>
              </w:rPr>
              <w:t>Weighted</w:t>
            </w:r>
          </w:p>
        </w:tc>
        <w:tc>
          <w:tcPr>
            <w:tcW w:w="1680" w:type="dxa"/>
            <w:vAlign w:val="bottom"/>
            <w:tcBorders>
              <w:top w:val="single" w:sz="8" w:color="auto"/>
            </w:tcBorders>
          </w:tcPr>
          <w:p>
            <w:pPr>
              <w:spacing w:after="0"/>
              <w:rPr>
                <w:sz w:val="16"/>
                <w:szCs w:val="16"/>
                <w:color w:val="auto"/>
              </w:rPr>
            </w:pPr>
          </w:p>
        </w:tc>
      </w:tr>
      <w:tr>
        <w:trPr>
          <w:trHeight w:val="203"/>
        </w:trPr>
        <w:tc>
          <w:tcPr>
            <w:tcW w:w="47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720" w:type="dxa"/>
            <w:vAlign w:val="bottom"/>
          </w:tcPr>
          <w:p>
            <w:pPr>
              <w:ind w:left="260"/>
              <w:spacing w:after="0" w:line="202" w:lineRule="exact"/>
              <w:rPr>
                <w:sz w:val="20"/>
                <w:szCs w:val="20"/>
                <w:color w:val="auto"/>
              </w:rPr>
            </w:pPr>
            <w:r>
              <w:rPr>
                <w:rFonts w:ascii="Arial" w:cs="Arial" w:eastAsia="Arial" w:hAnsi="Arial"/>
                <w:sz w:val="18"/>
                <w:szCs w:val="18"/>
                <w:b w:val="1"/>
                <w:bCs w:val="1"/>
                <w:color w:val="auto"/>
              </w:rPr>
              <w:t>average grant</w:t>
            </w:r>
          </w:p>
        </w:tc>
        <w:tc>
          <w:tcPr>
            <w:tcW w:w="1680" w:type="dxa"/>
            <w:vAlign w:val="bottom"/>
          </w:tcPr>
          <w:p>
            <w:pPr>
              <w:ind w:left="300"/>
              <w:spacing w:after="0" w:line="202" w:lineRule="exact"/>
              <w:rPr>
                <w:sz w:val="20"/>
                <w:szCs w:val="20"/>
                <w:color w:val="auto"/>
              </w:rPr>
            </w:pPr>
            <w:r>
              <w:rPr>
                <w:rFonts w:ascii="Arial" w:cs="Arial" w:eastAsia="Arial" w:hAnsi="Arial"/>
                <w:sz w:val="18"/>
                <w:szCs w:val="18"/>
                <w:b w:val="1"/>
                <w:bCs w:val="1"/>
                <w:color w:val="auto"/>
              </w:rPr>
              <w:t>Year-end</w:t>
            </w:r>
          </w:p>
        </w:tc>
      </w:tr>
      <w:tr>
        <w:trPr>
          <w:trHeight w:val="203"/>
        </w:trPr>
        <w:tc>
          <w:tcPr>
            <w:tcW w:w="4700" w:type="dxa"/>
            <w:vAlign w:val="bottom"/>
          </w:tcPr>
          <w:p>
            <w:pPr>
              <w:spacing w:after="0"/>
              <w:rPr>
                <w:sz w:val="17"/>
                <w:szCs w:val="17"/>
                <w:color w:val="auto"/>
              </w:rPr>
            </w:pPr>
          </w:p>
        </w:tc>
        <w:tc>
          <w:tcPr>
            <w:tcW w:w="2060" w:type="dxa"/>
            <w:vAlign w:val="bottom"/>
          </w:tcPr>
          <w:p>
            <w:pPr>
              <w:ind w:left="680"/>
              <w:spacing w:after="0" w:line="202" w:lineRule="exact"/>
              <w:rPr>
                <w:sz w:val="20"/>
                <w:szCs w:val="20"/>
                <w:color w:val="auto"/>
              </w:rPr>
            </w:pPr>
            <w:r>
              <w:rPr>
                <w:rFonts w:ascii="Arial" w:cs="Arial" w:eastAsia="Arial" w:hAnsi="Arial"/>
                <w:sz w:val="18"/>
                <w:szCs w:val="18"/>
                <w:b w:val="1"/>
                <w:bCs w:val="1"/>
                <w:color w:val="auto"/>
              </w:rPr>
              <w:t>Number of</w:t>
            </w:r>
          </w:p>
        </w:tc>
        <w:tc>
          <w:tcPr>
            <w:tcW w:w="1720" w:type="dxa"/>
            <w:vAlign w:val="bottom"/>
          </w:tcPr>
          <w:p>
            <w:pPr>
              <w:ind w:left="260"/>
              <w:spacing w:after="0" w:line="202" w:lineRule="exact"/>
              <w:rPr>
                <w:sz w:val="20"/>
                <w:szCs w:val="20"/>
                <w:color w:val="auto"/>
              </w:rPr>
            </w:pPr>
            <w:r>
              <w:rPr>
                <w:rFonts w:ascii="Arial" w:cs="Arial" w:eastAsia="Arial" w:hAnsi="Arial"/>
                <w:sz w:val="18"/>
                <w:szCs w:val="18"/>
                <w:b w:val="1"/>
                <w:bCs w:val="1"/>
                <w:color w:val="auto"/>
              </w:rPr>
              <w:t>date value</w:t>
            </w:r>
          </w:p>
        </w:tc>
        <w:tc>
          <w:tcPr>
            <w:tcW w:w="1680" w:type="dxa"/>
            <w:vAlign w:val="bottom"/>
          </w:tcPr>
          <w:p>
            <w:pPr>
              <w:ind w:left="300"/>
              <w:spacing w:after="0" w:line="202" w:lineRule="exact"/>
              <w:rPr>
                <w:sz w:val="20"/>
                <w:szCs w:val="20"/>
                <w:color w:val="auto"/>
              </w:rPr>
            </w:pPr>
            <w:r>
              <w:rPr>
                <w:rFonts w:ascii="Arial" w:cs="Arial" w:eastAsia="Arial" w:hAnsi="Arial"/>
                <w:sz w:val="18"/>
                <w:szCs w:val="18"/>
                <w:b w:val="1"/>
                <w:bCs w:val="1"/>
                <w:color w:val="auto"/>
              </w:rPr>
              <w:t>intrinsic value</w:t>
            </w:r>
          </w:p>
        </w:tc>
      </w:tr>
      <w:tr>
        <w:trPr>
          <w:trHeight w:val="225"/>
        </w:trPr>
        <w:tc>
          <w:tcPr>
            <w:tcW w:w="470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ind w:left="680"/>
              <w:spacing w:after="0"/>
              <w:rPr>
                <w:sz w:val="20"/>
                <w:szCs w:val="20"/>
                <w:color w:val="auto"/>
              </w:rPr>
            </w:pPr>
            <w:r>
              <w:rPr>
                <w:rFonts w:ascii="Arial" w:cs="Arial" w:eastAsia="Arial" w:hAnsi="Arial"/>
                <w:sz w:val="18"/>
                <w:szCs w:val="18"/>
                <w:b w:val="1"/>
                <w:bCs w:val="1"/>
                <w:color w:val="auto"/>
              </w:rPr>
              <w:t>shares</w:t>
            </w:r>
          </w:p>
        </w:tc>
        <w:tc>
          <w:tcPr>
            <w:tcW w:w="17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per share</w:t>
            </w:r>
          </w:p>
        </w:tc>
        <w:tc>
          <w:tcPr>
            <w:tcW w:w="168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(000's)</w:t>
            </w:r>
          </w:p>
        </w:tc>
      </w:tr>
      <w:tr>
        <w:trPr>
          <w:trHeight w:val="195"/>
        </w:trPr>
        <w:tc>
          <w:tcPr>
            <w:tcW w:w="4700" w:type="dxa"/>
            <w:vAlign w:val="bottom"/>
          </w:tcPr>
          <w:p>
            <w:pPr>
              <w:ind w:left="80"/>
              <w:spacing w:after="0" w:line="195" w:lineRule="exact"/>
              <w:rPr>
                <w:sz w:val="20"/>
                <w:szCs w:val="20"/>
                <w:color w:val="auto"/>
              </w:rPr>
            </w:pPr>
            <w:r>
              <w:rPr>
                <w:rFonts w:ascii="Arial" w:cs="Arial" w:eastAsia="Arial" w:hAnsi="Arial"/>
                <w:sz w:val="18"/>
                <w:szCs w:val="18"/>
                <w:color w:val="auto"/>
              </w:rPr>
              <w:t>Shares potentially payable at January 1, 2011</w:t>
            </w:r>
          </w:p>
        </w:tc>
        <w:tc>
          <w:tcPr>
            <w:tcW w:w="2060" w:type="dxa"/>
            <w:vAlign w:val="bottom"/>
          </w:tcPr>
          <w:p>
            <w:pPr>
              <w:jc w:val="right"/>
              <w:ind w:right="250"/>
              <w:spacing w:after="0" w:line="195" w:lineRule="exact"/>
              <w:rPr>
                <w:sz w:val="20"/>
                <w:szCs w:val="20"/>
                <w:color w:val="auto"/>
              </w:rPr>
            </w:pPr>
            <w:r>
              <w:rPr>
                <w:rFonts w:ascii="Arial" w:cs="Arial" w:eastAsia="Arial" w:hAnsi="Arial"/>
                <w:sz w:val="18"/>
                <w:szCs w:val="18"/>
                <w:color w:val="auto"/>
              </w:rPr>
              <w:t>90,871</w:t>
            </w:r>
          </w:p>
        </w:tc>
        <w:tc>
          <w:tcPr>
            <w:tcW w:w="1720" w:type="dxa"/>
            <w:vAlign w:val="bottom"/>
          </w:tcPr>
          <w:p>
            <w:pPr>
              <w:jc w:val="right"/>
              <w:ind w:right="310"/>
              <w:spacing w:after="0" w:line="195" w:lineRule="exact"/>
              <w:rPr>
                <w:sz w:val="20"/>
                <w:szCs w:val="20"/>
                <w:color w:val="auto"/>
              </w:rPr>
            </w:pPr>
            <w:r>
              <w:rPr>
                <w:rFonts w:ascii="Arial" w:cs="Arial" w:eastAsia="Arial" w:hAnsi="Arial"/>
                <w:sz w:val="18"/>
                <w:szCs w:val="18"/>
                <w:color w:val="auto"/>
              </w:rPr>
              <w:t>$22.40</w:t>
            </w:r>
          </w:p>
        </w:tc>
        <w:tc>
          <w:tcPr>
            <w:tcW w:w="1680" w:type="dxa"/>
            <w:vAlign w:val="bottom"/>
          </w:tcPr>
          <w:p>
            <w:pPr>
              <w:jc w:val="right"/>
              <w:ind w:right="210"/>
              <w:spacing w:after="0" w:line="195" w:lineRule="exact"/>
              <w:rPr>
                <w:sz w:val="20"/>
                <w:szCs w:val="20"/>
                <w:color w:val="auto"/>
              </w:rPr>
            </w:pPr>
            <w:r>
              <w:rPr>
                <w:rFonts w:ascii="Arial" w:cs="Arial" w:eastAsia="Arial" w:hAnsi="Arial"/>
                <w:sz w:val="18"/>
                <w:szCs w:val="18"/>
                <w:color w:val="auto"/>
              </w:rPr>
              <w:t>$2,153</w:t>
            </w:r>
          </w:p>
        </w:tc>
      </w:tr>
      <w:tr>
        <w:trPr>
          <w:trHeight w:val="203"/>
        </w:trPr>
        <w:tc>
          <w:tcPr>
            <w:tcW w:w="4700" w:type="dxa"/>
            <w:vAlign w:val="bottom"/>
          </w:tcPr>
          <w:p>
            <w:pPr>
              <w:ind w:left="80"/>
              <w:spacing w:after="0" w:line="202" w:lineRule="exact"/>
              <w:rPr>
                <w:sz w:val="20"/>
                <w:szCs w:val="20"/>
                <w:color w:val="auto"/>
              </w:rPr>
            </w:pPr>
            <w:r>
              <w:rPr>
                <w:rFonts w:ascii="Arial" w:cs="Arial" w:eastAsia="Arial" w:hAnsi="Arial"/>
                <w:sz w:val="18"/>
                <w:szCs w:val="18"/>
                <w:color w:val="auto"/>
              </w:rPr>
              <w:t>Forfeitures</w:t>
            </w:r>
          </w:p>
        </w:tc>
        <w:tc>
          <w:tcPr>
            <w:tcW w:w="206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72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1680" w:type="dxa"/>
            <w:vAlign w:val="bottom"/>
          </w:tcPr>
          <w:p>
            <w:pPr>
              <w:spacing w:after="0"/>
              <w:rPr>
                <w:sz w:val="17"/>
                <w:szCs w:val="17"/>
                <w:color w:val="auto"/>
              </w:rPr>
            </w:pPr>
          </w:p>
        </w:tc>
      </w:tr>
      <w:tr>
        <w:trPr>
          <w:trHeight w:val="203"/>
        </w:trPr>
        <w:tc>
          <w:tcPr>
            <w:tcW w:w="4700" w:type="dxa"/>
            <w:vAlign w:val="bottom"/>
          </w:tcPr>
          <w:p>
            <w:pPr>
              <w:ind w:left="80"/>
              <w:spacing w:after="0" w:line="202" w:lineRule="exact"/>
              <w:rPr>
                <w:sz w:val="20"/>
                <w:szCs w:val="20"/>
                <w:color w:val="auto"/>
              </w:rPr>
            </w:pPr>
            <w:r>
              <w:rPr>
                <w:rFonts w:ascii="Arial" w:cs="Arial" w:eastAsia="Arial" w:hAnsi="Arial"/>
                <w:sz w:val="18"/>
                <w:szCs w:val="18"/>
                <w:color w:val="auto"/>
              </w:rPr>
              <w:t>Payments</w:t>
            </w:r>
          </w:p>
        </w:tc>
        <w:tc>
          <w:tcPr>
            <w:tcW w:w="20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(34,268)</w:t>
            </w:r>
          </w:p>
        </w:tc>
        <w:tc>
          <w:tcPr>
            <w:tcW w:w="172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$22.40</w:t>
            </w:r>
          </w:p>
        </w:tc>
        <w:tc>
          <w:tcPr>
            <w:tcW w:w="1680" w:type="dxa"/>
            <w:vAlign w:val="bottom"/>
          </w:tcPr>
          <w:p>
            <w:pPr>
              <w:spacing w:after="0"/>
              <w:rPr>
                <w:sz w:val="17"/>
                <w:szCs w:val="17"/>
                <w:color w:val="auto"/>
              </w:rPr>
            </w:pPr>
          </w:p>
        </w:tc>
      </w:tr>
      <w:tr>
        <w:trPr>
          <w:trHeight w:val="217"/>
        </w:trPr>
        <w:tc>
          <w:tcPr>
            <w:tcW w:w="47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Shares accrued based on 2011 performance</w:t>
            </w:r>
          </w:p>
        </w:tc>
        <w:tc>
          <w:tcPr>
            <w:tcW w:w="2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104,677</w:t>
            </w:r>
          </w:p>
        </w:tc>
        <w:tc>
          <w:tcPr>
            <w:tcW w:w="17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$24.62</w:t>
            </w:r>
          </w:p>
        </w:tc>
        <w:tc>
          <w:tcPr>
            <w:tcW w:w="1680" w:type="dxa"/>
            <w:vAlign w:val="bottom"/>
            <w:tcBorders>
              <w:bottom w:val="single" w:sz="8" w:color="auto"/>
            </w:tcBorders>
          </w:tcPr>
          <w:p>
            <w:pPr>
              <w:spacing w:after="0"/>
              <w:rPr>
                <w:sz w:val="18"/>
                <w:szCs w:val="18"/>
                <w:color w:val="auto"/>
              </w:rPr>
            </w:pPr>
          </w:p>
        </w:tc>
      </w:tr>
      <w:tr>
        <w:trPr>
          <w:trHeight w:val="196"/>
        </w:trPr>
        <w:tc>
          <w:tcPr>
            <w:tcW w:w="4700" w:type="dxa"/>
            <w:vAlign w:val="bottom"/>
            <w:tcBorders>
              <w:bottom w:val="single" w:sz="8" w:color="auto"/>
            </w:tcBorders>
          </w:tcPr>
          <w:p>
            <w:pPr>
              <w:ind w:left="80"/>
              <w:spacing w:after="0" w:line="196" w:lineRule="exact"/>
              <w:rPr>
                <w:sz w:val="20"/>
                <w:szCs w:val="20"/>
                <w:color w:val="auto"/>
              </w:rPr>
            </w:pPr>
            <w:r>
              <w:rPr>
                <w:rFonts w:ascii="Arial" w:cs="Arial" w:eastAsia="Arial" w:hAnsi="Arial"/>
                <w:sz w:val="18"/>
                <w:szCs w:val="18"/>
                <w:color w:val="auto"/>
              </w:rPr>
              <w:t>Shares potentially payable at December 31, 2011</w:t>
            </w:r>
          </w:p>
        </w:tc>
        <w:tc>
          <w:tcPr>
            <w:tcW w:w="206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rPr>
              <w:t>161,280</w:t>
            </w:r>
          </w:p>
        </w:tc>
        <w:tc>
          <w:tcPr>
            <w:tcW w:w="172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rPr>
              <w:t>$23.74</w:t>
            </w:r>
          </w:p>
        </w:tc>
        <w:tc>
          <w:tcPr>
            <w:tcW w:w="168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$3,729</w:t>
            </w:r>
          </w:p>
        </w:tc>
      </w:tr>
      <w:tr>
        <w:trPr>
          <w:trHeight w:val="195"/>
        </w:trPr>
        <w:tc>
          <w:tcPr>
            <w:tcW w:w="4700" w:type="dxa"/>
            <w:vAlign w:val="bottom"/>
          </w:tcPr>
          <w:p>
            <w:pPr>
              <w:ind w:left="80"/>
              <w:spacing w:after="0" w:line="195" w:lineRule="exact"/>
              <w:rPr>
                <w:sz w:val="20"/>
                <w:szCs w:val="20"/>
                <w:color w:val="auto"/>
              </w:rPr>
            </w:pPr>
            <w:r>
              <w:rPr>
                <w:rFonts w:ascii="Arial" w:cs="Arial" w:eastAsia="Arial" w:hAnsi="Arial"/>
                <w:sz w:val="18"/>
                <w:szCs w:val="18"/>
                <w:color w:val="auto"/>
              </w:rPr>
              <w:t>Forfeitures</w:t>
            </w:r>
          </w:p>
        </w:tc>
        <w:tc>
          <w:tcPr>
            <w:tcW w:w="2060" w:type="dxa"/>
            <w:vAlign w:val="bottom"/>
          </w:tcPr>
          <w:p>
            <w:pPr>
              <w:jc w:val="right"/>
              <w:ind w:right="250"/>
              <w:spacing w:after="0" w:line="195" w:lineRule="exact"/>
              <w:rPr>
                <w:sz w:val="20"/>
                <w:szCs w:val="20"/>
                <w:color w:val="auto"/>
              </w:rPr>
            </w:pPr>
            <w:r>
              <w:rPr>
                <w:rFonts w:ascii="Arial" w:cs="Arial" w:eastAsia="Arial" w:hAnsi="Arial"/>
                <w:sz w:val="18"/>
                <w:szCs w:val="18"/>
                <w:color w:val="auto"/>
              </w:rPr>
              <w:t>-</w:t>
            </w:r>
          </w:p>
        </w:tc>
        <w:tc>
          <w:tcPr>
            <w:tcW w:w="1720" w:type="dxa"/>
            <w:vAlign w:val="bottom"/>
          </w:tcPr>
          <w:p>
            <w:pPr>
              <w:jc w:val="right"/>
              <w:ind w:right="310"/>
              <w:spacing w:after="0" w:line="195" w:lineRule="exact"/>
              <w:rPr>
                <w:sz w:val="20"/>
                <w:szCs w:val="20"/>
                <w:color w:val="auto"/>
              </w:rPr>
            </w:pPr>
            <w:r>
              <w:rPr>
                <w:rFonts w:ascii="Arial" w:cs="Arial" w:eastAsia="Arial" w:hAnsi="Arial"/>
                <w:sz w:val="18"/>
                <w:szCs w:val="18"/>
                <w:color w:val="auto"/>
              </w:rPr>
              <w:t>-</w:t>
            </w:r>
          </w:p>
        </w:tc>
        <w:tc>
          <w:tcPr>
            <w:tcW w:w="1680" w:type="dxa"/>
            <w:vAlign w:val="bottom"/>
          </w:tcPr>
          <w:p>
            <w:pPr>
              <w:spacing w:after="0"/>
              <w:rPr>
                <w:sz w:val="16"/>
                <w:szCs w:val="16"/>
                <w:color w:val="auto"/>
              </w:rPr>
            </w:pPr>
          </w:p>
        </w:tc>
      </w:tr>
      <w:tr>
        <w:trPr>
          <w:trHeight w:val="203"/>
        </w:trPr>
        <w:tc>
          <w:tcPr>
            <w:tcW w:w="4700" w:type="dxa"/>
            <w:vAlign w:val="bottom"/>
          </w:tcPr>
          <w:p>
            <w:pPr>
              <w:ind w:left="80"/>
              <w:spacing w:after="0" w:line="202" w:lineRule="exact"/>
              <w:rPr>
                <w:sz w:val="20"/>
                <w:szCs w:val="20"/>
                <w:color w:val="auto"/>
              </w:rPr>
            </w:pPr>
            <w:r>
              <w:rPr>
                <w:rFonts w:ascii="Arial" w:cs="Arial" w:eastAsia="Arial" w:hAnsi="Arial"/>
                <w:sz w:val="18"/>
                <w:szCs w:val="18"/>
                <w:color w:val="auto"/>
              </w:rPr>
              <w:t>Payments</w:t>
            </w:r>
          </w:p>
        </w:tc>
        <w:tc>
          <w:tcPr>
            <w:tcW w:w="20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(44,347)</w:t>
            </w:r>
          </w:p>
        </w:tc>
        <w:tc>
          <w:tcPr>
            <w:tcW w:w="172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$24.62</w:t>
            </w:r>
          </w:p>
        </w:tc>
        <w:tc>
          <w:tcPr>
            <w:tcW w:w="1680" w:type="dxa"/>
            <w:vAlign w:val="bottom"/>
          </w:tcPr>
          <w:p>
            <w:pPr>
              <w:spacing w:after="0"/>
              <w:rPr>
                <w:sz w:val="17"/>
                <w:szCs w:val="17"/>
                <w:color w:val="auto"/>
              </w:rPr>
            </w:pPr>
          </w:p>
        </w:tc>
      </w:tr>
      <w:tr>
        <w:trPr>
          <w:trHeight w:val="217"/>
        </w:trPr>
        <w:tc>
          <w:tcPr>
            <w:tcW w:w="47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Shares accrued based on 2012 performance</w:t>
            </w:r>
          </w:p>
        </w:tc>
        <w:tc>
          <w:tcPr>
            <w:tcW w:w="2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112,428</w:t>
            </w:r>
          </w:p>
        </w:tc>
        <w:tc>
          <w:tcPr>
            <w:tcW w:w="17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$27.15</w:t>
            </w:r>
          </w:p>
        </w:tc>
        <w:tc>
          <w:tcPr>
            <w:tcW w:w="1680" w:type="dxa"/>
            <w:vAlign w:val="bottom"/>
            <w:tcBorders>
              <w:bottom w:val="single" w:sz="8" w:color="auto"/>
            </w:tcBorders>
          </w:tcPr>
          <w:p>
            <w:pPr>
              <w:spacing w:after="0"/>
              <w:rPr>
                <w:sz w:val="18"/>
                <w:szCs w:val="18"/>
                <w:color w:val="auto"/>
              </w:rPr>
            </w:pPr>
          </w:p>
        </w:tc>
      </w:tr>
      <w:tr>
        <w:trPr>
          <w:trHeight w:val="196"/>
        </w:trPr>
        <w:tc>
          <w:tcPr>
            <w:tcW w:w="4700" w:type="dxa"/>
            <w:vAlign w:val="bottom"/>
            <w:tcBorders>
              <w:bottom w:val="single" w:sz="8" w:color="auto"/>
            </w:tcBorders>
          </w:tcPr>
          <w:p>
            <w:pPr>
              <w:ind w:left="80"/>
              <w:spacing w:after="0" w:line="196" w:lineRule="exact"/>
              <w:rPr>
                <w:sz w:val="20"/>
                <w:szCs w:val="20"/>
                <w:color w:val="auto"/>
              </w:rPr>
            </w:pPr>
            <w:r>
              <w:rPr>
                <w:rFonts w:ascii="Arial" w:cs="Arial" w:eastAsia="Arial" w:hAnsi="Arial"/>
                <w:sz w:val="18"/>
                <w:szCs w:val="18"/>
                <w:color w:val="auto"/>
              </w:rPr>
              <w:t>Shares potentially payable at December 31, 2012</w:t>
            </w:r>
          </w:p>
        </w:tc>
        <w:tc>
          <w:tcPr>
            <w:tcW w:w="206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rPr>
              <w:t>229,361</w:t>
            </w:r>
          </w:p>
        </w:tc>
        <w:tc>
          <w:tcPr>
            <w:tcW w:w="172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rPr>
              <w:t>$24.13</w:t>
            </w:r>
          </w:p>
        </w:tc>
        <w:tc>
          <w:tcPr>
            <w:tcW w:w="168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$5,202</w:t>
            </w:r>
          </w:p>
        </w:tc>
      </w:tr>
      <w:tr>
        <w:trPr>
          <w:trHeight w:val="195"/>
        </w:trPr>
        <w:tc>
          <w:tcPr>
            <w:tcW w:w="4700" w:type="dxa"/>
            <w:vAlign w:val="bottom"/>
          </w:tcPr>
          <w:p>
            <w:pPr>
              <w:ind w:left="80"/>
              <w:spacing w:after="0" w:line="195" w:lineRule="exact"/>
              <w:rPr>
                <w:sz w:val="20"/>
                <w:szCs w:val="20"/>
                <w:color w:val="auto"/>
              </w:rPr>
            </w:pPr>
            <w:r>
              <w:rPr>
                <w:rFonts w:ascii="Arial" w:cs="Arial" w:eastAsia="Arial" w:hAnsi="Arial"/>
                <w:sz w:val="18"/>
                <w:szCs w:val="18"/>
                <w:color w:val="auto"/>
              </w:rPr>
              <w:t>Forfeitures</w:t>
            </w:r>
          </w:p>
        </w:tc>
        <w:tc>
          <w:tcPr>
            <w:tcW w:w="2060" w:type="dxa"/>
            <w:vAlign w:val="bottom"/>
          </w:tcPr>
          <w:p>
            <w:pPr>
              <w:jc w:val="right"/>
              <w:ind w:right="250"/>
              <w:spacing w:after="0" w:line="195" w:lineRule="exact"/>
              <w:rPr>
                <w:sz w:val="20"/>
                <w:szCs w:val="20"/>
                <w:color w:val="auto"/>
              </w:rPr>
            </w:pPr>
            <w:r>
              <w:rPr>
                <w:rFonts w:ascii="Arial" w:cs="Arial" w:eastAsia="Arial" w:hAnsi="Arial"/>
                <w:sz w:val="18"/>
                <w:szCs w:val="18"/>
                <w:color w:val="auto"/>
              </w:rPr>
              <w:t>-</w:t>
            </w:r>
          </w:p>
        </w:tc>
        <w:tc>
          <w:tcPr>
            <w:tcW w:w="1720" w:type="dxa"/>
            <w:vAlign w:val="bottom"/>
          </w:tcPr>
          <w:p>
            <w:pPr>
              <w:jc w:val="right"/>
              <w:ind w:right="310"/>
              <w:spacing w:after="0" w:line="195" w:lineRule="exact"/>
              <w:rPr>
                <w:sz w:val="20"/>
                <w:szCs w:val="20"/>
                <w:color w:val="auto"/>
              </w:rPr>
            </w:pPr>
            <w:r>
              <w:rPr>
                <w:rFonts w:ascii="Arial" w:cs="Arial" w:eastAsia="Arial" w:hAnsi="Arial"/>
                <w:sz w:val="18"/>
                <w:szCs w:val="18"/>
                <w:color w:val="auto"/>
              </w:rPr>
              <w:t>-</w:t>
            </w:r>
          </w:p>
        </w:tc>
        <w:tc>
          <w:tcPr>
            <w:tcW w:w="1680" w:type="dxa"/>
            <w:vAlign w:val="bottom"/>
          </w:tcPr>
          <w:p>
            <w:pPr>
              <w:spacing w:after="0"/>
              <w:rPr>
                <w:sz w:val="16"/>
                <w:szCs w:val="16"/>
                <w:color w:val="auto"/>
              </w:rPr>
            </w:pPr>
          </w:p>
        </w:tc>
      </w:tr>
      <w:tr>
        <w:trPr>
          <w:trHeight w:val="203"/>
        </w:trPr>
        <w:tc>
          <w:tcPr>
            <w:tcW w:w="4700" w:type="dxa"/>
            <w:vAlign w:val="bottom"/>
          </w:tcPr>
          <w:p>
            <w:pPr>
              <w:ind w:left="80"/>
              <w:spacing w:after="0" w:line="202" w:lineRule="exact"/>
              <w:rPr>
                <w:sz w:val="20"/>
                <w:szCs w:val="20"/>
                <w:color w:val="auto"/>
              </w:rPr>
            </w:pPr>
            <w:r>
              <w:rPr>
                <w:rFonts w:ascii="Arial" w:cs="Arial" w:eastAsia="Arial" w:hAnsi="Arial"/>
                <w:sz w:val="18"/>
                <w:szCs w:val="18"/>
                <w:color w:val="auto"/>
              </w:rPr>
              <w:t>Payments</w:t>
            </w:r>
          </w:p>
        </w:tc>
        <w:tc>
          <w:tcPr>
            <w:tcW w:w="20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(118,364)</w:t>
            </w:r>
          </w:p>
        </w:tc>
        <w:tc>
          <w:tcPr>
            <w:tcW w:w="172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$23.05</w:t>
            </w:r>
          </w:p>
        </w:tc>
        <w:tc>
          <w:tcPr>
            <w:tcW w:w="1680" w:type="dxa"/>
            <w:vAlign w:val="bottom"/>
          </w:tcPr>
          <w:p>
            <w:pPr>
              <w:spacing w:after="0"/>
              <w:rPr>
                <w:sz w:val="17"/>
                <w:szCs w:val="17"/>
                <w:color w:val="auto"/>
              </w:rPr>
            </w:pPr>
          </w:p>
        </w:tc>
      </w:tr>
      <w:tr>
        <w:trPr>
          <w:trHeight w:val="217"/>
        </w:trPr>
        <w:tc>
          <w:tcPr>
            <w:tcW w:w="47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Shares accrued based on 2013 performance</w:t>
            </w:r>
          </w:p>
        </w:tc>
        <w:tc>
          <w:tcPr>
            <w:tcW w:w="2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74,567</w:t>
            </w:r>
          </w:p>
        </w:tc>
        <w:tc>
          <w:tcPr>
            <w:tcW w:w="17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$31.62</w:t>
            </w:r>
          </w:p>
        </w:tc>
        <w:tc>
          <w:tcPr>
            <w:tcW w:w="1680" w:type="dxa"/>
            <w:vAlign w:val="bottom"/>
            <w:tcBorders>
              <w:bottom w:val="single" w:sz="8" w:color="auto"/>
            </w:tcBorders>
          </w:tcPr>
          <w:p>
            <w:pPr>
              <w:spacing w:after="0"/>
              <w:rPr>
                <w:sz w:val="18"/>
                <w:szCs w:val="18"/>
                <w:color w:val="auto"/>
              </w:rPr>
            </w:pPr>
          </w:p>
        </w:tc>
      </w:tr>
      <w:tr>
        <w:trPr>
          <w:trHeight w:val="210"/>
        </w:trPr>
        <w:tc>
          <w:tcPr>
            <w:tcW w:w="47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Shares potentially payable at December 31, 2013</w:t>
            </w:r>
          </w:p>
        </w:tc>
        <w:tc>
          <w:tcPr>
            <w:tcW w:w="2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185,564</w:t>
            </w:r>
          </w:p>
        </w:tc>
        <w:tc>
          <w:tcPr>
            <w:tcW w:w="17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$27.51</w:t>
            </w:r>
          </w:p>
        </w:tc>
        <w:tc>
          <w:tcPr>
            <w:tcW w:w="16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$6,667</w:t>
            </w: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Management share-based compensation:</w:t>
      </w:r>
    </w:p>
    <w:p>
      <w:pPr>
        <w:spacing w:after="0" w:line="193" w:lineRule="exact"/>
        <w:rPr>
          <w:sz w:val="20"/>
          <w:szCs w:val="20"/>
          <w:color w:val="auto"/>
        </w:rPr>
      </w:pPr>
    </w:p>
    <w:p>
      <w:pPr>
        <w:ind w:right="240" w:firstLine="648"/>
        <w:spacing w:after="0" w:line="237" w:lineRule="auto"/>
        <w:rPr>
          <w:sz w:val="20"/>
          <w:szCs w:val="20"/>
          <w:color w:val="auto"/>
        </w:rPr>
      </w:pPr>
      <w:r>
        <w:rPr>
          <w:rFonts w:ascii="Arial" w:cs="Arial" w:eastAsia="Arial" w:hAnsi="Arial"/>
          <w:sz w:val="18"/>
          <w:szCs w:val="18"/>
          <w:color w:val="auto"/>
        </w:rPr>
        <w:t>In 2003, the Company adopted a Restricted Stock Program under which certain key employees are awarded restricted stock units. Such units vest over a five-year period and are paid annually in cash based on current market prices of the Company’s stock. The amount of compensation expense is subject to changes in the market price of the Company’s stock. The amount of compensation cost attributable to such units is recorded in Selling, general and administrative expenses and was $ 2.5 million in 2013, $1.9 million in 2012, and $2.5 million in 2011. The Company has not awarded new restricted stock units since November 2010. However, awards up to that time will continue to vest until 2015.</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8" w:right="239" w:bottom="5" w:gutter="0" w:footer="0" w:header="0"/>
        </w:sectPr>
      </w:pPr>
    </w:p>
    <w:bookmarkStart w:id="87" w:name="page88"/>
    <w:bookmarkEnd w:id="87"/>
    <w:p>
      <w:pPr>
        <w:ind w:right="80" w:firstLine="648"/>
        <w:spacing w:after="0" w:line="239" w:lineRule="auto"/>
        <w:rPr>
          <w:sz w:val="20"/>
          <w:szCs w:val="20"/>
          <w:color w:val="auto"/>
        </w:rPr>
      </w:pPr>
      <w:r>
        <w:rPr>
          <w:rFonts w:ascii="Arial" w:cs="Arial" w:eastAsia="Arial" w:hAnsi="Arial"/>
          <w:sz w:val="18"/>
          <w:szCs w:val="18"/>
          <w:color w:val="auto"/>
        </w:rPr>
        <w:t>In 2012, the Company adopted a Phantom Stock Plan that replaces the Restricted Stock Program. Awards under this program also vest over a five-year period and are paid annually in cash based on current market prices of the Company’s stock. Under this program, employees may earn more or less than the target award based on the Company’s results in the year of the award. Expense recognized for this plan amounted to $1.5 million in 2013 and $0.5 million in 2012.</w:t>
      </w:r>
    </w:p>
    <w:p>
      <w:pPr>
        <w:spacing w:after="0" w:line="161" w:lineRule="exact"/>
        <w:rPr>
          <w:sz w:val="20"/>
          <w:szCs w:val="20"/>
          <w:color w:val="auto"/>
        </w:rPr>
      </w:pPr>
    </w:p>
    <w:p>
      <w:pPr>
        <w:ind w:right="60" w:firstLine="648"/>
        <w:spacing w:after="0" w:line="238" w:lineRule="auto"/>
        <w:rPr>
          <w:sz w:val="20"/>
          <w:szCs w:val="20"/>
          <w:color w:val="auto"/>
        </w:rPr>
      </w:pPr>
      <w:r>
        <w:rPr>
          <w:rFonts w:ascii="Arial" w:cs="Arial" w:eastAsia="Arial" w:hAnsi="Arial"/>
          <w:sz w:val="18"/>
          <w:szCs w:val="18"/>
          <w:color w:val="auto"/>
        </w:rPr>
        <w:t>In 2008, the Company granted restricted stock units to certain executives. Upon vesting, each restricted stock unit is payable in cash. These grants vested in 2011 and 2012. Expense recognized for these grants was $0.5 million in 2012 and $ 1.3 million in 2011. In 2012, the Company granted additional restricted stock units to two executives. The amount of compensation expense is subject to changes in the market price of the Company’s stock and is recorded in Selling, general, and administrative expenses. These grants will vest various periods from 2015 to 2017. Expense recognized for these grants was $1.0 million in 2013 and $0.4 million in 2012.</w:t>
      </w:r>
    </w:p>
    <w:p>
      <w:pPr>
        <w:spacing w:after="0" w:line="176" w:lineRule="exact"/>
        <w:rPr>
          <w:sz w:val="20"/>
          <w:szCs w:val="20"/>
          <w:color w:val="auto"/>
        </w:rPr>
      </w:pPr>
    </w:p>
    <w:p>
      <w:pPr>
        <w:jc w:val="both"/>
        <w:ind w:right="560" w:firstLine="648"/>
        <w:spacing w:after="0"/>
        <w:rPr>
          <w:sz w:val="20"/>
          <w:szCs w:val="20"/>
          <w:color w:val="auto"/>
        </w:rPr>
      </w:pPr>
      <w:r>
        <w:rPr>
          <w:rFonts w:ascii="Arial" w:cs="Arial" w:eastAsia="Arial" w:hAnsi="Arial"/>
          <w:sz w:val="18"/>
          <w:szCs w:val="18"/>
          <w:color w:val="auto"/>
        </w:rPr>
        <w:t>The determination of compensation expense for other management share-based compensation plans is based on the number of outstanding share units, the end-of-period share price, and company performance. Share units payable under these plans generally vest immediately prior to payment. Information with respect to these plans is presented below:</w:t>
      </w:r>
    </w:p>
    <w:p>
      <w:pPr>
        <w:spacing w:after="0" w:line="143" w:lineRule="exact"/>
        <w:rPr>
          <w:sz w:val="20"/>
          <w:szCs w:val="20"/>
          <w:color w:val="auto"/>
        </w:rPr>
      </w:pPr>
    </w:p>
    <w:tbl>
      <w:tblPr>
        <w:tblLayout w:type="fixed"/>
        <w:tblInd w:w="640" w:type="dxa"/>
        <w:tblCellMar>
          <w:top w:w="0" w:type="dxa"/>
          <w:left w:w="0" w:type="dxa"/>
          <w:bottom w:w="0" w:type="dxa"/>
          <w:right w:w="0" w:type="dxa"/>
        </w:tblCellMar>
      </w:tblPr>
      <w:tr>
        <w:trPr>
          <w:trHeight w:val="193"/>
        </w:trPr>
        <w:tc>
          <w:tcPr>
            <w:tcW w:w="468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2040" w:type="dxa"/>
            <w:vAlign w:val="bottom"/>
            <w:tcBorders>
              <w:top w:val="single" w:sz="8" w:color="auto"/>
            </w:tcBorders>
          </w:tcPr>
          <w:p>
            <w:pPr>
              <w:spacing w:after="0"/>
              <w:rPr>
                <w:sz w:val="16"/>
                <w:szCs w:val="16"/>
                <w:color w:val="auto"/>
              </w:rPr>
            </w:pPr>
          </w:p>
        </w:tc>
        <w:tc>
          <w:tcPr>
            <w:tcW w:w="2080" w:type="dxa"/>
            <w:vAlign w:val="bottom"/>
            <w:tcBorders>
              <w:top w:val="single" w:sz="8" w:color="auto"/>
            </w:tcBorders>
          </w:tcPr>
          <w:p>
            <w:pPr>
              <w:ind w:left="260"/>
              <w:spacing w:after="0" w:line="194" w:lineRule="exact"/>
              <w:rPr>
                <w:sz w:val="20"/>
                <w:szCs w:val="20"/>
                <w:color w:val="auto"/>
              </w:rPr>
            </w:pPr>
            <w:r>
              <w:rPr>
                <w:rFonts w:ascii="Arial" w:cs="Arial" w:eastAsia="Arial" w:hAnsi="Arial"/>
                <w:sz w:val="18"/>
                <w:szCs w:val="18"/>
                <w:b w:val="1"/>
                <w:bCs w:val="1"/>
                <w:color w:val="auto"/>
              </w:rPr>
              <w:t>Cash paid for share</w:t>
            </w:r>
          </w:p>
        </w:tc>
      </w:tr>
      <w:tr>
        <w:trPr>
          <w:trHeight w:val="203"/>
        </w:trPr>
        <w:tc>
          <w:tcPr>
            <w:tcW w:w="4680" w:type="dxa"/>
            <w:vAlign w:val="bottom"/>
          </w:tcPr>
          <w:p>
            <w:pPr>
              <w:spacing w:after="0"/>
              <w:rPr>
                <w:sz w:val="17"/>
                <w:szCs w:val="17"/>
                <w:color w:val="auto"/>
              </w:rPr>
            </w:pPr>
          </w:p>
        </w:tc>
        <w:tc>
          <w:tcPr>
            <w:tcW w:w="1360" w:type="dxa"/>
            <w:vAlign w:val="bottom"/>
          </w:tcPr>
          <w:p>
            <w:pPr>
              <w:ind w:left="320"/>
              <w:spacing w:after="0" w:line="202" w:lineRule="exact"/>
              <w:rPr>
                <w:sz w:val="20"/>
                <w:szCs w:val="20"/>
                <w:color w:val="auto"/>
              </w:rPr>
            </w:pPr>
            <w:r>
              <w:rPr>
                <w:rFonts w:ascii="Arial" w:cs="Arial" w:eastAsia="Arial" w:hAnsi="Arial"/>
                <w:sz w:val="18"/>
                <w:szCs w:val="18"/>
                <w:b w:val="1"/>
                <w:bCs w:val="1"/>
                <w:color w:val="auto"/>
              </w:rPr>
              <w:t>Number of</w:t>
            </w:r>
          </w:p>
        </w:tc>
        <w:tc>
          <w:tcPr>
            <w:tcW w:w="204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Weighted average</w:t>
            </w:r>
          </w:p>
        </w:tc>
        <w:tc>
          <w:tcPr>
            <w:tcW w:w="2080" w:type="dxa"/>
            <w:vAlign w:val="bottom"/>
          </w:tcPr>
          <w:p>
            <w:pPr>
              <w:ind w:left="260"/>
              <w:spacing w:after="0" w:line="202" w:lineRule="exact"/>
              <w:rPr>
                <w:sz w:val="20"/>
                <w:szCs w:val="20"/>
                <w:color w:val="auto"/>
              </w:rPr>
            </w:pPr>
            <w:r>
              <w:rPr>
                <w:rFonts w:ascii="Arial" w:cs="Arial" w:eastAsia="Arial" w:hAnsi="Arial"/>
                <w:sz w:val="18"/>
                <w:szCs w:val="18"/>
                <w:b w:val="1"/>
                <w:bCs w:val="1"/>
                <w:color w:val="auto"/>
              </w:rPr>
              <w:t>based</w:t>
            </w:r>
          </w:p>
        </w:tc>
      </w:tr>
      <w:tr>
        <w:trPr>
          <w:trHeight w:val="225"/>
        </w:trPr>
        <w:tc>
          <w:tcPr>
            <w:tcW w:w="46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shares</w:t>
            </w:r>
          </w:p>
        </w:tc>
        <w:tc>
          <w:tcPr>
            <w:tcW w:w="20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value per share</w:t>
            </w:r>
          </w:p>
        </w:tc>
        <w:tc>
          <w:tcPr>
            <w:tcW w:w="208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liabilities(000's)</w:t>
            </w:r>
          </w:p>
        </w:tc>
      </w:tr>
      <w:tr>
        <w:trPr>
          <w:trHeight w:val="195"/>
        </w:trPr>
        <w:tc>
          <w:tcPr>
            <w:tcW w:w="4680" w:type="dxa"/>
            <w:vAlign w:val="bottom"/>
          </w:tcPr>
          <w:p>
            <w:pPr>
              <w:ind w:left="80"/>
              <w:spacing w:after="0" w:line="195" w:lineRule="exact"/>
              <w:rPr>
                <w:sz w:val="20"/>
                <w:szCs w:val="20"/>
                <w:color w:val="auto"/>
              </w:rPr>
            </w:pPr>
            <w:r>
              <w:rPr>
                <w:rFonts w:ascii="Arial" w:cs="Arial" w:eastAsia="Arial" w:hAnsi="Arial"/>
                <w:sz w:val="18"/>
                <w:szCs w:val="18"/>
                <w:color w:val="auto"/>
              </w:rPr>
              <w:t>Share units potentially payable at January 1, 2011</w:t>
            </w:r>
          </w:p>
        </w:tc>
        <w:tc>
          <w:tcPr>
            <w:tcW w:w="1360" w:type="dxa"/>
            <w:vAlign w:val="bottom"/>
          </w:tcPr>
          <w:p>
            <w:pPr>
              <w:jc w:val="right"/>
              <w:ind w:right="210"/>
              <w:spacing w:after="0" w:line="195" w:lineRule="exact"/>
              <w:rPr>
                <w:sz w:val="20"/>
                <w:szCs w:val="20"/>
                <w:color w:val="auto"/>
              </w:rPr>
            </w:pPr>
            <w:r>
              <w:rPr>
                <w:rFonts w:ascii="Arial" w:cs="Arial" w:eastAsia="Arial" w:hAnsi="Arial"/>
                <w:sz w:val="18"/>
                <w:szCs w:val="18"/>
                <w:color w:val="auto"/>
              </w:rPr>
              <w:t>643,232</w:t>
            </w:r>
          </w:p>
        </w:tc>
        <w:tc>
          <w:tcPr>
            <w:tcW w:w="2040" w:type="dxa"/>
            <w:vAlign w:val="bottom"/>
          </w:tcPr>
          <w:p>
            <w:pPr>
              <w:spacing w:after="0"/>
              <w:rPr>
                <w:sz w:val="16"/>
                <w:szCs w:val="16"/>
                <w:color w:val="auto"/>
              </w:rPr>
            </w:pPr>
          </w:p>
        </w:tc>
        <w:tc>
          <w:tcPr>
            <w:tcW w:w="2080" w:type="dxa"/>
            <w:vAlign w:val="bottom"/>
          </w:tcPr>
          <w:p>
            <w:pPr>
              <w:spacing w:after="0"/>
              <w:rPr>
                <w:sz w:val="16"/>
                <w:szCs w:val="16"/>
                <w:color w:val="auto"/>
              </w:rPr>
            </w:pPr>
          </w:p>
        </w:tc>
      </w:tr>
      <w:tr>
        <w:trPr>
          <w:trHeight w:val="203"/>
        </w:trPr>
        <w:tc>
          <w:tcPr>
            <w:tcW w:w="4680" w:type="dxa"/>
            <w:vAlign w:val="bottom"/>
          </w:tcPr>
          <w:p>
            <w:pPr>
              <w:ind w:left="80"/>
              <w:spacing w:after="0" w:line="202" w:lineRule="exact"/>
              <w:rPr>
                <w:sz w:val="20"/>
                <w:szCs w:val="20"/>
                <w:color w:val="auto"/>
              </w:rPr>
            </w:pPr>
            <w:r>
              <w:rPr>
                <w:rFonts w:ascii="Arial" w:cs="Arial" w:eastAsia="Arial" w:hAnsi="Arial"/>
                <w:sz w:val="18"/>
                <w:szCs w:val="18"/>
                <w:color w:val="auto"/>
              </w:rPr>
              <w:t>Grants</w:t>
            </w:r>
          </w:p>
        </w:tc>
        <w:tc>
          <w:tcPr>
            <w:tcW w:w="136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13,037</w:t>
            </w:r>
          </w:p>
        </w:tc>
        <w:tc>
          <w:tcPr>
            <w:tcW w:w="204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203"/>
        </w:trPr>
        <w:tc>
          <w:tcPr>
            <w:tcW w:w="4680" w:type="dxa"/>
            <w:vAlign w:val="bottom"/>
          </w:tcPr>
          <w:p>
            <w:pPr>
              <w:ind w:left="80"/>
              <w:spacing w:after="0" w:line="202" w:lineRule="exact"/>
              <w:rPr>
                <w:sz w:val="20"/>
                <w:szCs w:val="20"/>
                <w:color w:val="auto"/>
              </w:rPr>
            </w:pPr>
            <w:r>
              <w:rPr>
                <w:rFonts w:ascii="Arial" w:cs="Arial" w:eastAsia="Arial" w:hAnsi="Arial"/>
                <w:sz w:val="18"/>
                <w:szCs w:val="18"/>
                <w:color w:val="auto"/>
              </w:rPr>
              <w:t>Payments</w:t>
            </w:r>
          </w:p>
        </w:tc>
        <w:tc>
          <w:tcPr>
            <w:tcW w:w="136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(265,574)</w:t>
            </w:r>
          </w:p>
        </w:tc>
        <w:tc>
          <w:tcPr>
            <w:tcW w:w="204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$21.57</w:t>
            </w:r>
          </w:p>
        </w:tc>
        <w:tc>
          <w:tcPr>
            <w:tcW w:w="208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$5,727</w:t>
            </w:r>
          </w:p>
        </w:tc>
      </w:tr>
      <w:tr>
        <w:trPr>
          <w:trHeight w:val="217"/>
        </w:trPr>
        <w:tc>
          <w:tcPr>
            <w:tcW w:w="46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Forfeitures</w:t>
            </w:r>
          </w:p>
        </w:tc>
        <w:tc>
          <w:tcPr>
            <w:tcW w:w="1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(29,276)</w:t>
            </w:r>
          </w:p>
        </w:tc>
        <w:tc>
          <w:tcPr>
            <w:tcW w:w="20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spacing w:after="0"/>
              <w:rPr>
                <w:sz w:val="18"/>
                <w:szCs w:val="18"/>
                <w:color w:val="auto"/>
              </w:rPr>
            </w:pPr>
          </w:p>
        </w:tc>
      </w:tr>
      <w:tr>
        <w:trPr>
          <w:trHeight w:val="196"/>
        </w:trPr>
        <w:tc>
          <w:tcPr>
            <w:tcW w:w="4680" w:type="dxa"/>
            <w:vAlign w:val="bottom"/>
            <w:tcBorders>
              <w:bottom w:val="single" w:sz="8" w:color="auto"/>
            </w:tcBorders>
          </w:tcPr>
          <w:p>
            <w:pPr>
              <w:ind w:left="80"/>
              <w:spacing w:after="0" w:line="196" w:lineRule="exact"/>
              <w:rPr>
                <w:sz w:val="20"/>
                <w:szCs w:val="20"/>
                <w:color w:val="auto"/>
              </w:rPr>
            </w:pPr>
            <w:r>
              <w:rPr>
                <w:rFonts w:ascii="Arial" w:cs="Arial" w:eastAsia="Arial" w:hAnsi="Arial"/>
                <w:sz w:val="18"/>
                <w:szCs w:val="18"/>
                <w:color w:val="auto"/>
              </w:rPr>
              <w:t>Share units potentially payable at December 31, 2011</w:t>
            </w:r>
          </w:p>
        </w:tc>
        <w:tc>
          <w:tcPr>
            <w:tcW w:w="136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361,419</w:t>
            </w:r>
          </w:p>
        </w:tc>
        <w:tc>
          <w:tcPr>
            <w:tcW w:w="204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spacing w:after="0"/>
              <w:rPr>
                <w:sz w:val="17"/>
                <w:szCs w:val="17"/>
                <w:color w:val="auto"/>
              </w:rPr>
            </w:pPr>
          </w:p>
        </w:tc>
      </w:tr>
      <w:tr>
        <w:trPr>
          <w:trHeight w:val="195"/>
        </w:trPr>
        <w:tc>
          <w:tcPr>
            <w:tcW w:w="4680" w:type="dxa"/>
            <w:vAlign w:val="bottom"/>
          </w:tcPr>
          <w:p>
            <w:pPr>
              <w:ind w:left="80"/>
              <w:spacing w:after="0" w:line="195" w:lineRule="exact"/>
              <w:rPr>
                <w:sz w:val="20"/>
                <w:szCs w:val="20"/>
                <w:color w:val="auto"/>
              </w:rPr>
            </w:pPr>
            <w:r>
              <w:rPr>
                <w:rFonts w:ascii="Arial" w:cs="Arial" w:eastAsia="Arial" w:hAnsi="Arial"/>
                <w:sz w:val="18"/>
                <w:szCs w:val="18"/>
                <w:color w:val="auto"/>
              </w:rPr>
              <w:t>Grants</w:t>
            </w:r>
          </w:p>
        </w:tc>
        <w:tc>
          <w:tcPr>
            <w:tcW w:w="1360" w:type="dxa"/>
            <w:vAlign w:val="bottom"/>
          </w:tcPr>
          <w:p>
            <w:pPr>
              <w:jc w:val="right"/>
              <w:ind w:right="210"/>
              <w:spacing w:after="0" w:line="195" w:lineRule="exact"/>
              <w:rPr>
                <w:sz w:val="20"/>
                <w:szCs w:val="20"/>
                <w:color w:val="auto"/>
              </w:rPr>
            </w:pPr>
            <w:r>
              <w:rPr>
                <w:rFonts w:ascii="Arial" w:cs="Arial" w:eastAsia="Arial" w:hAnsi="Arial"/>
                <w:sz w:val="18"/>
                <w:szCs w:val="18"/>
                <w:color w:val="auto"/>
              </w:rPr>
              <w:t>220,090</w:t>
            </w:r>
          </w:p>
        </w:tc>
        <w:tc>
          <w:tcPr>
            <w:tcW w:w="2040" w:type="dxa"/>
            <w:vAlign w:val="bottom"/>
          </w:tcPr>
          <w:p>
            <w:pPr>
              <w:spacing w:after="0"/>
              <w:rPr>
                <w:sz w:val="16"/>
                <w:szCs w:val="16"/>
                <w:color w:val="auto"/>
              </w:rPr>
            </w:pPr>
          </w:p>
        </w:tc>
        <w:tc>
          <w:tcPr>
            <w:tcW w:w="2080" w:type="dxa"/>
            <w:vAlign w:val="bottom"/>
          </w:tcPr>
          <w:p>
            <w:pPr>
              <w:spacing w:after="0"/>
              <w:rPr>
                <w:sz w:val="16"/>
                <w:szCs w:val="16"/>
                <w:color w:val="auto"/>
              </w:rPr>
            </w:pPr>
          </w:p>
        </w:tc>
      </w:tr>
      <w:tr>
        <w:trPr>
          <w:trHeight w:val="203"/>
        </w:trPr>
        <w:tc>
          <w:tcPr>
            <w:tcW w:w="4680" w:type="dxa"/>
            <w:vAlign w:val="bottom"/>
          </w:tcPr>
          <w:p>
            <w:pPr>
              <w:ind w:left="80"/>
              <w:spacing w:after="0" w:line="202" w:lineRule="exact"/>
              <w:rPr>
                <w:sz w:val="20"/>
                <w:szCs w:val="20"/>
                <w:color w:val="auto"/>
              </w:rPr>
            </w:pPr>
            <w:r>
              <w:rPr>
                <w:rFonts w:ascii="Arial" w:cs="Arial" w:eastAsia="Arial" w:hAnsi="Arial"/>
                <w:sz w:val="18"/>
                <w:szCs w:val="18"/>
                <w:color w:val="auto"/>
              </w:rPr>
              <w:t>Payments</w:t>
            </w:r>
          </w:p>
        </w:tc>
        <w:tc>
          <w:tcPr>
            <w:tcW w:w="136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(196,360)</w:t>
            </w:r>
          </w:p>
        </w:tc>
        <w:tc>
          <w:tcPr>
            <w:tcW w:w="204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$21.43</w:t>
            </w:r>
          </w:p>
        </w:tc>
        <w:tc>
          <w:tcPr>
            <w:tcW w:w="208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$4,206</w:t>
            </w:r>
          </w:p>
        </w:tc>
      </w:tr>
      <w:tr>
        <w:trPr>
          <w:trHeight w:val="217"/>
        </w:trPr>
        <w:tc>
          <w:tcPr>
            <w:tcW w:w="46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Forfeitures</w:t>
            </w:r>
          </w:p>
        </w:tc>
        <w:tc>
          <w:tcPr>
            <w:tcW w:w="1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(34,389)</w:t>
            </w:r>
          </w:p>
        </w:tc>
        <w:tc>
          <w:tcPr>
            <w:tcW w:w="20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spacing w:after="0"/>
              <w:rPr>
                <w:sz w:val="18"/>
                <w:szCs w:val="18"/>
                <w:color w:val="auto"/>
              </w:rPr>
            </w:pPr>
          </w:p>
        </w:tc>
      </w:tr>
      <w:tr>
        <w:trPr>
          <w:trHeight w:val="196"/>
        </w:trPr>
        <w:tc>
          <w:tcPr>
            <w:tcW w:w="4680" w:type="dxa"/>
            <w:vAlign w:val="bottom"/>
            <w:tcBorders>
              <w:bottom w:val="single" w:sz="8" w:color="auto"/>
            </w:tcBorders>
          </w:tcPr>
          <w:p>
            <w:pPr>
              <w:ind w:left="80"/>
              <w:spacing w:after="0" w:line="196" w:lineRule="exact"/>
              <w:rPr>
                <w:sz w:val="20"/>
                <w:szCs w:val="20"/>
                <w:color w:val="auto"/>
              </w:rPr>
            </w:pPr>
            <w:r>
              <w:rPr>
                <w:rFonts w:ascii="Arial" w:cs="Arial" w:eastAsia="Arial" w:hAnsi="Arial"/>
                <w:sz w:val="18"/>
                <w:szCs w:val="18"/>
                <w:color w:val="auto"/>
              </w:rPr>
              <w:t>Share units potentially payable at December 31, 2012</w:t>
            </w:r>
          </w:p>
        </w:tc>
        <w:tc>
          <w:tcPr>
            <w:tcW w:w="136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350,760</w:t>
            </w:r>
          </w:p>
        </w:tc>
        <w:tc>
          <w:tcPr>
            <w:tcW w:w="204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spacing w:after="0"/>
              <w:rPr>
                <w:sz w:val="17"/>
                <w:szCs w:val="17"/>
                <w:color w:val="auto"/>
              </w:rPr>
            </w:pPr>
          </w:p>
        </w:tc>
      </w:tr>
      <w:tr>
        <w:trPr>
          <w:trHeight w:val="195"/>
        </w:trPr>
        <w:tc>
          <w:tcPr>
            <w:tcW w:w="4680" w:type="dxa"/>
            <w:vAlign w:val="bottom"/>
          </w:tcPr>
          <w:p>
            <w:pPr>
              <w:ind w:left="80"/>
              <w:spacing w:after="0" w:line="195" w:lineRule="exact"/>
              <w:rPr>
                <w:sz w:val="20"/>
                <w:szCs w:val="20"/>
                <w:color w:val="auto"/>
              </w:rPr>
            </w:pPr>
            <w:r>
              <w:rPr>
                <w:rFonts w:ascii="Arial" w:cs="Arial" w:eastAsia="Arial" w:hAnsi="Arial"/>
                <w:sz w:val="18"/>
                <w:szCs w:val="18"/>
                <w:color w:val="auto"/>
              </w:rPr>
              <w:t>Grants</w:t>
            </w:r>
          </w:p>
        </w:tc>
        <w:tc>
          <w:tcPr>
            <w:tcW w:w="1360" w:type="dxa"/>
            <w:vAlign w:val="bottom"/>
          </w:tcPr>
          <w:p>
            <w:pPr>
              <w:jc w:val="right"/>
              <w:ind w:right="210"/>
              <w:spacing w:after="0" w:line="195" w:lineRule="exact"/>
              <w:rPr>
                <w:sz w:val="20"/>
                <w:szCs w:val="20"/>
                <w:color w:val="auto"/>
              </w:rPr>
            </w:pPr>
            <w:r>
              <w:rPr>
                <w:rFonts w:ascii="Arial" w:cs="Arial" w:eastAsia="Arial" w:hAnsi="Arial"/>
                <w:sz w:val="18"/>
                <w:szCs w:val="18"/>
                <w:color w:val="auto"/>
              </w:rPr>
              <w:t>104,554</w:t>
            </w:r>
          </w:p>
        </w:tc>
        <w:tc>
          <w:tcPr>
            <w:tcW w:w="2040" w:type="dxa"/>
            <w:vAlign w:val="bottom"/>
          </w:tcPr>
          <w:p>
            <w:pPr>
              <w:spacing w:after="0"/>
              <w:rPr>
                <w:sz w:val="16"/>
                <w:szCs w:val="16"/>
                <w:color w:val="auto"/>
              </w:rPr>
            </w:pPr>
          </w:p>
        </w:tc>
        <w:tc>
          <w:tcPr>
            <w:tcW w:w="2080" w:type="dxa"/>
            <w:vAlign w:val="bottom"/>
          </w:tcPr>
          <w:p>
            <w:pPr>
              <w:spacing w:after="0"/>
              <w:rPr>
                <w:sz w:val="16"/>
                <w:szCs w:val="16"/>
                <w:color w:val="auto"/>
              </w:rPr>
            </w:pPr>
          </w:p>
        </w:tc>
      </w:tr>
      <w:tr>
        <w:trPr>
          <w:trHeight w:val="203"/>
        </w:trPr>
        <w:tc>
          <w:tcPr>
            <w:tcW w:w="4680" w:type="dxa"/>
            <w:vAlign w:val="bottom"/>
          </w:tcPr>
          <w:p>
            <w:pPr>
              <w:ind w:left="80"/>
              <w:spacing w:after="0" w:line="202" w:lineRule="exact"/>
              <w:rPr>
                <w:sz w:val="20"/>
                <w:szCs w:val="20"/>
                <w:color w:val="auto"/>
              </w:rPr>
            </w:pPr>
            <w:r>
              <w:rPr>
                <w:rFonts w:ascii="Arial" w:cs="Arial" w:eastAsia="Arial" w:hAnsi="Arial"/>
                <w:sz w:val="18"/>
                <w:szCs w:val="18"/>
                <w:color w:val="auto"/>
              </w:rPr>
              <w:t>Payments</w:t>
            </w:r>
          </w:p>
        </w:tc>
        <w:tc>
          <w:tcPr>
            <w:tcW w:w="136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(85,902)</w:t>
            </w:r>
          </w:p>
        </w:tc>
        <w:tc>
          <w:tcPr>
            <w:tcW w:w="204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$32.71</w:t>
            </w:r>
          </w:p>
        </w:tc>
        <w:tc>
          <w:tcPr>
            <w:tcW w:w="208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$2,810</w:t>
            </w:r>
          </w:p>
        </w:tc>
      </w:tr>
      <w:tr>
        <w:trPr>
          <w:trHeight w:val="217"/>
        </w:trPr>
        <w:tc>
          <w:tcPr>
            <w:tcW w:w="46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Forfeitures</w:t>
            </w:r>
          </w:p>
        </w:tc>
        <w:tc>
          <w:tcPr>
            <w:tcW w:w="1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(8,223)</w:t>
            </w:r>
          </w:p>
        </w:tc>
        <w:tc>
          <w:tcPr>
            <w:tcW w:w="20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spacing w:after="0"/>
              <w:rPr>
                <w:sz w:val="18"/>
                <w:szCs w:val="18"/>
                <w:color w:val="auto"/>
              </w:rPr>
            </w:pPr>
          </w:p>
        </w:tc>
      </w:tr>
      <w:tr>
        <w:trPr>
          <w:trHeight w:val="210"/>
        </w:trPr>
        <w:tc>
          <w:tcPr>
            <w:tcW w:w="46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Share units potentially payable at December 31, 2013</w:t>
            </w:r>
          </w:p>
        </w:tc>
        <w:tc>
          <w:tcPr>
            <w:tcW w:w="13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361,189</w:t>
            </w:r>
          </w:p>
        </w:tc>
        <w:tc>
          <w:tcPr>
            <w:tcW w:w="20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spacing w:after="0"/>
              <w:rPr>
                <w:sz w:val="18"/>
                <w:szCs w:val="18"/>
                <w:color w:val="auto"/>
              </w:rPr>
            </w:pPr>
          </w:p>
        </w:tc>
      </w:tr>
    </w:tbl>
    <w:p>
      <w:pPr>
        <w:spacing w:after="0" w:line="175"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The Company maintains a voluntary savings plan covering substantially all employees in the United States. The Plan, known as the ProsperityPlus Savings Plan, is a qualified plan under section 401(k) of the U.S. Internal Revenue Code. Under the plan, employees may make contributions of 1% to 15% of their wages, subject to contribution limitations specified in the Internal Revenue Code. The Company matches between 50% and 100% of each dollar contributed by employees up to a maximum of 5% of pretax income. Prior to February 2011, the Company match was in the form of Class A Common Stock, but the Company has made matching contributions in cash since that date. The investment of employee contributions to the plan is self-directed. The Company’s cost of the plan amounted to $4.1 million in 2013, $3.8 million for 2012, and $3.7 million for 2011.</w:t>
      </w:r>
    </w:p>
    <w:p>
      <w:pPr>
        <w:spacing w:after="0" w:line="176" w:lineRule="exact"/>
        <w:rPr>
          <w:sz w:val="20"/>
          <w:szCs w:val="20"/>
          <w:color w:val="auto"/>
        </w:rPr>
      </w:pPr>
    </w:p>
    <w:p>
      <w:pPr>
        <w:ind w:right="260" w:firstLine="648"/>
        <w:spacing w:after="0"/>
        <w:rPr>
          <w:sz w:val="20"/>
          <w:szCs w:val="20"/>
          <w:color w:val="auto"/>
        </w:rPr>
      </w:pPr>
      <w:r>
        <w:rPr>
          <w:rFonts w:ascii="Arial" w:cs="Arial" w:eastAsia="Arial" w:hAnsi="Arial"/>
          <w:sz w:val="18"/>
          <w:szCs w:val="18"/>
          <w:color w:val="auto"/>
        </w:rPr>
        <w:t>The Company’s profit-sharing plan covers substantially all employees in the United States. After the close of each year, the Board of Directors determines the amount of the profit-sharing contribution. Company contributions to the plan are in the form of cash. The expense recorded for this plan was $1.6 million in 2013, $1.8 million in 2012, and $2.3 million in 2011.</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Shareholders’ Equity</w:t>
      </w:r>
    </w:p>
    <w:p>
      <w:pPr>
        <w:spacing w:after="0" w:line="207" w:lineRule="exact"/>
        <w:rPr>
          <w:sz w:val="20"/>
          <w:szCs w:val="20"/>
          <w:color w:val="auto"/>
        </w:rPr>
      </w:pPr>
    </w:p>
    <w:p>
      <w:pPr>
        <w:ind w:right="160" w:firstLine="648"/>
        <w:spacing w:after="0" w:line="237" w:lineRule="auto"/>
        <w:rPr>
          <w:sz w:val="20"/>
          <w:szCs w:val="20"/>
          <w:color w:val="auto"/>
        </w:rPr>
      </w:pPr>
      <w:r>
        <w:rPr>
          <w:rFonts w:ascii="Arial" w:cs="Arial" w:eastAsia="Arial" w:hAnsi="Arial"/>
          <w:sz w:val="18"/>
          <w:szCs w:val="18"/>
          <w:color w:val="auto"/>
        </w:rPr>
        <w:t>We have two classes of Common Stock, Class A Common Stock and Class B Common Stock, each with a par value of $0.001 and equal liquidation rights. Each share of our Class A Common Stock is entitled to one vote on all matters submitted to shareholders, and each share of Class B Common Stock is entitled to ten votes. Class A and Class B Common Stock will receive equal dividends as the Board of Directors may determine from time to time. The Class B Common Stock is convertible into an equal number of shares of Class A Common Stock at any time. At December 31, 2013, 3.5 million shares of Class A Common Stock were reserved for the conversion of Class B Common Stock and the exercise of stock options.</w:t>
      </w:r>
    </w:p>
    <w:p>
      <w:pPr>
        <w:spacing w:after="0" w:line="165" w:lineRule="exact"/>
        <w:rPr>
          <w:sz w:val="20"/>
          <w:szCs w:val="20"/>
          <w:color w:val="auto"/>
        </w:rPr>
      </w:pPr>
    </w:p>
    <w:p>
      <w:pPr>
        <w:ind w:right="60" w:firstLine="648"/>
        <w:spacing w:after="0" w:line="239" w:lineRule="auto"/>
        <w:rPr>
          <w:sz w:val="20"/>
          <w:szCs w:val="20"/>
          <w:color w:val="auto"/>
        </w:rPr>
      </w:pPr>
      <w:r>
        <w:rPr>
          <w:rFonts w:ascii="Arial" w:cs="Arial" w:eastAsia="Arial" w:hAnsi="Arial"/>
          <w:sz w:val="18"/>
          <w:szCs w:val="18"/>
          <w:color w:val="auto"/>
        </w:rPr>
        <w:t>In August 2006, we announced that the Board of Directors authorized management to purchase up to 2.0 million additional shares of our Class A Common Stock. The Board’s action authorizes management to purchase shares from time to time, in the open market or otherwise, whenever it believes such purchase to be advantageous to our shareholders, and it is otherwise legally permitted to do so. We have made no share purchases under the August 2006 authorization. Activity in shareholders’ equity for 2011, 2012, and 2013 is presented below:</w:t>
      </w:r>
    </w:p>
    <w:p>
      <w:pPr>
        <w:spacing w:after="0" w:line="1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171"/>
        </w:trPr>
        <w:tc>
          <w:tcPr>
            <w:tcW w:w="3100" w:type="dxa"/>
            <w:vAlign w:val="bottom"/>
          </w:tcPr>
          <w:p>
            <w:pPr>
              <w:spacing w:after="0"/>
              <w:rPr>
                <w:sz w:val="14"/>
                <w:szCs w:val="14"/>
                <w:color w:val="auto"/>
              </w:rPr>
            </w:pPr>
          </w:p>
        </w:tc>
        <w:tc>
          <w:tcPr>
            <w:tcW w:w="1400" w:type="dxa"/>
            <w:vAlign w:val="bottom"/>
            <w:gridSpan w:val="2"/>
          </w:tcPr>
          <w:p>
            <w:pPr>
              <w:jc w:val="right"/>
              <w:ind w:right="488"/>
              <w:spacing w:after="0"/>
              <w:rPr>
                <w:sz w:val="20"/>
                <w:szCs w:val="20"/>
                <w:color w:val="auto"/>
              </w:rPr>
            </w:pPr>
            <w:r>
              <w:rPr>
                <w:rFonts w:ascii="Arial" w:cs="Arial" w:eastAsia="Arial" w:hAnsi="Arial"/>
                <w:sz w:val="13"/>
                <w:szCs w:val="13"/>
                <w:b w:val="1"/>
                <w:bCs w:val="1"/>
                <w:color w:val="auto"/>
              </w:rPr>
              <w:t>Class A</w:t>
            </w:r>
          </w:p>
        </w:tc>
        <w:tc>
          <w:tcPr>
            <w:tcW w:w="1340" w:type="dxa"/>
            <w:vAlign w:val="bottom"/>
            <w:gridSpan w:val="2"/>
          </w:tcPr>
          <w:p>
            <w:pPr>
              <w:jc w:val="right"/>
              <w:ind w:right="448"/>
              <w:spacing w:after="0"/>
              <w:rPr>
                <w:sz w:val="20"/>
                <w:szCs w:val="20"/>
                <w:color w:val="auto"/>
              </w:rPr>
            </w:pPr>
            <w:r>
              <w:rPr>
                <w:rFonts w:ascii="Arial" w:cs="Arial" w:eastAsia="Arial" w:hAnsi="Arial"/>
                <w:sz w:val="13"/>
                <w:szCs w:val="13"/>
                <w:b w:val="1"/>
                <w:bCs w:val="1"/>
                <w:color w:val="auto"/>
              </w:rPr>
              <w:t>Class B</w:t>
            </w:r>
          </w:p>
        </w:tc>
        <w:tc>
          <w:tcPr>
            <w:tcW w:w="940" w:type="dxa"/>
            <w:vAlign w:val="bottom"/>
          </w:tcPr>
          <w:p>
            <w:pPr>
              <w:jc w:val="center"/>
              <w:ind w:right="69"/>
              <w:spacing w:after="0"/>
              <w:rPr>
                <w:sz w:val="20"/>
                <w:szCs w:val="20"/>
                <w:color w:val="auto"/>
              </w:rPr>
            </w:pPr>
            <w:r>
              <w:rPr>
                <w:rFonts w:ascii="Arial" w:cs="Arial" w:eastAsia="Arial" w:hAnsi="Arial"/>
                <w:sz w:val="13"/>
                <w:szCs w:val="13"/>
                <w:b w:val="1"/>
                <w:bCs w:val="1"/>
                <w:color w:val="auto"/>
                <w:w w:val="94"/>
              </w:rPr>
              <w:t>Additional</w:t>
            </w:r>
          </w:p>
        </w:tc>
        <w:tc>
          <w:tcPr>
            <w:tcW w:w="880" w:type="dxa"/>
            <w:vAlign w:val="bottom"/>
          </w:tcPr>
          <w:p>
            <w:pPr>
              <w:spacing w:after="0"/>
              <w:rPr>
                <w:sz w:val="14"/>
                <w:szCs w:val="14"/>
                <w:color w:val="auto"/>
              </w:rPr>
            </w:pPr>
          </w:p>
        </w:tc>
        <w:tc>
          <w:tcPr>
            <w:tcW w:w="1280" w:type="dxa"/>
            <w:vAlign w:val="bottom"/>
          </w:tcPr>
          <w:p>
            <w:pPr>
              <w:jc w:val="center"/>
              <w:ind w:right="49"/>
              <w:spacing w:after="0"/>
              <w:rPr>
                <w:sz w:val="20"/>
                <w:szCs w:val="20"/>
                <w:color w:val="auto"/>
              </w:rPr>
            </w:pPr>
            <w:r>
              <w:rPr>
                <w:rFonts w:ascii="Arial" w:cs="Arial" w:eastAsia="Arial" w:hAnsi="Arial"/>
                <w:sz w:val="13"/>
                <w:szCs w:val="13"/>
                <w:b w:val="1"/>
                <w:bCs w:val="1"/>
                <w:color w:val="auto"/>
                <w:w w:val="97"/>
              </w:rPr>
              <w:t>Accumulated</w:t>
            </w:r>
          </w:p>
        </w:tc>
        <w:tc>
          <w:tcPr>
            <w:tcW w:w="1400" w:type="dxa"/>
            <w:vAlign w:val="bottom"/>
            <w:gridSpan w:val="2"/>
          </w:tcPr>
          <w:p>
            <w:pPr>
              <w:jc w:val="right"/>
              <w:ind w:right="228"/>
              <w:spacing w:after="0"/>
              <w:rPr>
                <w:sz w:val="20"/>
                <w:szCs w:val="20"/>
                <w:color w:val="auto"/>
              </w:rPr>
            </w:pPr>
            <w:r>
              <w:rPr>
                <w:rFonts w:ascii="Arial" w:cs="Arial" w:eastAsia="Arial" w:hAnsi="Arial"/>
                <w:sz w:val="13"/>
                <w:szCs w:val="13"/>
                <w:b w:val="1"/>
                <w:bCs w:val="1"/>
                <w:color w:val="auto"/>
              </w:rPr>
              <w:t>Treasury Stock</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100" w:type="dxa"/>
            <w:vAlign w:val="bottom"/>
          </w:tcPr>
          <w:p>
            <w:pPr>
              <w:spacing w:after="0"/>
              <w:rPr>
                <w:sz w:val="11"/>
                <w:szCs w:val="11"/>
                <w:color w:val="auto"/>
              </w:rPr>
            </w:pPr>
          </w:p>
        </w:tc>
        <w:tc>
          <w:tcPr>
            <w:tcW w:w="1400" w:type="dxa"/>
            <w:vAlign w:val="bottom"/>
            <w:gridSpan w:val="2"/>
          </w:tcPr>
          <w:p>
            <w:pPr>
              <w:ind w:left="160"/>
              <w:spacing w:after="0" w:line="135" w:lineRule="exact"/>
              <w:rPr>
                <w:sz w:val="20"/>
                <w:szCs w:val="20"/>
                <w:color w:val="auto"/>
              </w:rPr>
            </w:pPr>
            <w:r>
              <w:rPr>
                <w:rFonts w:ascii="Arial" w:cs="Arial" w:eastAsia="Arial" w:hAnsi="Arial"/>
                <w:sz w:val="13"/>
                <w:szCs w:val="13"/>
                <w:b w:val="1"/>
                <w:bCs w:val="1"/>
                <w:color w:val="auto"/>
              </w:rPr>
              <w:t>Common Stock</w:t>
            </w:r>
          </w:p>
        </w:tc>
        <w:tc>
          <w:tcPr>
            <w:tcW w:w="1340" w:type="dxa"/>
            <w:vAlign w:val="bottom"/>
            <w:gridSpan w:val="2"/>
          </w:tcPr>
          <w:p>
            <w:pPr>
              <w:ind w:left="120"/>
              <w:spacing w:after="0" w:line="135" w:lineRule="exact"/>
              <w:rPr>
                <w:sz w:val="20"/>
                <w:szCs w:val="20"/>
                <w:color w:val="auto"/>
              </w:rPr>
            </w:pPr>
            <w:r>
              <w:rPr>
                <w:rFonts w:ascii="Arial" w:cs="Arial" w:eastAsia="Arial" w:hAnsi="Arial"/>
                <w:sz w:val="13"/>
                <w:szCs w:val="13"/>
                <w:b w:val="1"/>
                <w:bCs w:val="1"/>
                <w:color w:val="auto"/>
              </w:rPr>
              <w:t>Common Stock</w:t>
            </w:r>
          </w:p>
        </w:tc>
        <w:tc>
          <w:tcPr>
            <w:tcW w:w="940" w:type="dxa"/>
            <w:vAlign w:val="bottom"/>
          </w:tcPr>
          <w:p>
            <w:pPr>
              <w:jc w:val="center"/>
              <w:ind w:right="69"/>
              <w:spacing w:after="0" w:line="135" w:lineRule="exact"/>
              <w:rPr>
                <w:sz w:val="20"/>
                <w:szCs w:val="20"/>
                <w:color w:val="auto"/>
              </w:rPr>
            </w:pPr>
            <w:r>
              <w:rPr>
                <w:rFonts w:ascii="Arial" w:cs="Arial" w:eastAsia="Arial" w:hAnsi="Arial"/>
                <w:sz w:val="13"/>
                <w:szCs w:val="13"/>
                <w:b w:val="1"/>
                <w:bCs w:val="1"/>
                <w:color w:val="auto"/>
                <w:w w:val="93"/>
              </w:rPr>
              <w:t>paid-in</w:t>
            </w:r>
          </w:p>
        </w:tc>
        <w:tc>
          <w:tcPr>
            <w:tcW w:w="880" w:type="dxa"/>
            <w:vAlign w:val="bottom"/>
          </w:tcPr>
          <w:p>
            <w:pPr>
              <w:jc w:val="center"/>
              <w:ind w:right="49"/>
              <w:spacing w:after="0" w:line="135" w:lineRule="exact"/>
              <w:rPr>
                <w:sz w:val="20"/>
                <w:szCs w:val="20"/>
                <w:color w:val="auto"/>
              </w:rPr>
            </w:pPr>
            <w:r>
              <w:rPr>
                <w:rFonts w:ascii="Arial" w:cs="Arial" w:eastAsia="Arial" w:hAnsi="Arial"/>
                <w:sz w:val="13"/>
                <w:szCs w:val="13"/>
                <w:b w:val="1"/>
                <w:bCs w:val="1"/>
                <w:color w:val="auto"/>
                <w:w w:val="94"/>
              </w:rPr>
              <w:t>Retained</w:t>
            </w:r>
          </w:p>
        </w:tc>
        <w:tc>
          <w:tcPr>
            <w:tcW w:w="1280" w:type="dxa"/>
            <w:vAlign w:val="bottom"/>
          </w:tcPr>
          <w:p>
            <w:pPr>
              <w:jc w:val="center"/>
              <w:ind w:right="49"/>
              <w:spacing w:after="0" w:line="135" w:lineRule="exact"/>
              <w:rPr>
                <w:sz w:val="20"/>
                <w:szCs w:val="20"/>
                <w:color w:val="auto"/>
              </w:rPr>
            </w:pPr>
            <w:r>
              <w:rPr>
                <w:rFonts w:ascii="Arial" w:cs="Arial" w:eastAsia="Arial" w:hAnsi="Arial"/>
                <w:sz w:val="13"/>
                <w:szCs w:val="13"/>
                <w:b w:val="1"/>
                <w:bCs w:val="1"/>
                <w:color w:val="auto"/>
                <w:w w:val="97"/>
              </w:rPr>
              <w:t>items of other</w:t>
            </w:r>
          </w:p>
        </w:tc>
        <w:tc>
          <w:tcPr>
            <w:tcW w:w="1400" w:type="dxa"/>
            <w:vAlign w:val="bottom"/>
            <w:gridSpan w:val="2"/>
          </w:tcPr>
          <w:p>
            <w:pPr>
              <w:jc w:val="right"/>
              <w:ind w:right="448"/>
              <w:spacing w:after="0" w:line="135" w:lineRule="exact"/>
              <w:rPr>
                <w:sz w:val="20"/>
                <w:szCs w:val="20"/>
                <w:color w:val="auto"/>
              </w:rPr>
            </w:pPr>
            <w:r>
              <w:rPr>
                <w:rFonts w:ascii="Arial" w:cs="Arial" w:eastAsia="Arial" w:hAnsi="Arial"/>
                <w:sz w:val="13"/>
                <w:szCs w:val="13"/>
                <w:b w:val="1"/>
                <w:bCs w:val="1"/>
                <w:color w:val="auto"/>
              </w:rPr>
              <w:t>Class A</w:t>
            </w:r>
          </w:p>
        </w:tc>
        <w:tc>
          <w:tcPr>
            <w:tcW w:w="1080" w:type="dxa"/>
            <w:vAlign w:val="bottom"/>
            <w:vMerge w:val="restart"/>
          </w:tcPr>
          <w:p>
            <w:pPr>
              <w:jc w:val="right"/>
              <w:ind w:right="68"/>
              <w:spacing w:after="0"/>
              <w:rPr>
                <w:sz w:val="20"/>
                <w:szCs w:val="20"/>
                <w:color w:val="auto"/>
              </w:rPr>
            </w:pPr>
            <w:r>
              <w:rPr>
                <w:rFonts w:ascii="Arial" w:cs="Arial" w:eastAsia="Arial" w:hAnsi="Arial"/>
                <w:sz w:val="13"/>
                <w:szCs w:val="13"/>
                <w:b w:val="1"/>
                <w:bCs w:val="1"/>
                <w:color w:val="auto"/>
                <w:w w:val="99"/>
              </w:rPr>
              <w:t>Noncontrolling</w:t>
            </w:r>
          </w:p>
        </w:tc>
        <w:tc>
          <w:tcPr>
            <w:tcW w:w="0" w:type="dxa"/>
            <w:vAlign w:val="bottom"/>
          </w:tcPr>
          <w:p>
            <w:pPr>
              <w:spacing w:after="0"/>
              <w:rPr>
                <w:sz w:val="1"/>
                <w:szCs w:val="1"/>
                <w:color w:val="auto"/>
              </w:rPr>
            </w:pPr>
          </w:p>
        </w:tc>
      </w:tr>
      <w:tr>
        <w:trPr>
          <w:trHeight w:val="100"/>
        </w:trPr>
        <w:tc>
          <w:tcPr>
            <w:tcW w:w="310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(in thousands)</w:t>
            </w: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Pr>
          <w:p>
            <w:pPr>
              <w:jc w:val="center"/>
              <w:ind w:right="69"/>
              <w:spacing w:after="0" w:line="100" w:lineRule="exact"/>
              <w:rPr>
                <w:sz w:val="20"/>
                <w:szCs w:val="20"/>
                <w:color w:val="auto"/>
              </w:rPr>
            </w:pPr>
            <w:r>
              <w:rPr>
                <w:rFonts w:ascii="Arial" w:cs="Arial" w:eastAsia="Arial" w:hAnsi="Arial"/>
                <w:sz w:val="11"/>
                <w:szCs w:val="11"/>
                <w:b w:val="1"/>
                <w:bCs w:val="1"/>
                <w:color w:val="auto"/>
              </w:rPr>
              <w:t>capital</w:t>
            </w:r>
          </w:p>
        </w:tc>
        <w:tc>
          <w:tcPr>
            <w:tcW w:w="880" w:type="dxa"/>
            <w:vAlign w:val="bottom"/>
          </w:tcPr>
          <w:p>
            <w:pPr>
              <w:jc w:val="center"/>
              <w:ind w:right="49"/>
              <w:spacing w:after="0" w:line="100" w:lineRule="exact"/>
              <w:rPr>
                <w:sz w:val="20"/>
                <w:szCs w:val="20"/>
                <w:color w:val="auto"/>
              </w:rPr>
            </w:pPr>
            <w:r>
              <w:rPr>
                <w:rFonts w:ascii="Arial" w:cs="Arial" w:eastAsia="Arial" w:hAnsi="Arial"/>
                <w:sz w:val="11"/>
                <w:szCs w:val="11"/>
                <w:b w:val="1"/>
                <w:bCs w:val="1"/>
                <w:color w:val="auto"/>
              </w:rPr>
              <w:t>earnings</w:t>
            </w:r>
          </w:p>
        </w:tc>
        <w:tc>
          <w:tcPr>
            <w:tcW w:w="1280" w:type="dxa"/>
            <w:vAlign w:val="bottom"/>
          </w:tcPr>
          <w:p>
            <w:pPr>
              <w:jc w:val="center"/>
              <w:ind w:right="49"/>
              <w:spacing w:after="0" w:line="100" w:lineRule="exact"/>
              <w:rPr>
                <w:sz w:val="20"/>
                <w:szCs w:val="20"/>
                <w:color w:val="auto"/>
              </w:rPr>
            </w:pPr>
            <w:r>
              <w:rPr>
                <w:rFonts w:ascii="Arial" w:cs="Arial" w:eastAsia="Arial" w:hAnsi="Arial"/>
                <w:sz w:val="11"/>
                <w:szCs w:val="11"/>
                <w:b w:val="1"/>
                <w:bCs w:val="1"/>
                <w:color w:val="auto"/>
              </w:rPr>
              <w:t>comprehensive</w:t>
            </w: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3100" w:type="dxa"/>
            <w:vAlign w:val="bottom"/>
            <w:tcBorders>
              <w:bottom w:val="single" w:sz="8" w:color="auto"/>
            </w:tcBorders>
            <w:vMerge w:val="continue"/>
          </w:tcPr>
          <w:p>
            <w:pPr>
              <w:spacing w:after="0"/>
              <w:rPr>
                <w:sz w:val="13"/>
                <w:szCs w:val="13"/>
                <w:color w:val="auto"/>
              </w:rPr>
            </w:pPr>
          </w:p>
        </w:tc>
        <w:tc>
          <w:tcPr>
            <w:tcW w:w="68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Shares</w:t>
            </w: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3"/>
                <w:szCs w:val="13"/>
                <w:b w:val="1"/>
                <w:bCs w:val="1"/>
                <w:color w:val="auto"/>
              </w:rPr>
              <w:t>Amount</w:t>
            </w:r>
          </w:p>
        </w:tc>
        <w:tc>
          <w:tcPr>
            <w:tcW w:w="66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Shares</w:t>
            </w: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3"/>
                <w:szCs w:val="13"/>
                <w:b w:val="1"/>
                <w:bCs w:val="1"/>
                <w:color w:val="auto"/>
              </w:rPr>
              <w:t>Amount</w:t>
            </w:r>
          </w:p>
        </w:tc>
        <w:tc>
          <w:tcPr>
            <w:tcW w:w="940" w:type="dxa"/>
            <w:vAlign w:val="bottom"/>
            <w:tcBorders>
              <w:bottom w:val="single" w:sz="8" w:color="auto"/>
            </w:tcBorders>
          </w:tcPr>
          <w:p>
            <w:pPr>
              <w:jc w:val="center"/>
              <w:ind w:right="69"/>
              <w:spacing w:after="0"/>
              <w:rPr>
                <w:sz w:val="20"/>
                <w:szCs w:val="20"/>
                <w:color w:val="auto"/>
              </w:rPr>
            </w:pPr>
            <w:r>
              <w:rPr>
                <w:rFonts w:ascii="Arial" w:cs="Arial" w:eastAsia="Arial" w:hAnsi="Arial"/>
                <w:sz w:val="13"/>
                <w:szCs w:val="13"/>
                <w:b w:val="1"/>
                <w:bCs w:val="1"/>
                <w:color w:val="auto"/>
                <w:w w:val="97"/>
              </w:rPr>
              <w:t>Amount</w:t>
            </w:r>
          </w:p>
        </w:tc>
        <w:tc>
          <w:tcPr>
            <w:tcW w:w="880" w:type="dxa"/>
            <w:vAlign w:val="bottom"/>
            <w:tcBorders>
              <w:bottom w:val="single" w:sz="8" w:color="auto"/>
            </w:tcBorders>
          </w:tcPr>
          <w:p>
            <w:pPr>
              <w:jc w:val="center"/>
              <w:ind w:right="49"/>
              <w:spacing w:after="0"/>
              <w:rPr>
                <w:sz w:val="20"/>
                <w:szCs w:val="20"/>
                <w:color w:val="auto"/>
              </w:rPr>
            </w:pPr>
            <w:r>
              <w:rPr>
                <w:rFonts w:ascii="Arial" w:cs="Arial" w:eastAsia="Arial" w:hAnsi="Arial"/>
                <w:sz w:val="13"/>
                <w:szCs w:val="13"/>
                <w:b w:val="1"/>
                <w:bCs w:val="1"/>
                <w:color w:val="auto"/>
                <w:w w:val="97"/>
              </w:rPr>
              <w:t>Amount</w:t>
            </w:r>
          </w:p>
        </w:tc>
        <w:tc>
          <w:tcPr>
            <w:tcW w:w="1280" w:type="dxa"/>
            <w:vAlign w:val="bottom"/>
            <w:tcBorders>
              <w:bottom w:val="single" w:sz="8" w:color="auto"/>
            </w:tcBorders>
          </w:tcPr>
          <w:p>
            <w:pPr>
              <w:jc w:val="center"/>
              <w:ind w:right="49"/>
              <w:spacing w:after="0"/>
              <w:rPr>
                <w:sz w:val="20"/>
                <w:szCs w:val="20"/>
                <w:color w:val="auto"/>
              </w:rPr>
            </w:pPr>
            <w:r>
              <w:rPr>
                <w:rFonts w:ascii="Arial" w:cs="Arial" w:eastAsia="Arial" w:hAnsi="Arial"/>
                <w:sz w:val="13"/>
                <w:szCs w:val="13"/>
                <w:b w:val="1"/>
                <w:bCs w:val="1"/>
                <w:color w:val="auto"/>
                <w:w w:val="97"/>
              </w:rPr>
              <w:t>income Amount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Shares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1080" w:type="dxa"/>
            <w:vAlign w:val="bottom"/>
            <w:tcBorders>
              <w:bottom w:val="single" w:sz="8" w:color="auto"/>
            </w:tcBorders>
          </w:tcPr>
          <w:p>
            <w:pPr>
              <w:jc w:val="right"/>
              <w:ind w:right="228"/>
              <w:spacing w:after="0"/>
              <w:rPr>
                <w:sz w:val="20"/>
                <w:szCs w:val="20"/>
                <w:color w:val="auto"/>
              </w:rPr>
            </w:pPr>
            <w:r>
              <w:rPr>
                <w:rFonts w:ascii="Arial" w:cs="Arial" w:eastAsia="Arial" w:hAnsi="Arial"/>
                <w:sz w:val="13"/>
                <w:szCs w:val="13"/>
                <w:b w:val="1"/>
                <w:bCs w:val="1"/>
                <w:color w:val="auto"/>
              </w:rPr>
              <w:t>Interest</w:t>
            </w:r>
          </w:p>
        </w:tc>
        <w:tc>
          <w:tcPr>
            <w:tcW w:w="0" w:type="dxa"/>
            <w:vAlign w:val="bottom"/>
          </w:tcPr>
          <w:p>
            <w:pPr>
              <w:spacing w:after="0"/>
              <w:rPr>
                <w:sz w:val="1"/>
                <w:szCs w:val="1"/>
                <w:color w:val="auto"/>
              </w:rPr>
            </w:pPr>
          </w:p>
        </w:tc>
      </w:tr>
      <w:tr>
        <w:trPr>
          <w:trHeight w:val="358"/>
        </w:trPr>
        <w:tc>
          <w:tcPr>
            <w:tcW w:w="31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Balance: January 1, 2011</w:t>
            </w:r>
          </w:p>
        </w:tc>
        <w:tc>
          <w:tcPr>
            <w:tcW w:w="6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36,442</w:t>
            </w: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$36</w:t>
            </w:r>
          </w:p>
        </w:tc>
        <w:tc>
          <w:tcPr>
            <w:tcW w:w="6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3,236</w:t>
            </w: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w:t>
            </w:r>
          </w:p>
        </w:tc>
        <w:tc>
          <w:tcPr>
            <w:tcW w:w="9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$387,876</w:t>
            </w:r>
          </w:p>
        </w:tc>
        <w:tc>
          <w:tcPr>
            <w:tcW w:w="8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$403,048</w:t>
            </w:r>
          </w:p>
        </w:tc>
        <w:tc>
          <w:tcPr>
            <w:tcW w:w="12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($106,672)</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8,485</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($258,031)</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63"/>
        </w:trPr>
        <w:tc>
          <w:tcPr>
            <w:tcW w:w="3100" w:type="dxa"/>
            <w:vAlign w:val="bottom"/>
          </w:tcPr>
          <w:p>
            <w:pPr>
              <w:ind w:left="100"/>
              <w:spacing w:after="0"/>
              <w:rPr>
                <w:sz w:val="20"/>
                <w:szCs w:val="20"/>
                <w:color w:val="auto"/>
              </w:rPr>
            </w:pPr>
            <w:r>
              <w:rPr>
                <w:rFonts w:ascii="Arial" w:cs="Arial" w:eastAsia="Arial" w:hAnsi="Arial"/>
                <w:sz w:val="14"/>
                <w:szCs w:val="14"/>
                <w:color w:val="auto"/>
              </w:rPr>
              <w:t>Compensation and benefits paid or payable</w:t>
            </w: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100" w:type="dxa"/>
            <w:vAlign w:val="bottom"/>
          </w:tcPr>
          <w:p>
            <w:pPr>
              <w:ind w:left="100"/>
              <w:spacing w:after="0"/>
              <w:rPr>
                <w:sz w:val="20"/>
                <w:szCs w:val="20"/>
                <w:color w:val="auto"/>
              </w:rPr>
            </w:pPr>
            <w:r>
              <w:rPr>
                <w:rFonts w:ascii="Arial" w:cs="Arial" w:eastAsia="Arial" w:hAnsi="Arial"/>
                <w:sz w:val="14"/>
                <w:szCs w:val="14"/>
                <w:color w:val="auto"/>
              </w:rPr>
              <w:t>in shares</w:t>
            </w: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57</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2,712</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100" w:type="dxa"/>
            <w:vAlign w:val="bottom"/>
          </w:tcPr>
          <w:p>
            <w:pPr>
              <w:ind w:left="100"/>
              <w:spacing w:after="0"/>
              <w:rPr>
                <w:sz w:val="20"/>
                <w:szCs w:val="20"/>
                <w:color w:val="auto"/>
              </w:rPr>
            </w:pPr>
            <w:r>
              <w:rPr>
                <w:rFonts w:ascii="Arial" w:cs="Arial" w:eastAsia="Arial" w:hAnsi="Arial"/>
                <w:sz w:val="14"/>
                <w:szCs w:val="14"/>
                <w:color w:val="auto"/>
              </w:rPr>
              <w:t>Options exercised</w:t>
            </w: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42</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883</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100" w:type="dxa"/>
            <w:vAlign w:val="bottom"/>
          </w:tcPr>
          <w:p>
            <w:pPr>
              <w:ind w:left="100"/>
              <w:spacing w:after="0"/>
              <w:rPr>
                <w:sz w:val="20"/>
                <w:szCs w:val="20"/>
                <w:color w:val="auto"/>
              </w:rPr>
            </w:pPr>
            <w:r>
              <w:rPr>
                <w:rFonts w:ascii="Arial" w:cs="Arial" w:eastAsia="Arial" w:hAnsi="Arial"/>
                <w:sz w:val="14"/>
                <w:szCs w:val="14"/>
                <w:color w:val="auto"/>
              </w:rPr>
              <w:t>Shares issued to Directors</w:t>
            </w: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24</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(5)</w:t>
            </w:r>
          </w:p>
        </w:tc>
        <w:tc>
          <w:tcPr>
            <w:tcW w:w="800" w:type="dxa"/>
            <w:vAlign w:val="bottom"/>
          </w:tcPr>
          <w:p>
            <w:pPr>
              <w:jc w:val="right"/>
              <w:spacing w:after="0"/>
              <w:rPr>
                <w:sz w:val="20"/>
                <w:szCs w:val="20"/>
                <w:color w:val="auto"/>
              </w:rPr>
            </w:pPr>
            <w:r>
              <w:rPr>
                <w:rFonts w:ascii="Arial" w:cs="Arial" w:eastAsia="Arial" w:hAnsi="Arial"/>
                <w:sz w:val="14"/>
                <w:szCs w:val="14"/>
                <w:color w:val="auto"/>
              </w:rPr>
              <w:t>111</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100" w:type="dxa"/>
            <w:vAlign w:val="bottom"/>
          </w:tcPr>
          <w:p>
            <w:pPr>
              <w:ind w:left="100"/>
              <w:spacing w:after="0"/>
              <w:rPr>
                <w:sz w:val="20"/>
                <w:szCs w:val="20"/>
                <w:color w:val="auto"/>
              </w:rPr>
            </w:pPr>
            <w:r>
              <w:rPr>
                <w:rFonts w:ascii="Arial" w:cs="Arial" w:eastAsia="Arial" w:hAnsi="Arial"/>
                <w:sz w:val="14"/>
                <w:szCs w:val="14"/>
                <w:color w:val="auto"/>
              </w:rPr>
              <w:t>Net income</w:t>
            </w: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34,938</w:t>
            </w:r>
          </w:p>
        </w:tc>
        <w:tc>
          <w:tcPr>
            <w:tcW w:w="12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100" w:type="dxa"/>
            <w:vAlign w:val="bottom"/>
          </w:tcPr>
          <w:p>
            <w:pPr>
              <w:ind w:left="100"/>
              <w:spacing w:after="0"/>
              <w:rPr>
                <w:sz w:val="20"/>
                <w:szCs w:val="20"/>
                <w:color w:val="auto"/>
              </w:rPr>
            </w:pPr>
            <w:r>
              <w:rPr>
                <w:rFonts w:ascii="Arial" w:cs="Arial" w:eastAsia="Arial" w:hAnsi="Arial"/>
                <w:sz w:val="14"/>
                <w:szCs w:val="14"/>
                <w:color w:val="auto"/>
              </w:rPr>
              <w:t>Dividends declared</w:t>
            </w: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(15,942)</w:t>
            </w:r>
          </w:p>
        </w:tc>
        <w:tc>
          <w:tcPr>
            <w:tcW w:w="12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100" w:type="dxa"/>
            <w:vAlign w:val="bottom"/>
          </w:tcPr>
          <w:p>
            <w:pPr>
              <w:ind w:left="100"/>
              <w:spacing w:after="0"/>
              <w:rPr>
                <w:sz w:val="20"/>
                <w:szCs w:val="20"/>
                <w:color w:val="auto"/>
              </w:rPr>
            </w:pPr>
            <w:r>
              <w:rPr>
                <w:rFonts w:ascii="Arial" w:cs="Arial" w:eastAsia="Arial" w:hAnsi="Arial"/>
                <w:sz w:val="14"/>
                <w:szCs w:val="14"/>
                <w:color w:val="auto"/>
              </w:rPr>
              <w:t>Cumulative translation adjustments</w:t>
            </w: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9"/>
              <w:spacing w:after="0"/>
              <w:rPr>
                <w:sz w:val="20"/>
                <w:szCs w:val="20"/>
                <w:color w:val="auto"/>
              </w:rPr>
            </w:pPr>
            <w:r>
              <w:rPr>
                <w:rFonts w:ascii="Arial" w:cs="Arial" w:eastAsia="Arial" w:hAnsi="Arial"/>
                <w:sz w:val="14"/>
                <w:szCs w:val="14"/>
                <w:color w:val="auto"/>
              </w:rPr>
              <w:t>(13,070)</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100" w:type="dxa"/>
            <w:vAlign w:val="bottom"/>
          </w:tcPr>
          <w:p>
            <w:pPr>
              <w:ind w:left="100"/>
              <w:spacing w:after="0"/>
              <w:rPr>
                <w:sz w:val="20"/>
                <w:szCs w:val="20"/>
                <w:color w:val="auto"/>
              </w:rPr>
            </w:pPr>
            <w:r>
              <w:rPr>
                <w:rFonts w:ascii="Arial" w:cs="Arial" w:eastAsia="Arial" w:hAnsi="Arial"/>
                <w:sz w:val="14"/>
                <w:szCs w:val="14"/>
                <w:color w:val="auto"/>
              </w:rPr>
              <w:t>Pension and postretirement liability</w:t>
            </w: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tcPr>
          <w:p>
            <w:pPr>
              <w:ind w:left="100"/>
              <w:spacing w:after="0"/>
              <w:rPr>
                <w:sz w:val="20"/>
                <w:szCs w:val="20"/>
                <w:color w:val="auto"/>
              </w:rPr>
            </w:pPr>
            <w:r>
              <w:rPr>
                <w:rFonts w:ascii="Arial" w:cs="Arial" w:eastAsia="Arial" w:hAnsi="Arial"/>
                <w:sz w:val="14"/>
                <w:szCs w:val="14"/>
                <w:color w:val="auto"/>
              </w:rPr>
              <w:t>adjustments</w:t>
            </w: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9"/>
              <w:spacing w:after="0"/>
              <w:rPr>
                <w:sz w:val="20"/>
                <w:szCs w:val="20"/>
                <w:color w:val="auto"/>
              </w:rPr>
            </w:pPr>
            <w:r>
              <w:rPr>
                <w:rFonts w:ascii="Arial" w:cs="Arial" w:eastAsia="Arial" w:hAnsi="Arial"/>
                <w:sz w:val="14"/>
                <w:szCs w:val="14"/>
                <w:color w:val="auto"/>
              </w:rPr>
              <w:t>(17,749)</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100" w:type="dxa"/>
            <w:vAlign w:val="bottom"/>
            <w:tcBorders>
              <w:bottom w:val="single" w:sz="8" w:color="auto"/>
            </w:tcBorders>
          </w:tcPr>
          <w:p>
            <w:pPr>
              <w:ind w:left="100"/>
              <w:spacing w:after="0" w:line="157" w:lineRule="exact"/>
              <w:rPr>
                <w:sz w:val="20"/>
                <w:szCs w:val="20"/>
                <w:color w:val="auto"/>
              </w:rPr>
            </w:pPr>
            <w:r>
              <w:rPr>
                <w:rFonts w:ascii="Arial" w:cs="Arial" w:eastAsia="Arial" w:hAnsi="Arial"/>
                <w:sz w:val="14"/>
                <w:szCs w:val="14"/>
                <w:color w:val="auto"/>
              </w:rPr>
              <w:t>Derivative valuation adjustment</w:t>
            </w:r>
          </w:p>
        </w:tc>
        <w:tc>
          <w:tcPr>
            <w:tcW w:w="680" w:type="dxa"/>
            <w:vAlign w:val="bottom"/>
            <w:tcBorders>
              <w:bottom w:val="single" w:sz="8" w:color="auto"/>
            </w:tcBorders>
          </w:tcPr>
          <w:p>
            <w:pPr>
              <w:jc w:val="right"/>
              <w:ind w:right="49"/>
              <w:spacing w:after="0" w:line="157"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68"/>
              <w:spacing w:after="0" w:line="157"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49"/>
              <w:spacing w:after="0" w:line="157"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49"/>
              <w:spacing w:after="0" w:line="157"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9"/>
              <w:spacing w:after="0" w:line="157" w:lineRule="exact"/>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49"/>
              <w:spacing w:after="0" w:line="157" w:lineRule="exact"/>
              <w:rPr>
                <w:sz w:val="20"/>
                <w:szCs w:val="20"/>
                <w:color w:val="auto"/>
              </w:rPr>
            </w:pPr>
            <w:r>
              <w:rPr>
                <w:rFonts w:ascii="Arial" w:cs="Arial" w:eastAsia="Arial" w:hAnsi="Arial"/>
                <w:sz w:val="14"/>
                <w:szCs w:val="14"/>
                <w:color w:val="auto"/>
              </w:rPr>
              <w:t>(2,318)</w:t>
            </w:r>
          </w:p>
        </w:tc>
        <w:tc>
          <w:tcPr>
            <w:tcW w:w="6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3100" w:type="dxa"/>
            <w:vAlign w:val="bottom"/>
            <w:tcBorders>
              <w:bottom w:val="single" w:sz="8" w:color="auto"/>
            </w:tcBorders>
          </w:tcPr>
          <w:p>
            <w:pPr>
              <w:ind w:left="100"/>
              <w:spacing w:after="0" w:line="155" w:lineRule="exact"/>
              <w:rPr>
                <w:sz w:val="20"/>
                <w:szCs w:val="20"/>
                <w:color w:val="auto"/>
              </w:rPr>
            </w:pPr>
            <w:r>
              <w:rPr>
                <w:rFonts w:ascii="Arial" w:cs="Arial" w:eastAsia="Arial" w:hAnsi="Arial"/>
                <w:sz w:val="14"/>
                <w:szCs w:val="14"/>
                <w:color w:val="auto"/>
              </w:rPr>
              <w:t>Balance: December 31, 2011</w:t>
            </w:r>
          </w:p>
        </w:tc>
        <w:tc>
          <w:tcPr>
            <w:tcW w:w="680" w:type="dxa"/>
            <w:vAlign w:val="bottom"/>
            <w:tcBorders>
              <w:bottom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36,541</w:t>
            </w:r>
          </w:p>
        </w:tc>
        <w:tc>
          <w:tcPr>
            <w:tcW w:w="7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$37</w:t>
            </w:r>
          </w:p>
        </w:tc>
        <w:tc>
          <w:tcPr>
            <w:tcW w:w="660" w:type="dxa"/>
            <w:vAlign w:val="bottom"/>
            <w:tcBorders>
              <w:bottom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3,236</w:t>
            </w:r>
          </w:p>
        </w:tc>
        <w:tc>
          <w:tcPr>
            <w:tcW w:w="6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$3</w:t>
            </w:r>
          </w:p>
        </w:tc>
        <w:tc>
          <w:tcPr>
            <w:tcW w:w="940" w:type="dxa"/>
            <w:vAlign w:val="bottom"/>
            <w:tcBorders>
              <w:bottom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$391,495</w:t>
            </w:r>
          </w:p>
        </w:tc>
        <w:tc>
          <w:tcPr>
            <w:tcW w:w="880" w:type="dxa"/>
            <w:vAlign w:val="bottom"/>
            <w:tcBorders>
              <w:bottom w:val="single" w:sz="8" w:color="auto"/>
            </w:tcBorders>
          </w:tcPr>
          <w:p>
            <w:pPr>
              <w:jc w:val="right"/>
              <w:ind w:right="9"/>
              <w:spacing w:after="0" w:line="155" w:lineRule="exact"/>
              <w:rPr>
                <w:sz w:val="20"/>
                <w:szCs w:val="20"/>
                <w:color w:val="auto"/>
              </w:rPr>
            </w:pPr>
            <w:r>
              <w:rPr>
                <w:rFonts w:ascii="Arial" w:cs="Arial" w:eastAsia="Arial" w:hAnsi="Arial"/>
                <w:sz w:val="14"/>
                <w:szCs w:val="14"/>
                <w:color w:val="auto"/>
              </w:rPr>
              <w:t>$422,044</w:t>
            </w:r>
          </w:p>
        </w:tc>
        <w:tc>
          <w:tcPr>
            <w:tcW w:w="1280" w:type="dxa"/>
            <w:vAlign w:val="bottom"/>
            <w:tcBorders>
              <w:bottom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($139,809)</w:t>
            </w: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8,480</w:t>
            </w: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($257,920)</w:t>
            </w:r>
          </w:p>
        </w:tc>
        <w:tc>
          <w:tcPr>
            <w:tcW w:w="1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3100" w:type="dxa"/>
            <w:vAlign w:val="bottom"/>
          </w:tcPr>
          <w:p>
            <w:pPr>
              <w:ind w:left="100"/>
              <w:spacing w:after="0"/>
              <w:rPr>
                <w:sz w:val="20"/>
                <w:szCs w:val="20"/>
                <w:color w:val="auto"/>
              </w:rPr>
            </w:pPr>
            <w:r>
              <w:rPr>
                <w:rFonts w:ascii="Arial" w:cs="Arial" w:eastAsia="Arial" w:hAnsi="Arial"/>
                <w:sz w:val="14"/>
                <w:szCs w:val="14"/>
                <w:color w:val="auto"/>
              </w:rPr>
              <w:t>Compensation and benefits paid or payable</w:t>
            </w: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100" w:type="dxa"/>
            <w:vAlign w:val="bottom"/>
          </w:tcPr>
          <w:p>
            <w:pPr>
              <w:ind w:left="100"/>
              <w:spacing w:after="0"/>
              <w:rPr>
                <w:sz w:val="20"/>
                <w:szCs w:val="20"/>
                <w:color w:val="auto"/>
              </w:rPr>
            </w:pPr>
            <w:r>
              <w:rPr>
                <w:rFonts w:ascii="Arial" w:cs="Arial" w:eastAsia="Arial" w:hAnsi="Arial"/>
                <w:sz w:val="14"/>
                <w:szCs w:val="14"/>
                <w:color w:val="auto"/>
              </w:rPr>
              <w:t>in shares</w:t>
            </w: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34</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2,573</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100" w:type="dxa"/>
            <w:vAlign w:val="bottom"/>
          </w:tcPr>
          <w:p>
            <w:pPr>
              <w:ind w:left="100"/>
              <w:spacing w:after="0"/>
              <w:rPr>
                <w:sz w:val="20"/>
                <w:szCs w:val="20"/>
                <w:color w:val="auto"/>
              </w:rPr>
            </w:pPr>
            <w:r>
              <w:rPr>
                <w:rFonts w:ascii="Arial" w:cs="Arial" w:eastAsia="Arial" w:hAnsi="Arial"/>
                <w:sz w:val="14"/>
                <w:szCs w:val="14"/>
                <w:color w:val="auto"/>
              </w:rPr>
              <w:t>Options exercised</w:t>
            </w: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67</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1,352</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100" w:type="dxa"/>
            <w:vAlign w:val="bottom"/>
          </w:tcPr>
          <w:p>
            <w:pPr>
              <w:ind w:left="100"/>
              <w:spacing w:after="0"/>
              <w:rPr>
                <w:sz w:val="20"/>
                <w:szCs w:val="20"/>
                <w:color w:val="auto"/>
              </w:rPr>
            </w:pPr>
            <w:r>
              <w:rPr>
                <w:rFonts w:ascii="Arial" w:cs="Arial" w:eastAsia="Arial" w:hAnsi="Arial"/>
                <w:sz w:val="14"/>
                <w:szCs w:val="14"/>
                <w:color w:val="auto"/>
              </w:rPr>
              <w:t>Shares issued to Directors</w:t>
            </w: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(39)</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(12)</w:t>
            </w:r>
          </w:p>
        </w:tc>
        <w:tc>
          <w:tcPr>
            <w:tcW w:w="800" w:type="dxa"/>
            <w:vAlign w:val="bottom"/>
          </w:tcPr>
          <w:p>
            <w:pPr>
              <w:jc w:val="right"/>
              <w:spacing w:after="0"/>
              <w:rPr>
                <w:sz w:val="20"/>
                <w:szCs w:val="20"/>
                <w:color w:val="auto"/>
              </w:rPr>
            </w:pPr>
            <w:r>
              <w:rPr>
                <w:rFonts w:ascii="Arial" w:cs="Arial" w:eastAsia="Arial" w:hAnsi="Arial"/>
                <w:sz w:val="14"/>
                <w:szCs w:val="14"/>
                <w:color w:val="auto"/>
              </w:rPr>
              <w:t>256</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100" w:type="dxa"/>
            <w:vAlign w:val="bottom"/>
          </w:tcPr>
          <w:p>
            <w:pPr>
              <w:ind w:left="100"/>
              <w:spacing w:after="0"/>
              <w:rPr>
                <w:sz w:val="20"/>
                <w:szCs w:val="20"/>
                <w:color w:val="auto"/>
              </w:rPr>
            </w:pPr>
            <w:r>
              <w:rPr>
                <w:rFonts w:ascii="Arial" w:cs="Arial" w:eastAsia="Arial" w:hAnsi="Arial"/>
                <w:sz w:val="14"/>
                <w:szCs w:val="14"/>
                <w:color w:val="auto"/>
              </w:rPr>
              <w:t>Net income</w:t>
            </w: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30,977</w:t>
            </w:r>
          </w:p>
        </w:tc>
        <w:tc>
          <w:tcPr>
            <w:tcW w:w="12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100" w:type="dxa"/>
            <w:vAlign w:val="bottom"/>
          </w:tcPr>
          <w:p>
            <w:pPr>
              <w:ind w:left="100"/>
              <w:spacing w:after="0"/>
              <w:rPr>
                <w:sz w:val="20"/>
                <w:szCs w:val="20"/>
                <w:color w:val="auto"/>
              </w:rPr>
            </w:pPr>
            <w:r>
              <w:rPr>
                <w:rFonts w:ascii="Arial" w:cs="Arial" w:eastAsia="Arial" w:hAnsi="Arial"/>
                <w:sz w:val="14"/>
                <w:szCs w:val="14"/>
                <w:color w:val="auto"/>
              </w:rPr>
              <w:t>Dividends declared</w:t>
            </w: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(17,246)</w:t>
            </w:r>
          </w:p>
        </w:tc>
        <w:tc>
          <w:tcPr>
            <w:tcW w:w="12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100" w:type="dxa"/>
            <w:vAlign w:val="bottom"/>
          </w:tcPr>
          <w:p>
            <w:pPr>
              <w:ind w:left="100"/>
              <w:spacing w:after="0"/>
              <w:rPr>
                <w:sz w:val="20"/>
                <w:szCs w:val="20"/>
                <w:color w:val="auto"/>
              </w:rPr>
            </w:pPr>
            <w:r>
              <w:rPr>
                <w:rFonts w:ascii="Arial" w:cs="Arial" w:eastAsia="Arial" w:hAnsi="Arial"/>
                <w:sz w:val="14"/>
                <w:szCs w:val="14"/>
                <w:color w:val="auto"/>
              </w:rPr>
              <w:t>Cumulative translation adjustments</w:t>
            </w: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9"/>
              <w:spacing w:after="0"/>
              <w:rPr>
                <w:sz w:val="20"/>
                <w:szCs w:val="20"/>
                <w:color w:val="auto"/>
              </w:rPr>
            </w:pPr>
            <w:r>
              <w:rPr>
                <w:rFonts w:ascii="Arial" w:cs="Arial" w:eastAsia="Arial" w:hAnsi="Arial"/>
                <w:sz w:val="14"/>
                <w:szCs w:val="14"/>
                <w:color w:val="auto"/>
              </w:rPr>
              <w:t>11,452</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100" w:type="dxa"/>
            <w:vAlign w:val="bottom"/>
          </w:tcPr>
          <w:p>
            <w:pPr>
              <w:ind w:left="100"/>
              <w:spacing w:after="0"/>
              <w:rPr>
                <w:sz w:val="20"/>
                <w:szCs w:val="20"/>
                <w:color w:val="auto"/>
              </w:rPr>
            </w:pPr>
            <w:r>
              <w:rPr>
                <w:rFonts w:ascii="Arial" w:cs="Arial" w:eastAsia="Arial" w:hAnsi="Arial"/>
                <w:sz w:val="14"/>
                <w:szCs w:val="14"/>
                <w:color w:val="auto"/>
              </w:rPr>
              <w:t>Settlement of certain pension plan liabilities</w:t>
            </w: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9"/>
              <w:spacing w:after="0"/>
              <w:rPr>
                <w:sz w:val="20"/>
                <w:szCs w:val="20"/>
                <w:color w:val="auto"/>
              </w:rPr>
            </w:pPr>
            <w:r>
              <w:rPr>
                <w:rFonts w:ascii="Arial" w:cs="Arial" w:eastAsia="Arial" w:hAnsi="Arial"/>
                <w:sz w:val="14"/>
                <w:szCs w:val="14"/>
                <w:color w:val="auto"/>
              </w:rPr>
              <w:t>79,204</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100" w:type="dxa"/>
            <w:vAlign w:val="bottom"/>
          </w:tcPr>
          <w:p>
            <w:pPr>
              <w:ind w:left="100"/>
              <w:spacing w:after="0"/>
              <w:rPr>
                <w:sz w:val="20"/>
                <w:szCs w:val="20"/>
                <w:color w:val="auto"/>
              </w:rPr>
            </w:pPr>
            <w:r>
              <w:rPr>
                <w:rFonts w:ascii="Arial" w:cs="Arial" w:eastAsia="Arial" w:hAnsi="Arial"/>
                <w:sz w:val="14"/>
                <w:szCs w:val="14"/>
                <w:color w:val="auto"/>
              </w:rPr>
              <w:t>Pension and postretirement liability</w:t>
            </w:r>
          </w:p>
        </w:tc>
        <w:tc>
          <w:tcPr>
            <w:tcW w:w="68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1280" w:type="dxa"/>
            <w:vAlign w:val="bottom"/>
            <w:vMerge w:val="restart"/>
          </w:tcPr>
          <w:p>
            <w:pPr>
              <w:jc w:val="right"/>
              <w:ind w:right="49"/>
              <w:spacing w:after="0"/>
              <w:rPr>
                <w:sz w:val="20"/>
                <w:szCs w:val="20"/>
                <w:color w:val="auto"/>
              </w:rPr>
            </w:pPr>
            <w:r>
              <w:rPr>
                <w:rFonts w:ascii="Arial" w:cs="Arial" w:eastAsia="Arial" w:hAnsi="Arial"/>
                <w:sz w:val="14"/>
                <w:szCs w:val="14"/>
                <w:color w:val="auto"/>
              </w:rPr>
              <w:t>(30,584)</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3100" w:type="dxa"/>
            <w:vAlign w:val="bottom"/>
            <w:vMerge w:val="restart"/>
          </w:tcPr>
          <w:p>
            <w:pPr>
              <w:ind w:left="100"/>
              <w:spacing w:after="0"/>
              <w:rPr>
                <w:sz w:val="20"/>
                <w:szCs w:val="20"/>
                <w:color w:val="auto"/>
              </w:rPr>
            </w:pPr>
            <w:r>
              <w:rPr>
                <w:rFonts w:ascii="Arial" w:cs="Arial" w:eastAsia="Arial" w:hAnsi="Arial"/>
                <w:sz w:val="14"/>
                <w:szCs w:val="14"/>
                <w:color w:val="auto"/>
              </w:rPr>
              <w:t>adjustments</w:t>
            </w:r>
          </w:p>
        </w:tc>
        <w:tc>
          <w:tcPr>
            <w:tcW w:w="6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1"/>
        </w:trPr>
        <w:tc>
          <w:tcPr>
            <w:tcW w:w="310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3100" w:type="dxa"/>
            <w:vAlign w:val="bottom"/>
            <w:tcBorders>
              <w:bottom w:val="single" w:sz="8" w:color="auto"/>
            </w:tcBorders>
          </w:tcPr>
          <w:p>
            <w:pPr>
              <w:ind w:left="100"/>
              <w:spacing w:after="0" w:line="157" w:lineRule="exact"/>
              <w:rPr>
                <w:sz w:val="20"/>
                <w:szCs w:val="20"/>
                <w:color w:val="auto"/>
              </w:rPr>
            </w:pPr>
            <w:r>
              <w:rPr>
                <w:rFonts w:ascii="Arial" w:cs="Arial" w:eastAsia="Arial" w:hAnsi="Arial"/>
                <w:sz w:val="14"/>
                <w:szCs w:val="14"/>
                <w:color w:val="auto"/>
              </w:rPr>
              <w:t>Derivative valuation adjustment</w:t>
            </w:r>
          </w:p>
        </w:tc>
        <w:tc>
          <w:tcPr>
            <w:tcW w:w="680" w:type="dxa"/>
            <w:vAlign w:val="bottom"/>
            <w:tcBorders>
              <w:bottom w:val="single" w:sz="8" w:color="auto"/>
            </w:tcBorders>
          </w:tcPr>
          <w:p>
            <w:pPr>
              <w:jc w:val="right"/>
              <w:ind w:right="49"/>
              <w:spacing w:after="0" w:line="157"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68"/>
              <w:spacing w:after="0" w:line="157"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49"/>
              <w:spacing w:after="0" w:line="157"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49"/>
              <w:spacing w:after="0" w:line="157"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9"/>
              <w:spacing w:after="0" w:line="157" w:lineRule="exact"/>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49"/>
              <w:spacing w:after="0" w:line="157" w:lineRule="exact"/>
              <w:rPr>
                <w:sz w:val="20"/>
                <w:szCs w:val="20"/>
                <w:color w:val="auto"/>
              </w:rPr>
            </w:pPr>
            <w:r>
              <w:rPr>
                <w:rFonts w:ascii="Arial" w:cs="Arial" w:eastAsia="Arial" w:hAnsi="Arial"/>
                <w:sz w:val="14"/>
                <w:szCs w:val="14"/>
                <w:color w:val="auto"/>
              </w:rPr>
              <w:t>(284)</w:t>
            </w:r>
          </w:p>
        </w:tc>
        <w:tc>
          <w:tcPr>
            <w:tcW w:w="6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3100" w:type="dxa"/>
            <w:vAlign w:val="bottom"/>
            <w:tcBorders>
              <w:bottom w:val="single" w:sz="8" w:color="auto"/>
            </w:tcBorders>
          </w:tcPr>
          <w:p>
            <w:pPr>
              <w:ind w:left="100"/>
              <w:spacing w:after="0" w:line="155" w:lineRule="exact"/>
              <w:rPr>
                <w:sz w:val="20"/>
                <w:szCs w:val="20"/>
                <w:color w:val="auto"/>
              </w:rPr>
            </w:pPr>
            <w:r>
              <w:rPr>
                <w:rFonts w:ascii="Arial" w:cs="Arial" w:eastAsia="Arial" w:hAnsi="Arial"/>
                <w:sz w:val="14"/>
                <w:szCs w:val="14"/>
                <w:color w:val="auto"/>
              </w:rPr>
              <w:t>Balance: December 31, 2012</w:t>
            </w:r>
          </w:p>
        </w:tc>
        <w:tc>
          <w:tcPr>
            <w:tcW w:w="680" w:type="dxa"/>
            <w:vAlign w:val="bottom"/>
            <w:tcBorders>
              <w:bottom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36,642</w:t>
            </w:r>
          </w:p>
        </w:tc>
        <w:tc>
          <w:tcPr>
            <w:tcW w:w="7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$37</w:t>
            </w:r>
          </w:p>
        </w:tc>
        <w:tc>
          <w:tcPr>
            <w:tcW w:w="660" w:type="dxa"/>
            <w:vAlign w:val="bottom"/>
            <w:tcBorders>
              <w:bottom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3,236</w:t>
            </w:r>
          </w:p>
        </w:tc>
        <w:tc>
          <w:tcPr>
            <w:tcW w:w="6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$3</w:t>
            </w:r>
          </w:p>
        </w:tc>
        <w:tc>
          <w:tcPr>
            <w:tcW w:w="940" w:type="dxa"/>
            <w:vAlign w:val="bottom"/>
            <w:tcBorders>
              <w:bottom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$395,381</w:t>
            </w:r>
          </w:p>
        </w:tc>
        <w:tc>
          <w:tcPr>
            <w:tcW w:w="880" w:type="dxa"/>
            <w:vAlign w:val="bottom"/>
            <w:tcBorders>
              <w:bottom w:val="single" w:sz="8" w:color="auto"/>
            </w:tcBorders>
          </w:tcPr>
          <w:p>
            <w:pPr>
              <w:jc w:val="right"/>
              <w:ind w:right="9"/>
              <w:spacing w:after="0" w:line="155" w:lineRule="exact"/>
              <w:rPr>
                <w:sz w:val="20"/>
                <w:szCs w:val="20"/>
                <w:color w:val="auto"/>
              </w:rPr>
            </w:pPr>
            <w:r>
              <w:rPr>
                <w:rFonts w:ascii="Arial" w:cs="Arial" w:eastAsia="Arial" w:hAnsi="Arial"/>
                <w:sz w:val="14"/>
                <w:szCs w:val="14"/>
                <w:color w:val="auto"/>
              </w:rPr>
              <w:t>$435,775</w:t>
            </w:r>
          </w:p>
        </w:tc>
        <w:tc>
          <w:tcPr>
            <w:tcW w:w="1280" w:type="dxa"/>
            <w:vAlign w:val="bottom"/>
            <w:tcBorders>
              <w:bottom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($80,021)</w:t>
            </w: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8,468</w:t>
            </w: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($257,664)</w:t>
            </w:r>
          </w:p>
        </w:tc>
        <w:tc>
          <w:tcPr>
            <w:tcW w:w="1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3100" w:type="dxa"/>
            <w:vAlign w:val="bottom"/>
          </w:tcPr>
          <w:p>
            <w:pPr>
              <w:ind w:left="100"/>
              <w:spacing w:after="0"/>
              <w:rPr>
                <w:sz w:val="20"/>
                <w:szCs w:val="20"/>
                <w:color w:val="auto"/>
              </w:rPr>
            </w:pPr>
            <w:r>
              <w:rPr>
                <w:rFonts w:ascii="Arial" w:cs="Arial" w:eastAsia="Arial" w:hAnsi="Arial"/>
                <w:sz w:val="14"/>
                <w:szCs w:val="14"/>
                <w:color w:val="auto"/>
              </w:rPr>
              <w:t>Compensation and benefits paid or payable</w:t>
            </w: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100" w:type="dxa"/>
            <w:vAlign w:val="bottom"/>
          </w:tcPr>
          <w:p>
            <w:pPr>
              <w:ind w:left="100"/>
              <w:spacing w:after="0"/>
              <w:rPr>
                <w:sz w:val="20"/>
                <w:szCs w:val="20"/>
                <w:color w:val="auto"/>
              </w:rPr>
            </w:pPr>
            <w:r>
              <w:rPr>
                <w:rFonts w:ascii="Arial" w:cs="Arial" w:eastAsia="Arial" w:hAnsi="Arial"/>
                <w:sz w:val="14"/>
                <w:szCs w:val="14"/>
                <w:color w:val="auto"/>
              </w:rPr>
              <w:t>in shares</w:t>
            </w: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75</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(902)</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100" w:type="dxa"/>
            <w:vAlign w:val="bottom"/>
          </w:tcPr>
          <w:p>
            <w:pPr>
              <w:ind w:left="100"/>
              <w:spacing w:after="0"/>
              <w:rPr>
                <w:sz w:val="20"/>
                <w:szCs w:val="20"/>
                <w:color w:val="auto"/>
              </w:rPr>
            </w:pPr>
            <w:r>
              <w:rPr>
                <w:rFonts w:ascii="Arial" w:cs="Arial" w:eastAsia="Arial" w:hAnsi="Arial"/>
                <w:sz w:val="14"/>
                <w:szCs w:val="14"/>
                <w:color w:val="auto"/>
              </w:rPr>
              <w:t>Initial equity related to Noncontrolling interest</w:t>
            </w: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tcPr>
          <w:p>
            <w:pPr>
              <w:ind w:left="100"/>
              <w:spacing w:after="0"/>
              <w:rPr>
                <w:sz w:val="20"/>
                <w:szCs w:val="20"/>
                <w:color w:val="auto"/>
              </w:rPr>
            </w:pPr>
            <w:r>
              <w:rPr>
                <w:rFonts w:ascii="Arial" w:cs="Arial" w:eastAsia="Arial" w:hAnsi="Arial"/>
                <w:sz w:val="14"/>
                <w:szCs w:val="14"/>
                <w:color w:val="auto"/>
              </w:rPr>
              <w:t>in ASC</w:t>
            </w: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15,535</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3,341</w:t>
            </w:r>
          </w:p>
        </w:tc>
        <w:tc>
          <w:tcPr>
            <w:tcW w:w="0" w:type="dxa"/>
            <w:vAlign w:val="bottom"/>
          </w:tcPr>
          <w:p>
            <w:pPr>
              <w:spacing w:after="0"/>
              <w:rPr>
                <w:sz w:val="1"/>
                <w:szCs w:val="1"/>
                <w:color w:val="auto"/>
              </w:rPr>
            </w:pPr>
          </w:p>
        </w:tc>
      </w:tr>
      <w:tr>
        <w:trPr>
          <w:trHeight w:val="162"/>
        </w:trPr>
        <w:tc>
          <w:tcPr>
            <w:tcW w:w="3100" w:type="dxa"/>
            <w:vAlign w:val="bottom"/>
          </w:tcPr>
          <w:p>
            <w:pPr>
              <w:ind w:left="100"/>
              <w:spacing w:after="0"/>
              <w:rPr>
                <w:sz w:val="20"/>
                <w:szCs w:val="20"/>
                <w:color w:val="auto"/>
              </w:rPr>
            </w:pPr>
            <w:r>
              <w:rPr>
                <w:rFonts w:ascii="Arial" w:cs="Arial" w:eastAsia="Arial" w:hAnsi="Arial"/>
                <w:sz w:val="14"/>
                <w:szCs w:val="14"/>
                <w:color w:val="auto"/>
              </w:rPr>
              <w:t>Options exercised</w:t>
            </w: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279</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6,670</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100" w:type="dxa"/>
            <w:vAlign w:val="bottom"/>
          </w:tcPr>
          <w:p>
            <w:pPr>
              <w:ind w:left="100"/>
              <w:spacing w:after="0"/>
              <w:rPr>
                <w:sz w:val="20"/>
                <w:szCs w:val="20"/>
                <w:color w:val="auto"/>
              </w:rPr>
            </w:pPr>
            <w:r>
              <w:rPr>
                <w:rFonts w:ascii="Arial" w:cs="Arial" w:eastAsia="Arial" w:hAnsi="Arial"/>
                <w:sz w:val="14"/>
                <w:szCs w:val="14"/>
                <w:color w:val="auto"/>
              </w:rPr>
              <w:t>Shares issued to Directors</w:t>
            </w: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44</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(4)</w:t>
            </w:r>
          </w:p>
        </w:tc>
        <w:tc>
          <w:tcPr>
            <w:tcW w:w="800" w:type="dxa"/>
            <w:vAlign w:val="bottom"/>
          </w:tcPr>
          <w:p>
            <w:pPr>
              <w:jc w:val="right"/>
              <w:spacing w:after="0"/>
              <w:rPr>
                <w:sz w:val="20"/>
                <w:szCs w:val="20"/>
                <w:color w:val="auto"/>
              </w:rPr>
            </w:pPr>
            <w:r>
              <w:rPr>
                <w:rFonts w:ascii="Arial" w:cs="Arial" w:eastAsia="Arial" w:hAnsi="Arial"/>
                <w:sz w:val="14"/>
                <w:szCs w:val="14"/>
                <w:color w:val="auto"/>
              </w:rPr>
              <w:t>93</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100" w:type="dxa"/>
            <w:vAlign w:val="bottom"/>
          </w:tcPr>
          <w:p>
            <w:pPr>
              <w:ind w:left="100"/>
              <w:spacing w:after="0"/>
              <w:rPr>
                <w:sz w:val="20"/>
                <w:szCs w:val="20"/>
                <w:color w:val="auto"/>
              </w:rPr>
            </w:pPr>
            <w:r>
              <w:rPr>
                <w:rFonts w:ascii="Arial" w:cs="Arial" w:eastAsia="Arial" w:hAnsi="Arial"/>
                <w:sz w:val="14"/>
                <w:szCs w:val="14"/>
                <w:color w:val="auto"/>
              </w:rPr>
              <w:t>Net income</w:t>
            </w: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17,517</w:t>
            </w:r>
          </w:p>
        </w:tc>
        <w:tc>
          <w:tcPr>
            <w:tcW w:w="12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162"/>
        </w:trPr>
        <w:tc>
          <w:tcPr>
            <w:tcW w:w="3100" w:type="dxa"/>
            <w:vAlign w:val="bottom"/>
          </w:tcPr>
          <w:p>
            <w:pPr>
              <w:ind w:left="100"/>
              <w:spacing w:after="0"/>
              <w:rPr>
                <w:sz w:val="20"/>
                <w:szCs w:val="20"/>
                <w:color w:val="auto"/>
              </w:rPr>
            </w:pPr>
            <w:r>
              <w:rPr>
                <w:rFonts w:ascii="Arial" w:cs="Arial" w:eastAsia="Arial" w:hAnsi="Arial"/>
                <w:sz w:val="14"/>
                <w:szCs w:val="14"/>
                <w:color w:val="auto"/>
              </w:rPr>
              <w:t>Dividends declared</w:t>
            </w: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(18,694)</w:t>
            </w:r>
          </w:p>
        </w:tc>
        <w:tc>
          <w:tcPr>
            <w:tcW w:w="12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100" w:type="dxa"/>
            <w:vAlign w:val="bottom"/>
          </w:tcPr>
          <w:p>
            <w:pPr>
              <w:ind w:left="100"/>
              <w:spacing w:after="0"/>
              <w:rPr>
                <w:sz w:val="20"/>
                <w:szCs w:val="20"/>
                <w:color w:val="auto"/>
              </w:rPr>
            </w:pPr>
            <w:r>
              <w:rPr>
                <w:rFonts w:ascii="Arial" w:cs="Arial" w:eastAsia="Arial" w:hAnsi="Arial"/>
                <w:sz w:val="14"/>
                <w:szCs w:val="14"/>
                <w:color w:val="auto"/>
              </w:rPr>
              <w:t>Cumulative translation adjustments</w:t>
            </w: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9"/>
              <w:spacing w:after="0"/>
              <w:rPr>
                <w:sz w:val="20"/>
                <w:szCs w:val="20"/>
                <w:color w:val="auto"/>
              </w:rPr>
            </w:pPr>
            <w:r>
              <w:rPr>
                <w:rFonts w:ascii="Arial" w:cs="Arial" w:eastAsia="Arial" w:hAnsi="Arial"/>
                <w:sz w:val="14"/>
                <w:szCs w:val="14"/>
                <w:color w:val="auto"/>
              </w:rPr>
              <w:t>7,521</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100" w:type="dxa"/>
            <w:vAlign w:val="bottom"/>
          </w:tcPr>
          <w:p>
            <w:pPr>
              <w:ind w:left="100"/>
              <w:spacing w:after="0"/>
              <w:rPr>
                <w:sz w:val="20"/>
                <w:szCs w:val="20"/>
                <w:color w:val="auto"/>
              </w:rPr>
            </w:pPr>
            <w:r>
              <w:rPr>
                <w:rFonts w:ascii="Arial" w:cs="Arial" w:eastAsia="Arial" w:hAnsi="Arial"/>
                <w:sz w:val="14"/>
                <w:szCs w:val="14"/>
                <w:color w:val="auto"/>
              </w:rPr>
              <w:t>Pension and postretirement liability</w:t>
            </w: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vMerge w:val="restart"/>
          </w:tcPr>
          <w:p>
            <w:pPr>
              <w:jc w:val="right"/>
              <w:ind w:right="49"/>
              <w:spacing w:after="0"/>
              <w:rPr>
                <w:sz w:val="20"/>
                <w:szCs w:val="20"/>
                <w:color w:val="auto"/>
              </w:rPr>
            </w:pPr>
            <w:r>
              <w:rPr>
                <w:rFonts w:ascii="Arial" w:cs="Arial" w:eastAsia="Arial" w:hAnsi="Arial"/>
                <w:sz w:val="14"/>
                <w:szCs w:val="14"/>
                <w:color w:val="auto"/>
              </w:rPr>
              <w:t>21,101</w:t>
            </w:r>
          </w:p>
        </w:tc>
        <w:tc>
          <w:tcPr>
            <w:tcW w:w="6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1"/>
        </w:trPr>
        <w:tc>
          <w:tcPr>
            <w:tcW w:w="3100" w:type="dxa"/>
            <w:vAlign w:val="bottom"/>
            <w:vMerge w:val="restart"/>
          </w:tcPr>
          <w:p>
            <w:pPr>
              <w:ind w:left="100"/>
              <w:spacing w:after="0"/>
              <w:rPr>
                <w:sz w:val="20"/>
                <w:szCs w:val="20"/>
                <w:color w:val="auto"/>
              </w:rPr>
            </w:pPr>
            <w:r>
              <w:rPr>
                <w:rFonts w:ascii="Arial" w:cs="Arial" w:eastAsia="Arial" w:hAnsi="Arial"/>
                <w:sz w:val="14"/>
                <w:szCs w:val="14"/>
                <w:color w:val="auto"/>
              </w:rPr>
              <w:t>adjustments</w:t>
            </w:r>
          </w:p>
        </w:tc>
        <w:tc>
          <w:tcPr>
            <w:tcW w:w="68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1280" w:type="dxa"/>
            <w:vAlign w:val="bottom"/>
            <w:vMerge w:val="continue"/>
          </w:tcPr>
          <w:p>
            <w:pPr>
              <w:spacing w:after="0"/>
              <w:rPr>
                <w:sz w:val="7"/>
                <w:szCs w:val="7"/>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31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2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3100" w:type="dxa"/>
            <w:vAlign w:val="bottom"/>
            <w:tcBorders>
              <w:bottom w:val="single" w:sz="8" w:color="auto"/>
            </w:tcBorders>
          </w:tcPr>
          <w:p>
            <w:pPr>
              <w:ind w:left="100"/>
              <w:spacing w:after="0" w:line="157" w:lineRule="exact"/>
              <w:rPr>
                <w:sz w:val="20"/>
                <w:szCs w:val="20"/>
                <w:color w:val="auto"/>
              </w:rPr>
            </w:pPr>
            <w:r>
              <w:rPr>
                <w:rFonts w:ascii="Arial" w:cs="Arial" w:eastAsia="Arial" w:hAnsi="Arial"/>
                <w:sz w:val="14"/>
                <w:szCs w:val="14"/>
                <w:color w:val="auto"/>
              </w:rPr>
              <w:t>Derivative valuation adjustment</w:t>
            </w:r>
          </w:p>
        </w:tc>
        <w:tc>
          <w:tcPr>
            <w:tcW w:w="680" w:type="dxa"/>
            <w:vAlign w:val="bottom"/>
            <w:tcBorders>
              <w:bottom w:val="single" w:sz="8" w:color="auto"/>
            </w:tcBorders>
          </w:tcPr>
          <w:p>
            <w:pPr>
              <w:jc w:val="right"/>
              <w:ind w:right="49"/>
              <w:spacing w:after="0" w:line="157"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68"/>
              <w:spacing w:after="0" w:line="157"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49"/>
              <w:spacing w:after="0" w:line="157"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49"/>
              <w:spacing w:after="0" w:line="157"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9"/>
              <w:spacing w:after="0" w:line="157" w:lineRule="exact"/>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49"/>
              <w:spacing w:after="0" w:line="157" w:lineRule="exact"/>
              <w:rPr>
                <w:sz w:val="20"/>
                <w:szCs w:val="20"/>
                <w:color w:val="auto"/>
              </w:rPr>
            </w:pPr>
            <w:r>
              <w:rPr>
                <w:rFonts w:ascii="Arial" w:cs="Arial" w:eastAsia="Arial" w:hAnsi="Arial"/>
                <w:sz w:val="14"/>
                <w:szCs w:val="14"/>
                <w:color w:val="auto"/>
              </w:rPr>
              <w:t>1,901</w:t>
            </w:r>
          </w:p>
        </w:tc>
        <w:tc>
          <w:tcPr>
            <w:tcW w:w="6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3100" w:type="dxa"/>
            <w:vAlign w:val="bottom"/>
            <w:tcBorders>
              <w:bottom w:val="single" w:sz="8" w:color="auto"/>
            </w:tcBorders>
          </w:tcPr>
          <w:p>
            <w:pPr>
              <w:ind w:left="100"/>
              <w:spacing w:after="0" w:line="155" w:lineRule="exact"/>
              <w:rPr>
                <w:sz w:val="20"/>
                <w:szCs w:val="20"/>
                <w:color w:val="auto"/>
              </w:rPr>
            </w:pPr>
            <w:r>
              <w:rPr>
                <w:rFonts w:ascii="Arial" w:cs="Arial" w:eastAsia="Arial" w:hAnsi="Arial"/>
                <w:sz w:val="14"/>
                <w:szCs w:val="14"/>
                <w:color w:val="auto"/>
              </w:rPr>
              <w:t>Balance: December 31, 2013</w:t>
            </w:r>
          </w:p>
        </w:tc>
        <w:tc>
          <w:tcPr>
            <w:tcW w:w="680" w:type="dxa"/>
            <w:vAlign w:val="bottom"/>
            <w:tcBorders>
              <w:bottom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36,996</w:t>
            </w:r>
          </w:p>
        </w:tc>
        <w:tc>
          <w:tcPr>
            <w:tcW w:w="7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$37</w:t>
            </w:r>
          </w:p>
        </w:tc>
        <w:tc>
          <w:tcPr>
            <w:tcW w:w="660" w:type="dxa"/>
            <w:vAlign w:val="bottom"/>
            <w:tcBorders>
              <w:bottom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3,236</w:t>
            </w:r>
          </w:p>
        </w:tc>
        <w:tc>
          <w:tcPr>
            <w:tcW w:w="6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$3</w:t>
            </w:r>
          </w:p>
        </w:tc>
        <w:tc>
          <w:tcPr>
            <w:tcW w:w="940" w:type="dxa"/>
            <w:vAlign w:val="bottom"/>
            <w:tcBorders>
              <w:bottom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$416,728</w:t>
            </w:r>
          </w:p>
        </w:tc>
        <w:tc>
          <w:tcPr>
            <w:tcW w:w="880" w:type="dxa"/>
            <w:vAlign w:val="bottom"/>
            <w:tcBorders>
              <w:bottom w:val="single" w:sz="8" w:color="auto"/>
            </w:tcBorders>
          </w:tcPr>
          <w:p>
            <w:pPr>
              <w:jc w:val="right"/>
              <w:ind w:right="9"/>
              <w:spacing w:after="0" w:line="155" w:lineRule="exact"/>
              <w:rPr>
                <w:sz w:val="20"/>
                <w:szCs w:val="20"/>
                <w:color w:val="auto"/>
              </w:rPr>
            </w:pPr>
            <w:r>
              <w:rPr>
                <w:rFonts w:ascii="Arial" w:cs="Arial" w:eastAsia="Arial" w:hAnsi="Arial"/>
                <w:sz w:val="14"/>
                <w:szCs w:val="14"/>
                <w:color w:val="auto"/>
              </w:rPr>
              <w:t>$434,598</w:t>
            </w:r>
          </w:p>
        </w:tc>
        <w:tc>
          <w:tcPr>
            <w:tcW w:w="1280" w:type="dxa"/>
            <w:vAlign w:val="bottom"/>
            <w:tcBorders>
              <w:bottom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($49,498)</w:t>
            </w: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8,464</w:t>
            </w: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($257,571)</w:t>
            </w:r>
          </w:p>
        </w:tc>
        <w:tc>
          <w:tcPr>
            <w:tcW w:w="1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$3,482</w:t>
            </w:r>
          </w:p>
        </w:tc>
        <w:tc>
          <w:tcPr>
            <w:tcW w:w="0" w:type="dxa"/>
            <w:vAlign w:val="bottom"/>
          </w:tcPr>
          <w:p>
            <w:pPr>
              <w:spacing w:after="0"/>
              <w:rPr>
                <w:sz w:val="1"/>
                <w:szCs w:val="1"/>
                <w:color w:val="auto"/>
              </w:rPr>
            </w:pPr>
          </w:p>
        </w:tc>
      </w:tr>
      <w:tr>
        <w:trPr>
          <w:trHeight w:val="608"/>
        </w:trPr>
        <w:tc>
          <w:tcPr>
            <w:tcW w:w="3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1198" w:right="239" w:bottom="1440" w:gutter="0" w:footer="0" w:header="0"/>
        </w:sect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652589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525895" cy="8890"/>
                    </a:xfrm>
                    <a:prstGeom prst="rect">
                      <a:avLst/>
                    </a:prstGeom>
                    <a:noFill/>
                  </pic:spPr>
                </pic:pic>
              </a:graphicData>
            </a:graphic>
          </wp:anchor>
        </w:drawing>
      </w:r>
    </w:p>
    <w:bookmarkStart w:id="89" w:name="page90"/>
    <w:bookmarkEnd w:id="89"/>
    <w:p>
      <w:pPr>
        <w:spacing w:after="0"/>
        <w:rPr>
          <w:sz w:val="20"/>
          <w:szCs w:val="20"/>
          <w:color w:val="auto"/>
        </w:rPr>
      </w:pPr>
      <w:r>
        <w:rPr>
          <w:rFonts w:ascii="Arial" w:cs="Arial" w:eastAsia="Arial" w:hAnsi="Arial"/>
          <w:sz w:val="18"/>
          <w:szCs w:val="18"/>
          <w:b w:val="1"/>
          <w:bCs w:val="1"/>
          <w:color w:val="auto"/>
        </w:rPr>
        <w:t>21. Quarterly Financial Data (unaudited)</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780" w:type="dxa"/>
            <w:vAlign w:val="bottom"/>
            <w:tcBorders>
              <w:top w:val="single" w:sz="8" w:color="auto"/>
            </w:tcBorders>
          </w:tcPr>
          <w:p>
            <w:pPr>
              <w:ind w:left="100"/>
              <w:spacing w:after="0" w:line="194" w:lineRule="exact"/>
              <w:rPr>
                <w:sz w:val="20"/>
                <w:szCs w:val="20"/>
                <w:color w:val="auto"/>
              </w:rPr>
            </w:pPr>
            <w:r>
              <w:rPr>
                <w:rFonts w:ascii="Arial" w:cs="Arial" w:eastAsia="Arial" w:hAnsi="Arial"/>
                <w:sz w:val="18"/>
                <w:szCs w:val="18"/>
                <w:b w:val="1"/>
                <w:bCs w:val="1"/>
                <w:color w:val="auto"/>
              </w:rPr>
              <w:t>(in millions, except per share amounts)</w:t>
            </w:r>
          </w:p>
        </w:tc>
        <w:tc>
          <w:tcPr>
            <w:tcW w:w="234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r>
      <w:tr>
        <w:trPr>
          <w:trHeight w:val="225"/>
        </w:trPr>
        <w:tc>
          <w:tcPr>
            <w:tcW w:w="47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2013</w:t>
            </w:r>
          </w:p>
        </w:tc>
        <w:tc>
          <w:tcPr>
            <w:tcW w:w="23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1st</w:t>
            </w:r>
          </w:p>
        </w:tc>
        <w:tc>
          <w:tcPr>
            <w:tcW w:w="15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2nd</w:t>
            </w:r>
          </w:p>
        </w:tc>
        <w:tc>
          <w:tcPr>
            <w:tcW w:w="15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3rd</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4th</w:t>
            </w:r>
          </w:p>
        </w:tc>
      </w:tr>
      <w:tr>
        <w:trPr>
          <w:trHeight w:val="173"/>
        </w:trPr>
        <w:tc>
          <w:tcPr>
            <w:tcW w:w="4780" w:type="dxa"/>
            <w:vAlign w:val="bottom"/>
          </w:tcPr>
          <w:p>
            <w:pPr>
              <w:ind w:left="100"/>
              <w:spacing w:after="0" w:line="173" w:lineRule="exact"/>
              <w:rPr>
                <w:sz w:val="20"/>
                <w:szCs w:val="20"/>
                <w:color w:val="auto"/>
              </w:rPr>
            </w:pPr>
            <w:r>
              <w:rPr>
                <w:rFonts w:ascii="Arial" w:cs="Arial" w:eastAsia="Arial" w:hAnsi="Arial"/>
                <w:sz w:val="18"/>
                <w:szCs w:val="18"/>
                <w:b w:val="1"/>
                <w:bCs w:val="1"/>
                <w:color w:val="auto"/>
              </w:rPr>
              <w:t>Net sales</w:t>
            </w:r>
          </w:p>
        </w:tc>
        <w:tc>
          <w:tcPr>
            <w:tcW w:w="2340" w:type="dxa"/>
            <w:vAlign w:val="bottom"/>
          </w:tcPr>
          <w:p>
            <w:pPr>
              <w:jc w:val="right"/>
              <w:ind w:right="430"/>
              <w:spacing w:after="0" w:line="173" w:lineRule="exact"/>
              <w:rPr>
                <w:sz w:val="20"/>
                <w:szCs w:val="20"/>
                <w:color w:val="auto"/>
              </w:rPr>
            </w:pPr>
            <w:r>
              <w:rPr>
                <w:rFonts w:ascii="Arial" w:cs="Arial" w:eastAsia="Arial" w:hAnsi="Arial"/>
                <w:sz w:val="18"/>
                <w:szCs w:val="18"/>
                <w:b w:val="1"/>
                <w:bCs w:val="1"/>
                <w:color w:val="auto"/>
              </w:rPr>
              <w:t>$186.7</w:t>
            </w:r>
          </w:p>
        </w:tc>
        <w:tc>
          <w:tcPr>
            <w:tcW w:w="1580" w:type="dxa"/>
            <w:vAlign w:val="bottom"/>
          </w:tcPr>
          <w:p>
            <w:pPr>
              <w:jc w:val="right"/>
              <w:ind w:right="430"/>
              <w:spacing w:after="0" w:line="173" w:lineRule="exact"/>
              <w:rPr>
                <w:sz w:val="20"/>
                <w:szCs w:val="20"/>
                <w:color w:val="auto"/>
              </w:rPr>
            </w:pPr>
            <w:r>
              <w:rPr>
                <w:rFonts w:ascii="Arial" w:cs="Arial" w:eastAsia="Arial" w:hAnsi="Arial"/>
                <w:sz w:val="18"/>
                <w:szCs w:val="18"/>
                <w:b w:val="1"/>
                <w:bCs w:val="1"/>
                <w:color w:val="auto"/>
              </w:rPr>
              <w:t>$198.0</w:t>
            </w:r>
          </w:p>
        </w:tc>
        <w:tc>
          <w:tcPr>
            <w:tcW w:w="1560" w:type="dxa"/>
            <w:vAlign w:val="bottom"/>
          </w:tcPr>
          <w:p>
            <w:pPr>
              <w:jc w:val="right"/>
              <w:ind w:right="410"/>
              <w:spacing w:after="0" w:line="173" w:lineRule="exact"/>
              <w:rPr>
                <w:sz w:val="20"/>
                <w:szCs w:val="20"/>
                <w:color w:val="auto"/>
              </w:rPr>
            </w:pPr>
            <w:r>
              <w:rPr>
                <w:rFonts w:ascii="Arial" w:cs="Arial" w:eastAsia="Arial" w:hAnsi="Arial"/>
                <w:sz w:val="18"/>
                <w:szCs w:val="18"/>
                <w:b w:val="1"/>
                <w:bCs w:val="1"/>
                <w:color w:val="auto"/>
              </w:rPr>
              <w:t>$183.1</w:t>
            </w:r>
          </w:p>
        </w:tc>
        <w:tc>
          <w:tcPr>
            <w:tcW w:w="1160" w:type="dxa"/>
            <w:vAlign w:val="bottom"/>
          </w:tcPr>
          <w:p>
            <w:pPr>
              <w:jc w:val="right"/>
              <w:ind w:right="30"/>
              <w:spacing w:after="0" w:line="173" w:lineRule="exact"/>
              <w:rPr>
                <w:sz w:val="20"/>
                <w:szCs w:val="20"/>
                <w:color w:val="auto"/>
              </w:rPr>
            </w:pPr>
            <w:r>
              <w:rPr>
                <w:rFonts w:ascii="Arial" w:cs="Arial" w:eastAsia="Arial" w:hAnsi="Arial"/>
                <w:sz w:val="18"/>
                <w:szCs w:val="18"/>
                <w:b w:val="1"/>
                <w:bCs w:val="1"/>
                <w:color w:val="auto"/>
              </w:rPr>
              <w:t>$189.6</w:t>
            </w:r>
          </w:p>
        </w:tc>
      </w:tr>
      <w:tr>
        <w:trPr>
          <w:trHeight w:val="203"/>
        </w:trPr>
        <w:tc>
          <w:tcPr>
            <w:tcW w:w="4780" w:type="dxa"/>
            <w:vAlign w:val="bottom"/>
          </w:tcPr>
          <w:p>
            <w:pPr>
              <w:ind w:left="100"/>
              <w:spacing w:after="0" w:line="202" w:lineRule="exact"/>
              <w:rPr>
                <w:sz w:val="20"/>
                <w:szCs w:val="20"/>
                <w:color w:val="auto"/>
              </w:rPr>
            </w:pPr>
            <w:r>
              <w:rPr>
                <w:rFonts w:ascii="Arial" w:cs="Arial" w:eastAsia="Arial" w:hAnsi="Arial"/>
                <w:sz w:val="18"/>
                <w:szCs w:val="18"/>
                <w:b w:val="1"/>
                <w:bCs w:val="1"/>
                <w:color w:val="auto"/>
              </w:rPr>
              <w:t>Gross profit</w:t>
            </w:r>
          </w:p>
        </w:tc>
        <w:tc>
          <w:tcPr>
            <w:tcW w:w="2340" w:type="dxa"/>
            <w:vAlign w:val="bottom"/>
          </w:tcPr>
          <w:p>
            <w:pPr>
              <w:jc w:val="right"/>
              <w:ind w:right="430"/>
              <w:spacing w:after="0" w:line="202" w:lineRule="exact"/>
              <w:rPr>
                <w:sz w:val="20"/>
                <w:szCs w:val="20"/>
                <w:color w:val="auto"/>
              </w:rPr>
            </w:pPr>
            <w:r>
              <w:rPr>
                <w:rFonts w:ascii="Arial" w:cs="Arial" w:eastAsia="Arial" w:hAnsi="Arial"/>
                <w:sz w:val="18"/>
                <w:szCs w:val="18"/>
                <w:b w:val="1"/>
                <w:bCs w:val="1"/>
                <w:color w:val="auto"/>
              </w:rPr>
              <w:t>72.8</w:t>
            </w:r>
          </w:p>
        </w:tc>
        <w:tc>
          <w:tcPr>
            <w:tcW w:w="1580" w:type="dxa"/>
            <w:vAlign w:val="bottom"/>
          </w:tcPr>
          <w:p>
            <w:pPr>
              <w:jc w:val="right"/>
              <w:ind w:right="430"/>
              <w:spacing w:after="0" w:line="202" w:lineRule="exact"/>
              <w:rPr>
                <w:sz w:val="20"/>
                <w:szCs w:val="20"/>
                <w:color w:val="auto"/>
              </w:rPr>
            </w:pPr>
            <w:r>
              <w:rPr>
                <w:rFonts w:ascii="Arial" w:cs="Arial" w:eastAsia="Arial" w:hAnsi="Arial"/>
                <w:sz w:val="18"/>
                <w:szCs w:val="18"/>
                <w:b w:val="1"/>
                <w:bCs w:val="1"/>
                <w:color w:val="auto"/>
              </w:rPr>
              <w:t>77.4</w:t>
            </w:r>
          </w:p>
        </w:tc>
        <w:tc>
          <w:tcPr>
            <w:tcW w:w="1560" w:type="dxa"/>
            <w:vAlign w:val="bottom"/>
          </w:tcPr>
          <w:p>
            <w:pPr>
              <w:jc w:val="right"/>
              <w:ind w:right="410"/>
              <w:spacing w:after="0" w:line="202" w:lineRule="exact"/>
              <w:rPr>
                <w:sz w:val="20"/>
                <w:szCs w:val="20"/>
                <w:color w:val="auto"/>
              </w:rPr>
            </w:pPr>
            <w:r>
              <w:rPr>
                <w:rFonts w:ascii="Arial" w:cs="Arial" w:eastAsia="Arial" w:hAnsi="Arial"/>
                <w:sz w:val="18"/>
                <w:szCs w:val="18"/>
                <w:b w:val="1"/>
                <w:bCs w:val="1"/>
                <w:color w:val="auto"/>
              </w:rPr>
              <w:t>68.0</w:t>
            </w:r>
          </w:p>
        </w:tc>
        <w:tc>
          <w:tcPr>
            <w:tcW w:w="116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72.4</w:t>
            </w:r>
          </w:p>
        </w:tc>
      </w:tr>
      <w:tr>
        <w:trPr>
          <w:trHeight w:val="203"/>
        </w:trPr>
        <w:tc>
          <w:tcPr>
            <w:tcW w:w="4780" w:type="dxa"/>
            <w:vAlign w:val="bottom"/>
          </w:tcPr>
          <w:p>
            <w:pPr>
              <w:ind w:left="100"/>
              <w:spacing w:after="0" w:line="202" w:lineRule="exact"/>
              <w:rPr>
                <w:sz w:val="20"/>
                <w:szCs w:val="20"/>
                <w:color w:val="auto"/>
              </w:rPr>
            </w:pPr>
            <w:r>
              <w:rPr>
                <w:rFonts w:ascii="Arial" w:cs="Arial" w:eastAsia="Arial" w:hAnsi="Arial"/>
                <w:sz w:val="18"/>
                <w:szCs w:val="18"/>
                <w:b w:val="1"/>
                <w:bCs w:val="1"/>
                <w:color w:val="auto"/>
              </w:rPr>
              <w:t>Net income attributable to the Company</w:t>
            </w:r>
          </w:p>
        </w:tc>
        <w:tc>
          <w:tcPr>
            <w:tcW w:w="2340" w:type="dxa"/>
            <w:vAlign w:val="bottom"/>
          </w:tcPr>
          <w:p>
            <w:pPr>
              <w:jc w:val="right"/>
              <w:ind w:right="430"/>
              <w:spacing w:after="0" w:line="202" w:lineRule="exact"/>
              <w:rPr>
                <w:sz w:val="20"/>
                <w:szCs w:val="20"/>
                <w:color w:val="auto"/>
              </w:rPr>
            </w:pPr>
            <w:r>
              <w:rPr>
                <w:rFonts w:ascii="Arial" w:cs="Arial" w:eastAsia="Arial" w:hAnsi="Arial"/>
                <w:sz w:val="18"/>
                <w:szCs w:val="18"/>
                <w:b w:val="1"/>
                <w:bCs w:val="1"/>
                <w:color w:val="auto"/>
              </w:rPr>
              <w:t>11.5</w:t>
            </w:r>
          </w:p>
        </w:tc>
        <w:tc>
          <w:tcPr>
            <w:tcW w:w="1580" w:type="dxa"/>
            <w:vAlign w:val="bottom"/>
          </w:tcPr>
          <w:p>
            <w:pPr>
              <w:jc w:val="right"/>
              <w:ind w:right="430"/>
              <w:spacing w:after="0" w:line="202" w:lineRule="exact"/>
              <w:rPr>
                <w:sz w:val="20"/>
                <w:szCs w:val="20"/>
                <w:color w:val="auto"/>
              </w:rPr>
            </w:pPr>
            <w:r>
              <w:rPr>
                <w:rFonts w:ascii="Arial" w:cs="Arial" w:eastAsia="Arial" w:hAnsi="Arial"/>
                <w:sz w:val="18"/>
                <w:szCs w:val="18"/>
                <w:b w:val="1"/>
                <w:bCs w:val="1"/>
                <w:color w:val="auto"/>
              </w:rPr>
              <w:t>(7.4)</w:t>
            </w:r>
          </w:p>
        </w:tc>
        <w:tc>
          <w:tcPr>
            <w:tcW w:w="1560" w:type="dxa"/>
            <w:vAlign w:val="bottom"/>
          </w:tcPr>
          <w:p>
            <w:pPr>
              <w:jc w:val="right"/>
              <w:ind w:right="410"/>
              <w:spacing w:after="0" w:line="202" w:lineRule="exact"/>
              <w:rPr>
                <w:sz w:val="20"/>
                <w:szCs w:val="20"/>
                <w:color w:val="auto"/>
              </w:rPr>
            </w:pPr>
            <w:r>
              <w:rPr>
                <w:rFonts w:ascii="Arial" w:cs="Arial" w:eastAsia="Arial" w:hAnsi="Arial"/>
                <w:sz w:val="18"/>
                <w:szCs w:val="18"/>
                <w:b w:val="1"/>
                <w:bCs w:val="1"/>
                <w:color w:val="auto"/>
              </w:rPr>
              <w:t>4.7</w:t>
            </w:r>
          </w:p>
        </w:tc>
        <w:tc>
          <w:tcPr>
            <w:tcW w:w="116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8.7</w:t>
            </w:r>
          </w:p>
        </w:tc>
      </w:tr>
      <w:tr>
        <w:trPr>
          <w:trHeight w:val="203"/>
        </w:trPr>
        <w:tc>
          <w:tcPr>
            <w:tcW w:w="4780" w:type="dxa"/>
            <w:vAlign w:val="bottom"/>
          </w:tcPr>
          <w:p>
            <w:pPr>
              <w:ind w:left="100"/>
              <w:spacing w:after="0" w:line="202" w:lineRule="exact"/>
              <w:rPr>
                <w:sz w:val="20"/>
                <w:szCs w:val="20"/>
                <w:color w:val="auto"/>
              </w:rPr>
            </w:pPr>
            <w:r>
              <w:rPr>
                <w:rFonts w:ascii="Arial" w:cs="Arial" w:eastAsia="Arial" w:hAnsi="Arial"/>
                <w:sz w:val="18"/>
                <w:szCs w:val="18"/>
                <w:b w:val="1"/>
                <w:bCs w:val="1"/>
                <w:color w:val="auto"/>
              </w:rPr>
              <w:t>Basic earnings per share</w:t>
            </w:r>
          </w:p>
        </w:tc>
        <w:tc>
          <w:tcPr>
            <w:tcW w:w="2340" w:type="dxa"/>
            <w:vAlign w:val="bottom"/>
          </w:tcPr>
          <w:p>
            <w:pPr>
              <w:jc w:val="right"/>
              <w:ind w:right="430"/>
              <w:spacing w:after="0" w:line="202" w:lineRule="exact"/>
              <w:rPr>
                <w:sz w:val="20"/>
                <w:szCs w:val="20"/>
                <w:color w:val="auto"/>
              </w:rPr>
            </w:pPr>
            <w:r>
              <w:rPr>
                <w:rFonts w:ascii="Arial" w:cs="Arial" w:eastAsia="Arial" w:hAnsi="Arial"/>
                <w:sz w:val="18"/>
                <w:szCs w:val="18"/>
                <w:b w:val="1"/>
                <w:bCs w:val="1"/>
                <w:color w:val="auto"/>
              </w:rPr>
              <w:t>0.36</w:t>
            </w:r>
          </w:p>
        </w:tc>
        <w:tc>
          <w:tcPr>
            <w:tcW w:w="1580" w:type="dxa"/>
            <w:vAlign w:val="bottom"/>
          </w:tcPr>
          <w:p>
            <w:pPr>
              <w:jc w:val="right"/>
              <w:ind w:right="430"/>
              <w:spacing w:after="0" w:line="202" w:lineRule="exact"/>
              <w:rPr>
                <w:sz w:val="20"/>
                <w:szCs w:val="20"/>
                <w:color w:val="auto"/>
              </w:rPr>
            </w:pPr>
            <w:r>
              <w:rPr>
                <w:rFonts w:ascii="Arial" w:cs="Arial" w:eastAsia="Arial" w:hAnsi="Arial"/>
                <w:sz w:val="18"/>
                <w:szCs w:val="18"/>
                <w:b w:val="1"/>
                <w:bCs w:val="1"/>
                <w:color w:val="auto"/>
              </w:rPr>
              <w:t>(0.23)</w:t>
            </w:r>
          </w:p>
        </w:tc>
        <w:tc>
          <w:tcPr>
            <w:tcW w:w="1560" w:type="dxa"/>
            <w:vAlign w:val="bottom"/>
          </w:tcPr>
          <w:p>
            <w:pPr>
              <w:jc w:val="right"/>
              <w:ind w:right="410"/>
              <w:spacing w:after="0" w:line="202" w:lineRule="exact"/>
              <w:rPr>
                <w:sz w:val="20"/>
                <w:szCs w:val="20"/>
                <w:color w:val="auto"/>
              </w:rPr>
            </w:pPr>
            <w:r>
              <w:rPr>
                <w:rFonts w:ascii="Arial" w:cs="Arial" w:eastAsia="Arial" w:hAnsi="Arial"/>
                <w:sz w:val="18"/>
                <w:szCs w:val="18"/>
                <w:b w:val="1"/>
                <w:bCs w:val="1"/>
                <w:color w:val="auto"/>
              </w:rPr>
              <w:t>0.15</w:t>
            </w:r>
          </w:p>
        </w:tc>
        <w:tc>
          <w:tcPr>
            <w:tcW w:w="116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0.27</w:t>
            </w:r>
          </w:p>
        </w:tc>
      </w:tr>
      <w:tr>
        <w:trPr>
          <w:trHeight w:val="203"/>
        </w:trPr>
        <w:tc>
          <w:tcPr>
            <w:tcW w:w="4780" w:type="dxa"/>
            <w:vAlign w:val="bottom"/>
          </w:tcPr>
          <w:p>
            <w:pPr>
              <w:ind w:left="100"/>
              <w:spacing w:after="0" w:line="202" w:lineRule="exact"/>
              <w:rPr>
                <w:sz w:val="20"/>
                <w:szCs w:val="20"/>
                <w:color w:val="auto"/>
              </w:rPr>
            </w:pPr>
            <w:r>
              <w:rPr>
                <w:rFonts w:ascii="Arial" w:cs="Arial" w:eastAsia="Arial" w:hAnsi="Arial"/>
                <w:sz w:val="18"/>
                <w:szCs w:val="18"/>
                <w:b w:val="1"/>
                <w:bCs w:val="1"/>
                <w:color w:val="auto"/>
              </w:rPr>
              <w:t>Diluted earnings per share</w:t>
            </w:r>
          </w:p>
        </w:tc>
        <w:tc>
          <w:tcPr>
            <w:tcW w:w="2340" w:type="dxa"/>
            <w:vAlign w:val="bottom"/>
          </w:tcPr>
          <w:p>
            <w:pPr>
              <w:jc w:val="right"/>
              <w:ind w:right="430"/>
              <w:spacing w:after="0" w:line="202" w:lineRule="exact"/>
              <w:rPr>
                <w:sz w:val="20"/>
                <w:szCs w:val="20"/>
                <w:color w:val="auto"/>
              </w:rPr>
            </w:pPr>
            <w:r>
              <w:rPr>
                <w:rFonts w:ascii="Arial" w:cs="Arial" w:eastAsia="Arial" w:hAnsi="Arial"/>
                <w:sz w:val="18"/>
                <w:szCs w:val="18"/>
                <w:b w:val="1"/>
                <w:bCs w:val="1"/>
                <w:color w:val="auto"/>
              </w:rPr>
              <w:t>0.36</w:t>
            </w:r>
          </w:p>
        </w:tc>
        <w:tc>
          <w:tcPr>
            <w:tcW w:w="1580" w:type="dxa"/>
            <w:vAlign w:val="bottom"/>
          </w:tcPr>
          <w:p>
            <w:pPr>
              <w:jc w:val="right"/>
              <w:ind w:right="430"/>
              <w:spacing w:after="0" w:line="202" w:lineRule="exact"/>
              <w:rPr>
                <w:sz w:val="20"/>
                <w:szCs w:val="20"/>
                <w:color w:val="auto"/>
              </w:rPr>
            </w:pPr>
            <w:r>
              <w:rPr>
                <w:rFonts w:ascii="Arial" w:cs="Arial" w:eastAsia="Arial" w:hAnsi="Arial"/>
                <w:sz w:val="18"/>
                <w:szCs w:val="18"/>
                <w:b w:val="1"/>
                <w:bCs w:val="1"/>
                <w:color w:val="auto"/>
              </w:rPr>
              <w:t>(0.23)</w:t>
            </w:r>
          </w:p>
        </w:tc>
        <w:tc>
          <w:tcPr>
            <w:tcW w:w="1560" w:type="dxa"/>
            <w:vAlign w:val="bottom"/>
          </w:tcPr>
          <w:p>
            <w:pPr>
              <w:jc w:val="right"/>
              <w:ind w:right="410"/>
              <w:spacing w:after="0" w:line="202" w:lineRule="exact"/>
              <w:rPr>
                <w:sz w:val="20"/>
                <w:szCs w:val="20"/>
                <w:color w:val="auto"/>
              </w:rPr>
            </w:pPr>
            <w:r>
              <w:rPr>
                <w:rFonts w:ascii="Arial" w:cs="Arial" w:eastAsia="Arial" w:hAnsi="Arial"/>
                <w:sz w:val="18"/>
                <w:szCs w:val="18"/>
                <w:b w:val="1"/>
                <w:bCs w:val="1"/>
                <w:color w:val="auto"/>
              </w:rPr>
              <w:t>0.15</w:t>
            </w:r>
          </w:p>
        </w:tc>
        <w:tc>
          <w:tcPr>
            <w:tcW w:w="116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0.27</w:t>
            </w:r>
          </w:p>
        </w:tc>
      </w:tr>
      <w:tr>
        <w:trPr>
          <w:trHeight w:val="203"/>
        </w:trPr>
        <w:tc>
          <w:tcPr>
            <w:tcW w:w="4780" w:type="dxa"/>
            <w:vAlign w:val="bottom"/>
          </w:tcPr>
          <w:p>
            <w:pPr>
              <w:ind w:left="100"/>
              <w:spacing w:after="0" w:line="202" w:lineRule="exact"/>
              <w:rPr>
                <w:sz w:val="20"/>
                <w:szCs w:val="20"/>
                <w:color w:val="auto"/>
              </w:rPr>
            </w:pPr>
            <w:r>
              <w:rPr>
                <w:rFonts w:ascii="Arial" w:cs="Arial" w:eastAsia="Arial" w:hAnsi="Arial"/>
                <w:sz w:val="18"/>
                <w:szCs w:val="18"/>
                <w:b w:val="1"/>
                <w:bCs w:val="1"/>
                <w:color w:val="auto"/>
              </w:rPr>
              <w:t>Cash dividends per share</w:t>
            </w:r>
          </w:p>
        </w:tc>
        <w:tc>
          <w:tcPr>
            <w:tcW w:w="2340" w:type="dxa"/>
            <w:vAlign w:val="bottom"/>
          </w:tcPr>
          <w:p>
            <w:pPr>
              <w:jc w:val="right"/>
              <w:ind w:right="430"/>
              <w:spacing w:after="0" w:line="202" w:lineRule="exact"/>
              <w:rPr>
                <w:sz w:val="20"/>
                <w:szCs w:val="20"/>
                <w:color w:val="auto"/>
              </w:rPr>
            </w:pPr>
            <w:r>
              <w:rPr>
                <w:rFonts w:ascii="Arial" w:cs="Arial" w:eastAsia="Arial" w:hAnsi="Arial"/>
                <w:sz w:val="18"/>
                <w:szCs w:val="18"/>
                <w:b w:val="1"/>
                <w:bCs w:val="1"/>
                <w:color w:val="auto"/>
              </w:rPr>
              <w:t>0.14</w:t>
            </w:r>
          </w:p>
        </w:tc>
        <w:tc>
          <w:tcPr>
            <w:tcW w:w="1580" w:type="dxa"/>
            <w:vAlign w:val="bottom"/>
          </w:tcPr>
          <w:p>
            <w:pPr>
              <w:jc w:val="right"/>
              <w:ind w:right="430"/>
              <w:spacing w:after="0" w:line="202" w:lineRule="exact"/>
              <w:rPr>
                <w:sz w:val="20"/>
                <w:szCs w:val="20"/>
                <w:color w:val="auto"/>
              </w:rPr>
            </w:pPr>
            <w:r>
              <w:rPr>
                <w:rFonts w:ascii="Arial" w:cs="Arial" w:eastAsia="Arial" w:hAnsi="Arial"/>
                <w:sz w:val="18"/>
                <w:szCs w:val="18"/>
                <w:b w:val="1"/>
                <w:bCs w:val="1"/>
                <w:color w:val="auto"/>
              </w:rPr>
              <w:t>0.15</w:t>
            </w:r>
          </w:p>
        </w:tc>
        <w:tc>
          <w:tcPr>
            <w:tcW w:w="1560" w:type="dxa"/>
            <w:vAlign w:val="bottom"/>
          </w:tcPr>
          <w:p>
            <w:pPr>
              <w:jc w:val="right"/>
              <w:ind w:right="410"/>
              <w:spacing w:after="0" w:line="202" w:lineRule="exact"/>
              <w:rPr>
                <w:sz w:val="20"/>
                <w:szCs w:val="20"/>
                <w:color w:val="auto"/>
              </w:rPr>
            </w:pPr>
            <w:r>
              <w:rPr>
                <w:rFonts w:ascii="Arial" w:cs="Arial" w:eastAsia="Arial" w:hAnsi="Arial"/>
                <w:sz w:val="18"/>
                <w:szCs w:val="18"/>
                <w:b w:val="1"/>
                <w:bCs w:val="1"/>
                <w:color w:val="auto"/>
              </w:rPr>
              <w:t>0.15</w:t>
            </w:r>
          </w:p>
        </w:tc>
        <w:tc>
          <w:tcPr>
            <w:tcW w:w="116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0.15</w:t>
            </w:r>
          </w:p>
        </w:tc>
      </w:tr>
      <w:tr>
        <w:trPr>
          <w:trHeight w:val="203"/>
        </w:trPr>
        <w:tc>
          <w:tcPr>
            <w:tcW w:w="4780" w:type="dxa"/>
            <w:vAlign w:val="bottom"/>
          </w:tcPr>
          <w:p>
            <w:pPr>
              <w:ind w:left="100"/>
              <w:spacing w:after="0" w:line="202" w:lineRule="exact"/>
              <w:rPr>
                <w:sz w:val="20"/>
                <w:szCs w:val="20"/>
                <w:color w:val="auto"/>
              </w:rPr>
            </w:pPr>
            <w:r>
              <w:rPr>
                <w:rFonts w:ascii="Arial" w:cs="Arial" w:eastAsia="Arial" w:hAnsi="Arial"/>
                <w:sz w:val="18"/>
                <w:szCs w:val="18"/>
                <w:b w:val="1"/>
                <w:bCs w:val="1"/>
                <w:color w:val="auto"/>
              </w:rPr>
              <w:t>Class A Common Stock prices:</w:t>
            </w:r>
          </w:p>
        </w:tc>
        <w:tc>
          <w:tcPr>
            <w:tcW w:w="23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780" w:type="dxa"/>
            <w:vAlign w:val="bottom"/>
          </w:tcPr>
          <w:p>
            <w:pPr>
              <w:ind w:left="140"/>
              <w:spacing w:after="0" w:line="202" w:lineRule="exact"/>
              <w:rPr>
                <w:sz w:val="20"/>
                <w:szCs w:val="20"/>
                <w:color w:val="auto"/>
              </w:rPr>
            </w:pPr>
            <w:r>
              <w:rPr>
                <w:rFonts w:ascii="Arial" w:cs="Arial" w:eastAsia="Arial" w:hAnsi="Arial"/>
                <w:sz w:val="18"/>
                <w:szCs w:val="18"/>
                <w:b w:val="1"/>
                <w:bCs w:val="1"/>
                <w:color w:val="auto"/>
              </w:rPr>
              <w:t>High</w:t>
            </w:r>
          </w:p>
        </w:tc>
        <w:tc>
          <w:tcPr>
            <w:tcW w:w="2340" w:type="dxa"/>
            <w:vAlign w:val="bottom"/>
          </w:tcPr>
          <w:p>
            <w:pPr>
              <w:jc w:val="right"/>
              <w:ind w:right="430"/>
              <w:spacing w:after="0" w:line="202" w:lineRule="exact"/>
              <w:rPr>
                <w:sz w:val="20"/>
                <w:szCs w:val="20"/>
                <w:color w:val="auto"/>
              </w:rPr>
            </w:pPr>
            <w:r>
              <w:rPr>
                <w:rFonts w:ascii="Arial" w:cs="Arial" w:eastAsia="Arial" w:hAnsi="Arial"/>
                <w:sz w:val="18"/>
                <w:szCs w:val="18"/>
                <w:b w:val="1"/>
                <w:bCs w:val="1"/>
                <w:color w:val="auto"/>
              </w:rPr>
              <w:t>29.87</w:t>
            </w:r>
          </w:p>
        </w:tc>
        <w:tc>
          <w:tcPr>
            <w:tcW w:w="1580" w:type="dxa"/>
            <w:vAlign w:val="bottom"/>
          </w:tcPr>
          <w:p>
            <w:pPr>
              <w:jc w:val="right"/>
              <w:ind w:right="430"/>
              <w:spacing w:after="0" w:line="202" w:lineRule="exact"/>
              <w:rPr>
                <w:sz w:val="20"/>
                <w:szCs w:val="20"/>
                <w:color w:val="auto"/>
              </w:rPr>
            </w:pPr>
            <w:r>
              <w:rPr>
                <w:rFonts w:ascii="Arial" w:cs="Arial" w:eastAsia="Arial" w:hAnsi="Arial"/>
                <w:sz w:val="18"/>
                <w:szCs w:val="18"/>
                <w:b w:val="1"/>
                <w:bCs w:val="1"/>
                <w:color w:val="auto"/>
              </w:rPr>
              <w:t>33.90</w:t>
            </w:r>
          </w:p>
        </w:tc>
        <w:tc>
          <w:tcPr>
            <w:tcW w:w="1560" w:type="dxa"/>
            <w:vAlign w:val="bottom"/>
          </w:tcPr>
          <w:p>
            <w:pPr>
              <w:jc w:val="right"/>
              <w:ind w:right="410"/>
              <w:spacing w:after="0" w:line="202" w:lineRule="exact"/>
              <w:rPr>
                <w:sz w:val="20"/>
                <w:szCs w:val="20"/>
                <w:color w:val="auto"/>
              </w:rPr>
            </w:pPr>
            <w:r>
              <w:rPr>
                <w:rFonts w:ascii="Arial" w:cs="Arial" w:eastAsia="Arial" w:hAnsi="Arial"/>
                <w:sz w:val="18"/>
                <w:szCs w:val="18"/>
                <w:b w:val="1"/>
                <w:bCs w:val="1"/>
                <w:color w:val="auto"/>
              </w:rPr>
              <w:t>36.53</w:t>
            </w:r>
          </w:p>
        </w:tc>
        <w:tc>
          <w:tcPr>
            <w:tcW w:w="116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37.25</w:t>
            </w:r>
          </w:p>
        </w:tc>
      </w:tr>
      <w:tr>
        <w:trPr>
          <w:trHeight w:val="239"/>
        </w:trPr>
        <w:tc>
          <w:tcPr>
            <w:tcW w:w="4780" w:type="dxa"/>
            <w:vAlign w:val="bottom"/>
          </w:tcPr>
          <w:p>
            <w:pPr>
              <w:ind w:left="140"/>
              <w:spacing w:after="0"/>
              <w:rPr>
                <w:sz w:val="20"/>
                <w:szCs w:val="20"/>
                <w:color w:val="auto"/>
              </w:rPr>
            </w:pPr>
            <w:r>
              <w:rPr>
                <w:rFonts w:ascii="Arial" w:cs="Arial" w:eastAsia="Arial" w:hAnsi="Arial"/>
                <w:sz w:val="18"/>
                <w:szCs w:val="18"/>
                <w:b w:val="1"/>
                <w:bCs w:val="1"/>
                <w:color w:val="auto"/>
              </w:rPr>
              <w:t>Low</w:t>
            </w:r>
          </w:p>
        </w:tc>
        <w:tc>
          <w:tcPr>
            <w:tcW w:w="2340" w:type="dxa"/>
            <w:vAlign w:val="bottom"/>
          </w:tcPr>
          <w:p>
            <w:pPr>
              <w:jc w:val="right"/>
              <w:ind w:right="430"/>
              <w:spacing w:after="0"/>
              <w:rPr>
                <w:sz w:val="20"/>
                <w:szCs w:val="20"/>
                <w:color w:val="auto"/>
              </w:rPr>
            </w:pPr>
            <w:r>
              <w:rPr>
                <w:rFonts w:ascii="Arial" w:cs="Arial" w:eastAsia="Arial" w:hAnsi="Arial"/>
                <w:sz w:val="18"/>
                <w:szCs w:val="18"/>
                <w:b w:val="1"/>
                <w:bCs w:val="1"/>
                <w:color w:val="auto"/>
              </w:rPr>
              <w:t>23.21</w:t>
            </w:r>
          </w:p>
        </w:tc>
        <w:tc>
          <w:tcPr>
            <w:tcW w:w="1580" w:type="dxa"/>
            <w:vAlign w:val="bottom"/>
          </w:tcPr>
          <w:p>
            <w:pPr>
              <w:jc w:val="right"/>
              <w:ind w:right="430"/>
              <w:spacing w:after="0"/>
              <w:rPr>
                <w:sz w:val="20"/>
                <w:szCs w:val="20"/>
                <w:color w:val="auto"/>
              </w:rPr>
            </w:pPr>
            <w:r>
              <w:rPr>
                <w:rFonts w:ascii="Arial" w:cs="Arial" w:eastAsia="Arial" w:hAnsi="Arial"/>
                <w:sz w:val="18"/>
                <w:szCs w:val="18"/>
                <w:b w:val="1"/>
                <w:bCs w:val="1"/>
                <w:color w:val="auto"/>
              </w:rPr>
              <w:t>27.48</w:t>
            </w:r>
          </w:p>
        </w:tc>
        <w:tc>
          <w:tcPr>
            <w:tcW w:w="1560" w:type="dxa"/>
            <w:vAlign w:val="bottom"/>
          </w:tcPr>
          <w:p>
            <w:pPr>
              <w:jc w:val="right"/>
              <w:ind w:right="410"/>
              <w:spacing w:after="0"/>
              <w:rPr>
                <w:sz w:val="20"/>
                <w:szCs w:val="20"/>
                <w:color w:val="auto"/>
              </w:rPr>
            </w:pPr>
            <w:r>
              <w:rPr>
                <w:rFonts w:ascii="Arial" w:cs="Arial" w:eastAsia="Arial" w:hAnsi="Arial"/>
                <w:sz w:val="18"/>
                <w:szCs w:val="18"/>
                <w:b w:val="1"/>
                <w:bCs w:val="1"/>
                <w:color w:val="auto"/>
              </w:rPr>
              <w:t>32.27</w:t>
            </w: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33.81</w:t>
            </w:r>
          </w:p>
        </w:tc>
      </w:tr>
      <w:tr>
        <w:trPr>
          <w:trHeight w:val="392"/>
        </w:trPr>
        <w:tc>
          <w:tcPr>
            <w:tcW w:w="47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2012</w:t>
            </w:r>
          </w:p>
        </w:tc>
        <w:tc>
          <w:tcPr>
            <w:tcW w:w="23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195"/>
        </w:trPr>
        <w:tc>
          <w:tcPr>
            <w:tcW w:w="4780" w:type="dxa"/>
            <w:vAlign w:val="bottom"/>
          </w:tcPr>
          <w:p>
            <w:pPr>
              <w:ind w:left="100"/>
              <w:spacing w:after="0" w:line="195" w:lineRule="exact"/>
              <w:rPr>
                <w:sz w:val="20"/>
                <w:szCs w:val="20"/>
                <w:color w:val="auto"/>
              </w:rPr>
            </w:pPr>
            <w:r>
              <w:rPr>
                <w:rFonts w:ascii="Arial" w:cs="Arial" w:eastAsia="Arial" w:hAnsi="Arial"/>
                <w:sz w:val="18"/>
                <w:szCs w:val="18"/>
                <w:color w:val="auto"/>
              </w:rPr>
              <w:t>Net sales</w:t>
            </w:r>
          </w:p>
        </w:tc>
        <w:tc>
          <w:tcPr>
            <w:tcW w:w="2340" w:type="dxa"/>
            <w:vAlign w:val="bottom"/>
          </w:tcPr>
          <w:p>
            <w:pPr>
              <w:jc w:val="right"/>
              <w:ind w:right="430"/>
              <w:spacing w:after="0" w:line="195" w:lineRule="exact"/>
              <w:rPr>
                <w:sz w:val="20"/>
                <w:szCs w:val="20"/>
                <w:color w:val="auto"/>
              </w:rPr>
            </w:pPr>
            <w:r>
              <w:rPr>
                <w:rFonts w:ascii="Arial" w:cs="Arial" w:eastAsia="Arial" w:hAnsi="Arial"/>
                <w:sz w:val="18"/>
                <w:szCs w:val="18"/>
                <w:color w:val="auto"/>
              </w:rPr>
              <w:t>$180.1</w:t>
            </w:r>
          </w:p>
        </w:tc>
        <w:tc>
          <w:tcPr>
            <w:tcW w:w="1580" w:type="dxa"/>
            <w:vAlign w:val="bottom"/>
          </w:tcPr>
          <w:p>
            <w:pPr>
              <w:jc w:val="right"/>
              <w:ind w:right="430"/>
              <w:spacing w:after="0" w:line="195" w:lineRule="exact"/>
              <w:rPr>
                <w:sz w:val="20"/>
                <w:szCs w:val="20"/>
                <w:color w:val="auto"/>
              </w:rPr>
            </w:pPr>
            <w:r>
              <w:rPr>
                <w:rFonts w:ascii="Arial" w:cs="Arial" w:eastAsia="Arial" w:hAnsi="Arial"/>
                <w:sz w:val="18"/>
                <w:szCs w:val="18"/>
                <w:color w:val="auto"/>
              </w:rPr>
              <w:t>$191.9</w:t>
            </w:r>
          </w:p>
        </w:tc>
        <w:tc>
          <w:tcPr>
            <w:tcW w:w="1560" w:type="dxa"/>
            <w:vAlign w:val="bottom"/>
          </w:tcPr>
          <w:p>
            <w:pPr>
              <w:jc w:val="right"/>
              <w:ind w:right="410"/>
              <w:spacing w:after="0" w:line="195" w:lineRule="exact"/>
              <w:rPr>
                <w:sz w:val="20"/>
                <w:szCs w:val="20"/>
                <w:color w:val="auto"/>
              </w:rPr>
            </w:pPr>
            <w:r>
              <w:rPr>
                <w:rFonts w:ascii="Arial" w:cs="Arial" w:eastAsia="Arial" w:hAnsi="Arial"/>
                <w:sz w:val="18"/>
                <w:szCs w:val="18"/>
                <w:color w:val="auto"/>
              </w:rPr>
              <w:t>$194.6</w:t>
            </w:r>
          </w:p>
        </w:tc>
        <w:tc>
          <w:tcPr>
            <w:tcW w:w="1160" w:type="dxa"/>
            <w:vAlign w:val="bottom"/>
          </w:tcPr>
          <w:p>
            <w:pPr>
              <w:jc w:val="right"/>
              <w:ind w:right="30"/>
              <w:spacing w:after="0" w:line="195" w:lineRule="exact"/>
              <w:rPr>
                <w:sz w:val="20"/>
                <w:szCs w:val="20"/>
                <w:color w:val="auto"/>
              </w:rPr>
            </w:pPr>
            <w:r>
              <w:rPr>
                <w:rFonts w:ascii="Arial" w:cs="Arial" w:eastAsia="Arial" w:hAnsi="Arial"/>
                <w:sz w:val="18"/>
                <w:szCs w:val="18"/>
                <w:color w:val="auto"/>
              </w:rPr>
              <w:t>$194.3</w:t>
            </w:r>
          </w:p>
        </w:tc>
      </w:tr>
      <w:tr>
        <w:trPr>
          <w:trHeight w:val="203"/>
        </w:trPr>
        <w:tc>
          <w:tcPr>
            <w:tcW w:w="4780" w:type="dxa"/>
            <w:vAlign w:val="bottom"/>
          </w:tcPr>
          <w:p>
            <w:pPr>
              <w:ind w:left="100"/>
              <w:spacing w:after="0" w:line="202" w:lineRule="exact"/>
              <w:rPr>
                <w:sz w:val="20"/>
                <w:szCs w:val="20"/>
                <w:color w:val="auto"/>
              </w:rPr>
            </w:pPr>
            <w:r>
              <w:rPr>
                <w:rFonts w:ascii="Arial" w:cs="Arial" w:eastAsia="Arial" w:hAnsi="Arial"/>
                <w:sz w:val="18"/>
                <w:szCs w:val="18"/>
                <w:color w:val="auto"/>
              </w:rPr>
              <w:t>Gross profit</w:t>
            </w:r>
          </w:p>
        </w:tc>
        <w:tc>
          <w:tcPr>
            <w:tcW w:w="234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68.3</w:t>
            </w:r>
          </w:p>
        </w:tc>
        <w:tc>
          <w:tcPr>
            <w:tcW w:w="158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78.5</w:t>
            </w:r>
          </w:p>
        </w:tc>
        <w:tc>
          <w:tcPr>
            <w:tcW w:w="156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79.7</w:t>
            </w:r>
          </w:p>
        </w:tc>
        <w:tc>
          <w:tcPr>
            <w:tcW w:w="11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79.0</w:t>
            </w:r>
          </w:p>
        </w:tc>
      </w:tr>
      <w:tr>
        <w:trPr>
          <w:trHeight w:val="203"/>
        </w:trPr>
        <w:tc>
          <w:tcPr>
            <w:tcW w:w="4780" w:type="dxa"/>
            <w:vAlign w:val="bottom"/>
          </w:tcPr>
          <w:p>
            <w:pPr>
              <w:ind w:left="100"/>
              <w:spacing w:after="0" w:line="202" w:lineRule="exact"/>
              <w:rPr>
                <w:sz w:val="20"/>
                <w:szCs w:val="20"/>
                <w:color w:val="auto"/>
              </w:rPr>
            </w:pPr>
            <w:r>
              <w:rPr>
                <w:rFonts w:ascii="Arial" w:cs="Arial" w:eastAsia="Arial" w:hAnsi="Arial"/>
                <w:sz w:val="18"/>
                <w:szCs w:val="18"/>
                <w:color w:val="auto"/>
              </w:rPr>
              <w:t>Net income attributable to the Company</w:t>
            </w:r>
          </w:p>
        </w:tc>
        <w:tc>
          <w:tcPr>
            <w:tcW w:w="234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47.0</w:t>
            </w:r>
          </w:p>
        </w:tc>
        <w:tc>
          <w:tcPr>
            <w:tcW w:w="158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(33.7)</w:t>
            </w:r>
          </w:p>
        </w:tc>
        <w:tc>
          <w:tcPr>
            <w:tcW w:w="156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9.5</w:t>
            </w:r>
          </w:p>
        </w:tc>
        <w:tc>
          <w:tcPr>
            <w:tcW w:w="11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8.2</w:t>
            </w:r>
          </w:p>
        </w:tc>
      </w:tr>
      <w:tr>
        <w:trPr>
          <w:trHeight w:val="203"/>
        </w:trPr>
        <w:tc>
          <w:tcPr>
            <w:tcW w:w="4780" w:type="dxa"/>
            <w:vAlign w:val="bottom"/>
          </w:tcPr>
          <w:p>
            <w:pPr>
              <w:ind w:left="100"/>
              <w:spacing w:after="0" w:line="202" w:lineRule="exact"/>
              <w:rPr>
                <w:sz w:val="20"/>
                <w:szCs w:val="20"/>
                <w:color w:val="auto"/>
              </w:rPr>
            </w:pPr>
            <w:r>
              <w:rPr>
                <w:rFonts w:ascii="Arial" w:cs="Arial" w:eastAsia="Arial" w:hAnsi="Arial"/>
                <w:sz w:val="18"/>
                <w:szCs w:val="18"/>
                <w:color w:val="auto"/>
              </w:rPr>
              <w:t>Basic earnings per share</w:t>
            </w:r>
          </w:p>
        </w:tc>
        <w:tc>
          <w:tcPr>
            <w:tcW w:w="234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1.50</w:t>
            </w:r>
          </w:p>
        </w:tc>
        <w:tc>
          <w:tcPr>
            <w:tcW w:w="158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(1.08)</w:t>
            </w:r>
          </w:p>
        </w:tc>
        <w:tc>
          <w:tcPr>
            <w:tcW w:w="156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0.30</w:t>
            </w:r>
          </w:p>
        </w:tc>
        <w:tc>
          <w:tcPr>
            <w:tcW w:w="11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0.27</w:t>
            </w:r>
          </w:p>
        </w:tc>
      </w:tr>
      <w:tr>
        <w:trPr>
          <w:trHeight w:val="203"/>
        </w:trPr>
        <w:tc>
          <w:tcPr>
            <w:tcW w:w="4780" w:type="dxa"/>
            <w:vAlign w:val="bottom"/>
          </w:tcPr>
          <w:p>
            <w:pPr>
              <w:ind w:left="100"/>
              <w:spacing w:after="0" w:line="202" w:lineRule="exact"/>
              <w:rPr>
                <w:sz w:val="20"/>
                <w:szCs w:val="20"/>
                <w:color w:val="auto"/>
              </w:rPr>
            </w:pPr>
            <w:r>
              <w:rPr>
                <w:rFonts w:ascii="Arial" w:cs="Arial" w:eastAsia="Arial" w:hAnsi="Arial"/>
                <w:sz w:val="18"/>
                <w:szCs w:val="18"/>
                <w:color w:val="auto"/>
              </w:rPr>
              <w:t>Diluted earnings per share</w:t>
            </w:r>
          </w:p>
        </w:tc>
        <w:tc>
          <w:tcPr>
            <w:tcW w:w="234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1.49</w:t>
            </w:r>
          </w:p>
        </w:tc>
        <w:tc>
          <w:tcPr>
            <w:tcW w:w="158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(1.08)</w:t>
            </w:r>
          </w:p>
        </w:tc>
        <w:tc>
          <w:tcPr>
            <w:tcW w:w="156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0.30</w:t>
            </w:r>
          </w:p>
        </w:tc>
        <w:tc>
          <w:tcPr>
            <w:tcW w:w="11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0.26</w:t>
            </w:r>
          </w:p>
        </w:tc>
      </w:tr>
      <w:tr>
        <w:trPr>
          <w:trHeight w:val="203"/>
        </w:trPr>
        <w:tc>
          <w:tcPr>
            <w:tcW w:w="4780" w:type="dxa"/>
            <w:vAlign w:val="bottom"/>
          </w:tcPr>
          <w:p>
            <w:pPr>
              <w:ind w:left="100"/>
              <w:spacing w:after="0" w:line="202" w:lineRule="exact"/>
              <w:rPr>
                <w:sz w:val="20"/>
                <w:szCs w:val="20"/>
                <w:color w:val="auto"/>
              </w:rPr>
            </w:pPr>
            <w:r>
              <w:rPr>
                <w:rFonts w:ascii="Arial" w:cs="Arial" w:eastAsia="Arial" w:hAnsi="Arial"/>
                <w:sz w:val="18"/>
                <w:szCs w:val="18"/>
                <w:color w:val="auto"/>
              </w:rPr>
              <w:t>Cash dividends per share</w:t>
            </w:r>
          </w:p>
        </w:tc>
        <w:tc>
          <w:tcPr>
            <w:tcW w:w="234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0.13</w:t>
            </w:r>
          </w:p>
        </w:tc>
        <w:tc>
          <w:tcPr>
            <w:tcW w:w="158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0.14</w:t>
            </w:r>
          </w:p>
        </w:tc>
        <w:tc>
          <w:tcPr>
            <w:tcW w:w="156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0.14</w:t>
            </w:r>
          </w:p>
        </w:tc>
        <w:tc>
          <w:tcPr>
            <w:tcW w:w="11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0.14</w:t>
            </w:r>
          </w:p>
        </w:tc>
      </w:tr>
      <w:tr>
        <w:trPr>
          <w:trHeight w:val="203"/>
        </w:trPr>
        <w:tc>
          <w:tcPr>
            <w:tcW w:w="4780" w:type="dxa"/>
            <w:vAlign w:val="bottom"/>
          </w:tcPr>
          <w:p>
            <w:pPr>
              <w:ind w:left="100"/>
              <w:spacing w:after="0" w:line="202" w:lineRule="exact"/>
              <w:rPr>
                <w:sz w:val="20"/>
                <w:szCs w:val="20"/>
                <w:color w:val="auto"/>
              </w:rPr>
            </w:pPr>
            <w:r>
              <w:rPr>
                <w:rFonts w:ascii="Arial" w:cs="Arial" w:eastAsia="Arial" w:hAnsi="Arial"/>
                <w:sz w:val="18"/>
                <w:szCs w:val="18"/>
                <w:color w:val="auto"/>
              </w:rPr>
              <w:t>Class A Common Stock prices:</w:t>
            </w:r>
          </w:p>
        </w:tc>
        <w:tc>
          <w:tcPr>
            <w:tcW w:w="23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780" w:type="dxa"/>
            <w:vAlign w:val="bottom"/>
          </w:tcPr>
          <w:p>
            <w:pPr>
              <w:ind w:left="140"/>
              <w:spacing w:after="0" w:line="202" w:lineRule="exact"/>
              <w:rPr>
                <w:sz w:val="20"/>
                <w:szCs w:val="20"/>
                <w:color w:val="auto"/>
              </w:rPr>
            </w:pPr>
            <w:r>
              <w:rPr>
                <w:rFonts w:ascii="Arial" w:cs="Arial" w:eastAsia="Arial" w:hAnsi="Arial"/>
                <w:sz w:val="18"/>
                <w:szCs w:val="18"/>
                <w:color w:val="auto"/>
              </w:rPr>
              <w:t>High</w:t>
            </w:r>
          </w:p>
        </w:tc>
        <w:tc>
          <w:tcPr>
            <w:tcW w:w="234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25.90</w:t>
            </w:r>
          </w:p>
        </w:tc>
        <w:tc>
          <w:tcPr>
            <w:tcW w:w="158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24.70</w:t>
            </w:r>
          </w:p>
        </w:tc>
        <w:tc>
          <w:tcPr>
            <w:tcW w:w="156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22.78</w:t>
            </w:r>
          </w:p>
        </w:tc>
        <w:tc>
          <w:tcPr>
            <w:tcW w:w="11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22.68</w:t>
            </w:r>
          </w:p>
        </w:tc>
      </w:tr>
      <w:tr>
        <w:trPr>
          <w:trHeight w:val="217"/>
        </w:trPr>
        <w:tc>
          <w:tcPr>
            <w:tcW w:w="4780" w:type="dxa"/>
            <w:vAlign w:val="bottom"/>
          </w:tcPr>
          <w:p>
            <w:pPr>
              <w:ind w:left="140"/>
              <w:spacing w:after="0"/>
              <w:rPr>
                <w:sz w:val="20"/>
                <w:szCs w:val="20"/>
                <w:color w:val="auto"/>
              </w:rPr>
            </w:pPr>
            <w:r>
              <w:rPr>
                <w:rFonts w:ascii="Arial" w:cs="Arial" w:eastAsia="Arial" w:hAnsi="Arial"/>
                <w:sz w:val="18"/>
                <w:szCs w:val="18"/>
                <w:color w:val="auto"/>
              </w:rPr>
              <w:t>Low</w:t>
            </w:r>
          </w:p>
        </w:tc>
        <w:tc>
          <w:tcPr>
            <w:tcW w:w="2340" w:type="dxa"/>
            <w:vAlign w:val="bottom"/>
          </w:tcPr>
          <w:p>
            <w:pPr>
              <w:jc w:val="right"/>
              <w:ind w:right="430"/>
              <w:spacing w:after="0"/>
              <w:rPr>
                <w:sz w:val="20"/>
                <w:szCs w:val="20"/>
                <w:color w:val="auto"/>
              </w:rPr>
            </w:pPr>
            <w:r>
              <w:rPr>
                <w:rFonts w:ascii="Arial" w:cs="Arial" w:eastAsia="Arial" w:hAnsi="Arial"/>
                <w:sz w:val="18"/>
                <w:szCs w:val="18"/>
                <w:color w:val="auto"/>
              </w:rPr>
              <w:t>22.35</w:t>
            </w:r>
          </w:p>
        </w:tc>
        <w:tc>
          <w:tcPr>
            <w:tcW w:w="1580" w:type="dxa"/>
            <w:vAlign w:val="bottom"/>
          </w:tcPr>
          <w:p>
            <w:pPr>
              <w:jc w:val="right"/>
              <w:ind w:right="430"/>
              <w:spacing w:after="0"/>
              <w:rPr>
                <w:sz w:val="20"/>
                <w:szCs w:val="20"/>
                <w:color w:val="auto"/>
              </w:rPr>
            </w:pPr>
            <w:r>
              <w:rPr>
                <w:rFonts w:ascii="Arial" w:cs="Arial" w:eastAsia="Arial" w:hAnsi="Arial"/>
                <w:sz w:val="18"/>
                <w:szCs w:val="18"/>
                <w:color w:val="auto"/>
              </w:rPr>
              <w:t>17.15</w:t>
            </w:r>
          </w:p>
        </w:tc>
        <w:tc>
          <w:tcPr>
            <w:tcW w:w="1560" w:type="dxa"/>
            <w:vAlign w:val="bottom"/>
          </w:tcPr>
          <w:p>
            <w:pPr>
              <w:jc w:val="right"/>
              <w:ind w:right="410"/>
              <w:spacing w:after="0"/>
              <w:rPr>
                <w:sz w:val="20"/>
                <w:szCs w:val="20"/>
                <w:color w:val="auto"/>
              </w:rPr>
            </w:pPr>
            <w:r>
              <w:rPr>
                <w:rFonts w:ascii="Arial" w:cs="Arial" w:eastAsia="Arial" w:hAnsi="Arial"/>
                <w:sz w:val="18"/>
                <w:szCs w:val="18"/>
                <w:color w:val="auto"/>
              </w:rPr>
              <w:t>17.66</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20.11</w:t>
            </w:r>
          </w:p>
        </w:tc>
      </w:tr>
      <w:tr>
        <w:trPr>
          <w:trHeight w:val="405"/>
        </w:trPr>
        <w:tc>
          <w:tcPr>
            <w:tcW w:w="47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2011</w:t>
            </w:r>
          </w:p>
        </w:tc>
        <w:tc>
          <w:tcPr>
            <w:tcW w:w="23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195"/>
        </w:trPr>
        <w:tc>
          <w:tcPr>
            <w:tcW w:w="4780" w:type="dxa"/>
            <w:vAlign w:val="bottom"/>
          </w:tcPr>
          <w:p>
            <w:pPr>
              <w:ind w:left="100"/>
              <w:spacing w:after="0" w:line="195" w:lineRule="exact"/>
              <w:rPr>
                <w:sz w:val="20"/>
                <w:szCs w:val="20"/>
                <w:color w:val="auto"/>
              </w:rPr>
            </w:pPr>
            <w:r>
              <w:rPr>
                <w:rFonts w:ascii="Arial" w:cs="Arial" w:eastAsia="Arial" w:hAnsi="Arial"/>
                <w:sz w:val="18"/>
                <w:szCs w:val="18"/>
                <w:color w:val="auto"/>
              </w:rPr>
              <w:t>Net sales</w:t>
            </w:r>
          </w:p>
        </w:tc>
        <w:tc>
          <w:tcPr>
            <w:tcW w:w="2340" w:type="dxa"/>
            <w:vAlign w:val="bottom"/>
          </w:tcPr>
          <w:p>
            <w:pPr>
              <w:jc w:val="right"/>
              <w:ind w:right="430"/>
              <w:spacing w:after="0" w:line="195" w:lineRule="exact"/>
              <w:rPr>
                <w:sz w:val="20"/>
                <w:szCs w:val="20"/>
                <w:color w:val="auto"/>
              </w:rPr>
            </w:pPr>
            <w:r>
              <w:rPr>
                <w:rFonts w:ascii="Arial" w:cs="Arial" w:eastAsia="Arial" w:hAnsi="Arial"/>
                <w:sz w:val="18"/>
                <w:szCs w:val="18"/>
                <w:color w:val="auto"/>
              </w:rPr>
              <w:t>$200.0</w:t>
            </w:r>
          </w:p>
        </w:tc>
        <w:tc>
          <w:tcPr>
            <w:tcW w:w="1580" w:type="dxa"/>
            <w:vAlign w:val="bottom"/>
          </w:tcPr>
          <w:p>
            <w:pPr>
              <w:jc w:val="right"/>
              <w:ind w:right="430"/>
              <w:spacing w:after="0" w:line="195" w:lineRule="exact"/>
              <w:rPr>
                <w:sz w:val="20"/>
                <w:szCs w:val="20"/>
                <w:color w:val="auto"/>
              </w:rPr>
            </w:pPr>
            <w:r>
              <w:rPr>
                <w:rFonts w:ascii="Arial" w:cs="Arial" w:eastAsia="Arial" w:hAnsi="Arial"/>
                <w:sz w:val="18"/>
                <w:szCs w:val="18"/>
                <w:color w:val="auto"/>
              </w:rPr>
              <w:t>$189.7</w:t>
            </w:r>
          </w:p>
        </w:tc>
        <w:tc>
          <w:tcPr>
            <w:tcW w:w="1560" w:type="dxa"/>
            <w:vAlign w:val="bottom"/>
          </w:tcPr>
          <w:p>
            <w:pPr>
              <w:jc w:val="right"/>
              <w:ind w:right="410"/>
              <w:spacing w:after="0" w:line="195" w:lineRule="exact"/>
              <w:rPr>
                <w:sz w:val="20"/>
                <w:szCs w:val="20"/>
                <w:color w:val="auto"/>
              </w:rPr>
            </w:pPr>
            <w:r>
              <w:rPr>
                <w:rFonts w:ascii="Arial" w:cs="Arial" w:eastAsia="Arial" w:hAnsi="Arial"/>
                <w:sz w:val="18"/>
                <w:szCs w:val="18"/>
                <w:color w:val="auto"/>
              </w:rPr>
              <w:t>$200.3</w:t>
            </w:r>
          </w:p>
        </w:tc>
        <w:tc>
          <w:tcPr>
            <w:tcW w:w="1160" w:type="dxa"/>
            <w:vAlign w:val="bottom"/>
          </w:tcPr>
          <w:p>
            <w:pPr>
              <w:jc w:val="right"/>
              <w:ind w:right="30"/>
              <w:spacing w:after="0" w:line="195" w:lineRule="exact"/>
              <w:rPr>
                <w:sz w:val="20"/>
                <w:szCs w:val="20"/>
                <w:color w:val="auto"/>
              </w:rPr>
            </w:pPr>
            <w:r>
              <w:rPr>
                <w:rFonts w:ascii="Arial" w:cs="Arial" w:eastAsia="Arial" w:hAnsi="Arial"/>
                <w:sz w:val="18"/>
                <w:szCs w:val="18"/>
                <w:color w:val="auto"/>
              </w:rPr>
              <w:t>$197.4</w:t>
            </w:r>
          </w:p>
        </w:tc>
      </w:tr>
      <w:tr>
        <w:trPr>
          <w:trHeight w:val="203"/>
        </w:trPr>
        <w:tc>
          <w:tcPr>
            <w:tcW w:w="4780" w:type="dxa"/>
            <w:vAlign w:val="bottom"/>
          </w:tcPr>
          <w:p>
            <w:pPr>
              <w:ind w:left="100"/>
              <w:spacing w:after="0" w:line="202" w:lineRule="exact"/>
              <w:rPr>
                <w:sz w:val="20"/>
                <w:szCs w:val="20"/>
                <w:color w:val="auto"/>
              </w:rPr>
            </w:pPr>
            <w:r>
              <w:rPr>
                <w:rFonts w:ascii="Arial" w:cs="Arial" w:eastAsia="Arial" w:hAnsi="Arial"/>
                <w:sz w:val="18"/>
                <w:szCs w:val="18"/>
                <w:color w:val="auto"/>
              </w:rPr>
              <w:t>Gross profit</w:t>
            </w:r>
          </w:p>
        </w:tc>
        <w:tc>
          <w:tcPr>
            <w:tcW w:w="234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85.2</w:t>
            </w:r>
          </w:p>
        </w:tc>
        <w:tc>
          <w:tcPr>
            <w:tcW w:w="158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73.9</w:t>
            </w:r>
          </w:p>
        </w:tc>
        <w:tc>
          <w:tcPr>
            <w:tcW w:w="156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78.1</w:t>
            </w:r>
          </w:p>
        </w:tc>
        <w:tc>
          <w:tcPr>
            <w:tcW w:w="11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77.0</w:t>
            </w:r>
          </w:p>
        </w:tc>
      </w:tr>
      <w:tr>
        <w:trPr>
          <w:trHeight w:val="203"/>
        </w:trPr>
        <w:tc>
          <w:tcPr>
            <w:tcW w:w="4780" w:type="dxa"/>
            <w:vAlign w:val="bottom"/>
          </w:tcPr>
          <w:p>
            <w:pPr>
              <w:ind w:left="100"/>
              <w:spacing w:after="0" w:line="202" w:lineRule="exact"/>
              <w:rPr>
                <w:sz w:val="20"/>
                <w:szCs w:val="20"/>
                <w:color w:val="auto"/>
              </w:rPr>
            </w:pPr>
            <w:r>
              <w:rPr>
                <w:rFonts w:ascii="Arial" w:cs="Arial" w:eastAsia="Arial" w:hAnsi="Arial"/>
                <w:sz w:val="18"/>
                <w:szCs w:val="18"/>
                <w:color w:val="auto"/>
              </w:rPr>
              <w:t>Net income attributable to the Company</w:t>
            </w:r>
          </w:p>
        </w:tc>
        <w:tc>
          <w:tcPr>
            <w:tcW w:w="234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16.7</w:t>
            </w:r>
          </w:p>
        </w:tc>
        <w:tc>
          <w:tcPr>
            <w:tcW w:w="158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8.8</w:t>
            </w:r>
          </w:p>
        </w:tc>
        <w:tc>
          <w:tcPr>
            <w:tcW w:w="156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16.7</w:t>
            </w:r>
          </w:p>
        </w:tc>
        <w:tc>
          <w:tcPr>
            <w:tcW w:w="11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(7.2)</w:t>
            </w:r>
          </w:p>
        </w:tc>
      </w:tr>
      <w:tr>
        <w:trPr>
          <w:trHeight w:val="203"/>
        </w:trPr>
        <w:tc>
          <w:tcPr>
            <w:tcW w:w="4780" w:type="dxa"/>
            <w:vAlign w:val="bottom"/>
          </w:tcPr>
          <w:p>
            <w:pPr>
              <w:ind w:left="100"/>
              <w:spacing w:after="0" w:line="202" w:lineRule="exact"/>
              <w:rPr>
                <w:sz w:val="20"/>
                <w:szCs w:val="20"/>
                <w:color w:val="auto"/>
              </w:rPr>
            </w:pPr>
            <w:r>
              <w:rPr>
                <w:rFonts w:ascii="Arial" w:cs="Arial" w:eastAsia="Arial" w:hAnsi="Arial"/>
                <w:sz w:val="18"/>
                <w:szCs w:val="18"/>
                <w:color w:val="auto"/>
              </w:rPr>
              <w:t>Basic earnings per share</w:t>
            </w:r>
          </w:p>
        </w:tc>
        <w:tc>
          <w:tcPr>
            <w:tcW w:w="234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0.54</w:t>
            </w:r>
          </w:p>
        </w:tc>
        <w:tc>
          <w:tcPr>
            <w:tcW w:w="158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0.28</w:t>
            </w:r>
          </w:p>
        </w:tc>
        <w:tc>
          <w:tcPr>
            <w:tcW w:w="156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0.53</w:t>
            </w:r>
          </w:p>
        </w:tc>
        <w:tc>
          <w:tcPr>
            <w:tcW w:w="11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(0.23)</w:t>
            </w:r>
          </w:p>
        </w:tc>
      </w:tr>
      <w:tr>
        <w:trPr>
          <w:trHeight w:val="203"/>
        </w:trPr>
        <w:tc>
          <w:tcPr>
            <w:tcW w:w="4780" w:type="dxa"/>
            <w:vAlign w:val="bottom"/>
          </w:tcPr>
          <w:p>
            <w:pPr>
              <w:ind w:left="100"/>
              <w:spacing w:after="0" w:line="202" w:lineRule="exact"/>
              <w:rPr>
                <w:sz w:val="20"/>
                <w:szCs w:val="20"/>
                <w:color w:val="auto"/>
              </w:rPr>
            </w:pPr>
            <w:r>
              <w:rPr>
                <w:rFonts w:ascii="Arial" w:cs="Arial" w:eastAsia="Arial" w:hAnsi="Arial"/>
                <w:sz w:val="18"/>
                <w:szCs w:val="18"/>
                <w:color w:val="auto"/>
              </w:rPr>
              <w:t>Diluted earnings per share</w:t>
            </w:r>
          </w:p>
        </w:tc>
        <w:tc>
          <w:tcPr>
            <w:tcW w:w="234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0.53</w:t>
            </w:r>
          </w:p>
        </w:tc>
        <w:tc>
          <w:tcPr>
            <w:tcW w:w="158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0.28</w:t>
            </w:r>
          </w:p>
        </w:tc>
        <w:tc>
          <w:tcPr>
            <w:tcW w:w="156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0.53</w:t>
            </w:r>
          </w:p>
        </w:tc>
        <w:tc>
          <w:tcPr>
            <w:tcW w:w="11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(0.23)</w:t>
            </w:r>
          </w:p>
        </w:tc>
      </w:tr>
      <w:tr>
        <w:trPr>
          <w:trHeight w:val="203"/>
        </w:trPr>
        <w:tc>
          <w:tcPr>
            <w:tcW w:w="4780" w:type="dxa"/>
            <w:vAlign w:val="bottom"/>
          </w:tcPr>
          <w:p>
            <w:pPr>
              <w:ind w:left="100"/>
              <w:spacing w:after="0" w:line="202" w:lineRule="exact"/>
              <w:rPr>
                <w:sz w:val="20"/>
                <w:szCs w:val="20"/>
                <w:color w:val="auto"/>
              </w:rPr>
            </w:pPr>
            <w:r>
              <w:rPr>
                <w:rFonts w:ascii="Arial" w:cs="Arial" w:eastAsia="Arial" w:hAnsi="Arial"/>
                <w:sz w:val="18"/>
                <w:szCs w:val="18"/>
                <w:color w:val="auto"/>
              </w:rPr>
              <w:t>Cash dividends per share</w:t>
            </w:r>
          </w:p>
        </w:tc>
        <w:tc>
          <w:tcPr>
            <w:tcW w:w="234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0.12</w:t>
            </w:r>
          </w:p>
        </w:tc>
        <w:tc>
          <w:tcPr>
            <w:tcW w:w="158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0.13</w:t>
            </w:r>
          </w:p>
        </w:tc>
        <w:tc>
          <w:tcPr>
            <w:tcW w:w="156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0.13</w:t>
            </w:r>
          </w:p>
        </w:tc>
        <w:tc>
          <w:tcPr>
            <w:tcW w:w="11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0.13</w:t>
            </w:r>
          </w:p>
        </w:tc>
      </w:tr>
      <w:tr>
        <w:trPr>
          <w:trHeight w:val="203"/>
        </w:trPr>
        <w:tc>
          <w:tcPr>
            <w:tcW w:w="4780" w:type="dxa"/>
            <w:vAlign w:val="bottom"/>
          </w:tcPr>
          <w:p>
            <w:pPr>
              <w:ind w:left="100"/>
              <w:spacing w:after="0" w:line="202" w:lineRule="exact"/>
              <w:rPr>
                <w:sz w:val="20"/>
                <w:szCs w:val="20"/>
                <w:color w:val="auto"/>
              </w:rPr>
            </w:pPr>
            <w:r>
              <w:rPr>
                <w:rFonts w:ascii="Arial" w:cs="Arial" w:eastAsia="Arial" w:hAnsi="Arial"/>
                <w:sz w:val="18"/>
                <w:szCs w:val="18"/>
                <w:color w:val="auto"/>
              </w:rPr>
              <w:t>Class A Common Stock prices:</w:t>
            </w:r>
          </w:p>
        </w:tc>
        <w:tc>
          <w:tcPr>
            <w:tcW w:w="23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780" w:type="dxa"/>
            <w:vAlign w:val="bottom"/>
          </w:tcPr>
          <w:p>
            <w:pPr>
              <w:ind w:left="140"/>
              <w:spacing w:after="0" w:line="202" w:lineRule="exact"/>
              <w:rPr>
                <w:sz w:val="20"/>
                <w:szCs w:val="20"/>
                <w:color w:val="auto"/>
              </w:rPr>
            </w:pPr>
            <w:r>
              <w:rPr>
                <w:rFonts w:ascii="Arial" w:cs="Arial" w:eastAsia="Arial" w:hAnsi="Arial"/>
                <w:sz w:val="18"/>
                <w:szCs w:val="18"/>
                <w:color w:val="auto"/>
              </w:rPr>
              <w:t>High</w:t>
            </w:r>
          </w:p>
        </w:tc>
        <w:tc>
          <w:tcPr>
            <w:tcW w:w="234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25.09</w:t>
            </w:r>
          </w:p>
        </w:tc>
        <w:tc>
          <w:tcPr>
            <w:tcW w:w="158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27.90</w:t>
            </w:r>
          </w:p>
        </w:tc>
        <w:tc>
          <w:tcPr>
            <w:tcW w:w="156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27.68</w:t>
            </w:r>
          </w:p>
        </w:tc>
        <w:tc>
          <w:tcPr>
            <w:tcW w:w="11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25.70</w:t>
            </w:r>
          </w:p>
        </w:tc>
      </w:tr>
      <w:tr>
        <w:trPr>
          <w:trHeight w:val="217"/>
        </w:trPr>
        <w:tc>
          <w:tcPr>
            <w:tcW w:w="4780" w:type="dxa"/>
            <w:vAlign w:val="bottom"/>
          </w:tcPr>
          <w:p>
            <w:pPr>
              <w:ind w:left="140"/>
              <w:spacing w:after="0"/>
              <w:rPr>
                <w:sz w:val="20"/>
                <w:szCs w:val="20"/>
                <w:color w:val="auto"/>
              </w:rPr>
            </w:pPr>
            <w:r>
              <w:rPr>
                <w:rFonts w:ascii="Arial" w:cs="Arial" w:eastAsia="Arial" w:hAnsi="Arial"/>
                <w:sz w:val="18"/>
                <w:szCs w:val="18"/>
                <w:color w:val="auto"/>
              </w:rPr>
              <w:t>Low</w:t>
            </w:r>
          </w:p>
        </w:tc>
        <w:tc>
          <w:tcPr>
            <w:tcW w:w="2340" w:type="dxa"/>
            <w:vAlign w:val="bottom"/>
          </w:tcPr>
          <w:p>
            <w:pPr>
              <w:jc w:val="right"/>
              <w:ind w:right="430"/>
              <w:spacing w:after="0"/>
              <w:rPr>
                <w:sz w:val="20"/>
                <w:szCs w:val="20"/>
                <w:color w:val="auto"/>
              </w:rPr>
            </w:pPr>
            <w:r>
              <w:rPr>
                <w:rFonts w:ascii="Arial" w:cs="Arial" w:eastAsia="Arial" w:hAnsi="Arial"/>
                <w:sz w:val="18"/>
                <w:szCs w:val="18"/>
                <w:color w:val="auto"/>
              </w:rPr>
              <w:t>21.84</w:t>
            </w:r>
          </w:p>
        </w:tc>
        <w:tc>
          <w:tcPr>
            <w:tcW w:w="1580" w:type="dxa"/>
            <w:vAlign w:val="bottom"/>
          </w:tcPr>
          <w:p>
            <w:pPr>
              <w:jc w:val="right"/>
              <w:ind w:right="430"/>
              <w:spacing w:after="0"/>
              <w:rPr>
                <w:sz w:val="20"/>
                <w:szCs w:val="20"/>
                <w:color w:val="auto"/>
              </w:rPr>
            </w:pPr>
            <w:r>
              <w:rPr>
                <w:rFonts w:ascii="Arial" w:cs="Arial" w:eastAsia="Arial" w:hAnsi="Arial"/>
                <w:sz w:val="18"/>
                <w:szCs w:val="18"/>
                <w:color w:val="auto"/>
              </w:rPr>
              <w:t>23.54</w:t>
            </w:r>
          </w:p>
        </w:tc>
        <w:tc>
          <w:tcPr>
            <w:tcW w:w="1560" w:type="dxa"/>
            <w:vAlign w:val="bottom"/>
          </w:tcPr>
          <w:p>
            <w:pPr>
              <w:jc w:val="right"/>
              <w:ind w:right="410"/>
              <w:spacing w:after="0"/>
              <w:rPr>
                <w:sz w:val="20"/>
                <w:szCs w:val="20"/>
                <w:color w:val="auto"/>
              </w:rPr>
            </w:pPr>
            <w:r>
              <w:rPr>
                <w:rFonts w:ascii="Arial" w:cs="Arial" w:eastAsia="Arial" w:hAnsi="Arial"/>
                <w:sz w:val="18"/>
                <w:szCs w:val="18"/>
                <w:color w:val="auto"/>
              </w:rPr>
              <w:t>17.82</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17.24</w:t>
            </w:r>
          </w:p>
        </w:tc>
      </w:tr>
    </w:tbl>
    <w:p>
      <w:pPr>
        <w:spacing w:after="0" w:line="296" w:lineRule="exact"/>
        <w:rPr>
          <w:sz w:val="20"/>
          <w:szCs w:val="20"/>
          <w:color w:val="auto"/>
        </w:rPr>
      </w:pPr>
    </w:p>
    <w:p>
      <w:pPr>
        <w:ind w:right="220" w:firstLine="648"/>
        <w:spacing w:after="0" w:line="246" w:lineRule="auto"/>
        <w:rPr>
          <w:sz w:val="20"/>
          <w:szCs w:val="20"/>
          <w:color w:val="auto"/>
        </w:rPr>
      </w:pPr>
      <w:r>
        <w:rPr>
          <w:rFonts w:ascii="Arial" w:cs="Arial" w:eastAsia="Arial" w:hAnsi="Arial"/>
          <w:sz w:val="18"/>
          <w:szCs w:val="18"/>
          <w:color w:val="auto"/>
        </w:rPr>
        <w:t>In 2013, restructuring charges reduced earnings per share by $0.01 in the first quarter, $0.47 in the second quarter, $0.04 in the third quarter, and increased earnings per share by $0.03 in the fourth quarter.</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first quarter of 2013, we recognized a gain of $0.08 per share related to the sale of a former manufacturing facility.</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2012, earnings per share included pension plan settlement charges per share of $0.22 in the first quarter and $2.34 in the second</w:t>
      </w:r>
    </w:p>
    <w:p>
      <w:pPr>
        <w:spacing w:after="0"/>
        <w:rPr>
          <w:sz w:val="20"/>
          <w:szCs w:val="20"/>
          <w:color w:val="auto"/>
        </w:rPr>
      </w:pPr>
      <w:r>
        <w:rPr>
          <w:rFonts w:ascii="Arial" w:cs="Arial" w:eastAsia="Arial" w:hAnsi="Arial"/>
          <w:sz w:val="18"/>
          <w:szCs w:val="18"/>
          <w:color w:val="auto"/>
        </w:rPr>
        <w:t>quarter.</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90" w:name="page91"/>
    <w:bookmarkEnd w:id="90"/>
    <w:p>
      <w:pPr>
        <w:ind w:left="660"/>
        <w:spacing w:after="0"/>
        <w:rPr>
          <w:sz w:val="20"/>
          <w:szCs w:val="20"/>
          <w:color w:val="auto"/>
        </w:rPr>
      </w:pPr>
      <w:r>
        <w:rPr>
          <w:rFonts w:ascii="Arial" w:cs="Arial" w:eastAsia="Arial" w:hAnsi="Arial"/>
          <w:sz w:val="18"/>
          <w:szCs w:val="18"/>
          <w:color w:val="auto"/>
        </w:rPr>
        <w:t>In Q1 2012 income tax expense includes a favorable discrete adjustment for a Canadian audit settlement of $0.23 per share.</w:t>
      </w:r>
    </w:p>
    <w:p>
      <w:pPr>
        <w:spacing w:after="0" w:line="171" w:lineRule="exact"/>
        <w:rPr>
          <w:sz w:val="20"/>
          <w:szCs w:val="20"/>
          <w:color w:val="auto"/>
        </w:rPr>
      </w:pPr>
    </w:p>
    <w:p>
      <w:pPr>
        <w:ind w:right="220" w:firstLine="648"/>
        <w:spacing w:after="0" w:line="246" w:lineRule="auto"/>
        <w:rPr>
          <w:sz w:val="20"/>
          <w:szCs w:val="20"/>
          <w:color w:val="auto"/>
        </w:rPr>
      </w:pPr>
      <w:r>
        <w:rPr>
          <w:rFonts w:ascii="Arial" w:cs="Arial" w:eastAsia="Arial" w:hAnsi="Arial"/>
          <w:sz w:val="18"/>
          <w:szCs w:val="18"/>
          <w:color w:val="auto"/>
        </w:rPr>
        <w:t>In 2012, restructuring charges reduced earnings per share by $0.01 in the first quarter, $0.06 in the second quarter, $0.05 in the third quarter, and $0.02 in the fourth quarter.</w:t>
      </w:r>
    </w:p>
    <w:p>
      <w:pPr>
        <w:spacing w:after="0" w:line="170"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Income tax expense in the fourth quarter of 2011 includes a favorable adjustment of $0.11 per share to correct errors from periods prior to 2006. The Company does not believe that the corrected item is or was material to 2011 or any previously reported quarterly or annual financial statements. As a result, the Company has not restated its previously issued annual or quarterly financial statements.</w:t>
      </w:r>
    </w:p>
    <w:p>
      <w:pPr>
        <w:spacing w:after="0" w:line="162" w:lineRule="exact"/>
        <w:rPr>
          <w:sz w:val="20"/>
          <w:szCs w:val="20"/>
          <w:color w:val="auto"/>
        </w:rPr>
      </w:pPr>
    </w:p>
    <w:p>
      <w:pPr>
        <w:ind w:right="220" w:firstLine="648"/>
        <w:spacing w:after="0" w:line="246" w:lineRule="auto"/>
        <w:rPr>
          <w:sz w:val="20"/>
          <w:szCs w:val="20"/>
          <w:color w:val="auto"/>
        </w:rPr>
      </w:pPr>
      <w:r>
        <w:rPr>
          <w:rFonts w:ascii="Arial" w:cs="Arial" w:eastAsia="Arial" w:hAnsi="Arial"/>
          <w:sz w:val="18"/>
          <w:szCs w:val="18"/>
          <w:color w:val="auto"/>
        </w:rPr>
        <w:t>In 2011, restructuring charges reduced earnings per share by $0.00 in the first quarter, $0.04 in the second quarter, $0.06 in the third quarter, and $0.10 in the fourth quarter.</w:t>
      </w:r>
    </w:p>
    <w:p>
      <w:pPr>
        <w:spacing w:after="0" w:line="156" w:lineRule="exact"/>
        <w:rPr>
          <w:sz w:val="20"/>
          <w:szCs w:val="20"/>
          <w:color w:val="auto"/>
        </w:rPr>
      </w:pPr>
    </w:p>
    <w:p>
      <w:pPr>
        <w:ind w:right="160" w:firstLine="648"/>
        <w:spacing w:after="0"/>
        <w:rPr>
          <w:sz w:val="20"/>
          <w:szCs w:val="20"/>
          <w:color w:val="auto"/>
        </w:rPr>
      </w:pPr>
      <w:r>
        <w:rPr>
          <w:rFonts w:ascii="Arial" w:cs="Arial" w:eastAsia="Arial" w:hAnsi="Arial"/>
          <w:sz w:val="18"/>
          <w:szCs w:val="18"/>
          <w:color w:val="auto"/>
        </w:rPr>
        <w:t>The Company’s Class A Common Stock is traded principally on the New York Stock Exchange. As of December 31, 2013, there were approximately 6,200 beneficial owners of the Company’s common stock, including employees owning shares through the Company’s 401(k) defined contribution plan.</w:t>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07"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The Company, with the participation of its management, including its Chief Executive Officer and Chief Financial Officer, has carried out an evaluation of the effectiveness of the design and operation of the Company’s disclosure controls and procedures (as defined in Exchange Act Rules 13a-15 and 15d-15) as of the end of the period covered by this annual report, to ensure:</w:t>
      </w:r>
    </w:p>
    <w:p>
      <w:pPr>
        <w:spacing w:after="0" w:line="162" w:lineRule="exact"/>
        <w:rPr>
          <w:sz w:val="20"/>
          <w:szCs w:val="20"/>
          <w:color w:val="auto"/>
        </w:rPr>
      </w:pPr>
    </w:p>
    <w:p>
      <w:pPr>
        <w:ind w:left="980" w:right="500" w:hanging="324"/>
        <w:spacing w:after="0" w:line="234"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have maintained disclosure controls and procedures (as defined in paragraph (e) of this section) and internal control over financial reporting (as defined in paragraph (f) of this section);</w:t>
      </w:r>
    </w:p>
    <w:p>
      <w:pPr>
        <w:spacing w:after="0" w:line="1" w:lineRule="exact"/>
        <w:rPr>
          <w:rFonts w:ascii="Arial" w:cs="Arial" w:eastAsia="Arial" w:hAnsi="Arial"/>
          <w:sz w:val="18"/>
          <w:szCs w:val="18"/>
          <w:color w:val="auto"/>
        </w:rPr>
      </w:pPr>
    </w:p>
    <w:p>
      <w:pPr>
        <w:ind w:left="980" w:hanging="324"/>
        <w:spacing w:after="0" w:line="234"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have evaluated the effectiveness of disclosure controls and procedures, as of the end of each fiscal quarter;</w:t>
      </w:r>
    </w:p>
    <w:p>
      <w:pPr>
        <w:ind w:left="980" w:right="220" w:hanging="324"/>
        <w:spacing w:after="0" w:line="234"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have evaluated the effectiveness, as of the end of each fiscal year, of internal control over financial reporting. The framework on which evaluation of internal control over financial reporting is based is a suitable, recognized control framework that is established by a body or group that has followed due-process procedures, including the broad distribution of the framework for public comment;</w:t>
      </w:r>
    </w:p>
    <w:p>
      <w:pPr>
        <w:spacing w:after="0" w:line="3" w:lineRule="exact"/>
        <w:rPr>
          <w:rFonts w:ascii="Arial" w:cs="Arial" w:eastAsia="Arial" w:hAnsi="Arial"/>
          <w:sz w:val="18"/>
          <w:szCs w:val="18"/>
          <w:color w:val="auto"/>
        </w:rPr>
      </w:pPr>
    </w:p>
    <w:p>
      <w:pPr>
        <w:ind w:left="980" w:right="680" w:hanging="324"/>
        <w:spacing w:after="0" w:line="234"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have evaluated any change in internal control over financial reporting, that occurred during each fiscal quarter, that has materially affected, or is reasonably likely to materially affect, the internal control over financial reporting;</w:t>
      </w:r>
    </w:p>
    <w:p>
      <w:pPr>
        <w:spacing w:after="0" w:line="1" w:lineRule="exact"/>
        <w:rPr>
          <w:rFonts w:ascii="Arial" w:cs="Arial" w:eastAsia="Arial" w:hAnsi="Arial"/>
          <w:sz w:val="18"/>
          <w:szCs w:val="18"/>
          <w:color w:val="auto"/>
        </w:rPr>
      </w:pPr>
    </w:p>
    <w:p>
      <w:pPr>
        <w:ind w:left="980" w:right="120" w:hanging="324"/>
        <w:spacing w:after="0" w:line="234"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 purposes of this section, the term disclosure controls and procedures means controls and other procedures that are designed to ensure that information required to be disclosed in reports under the Act (15 U.S.C. 78a et seq.) is recorded, processed, summarized and reported, within the time periods specified in the Commission’s rules and forms. Disclosure controls and procedures include, without limitation, controls and procedures designed to ensure that information required to be disclosed under the Act is accumulated and communicated to management, including the Chief Executive Officer and Chief Financial Officer, as appropriate to allow timely decisions regarding required disclosure;</w:t>
      </w:r>
    </w:p>
    <w:p>
      <w:pPr>
        <w:spacing w:after="0" w:line="4" w:lineRule="exact"/>
        <w:rPr>
          <w:rFonts w:ascii="Arial" w:cs="Arial" w:eastAsia="Arial" w:hAnsi="Arial"/>
          <w:sz w:val="18"/>
          <w:szCs w:val="18"/>
          <w:color w:val="auto"/>
        </w:rPr>
      </w:pPr>
    </w:p>
    <w:p>
      <w:pPr>
        <w:ind w:left="980" w:right="60" w:hanging="324"/>
        <w:spacing w:after="0" w:line="238"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term internal control over financial reporting is defined as a process designed by, or under the supervision of, the principal executive and principal financial officers, or persons performing similar functions, and effected by the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89" w:lineRule="exact"/>
        <w:rPr>
          <w:rFonts w:ascii="Arial" w:cs="Arial" w:eastAsia="Arial" w:hAnsi="Arial"/>
          <w:sz w:val="18"/>
          <w:szCs w:val="18"/>
          <w:color w:val="auto"/>
        </w:rPr>
      </w:pPr>
    </w:p>
    <w:p>
      <w:pPr>
        <w:ind w:left="1300" w:right="100" w:hanging="320"/>
        <w:spacing w:after="0" w:line="234"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w:t>
      </w:r>
    </w:p>
    <w:p>
      <w:pPr>
        <w:spacing w:after="0" w:line="1" w:lineRule="exact"/>
        <w:rPr>
          <w:rFonts w:ascii="Arial" w:cs="Arial" w:eastAsia="Arial" w:hAnsi="Arial"/>
          <w:sz w:val="18"/>
          <w:szCs w:val="18"/>
          <w:color w:val="auto"/>
        </w:rPr>
      </w:pPr>
    </w:p>
    <w:p>
      <w:pPr>
        <w:ind w:left="1300" w:right="400" w:hanging="320"/>
        <w:spacing w:after="0" w:line="234"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are being made only in accordance with authorizations of management and directors; and</w:t>
      </w:r>
    </w:p>
    <w:p>
      <w:pPr>
        <w:spacing w:after="0" w:line="2" w:lineRule="exact"/>
        <w:rPr>
          <w:rFonts w:ascii="Arial" w:cs="Arial" w:eastAsia="Arial" w:hAnsi="Arial"/>
          <w:sz w:val="18"/>
          <w:szCs w:val="18"/>
          <w:color w:val="auto"/>
        </w:rPr>
      </w:pPr>
    </w:p>
    <w:p>
      <w:pPr>
        <w:ind w:left="1300" w:hanging="320"/>
        <w:spacing w:after="0" w:line="246"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assets that could have a material effect on the financial statements.</w:t>
      </w:r>
    </w:p>
    <w:p>
      <w:pPr>
        <w:spacing w:after="0" w:line="156" w:lineRule="exact"/>
        <w:rPr>
          <w:sz w:val="20"/>
          <w:szCs w:val="20"/>
          <w:color w:val="auto"/>
        </w:rPr>
      </w:pPr>
    </w:p>
    <w:p>
      <w:pPr>
        <w:ind w:right="680" w:firstLine="648"/>
        <w:spacing w:after="0" w:line="246" w:lineRule="auto"/>
        <w:rPr>
          <w:sz w:val="20"/>
          <w:szCs w:val="20"/>
          <w:color w:val="auto"/>
        </w:rPr>
      </w:pPr>
      <w:r>
        <w:rPr>
          <w:rFonts w:ascii="Arial" w:cs="Arial" w:eastAsia="Arial" w:hAnsi="Arial"/>
          <w:sz w:val="18"/>
          <w:szCs w:val="18"/>
          <w:color w:val="auto"/>
        </w:rPr>
        <w:t>Based upon and as of the date of that evaluation, the Chief Executive Officer and the Chief Financial Officer concluded that the disclosure controls and procedures of the Company were effective in ensuring that the</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92" w:name="page93"/>
    <w:bookmarkEnd w:id="92"/>
    <w:p>
      <w:pPr>
        <w:ind w:right="40"/>
        <w:spacing w:after="0" w:line="239" w:lineRule="auto"/>
        <w:rPr>
          <w:sz w:val="20"/>
          <w:szCs w:val="20"/>
          <w:color w:val="auto"/>
        </w:rPr>
      </w:pPr>
      <w:r>
        <w:rPr>
          <w:rFonts w:ascii="Arial" w:cs="Arial" w:eastAsia="Arial" w:hAnsi="Arial"/>
          <w:sz w:val="18"/>
          <w:szCs w:val="18"/>
          <w:color w:val="auto"/>
        </w:rPr>
        <w:t>information required to be disclosed in the periodic reports is recorded, processed, summarized and reported, within the time periods specified in the Commission’s rules and forms and ensuring that information required to be disclosed in reports is accumulated and communicated to the management of the Company, including its Chief Executive Officer and Chief Financial Officer, as appropriate to allow timely decisions regarding required disclosure.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07" w:lineRule="exact"/>
        <w:rPr>
          <w:sz w:val="20"/>
          <w:szCs w:val="20"/>
          <w:color w:val="auto"/>
        </w:rPr>
      </w:pPr>
    </w:p>
    <w:p>
      <w:pPr>
        <w:ind w:right="80" w:firstLine="648"/>
        <w:spacing w:after="0" w:line="239" w:lineRule="auto"/>
        <w:rPr>
          <w:sz w:val="20"/>
          <w:szCs w:val="20"/>
          <w:color w:val="auto"/>
        </w:rPr>
      </w:pPr>
      <w:r>
        <w:rPr>
          <w:rFonts w:ascii="Arial" w:cs="Arial" w:eastAsia="Arial" w:hAnsi="Arial"/>
          <w:sz w:val="18"/>
          <w:szCs w:val="18"/>
          <w:color w:val="auto"/>
        </w:rPr>
        <w:t>Management of the Company is responsible for establishing and maintaining adequate internal control over financial reporting as defined in Rules 13a-15(f) and 15d-15(f) under the Securities Exchange Act of 1934. The Company’s internal control system is a process designed to provide reasonable assurance regarding the reliability of financial reporting and the preparation of financial statements for external reporting purposes in accordance with accounting principles generally accepted in the United States of America.</w:t>
      </w:r>
    </w:p>
    <w:p>
      <w:pPr>
        <w:spacing w:after="0" w:line="161" w:lineRule="exact"/>
        <w:rPr>
          <w:sz w:val="20"/>
          <w:szCs w:val="20"/>
          <w:color w:val="auto"/>
        </w:rPr>
      </w:pPr>
    </w:p>
    <w:p>
      <w:pPr>
        <w:ind w:right="160" w:firstLine="648"/>
        <w:spacing w:after="0"/>
        <w:rPr>
          <w:sz w:val="20"/>
          <w:szCs w:val="20"/>
          <w:color w:val="auto"/>
        </w:rPr>
      </w:pPr>
      <w:r>
        <w:rPr>
          <w:rFonts w:ascii="Arial" w:cs="Arial" w:eastAsia="Arial" w:hAnsi="Arial"/>
          <w:sz w:val="18"/>
          <w:szCs w:val="18"/>
          <w:color w:val="auto"/>
        </w:rPr>
        <w:t>Because of its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and procedures may deteriorate.</w:t>
      </w:r>
    </w:p>
    <w:p>
      <w:pPr>
        <w:spacing w:after="0" w:line="162"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7"/>
          <w:szCs w:val="17"/>
          <w:color w:val="auto"/>
        </w:rPr>
        <w:t xml:space="preserve">Management of the Company assessed the effectiveness of the Company’s internal control over financial reporting as of December 31, 2013. In making this assessment, management used the criteria set forth by the 1992 Committee of Sponsoring Organizations of the Treadway Commission (COSO)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Based on that assessment, management concluded that, as of December 31, 2013, the Company’s internal control over financial reporting was effective at a reasonable assurance level based on those criteria.</w:t>
      </w:r>
    </w:p>
    <w:p>
      <w:pPr>
        <w:spacing w:after="0" w:line="162" w:lineRule="exact"/>
        <w:rPr>
          <w:sz w:val="20"/>
          <w:szCs w:val="20"/>
          <w:color w:val="auto"/>
        </w:rPr>
      </w:pPr>
    </w:p>
    <w:p>
      <w:pPr>
        <w:ind w:right="1060" w:firstLine="648"/>
        <w:spacing w:after="0" w:line="246" w:lineRule="auto"/>
        <w:rPr>
          <w:sz w:val="20"/>
          <w:szCs w:val="20"/>
          <w:color w:val="auto"/>
        </w:rPr>
      </w:pPr>
      <w:r>
        <w:rPr>
          <w:rFonts w:ascii="Arial" w:cs="Arial" w:eastAsia="Arial" w:hAnsi="Arial"/>
          <w:sz w:val="18"/>
          <w:szCs w:val="18"/>
          <w:color w:val="auto"/>
        </w:rPr>
        <w:t>The effectiveness of the Company’s internal control over financial reporting as of December 31, 2013 has been audited by PricewaterhouseCoopers LLP, an independent registered public accounting firm, as stated in their report included herein.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93" w:lineRule="exact"/>
        <w:rPr>
          <w:sz w:val="20"/>
          <w:szCs w:val="20"/>
          <w:color w:val="auto"/>
        </w:rPr>
      </w:pPr>
    </w:p>
    <w:p>
      <w:pPr>
        <w:ind w:right="560" w:firstLine="648"/>
        <w:spacing w:after="0" w:line="246" w:lineRule="auto"/>
        <w:rPr>
          <w:sz w:val="20"/>
          <w:szCs w:val="20"/>
          <w:color w:val="auto"/>
        </w:rPr>
      </w:pPr>
      <w:r>
        <w:rPr>
          <w:rFonts w:ascii="Arial" w:cs="Arial" w:eastAsia="Arial" w:hAnsi="Arial"/>
          <w:sz w:val="18"/>
          <w:szCs w:val="18"/>
          <w:color w:val="auto"/>
        </w:rPr>
        <w:t>There were no changes in our internal control over financial reporting during our fourth fiscal quarter of 2013 that have materially affected, or are reasonably likely to materially affect, our internal control over financial reporting.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00" w:type="dxa"/>
            <w:vAlign w:val="bottom"/>
            <w:gridSpan w:val="2"/>
          </w:tcPr>
          <w:p>
            <w:pPr>
              <w:ind w:left="660"/>
              <w:spacing w:after="0"/>
              <w:rPr>
                <w:sz w:val="20"/>
                <w:szCs w:val="20"/>
                <w:color w:val="auto"/>
              </w:rPr>
            </w:pPr>
            <w:r>
              <w:rPr>
                <w:rFonts w:ascii="Arial" w:cs="Arial" w:eastAsia="Arial" w:hAnsi="Arial"/>
                <w:sz w:val="18"/>
                <w:szCs w:val="18"/>
                <w:color w:val="auto"/>
              </w:rPr>
              <w:t>/s/ Joseph G. Morone, Ph.D.</w:t>
            </w:r>
          </w:p>
        </w:tc>
        <w:tc>
          <w:tcPr>
            <w:tcW w:w="4360" w:type="dxa"/>
            <w:vAlign w:val="bottom"/>
            <w:gridSpan w:val="3"/>
          </w:tcPr>
          <w:p>
            <w:pPr>
              <w:ind w:left="520"/>
              <w:spacing w:after="0"/>
              <w:rPr>
                <w:sz w:val="20"/>
                <w:szCs w:val="20"/>
                <w:color w:val="auto"/>
              </w:rPr>
            </w:pPr>
            <w:r>
              <w:rPr>
                <w:rFonts w:ascii="Arial" w:cs="Arial" w:eastAsia="Arial" w:hAnsi="Arial"/>
                <w:sz w:val="18"/>
                <w:szCs w:val="18"/>
                <w:color w:val="auto"/>
              </w:rPr>
              <w:t>/s/ John B. Cozzolino</w:t>
            </w:r>
          </w:p>
        </w:tc>
        <w:tc>
          <w:tcPr>
            <w:tcW w:w="2960" w:type="dxa"/>
            <w:vAlign w:val="bottom"/>
          </w:tcPr>
          <w:p>
            <w:pPr>
              <w:spacing w:after="0"/>
              <w:rPr>
                <w:sz w:val="20"/>
                <w:szCs w:val="20"/>
                <w:color w:val="auto"/>
              </w:rPr>
            </w:pPr>
            <w:r>
              <w:rPr>
                <w:rFonts w:ascii="Arial" w:cs="Arial" w:eastAsia="Arial" w:hAnsi="Arial"/>
                <w:sz w:val="18"/>
                <w:szCs w:val="18"/>
                <w:color w:val="auto"/>
              </w:rPr>
              <w:t>/s/ David M. Pawlick</w:t>
            </w:r>
          </w:p>
        </w:tc>
      </w:tr>
      <w:tr>
        <w:trPr>
          <w:trHeight w:val="195"/>
        </w:trPr>
        <w:tc>
          <w:tcPr>
            <w:tcW w:w="660" w:type="dxa"/>
            <w:vAlign w:val="bottom"/>
          </w:tcPr>
          <w:p>
            <w:pPr>
              <w:spacing w:after="0"/>
              <w:rPr>
                <w:sz w:val="16"/>
                <w:szCs w:val="16"/>
                <w:color w:val="auto"/>
              </w:rPr>
            </w:pPr>
          </w:p>
        </w:tc>
        <w:tc>
          <w:tcPr>
            <w:tcW w:w="28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Joseph G. Morone, Ph.D.</w:t>
            </w:r>
          </w:p>
        </w:tc>
        <w:tc>
          <w:tcPr>
            <w:tcW w:w="520" w:type="dxa"/>
            <w:vAlign w:val="bottom"/>
          </w:tcPr>
          <w:p>
            <w:pPr>
              <w:spacing w:after="0"/>
              <w:rPr>
                <w:sz w:val="16"/>
                <w:szCs w:val="16"/>
                <w:color w:val="auto"/>
              </w:rPr>
            </w:pPr>
          </w:p>
        </w:tc>
        <w:tc>
          <w:tcPr>
            <w:tcW w:w="3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John B. Cozzolino</w:t>
            </w:r>
          </w:p>
        </w:tc>
        <w:tc>
          <w:tcPr>
            <w:tcW w:w="600" w:type="dxa"/>
            <w:vAlign w:val="bottom"/>
          </w:tcPr>
          <w:p>
            <w:pPr>
              <w:spacing w:after="0"/>
              <w:rPr>
                <w:sz w:val="16"/>
                <w:szCs w:val="16"/>
                <w:color w:val="auto"/>
              </w:rPr>
            </w:pPr>
          </w:p>
        </w:tc>
        <w:tc>
          <w:tcPr>
            <w:tcW w:w="29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David M. Pawlick</w:t>
            </w:r>
          </w:p>
        </w:tc>
      </w:tr>
      <w:tr>
        <w:trPr>
          <w:trHeight w:val="203"/>
        </w:trPr>
        <w:tc>
          <w:tcPr>
            <w:tcW w:w="350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President and</w:t>
            </w:r>
          </w:p>
        </w:tc>
        <w:tc>
          <w:tcPr>
            <w:tcW w:w="4360" w:type="dxa"/>
            <w:vAlign w:val="bottom"/>
            <w:gridSpan w:val="3"/>
          </w:tcPr>
          <w:p>
            <w:pPr>
              <w:ind w:left="520"/>
              <w:spacing w:after="0" w:line="202" w:lineRule="exact"/>
              <w:rPr>
                <w:sz w:val="20"/>
                <w:szCs w:val="20"/>
                <w:color w:val="auto"/>
              </w:rPr>
            </w:pPr>
            <w:r>
              <w:rPr>
                <w:rFonts w:ascii="Arial" w:cs="Arial" w:eastAsia="Arial" w:hAnsi="Arial"/>
                <w:sz w:val="18"/>
                <w:szCs w:val="18"/>
                <w:color w:val="auto"/>
              </w:rPr>
              <w:t>Chief Financial Officer</w:t>
            </w:r>
          </w:p>
        </w:tc>
        <w:tc>
          <w:tcPr>
            <w:tcW w:w="2960" w:type="dxa"/>
            <w:vAlign w:val="bottom"/>
          </w:tcPr>
          <w:p>
            <w:pPr>
              <w:spacing w:after="0" w:line="202" w:lineRule="exact"/>
              <w:rPr>
                <w:sz w:val="20"/>
                <w:szCs w:val="20"/>
                <w:color w:val="auto"/>
              </w:rPr>
            </w:pPr>
            <w:r>
              <w:rPr>
                <w:rFonts w:ascii="Arial" w:cs="Arial" w:eastAsia="Arial" w:hAnsi="Arial"/>
                <w:sz w:val="18"/>
                <w:szCs w:val="18"/>
                <w:color w:val="auto"/>
              </w:rPr>
              <w:t>Vice President and</w:t>
            </w:r>
          </w:p>
        </w:tc>
      </w:tr>
      <w:tr>
        <w:trPr>
          <w:trHeight w:val="203"/>
        </w:trPr>
        <w:tc>
          <w:tcPr>
            <w:tcW w:w="350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Chief Executive Officer</w:t>
            </w:r>
          </w:p>
        </w:tc>
        <w:tc>
          <w:tcPr>
            <w:tcW w:w="4360" w:type="dxa"/>
            <w:vAlign w:val="bottom"/>
            <w:gridSpan w:val="3"/>
          </w:tcPr>
          <w:p>
            <w:pPr>
              <w:ind w:left="520"/>
              <w:spacing w:after="0" w:line="202" w:lineRule="exact"/>
              <w:rPr>
                <w:sz w:val="20"/>
                <w:szCs w:val="20"/>
                <w:color w:val="auto"/>
              </w:rPr>
            </w:pPr>
            <w:r>
              <w:rPr>
                <w:rFonts w:ascii="Arial" w:cs="Arial" w:eastAsia="Arial" w:hAnsi="Arial"/>
                <w:sz w:val="18"/>
                <w:szCs w:val="18"/>
                <w:color w:val="auto"/>
              </w:rPr>
              <w:t>and Treasurer</w:t>
            </w:r>
          </w:p>
        </w:tc>
        <w:tc>
          <w:tcPr>
            <w:tcW w:w="2960" w:type="dxa"/>
            <w:vAlign w:val="bottom"/>
          </w:tcPr>
          <w:p>
            <w:pPr>
              <w:spacing w:after="0" w:line="202" w:lineRule="exact"/>
              <w:rPr>
                <w:sz w:val="20"/>
                <w:szCs w:val="20"/>
                <w:color w:val="auto"/>
              </w:rPr>
            </w:pPr>
            <w:r>
              <w:rPr>
                <w:rFonts w:ascii="Arial" w:cs="Arial" w:eastAsia="Arial" w:hAnsi="Arial"/>
                <w:sz w:val="18"/>
                <w:szCs w:val="18"/>
                <w:color w:val="auto"/>
              </w:rPr>
              <w:t>Controller</w:t>
            </w:r>
          </w:p>
        </w:tc>
      </w:tr>
      <w:tr>
        <w:trPr>
          <w:trHeight w:val="203"/>
        </w:trPr>
        <w:tc>
          <w:tcPr>
            <w:tcW w:w="350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and Director</w:t>
            </w:r>
          </w:p>
        </w:tc>
        <w:tc>
          <w:tcPr>
            <w:tcW w:w="4360" w:type="dxa"/>
            <w:vAlign w:val="bottom"/>
            <w:gridSpan w:val="3"/>
          </w:tcPr>
          <w:p>
            <w:pPr>
              <w:ind w:left="520"/>
              <w:spacing w:after="0" w:line="202" w:lineRule="exact"/>
              <w:rPr>
                <w:sz w:val="20"/>
                <w:szCs w:val="20"/>
                <w:color w:val="auto"/>
              </w:rPr>
            </w:pPr>
            <w:r>
              <w:rPr>
                <w:rFonts w:ascii="Arial" w:cs="Arial" w:eastAsia="Arial" w:hAnsi="Arial"/>
                <w:sz w:val="18"/>
                <w:szCs w:val="18"/>
                <w:color w:val="auto"/>
              </w:rPr>
              <w:t>(Principal Financial Officer)</w:t>
            </w:r>
          </w:p>
        </w:tc>
        <w:tc>
          <w:tcPr>
            <w:tcW w:w="2960" w:type="dxa"/>
            <w:vAlign w:val="bottom"/>
          </w:tcPr>
          <w:p>
            <w:pPr>
              <w:spacing w:after="0" w:line="202" w:lineRule="exact"/>
              <w:rPr>
                <w:sz w:val="20"/>
                <w:szCs w:val="20"/>
                <w:color w:val="auto"/>
              </w:rPr>
            </w:pPr>
            <w:r>
              <w:rPr>
                <w:rFonts w:ascii="Arial" w:cs="Arial" w:eastAsia="Arial" w:hAnsi="Arial"/>
                <w:sz w:val="18"/>
                <w:szCs w:val="18"/>
                <w:color w:val="auto"/>
              </w:rPr>
              <w:t>(Principal Accounting Officer)</w:t>
            </w:r>
          </w:p>
        </w:tc>
      </w:tr>
      <w:tr>
        <w:trPr>
          <w:trHeight w:val="217"/>
        </w:trPr>
        <w:tc>
          <w:tcPr>
            <w:tcW w:w="3500" w:type="dxa"/>
            <w:vAlign w:val="bottom"/>
            <w:gridSpan w:val="2"/>
          </w:tcPr>
          <w:p>
            <w:pPr>
              <w:ind w:left="660"/>
              <w:spacing w:after="0"/>
              <w:rPr>
                <w:sz w:val="20"/>
                <w:szCs w:val="20"/>
                <w:color w:val="auto"/>
              </w:rPr>
            </w:pPr>
            <w:r>
              <w:rPr>
                <w:rFonts w:ascii="Arial" w:cs="Arial" w:eastAsia="Arial" w:hAnsi="Arial"/>
                <w:sz w:val="18"/>
                <w:szCs w:val="18"/>
                <w:color w:val="auto"/>
              </w:rPr>
              <w:t>(Principal Executive Officer)</w:t>
            </w:r>
          </w:p>
        </w:tc>
        <w:tc>
          <w:tcPr>
            <w:tcW w:w="5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419"/>
        </w:trPr>
        <w:tc>
          <w:tcPr>
            <w:tcW w:w="3500" w:type="dxa"/>
            <w:vAlign w:val="bottom"/>
            <w:gridSpan w:val="2"/>
          </w:tcPr>
          <w:p>
            <w:pPr>
              <w:spacing w:after="0"/>
              <w:rPr>
                <w:sz w:val="20"/>
                <w:szCs w:val="20"/>
                <w:color w:val="auto"/>
              </w:rPr>
            </w:pPr>
            <w:r>
              <w:rPr>
                <w:rFonts w:ascii="Arial" w:cs="Arial" w:eastAsia="Arial" w:hAnsi="Arial"/>
                <w:sz w:val="18"/>
                <w:szCs w:val="18"/>
                <w:b w:val="1"/>
                <w:bCs w:val="1"/>
                <w:color w:val="auto"/>
              </w:rPr>
              <w:t>Item 9B. OTHER INFORMATION</w:t>
            </w:r>
          </w:p>
        </w:tc>
        <w:tc>
          <w:tcPr>
            <w:tcW w:w="5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378"/>
        </w:trPr>
        <w:tc>
          <w:tcPr>
            <w:tcW w:w="3500" w:type="dxa"/>
            <w:vAlign w:val="bottom"/>
            <w:gridSpan w:val="2"/>
          </w:tcPr>
          <w:p>
            <w:pPr>
              <w:ind w:left="660"/>
              <w:spacing w:after="0"/>
              <w:rPr>
                <w:sz w:val="20"/>
                <w:szCs w:val="20"/>
                <w:color w:val="auto"/>
              </w:rPr>
            </w:pPr>
            <w:r>
              <w:rPr>
                <w:rFonts w:ascii="Arial" w:cs="Arial" w:eastAsia="Arial" w:hAnsi="Arial"/>
                <w:sz w:val="18"/>
                <w:szCs w:val="18"/>
                <w:color w:val="auto"/>
              </w:rPr>
              <w:t>None.</w:t>
            </w:r>
          </w:p>
        </w:tc>
        <w:tc>
          <w:tcPr>
            <w:tcW w:w="5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960" w:type="dxa"/>
            <w:vAlign w:val="bottom"/>
          </w:tcPr>
          <w:p>
            <w:pPr>
              <w:spacing w:after="0"/>
              <w:rPr>
                <w:sz w:val="24"/>
                <w:szCs w:val="24"/>
                <w:color w:val="auto"/>
              </w:rPr>
            </w:pPr>
          </w:p>
        </w:tc>
      </w:tr>
    </w:tbl>
    <w:p>
      <w:pPr>
        <w:spacing w:after="0" w:line="1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93" w:name="page94"/>
    <w:bookmarkEnd w:id="93"/>
    <w:p>
      <w:pPr>
        <w:ind w:left="5700"/>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07" w:lineRule="exact"/>
        <w:rPr>
          <w:sz w:val="20"/>
          <w:szCs w:val="20"/>
          <w:color w:val="auto"/>
        </w:rPr>
      </w:pPr>
    </w:p>
    <w:p>
      <w:pPr>
        <w:ind w:left="1300" w:right="80" w:hanging="644"/>
        <w:spacing w:after="0" w:line="246"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Directors.</w:t>
      </w:r>
      <w:r>
        <w:rPr>
          <w:rFonts w:ascii="Arial" w:cs="Arial" w:eastAsia="Arial" w:hAnsi="Arial"/>
          <w:sz w:val="18"/>
          <w:szCs w:val="18"/>
          <w:color w:val="auto"/>
        </w:rPr>
        <w:t xml:space="preserve"> The information set out in the section captioned “Election of Directors” in the Proxy Statement is incorporated herein by reference.</w:t>
      </w:r>
    </w:p>
    <w:p>
      <w:pPr>
        <w:spacing w:after="0" w:line="156" w:lineRule="exact"/>
        <w:rPr>
          <w:rFonts w:ascii="Arial" w:cs="Arial" w:eastAsia="Arial" w:hAnsi="Arial"/>
          <w:sz w:val="18"/>
          <w:szCs w:val="18"/>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Executive Officers.</w:t>
      </w:r>
      <w:r>
        <w:rPr>
          <w:rFonts w:ascii="Arial" w:cs="Arial" w:eastAsia="Arial" w:hAnsi="Arial"/>
          <w:sz w:val="18"/>
          <w:szCs w:val="18"/>
          <w:color w:val="auto"/>
        </w:rPr>
        <w:t xml:space="preserve"> Information about the officers of the Company is set forth in Item 1 above.</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Significant Employees.</w:t>
      </w:r>
      <w:r>
        <w:rPr>
          <w:rFonts w:ascii="Arial" w:cs="Arial" w:eastAsia="Arial" w:hAnsi="Arial"/>
          <w:sz w:val="18"/>
          <w:szCs w:val="18"/>
          <w:color w:val="auto"/>
        </w:rPr>
        <w:t xml:space="preserve"> Same as Executive Officers.</w:t>
      </w:r>
    </w:p>
    <w:p>
      <w:pPr>
        <w:spacing w:after="0" w:line="184" w:lineRule="exact"/>
        <w:rPr>
          <w:rFonts w:ascii="Arial" w:cs="Arial" w:eastAsia="Arial" w:hAnsi="Arial"/>
          <w:sz w:val="18"/>
          <w:szCs w:val="18"/>
          <w:color w:val="auto"/>
        </w:rPr>
      </w:pPr>
    </w:p>
    <w:p>
      <w:pPr>
        <w:ind w:left="1300" w:right="16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Nature of any family relationship between any director, executive officer, person nominated or chosen to become a director or executive officer.</w:t>
      </w:r>
      <w:r>
        <w:rPr>
          <w:rFonts w:ascii="Arial" w:cs="Arial" w:eastAsia="Arial" w:hAnsi="Arial"/>
          <w:sz w:val="18"/>
          <w:szCs w:val="18"/>
          <w:color w:val="auto"/>
        </w:rPr>
        <w:t xml:space="preserve"> The information set out in the section captioned “Certain Business Relationships and Related Person Transactions” in the Proxy Statement is incorporated herein by reference.</w:t>
      </w:r>
    </w:p>
    <w:p>
      <w:pPr>
        <w:spacing w:after="0" w:line="162" w:lineRule="exact"/>
        <w:rPr>
          <w:rFonts w:ascii="Arial" w:cs="Arial" w:eastAsia="Arial" w:hAnsi="Arial"/>
          <w:sz w:val="18"/>
          <w:szCs w:val="18"/>
          <w:color w:val="auto"/>
        </w:rPr>
      </w:pPr>
    </w:p>
    <w:p>
      <w:pPr>
        <w:ind w:left="1300" w:right="60" w:hanging="644"/>
        <w:spacing w:after="0" w:line="239"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Business experience, during the past five years, of each director, executive officer, person nominated or chosen to become director or executive officer, and significant employees.</w:t>
      </w:r>
      <w:r>
        <w:rPr>
          <w:rFonts w:ascii="Arial" w:cs="Arial" w:eastAsia="Arial" w:hAnsi="Arial"/>
          <w:sz w:val="18"/>
          <w:szCs w:val="18"/>
          <w:color w:val="auto"/>
        </w:rPr>
        <w:t xml:space="preserve"> Information about the officers of the Company is set forth in Item 1 above and the information set out in the section captioned “Election of Directors” in the Proxy Statement is incorporated herein by reference.</w:t>
      </w:r>
    </w:p>
    <w:p>
      <w:pPr>
        <w:spacing w:after="0" w:line="161" w:lineRule="exact"/>
        <w:rPr>
          <w:rFonts w:ascii="Arial" w:cs="Arial" w:eastAsia="Arial" w:hAnsi="Arial"/>
          <w:sz w:val="18"/>
          <w:szCs w:val="18"/>
          <w:color w:val="auto"/>
        </w:rPr>
      </w:pPr>
    </w:p>
    <w:p>
      <w:pPr>
        <w:ind w:left="1300" w:right="160" w:hanging="644"/>
        <w:spacing w:after="0" w:line="246"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Involvement in certain legal proceedings by any director, person nominated to become a director or executive officer.</w:t>
      </w:r>
      <w:r>
        <w:rPr>
          <w:rFonts w:ascii="Arial" w:cs="Arial" w:eastAsia="Arial" w:hAnsi="Arial"/>
          <w:sz w:val="18"/>
          <w:szCs w:val="18"/>
          <w:color w:val="auto"/>
        </w:rPr>
        <w:t xml:space="preserve"> The information set out in the section captioned “Election of Directors” in the Proxy Statement is incorporated herein by reference.</w:t>
      </w:r>
    </w:p>
    <w:p>
      <w:pPr>
        <w:spacing w:after="0" w:line="169" w:lineRule="exact"/>
        <w:rPr>
          <w:rFonts w:ascii="Arial" w:cs="Arial" w:eastAsia="Arial" w:hAnsi="Arial"/>
          <w:sz w:val="18"/>
          <w:szCs w:val="18"/>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Certain promoters and control persons.</w:t>
      </w:r>
      <w:r>
        <w:rPr>
          <w:rFonts w:ascii="Arial" w:cs="Arial" w:eastAsia="Arial" w:hAnsi="Arial"/>
          <w:sz w:val="18"/>
          <w:szCs w:val="18"/>
          <w:color w:val="auto"/>
        </w:rPr>
        <w:t xml:space="preserve"> None.</w:t>
      </w:r>
    </w:p>
    <w:p>
      <w:pPr>
        <w:spacing w:after="0" w:line="171" w:lineRule="exact"/>
        <w:rPr>
          <w:rFonts w:ascii="Arial" w:cs="Arial" w:eastAsia="Arial" w:hAnsi="Arial"/>
          <w:sz w:val="18"/>
          <w:szCs w:val="18"/>
          <w:color w:val="auto"/>
        </w:rPr>
      </w:pPr>
    </w:p>
    <w:p>
      <w:pPr>
        <w:ind w:left="1300" w:right="560" w:hanging="644"/>
        <w:spacing w:after="0" w:line="246"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Audit Committee Financial Expert.</w:t>
      </w:r>
      <w:r>
        <w:rPr>
          <w:rFonts w:ascii="Arial" w:cs="Arial" w:eastAsia="Arial" w:hAnsi="Arial"/>
          <w:sz w:val="18"/>
          <w:szCs w:val="18"/>
          <w:color w:val="auto"/>
        </w:rPr>
        <w:t xml:space="preserve"> The information set out in the section captioned “Corporate Governance” in the Proxy Statement is incorporated herein by reference.</w:t>
      </w:r>
    </w:p>
    <w:p>
      <w:pPr>
        <w:spacing w:after="0" w:line="156" w:lineRule="exact"/>
        <w:rPr>
          <w:rFonts w:ascii="Arial" w:cs="Arial" w:eastAsia="Arial" w:hAnsi="Arial"/>
          <w:sz w:val="18"/>
          <w:szCs w:val="18"/>
          <w:color w:val="auto"/>
        </w:rPr>
      </w:pPr>
    </w:p>
    <w:p>
      <w:pPr>
        <w:ind w:left="1300" w:right="20" w:hanging="644"/>
        <w:spacing w:after="0" w:line="237"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Code of Ethics.</w:t>
      </w:r>
      <w:r>
        <w:rPr>
          <w:rFonts w:ascii="Arial" w:cs="Arial" w:eastAsia="Arial" w:hAnsi="Arial"/>
          <w:sz w:val="18"/>
          <w:szCs w:val="18"/>
          <w:color w:val="auto"/>
        </w:rPr>
        <w:t xml:space="preserve"> The Company has adopted a Code of Ethics that applies to its Chief Executive Officer, Chief Financial Officer and Controller. A copy of the Code of Ethics is filed as Exhibit 10(p) and is available at the Corporate Governance section of the Company’s website (www.albint.com). A copy of the Code of Ethics may be obtained, without charge, by writing to: Investor Relations Department, Albany International Corp., 216 Airport Drive, Rochester, New Hampshire 03867. Any amendment to the Code of Ethics will be disclosed by posting the amended Code of Ethics on the Company’s website. Any waiver of any provision of the Code of Ethics will be disclosed by the filing of a Form 8-K.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07"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The information set forth in the sections of the Proxy Statement captioned “Executive Compensation,” “Summary Compensation Table,” “Grants of Plan-Based Awards,” “Outstanding Equity Awards At Fiscal Year-End,” “Option Exercises and Stock Vested,” “Pension Benefits,” “Nonqualified Deferred Compensation,” “Director Compensation,” “Compensation Committee Report,” “Compensation Discussion and Analysis,” and “Compensation Committee Interlocks and Insider Participation” is incorporated herein by reference.</w:t>
      </w:r>
    </w:p>
    <w:p>
      <w:pPr>
        <w:spacing w:after="0" w:line="1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94" w:name="page95"/>
    <w:bookmarkEnd w:id="94"/>
    <w:p>
      <w:pPr>
        <w:ind w:left="1160" w:right="520" w:hanging="1133"/>
        <w:spacing w:after="0" w:line="271" w:lineRule="auto"/>
        <w:tabs>
          <w:tab w:leader="none" w:pos="11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149" w:lineRule="exact"/>
        <w:rPr>
          <w:sz w:val="20"/>
          <w:szCs w:val="20"/>
          <w:color w:val="auto"/>
        </w:rPr>
      </w:pPr>
    </w:p>
    <w:p>
      <w:pPr>
        <w:ind w:right="560" w:firstLine="648"/>
        <w:spacing w:after="0" w:line="449" w:lineRule="auto"/>
        <w:rPr>
          <w:sz w:val="20"/>
          <w:szCs w:val="20"/>
          <w:color w:val="auto"/>
        </w:rPr>
      </w:pPr>
      <w:r>
        <w:rPr>
          <w:rFonts w:ascii="Arial" w:cs="Arial" w:eastAsia="Arial" w:hAnsi="Arial"/>
          <w:sz w:val="18"/>
          <w:szCs w:val="18"/>
          <w:color w:val="auto"/>
        </w:rPr>
        <w:t xml:space="preserve">The information set forth in the section captioned “Share Ownership” in the Proxy Statement is incorporated herein by reference. </w:t>
      </w:r>
      <w:r>
        <w:rPr>
          <w:rFonts w:ascii="Arial" w:cs="Arial" w:eastAsia="Arial" w:hAnsi="Arial"/>
          <w:sz w:val="18"/>
          <w:szCs w:val="18"/>
          <w:b w:val="1"/>
          <w:bCs w:val="1"/>
          <w:color w:val="auto"/>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2360" w:type="dxa"/>
            <w:vAlign w:val="bottom"/>
          </w:tcPr>
          <w:p>
            <w:pPr>
              <w:jc w:val="center"/>
              <w:spacing w:after="0"/>
              <w:rPr>
                <w:sz w:val="20"/>
                <w:szCs w:val="20"/>
                <w:color w:val="auto"/>
              </w:rPr>
            </w:pPr>
            <w:r>
              <w:rPr>
                <w:rFonts w:ascii="Arial" w:cs="Arial" w:eastAsia="Arial" w:hAnsi="Arial"/>
                <w:sz w:val="18"/>
                <w:szCs w:val="18"/>
                <w:b w:val="1"/>
                <w:bCs w:val="1"/>
                <w:color w:val="auto"/>
                <w:w w:val="99"/>
              </w:rPr>
              <w:t>Weighted average exercise</w:t>
            </w:r>
          </w:p>
        </w:tc>
        <w:tc>
          <w:tcPr>
            <w:tcW w:w="4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29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Number of securities to be issued</w:t>
            </w:r>
          </w:p>
        </w:tc>
        <w:tc>
          <w:tcPr>
            <w:tcW w:w="23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price of outstanding</w:t>
            </w:r>
          </w:p>
        </w:tc>
        <w:tc>
          <w:tcPr>
            <w:tcW w:w="43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Number of securities remaining available for future</w:t>
            </w: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29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upon exercise of outstanding</w:t>
            </w:r>
          </w:p>
        </w:tc>
        <w:tc>
          <w:tcPr>
            <w:tcW w:w="23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options, warrants, and</w:t>
            </w:r>
          </w:p>
        </w:tc>
        <w:tc>
          <w:tcPr>
            <w:tcW w:w="43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issuance under equity compensation plans</w:t>
            </w:r>
          </w:p>
        </w:tc>
        <w:tc>
          <w:tcPr>
            <w:tcW w:w="0" w:type="dxa"/>
            <w:vAlign w:val="bottom"/>
          </w:tcPr>
          <w:p>
            <w:pPr>
              <w:spacing w:after="0"/>
              <w:rPr>
                <w:sz w:val="1"/>
                <w:szCs w:val="1"/>
                <w:color w:val="auto"/>
              </w:rPr>
            </w:pPr>
          </w:p>
        </w:tc>
      </w:tr>
      <w:tr>
        <w:trPr>
          <w:trHeight w:val="225"/>
        </w:trPr>
        <w:tc>
          <w:tcPr>
            <w:tcW w:w="1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Plan Category</w:t>
            </w:r>
          </w:p>
        </w:tc>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options, warrants, and rights</w:t>
            </w: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rights</w:t>
            </w:r>
          </w:p>
        </w:tc>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(excluding securities reflected in column (a))</w:t>
            </w:r>
          </w:p>
        </w:tc>
        <w:tc>
          <w:tcPr>
            <w:tcW w:w="0" w:type="dxa"/>
            <w:vAlign w:val="bottom"/>
          </w:tcPr>
          <w:p>
            <w:pPr>
              <w:spacing w:after="0"/>
              <w:rPr>
                <w:sz w:val="1"/>
                <w:szCs w:val="1"/>
                <w:color w:val="auto"/>
              </w:rPr>
            </w:pPr>
          </w:p>
        </w:tc>
      </w:tr>
      <w:tr>
        <w:trPr>
          <w:trHeight w:val="210"/>
        </w:trPr>
        <w:tc>
          <w:tcPr>
            <w:tcW w:w="1720" w:type="dxa"/>
            <w:vAlign w:val="bottom"/>
            <w:vMerge w:val="restart"/>
          </w:tcPr>
          <w:p>
            <w:pPr>
              <w:spacing w:after="0"/>
              <w:rPr>
                <w:sz w:val="20"/>
                <w:szCs w:val="20"/>
                <w:color w:val="auto"/>
              </w:rPr>
            </w:pPr>
            <w:r>
              <w:rPr>
                <w:rFonts w:ascii="Arial" w:cs="Arial" w:eastAsia="Arial" w:hAnsi="Arial"/>
                <w:sz w:val="18"/>
                <w:szCs w:val="18"/>
                <w:color w:val="auto"/>
              </w:rPr>
              <w:t>Equity compensation</w:t>
            </w:r>
          </w:p>
        </w:tc>
        <w:tc>
          <w:tcPr>
            <w:tcW w:w="2960" w:type="dxa"/>
            <w:vAlign w:val="bottom"/>
          </w:tcPr>
          <w:p>
            <w:pPr>
              <w:jc w:val="center"/>
              <w:spacing w:after="0"/>
              <w:rPr>
                <w:sz w:val="20"/>
                <w:szCs w:val="20"/>
                <w:color w:val="auto"/>
              </w:rPr>
            </w:pPr>
            <w:r>
              <w:rPr>
                <w:rFonts w:ascii="Arial" w:cs="Arial" w:eastAsia="Arial" w:hAnsi="Arial"/>
                <w:sz w:val="18"/>
                <w:szCs w:val="18"/>
                <w:color w:val="auto"/>
                <w:w w:val="99"/>
              </w:rPr>
              <w:t>(a)</w:t>
            </w:r>
          </w:p>
        </w:tc>
        <w:tc>
          <w:tcPr>
            <w:tcW w:w="2360" w:type="dxa"/>
            <w:vAlign w:val="bottom"/>
          </w:tcPr>
          <w:p>
            <w:pPr>
              <w:jc w:val="center"/>
              <w:spacing w:after="0"/>
              <w:rPr>
                <w:sz w:val="20"/>
                <w:szCs w:val="20"/>
                <w:color w:val="auto"/>
              </w:rPr>
            </w:pPr>
            <w:r>
              <w:rPr>
                <w:rFonts w:ascii="Arial" w:cs="Arial" w:eastAsia="Arial" w:hAnsi="Arial"/>
                <w:sz w:val="18"/>
                <w:szCs w:val="18"/>
                <w:color w:val="auto"/>
                <w:w w:val="99"/>
              </w:rPr>
              <w:t>(b)</w:t>
            </w:r>
          </w:p>
        </w:tc>
        <w:tc>
          <w:tcPr>
            <w:tcW w:w="4380" w:type="dxa"/>
            <w:vAlign w:val="bottom"/>
          </w:tcPr>
          <w:p>
            <w:pPr>
              <w:jc w:val="center"/>
              <w:spacing w:after="0"/>
              <w:rPr>
                <w:sz w:val="20"/>
                <w:szCs w:val="20"/>
                <w:color w:val="auto"/>
              </w:rPr>
            </w:pPr>
            <w:r>
              <w:rPr>
                <w:rFonts w:ascii="Arial" w:cs="Arial" w:eastAsia="Arial" w:hAnsi="Arial"/>
                <w:sz w:val="18"/>
                <w:szCs w:val="18"/>
                <w:color w:val="auto"/>
                <w:w w:val="95"/>
              </w:rPr>
              <w:t>(c)</w:t>
            </w:r>
          </w:p>
        </w:tc>
        <w:tc>
          <w:tcPr>
            <w:tcW w:w="0" w:type="dxa"/>
            <w:vAlign w:val="bottom"/>
          </w:tcPr>
          <w:p>
            <w:pPr>
              <w:spacing w:after="0"/>
              <w:rPr>
                <w:sz w:val="1"/>
                <w:szCs w:val="1"/>
                <w:color w:val="auto"/>
              </w:rPr>
            </w:pPr>
          </w:p>
        </w:tc>
      </w:tr>
      <w:tr>
        <w:trPr>
          <w:trHeight w:val="187"/>
        </w:trPr>
        <w:tc>
          <w:tcPr>
            <w:tcW w:w="1720" w:type="dxa"/>
            <w:vAlign w:val="bottom"/>
            <w:vMerge w:val="continue"/>
          </w:tcPr>
          <w:p>
            <w:pPr>
              <w:spacing w:after="0"/>
              <w:rPr>
                <w:sz w:val="16"/>
                <w:szCs w:val="16"/>
                <w:color w:val="auto"/>
              </w:rPr>
            </w:pPr>
          </w:p>
        </w:tc>
        <w:tc>
          <w:tcPr>
            <w:tcW w:w="29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line="202" w:lineRule="exact"/>
              <w:rPr>
                <w:sz w:val="20"/>
                <w:szCs w:val="20"/>
                <w:color w:val="auto"/>
              </w:rPr>
            </w:pPr>
            <w:r>
              <w:rPr>
                <w:rFonts w:ascii="Arial" w:cs="Arial" w:eastAsia="Arial" w:hAnsi="Arial"/>
                <w:sz w:val="18"/>
                <w:szCs w:val="18"/>
                <w:color w:val="auto"/>
              </w:rPr>
              <w:t>plans approved by</w:t>
            </w:r>
          </w:p>
        </w:tc>
        <w:tc>
          <w:tcPr>
            <w:tcW w:w="2960" w:type="dxa"/>
            <w:vAlign w:val="bottom"/>
            <w:vMerge w:val="restart"/>
          </w:tcPr>
          <w:p>
            <w:pPr>
              <w:jc w:val="center"/>
              <w:spacing w:after="0"/>
              <w:rPr>
                <w:sz w:val="20"/>
                <w:szCs w:val="20"/>
                <w:color w:val="auto"/>
              </w:rPr>
            </w:pPr>
            <w:r>
              <w:rPr>
                <w:rFonts w:ascii="Arial" w:cs="Arial" w:eastAsia="Arial" w:hAnsi="Arial"/>
                <w:sz w:val="18"/>
                <w:szCs w:val="18"/>
                <w:color w:val="auto"/>
                <w:w w:val="96"/>
              </w:rPr>
              <w:t xml:space="preserve">228,533 </w:t>
            </w:r>
            <w:r>
              <w:rPr>
                <w:rFonts w:ascii="Arial" w:cs="Arial" w:eastAsia="Arial" w:hAnsi="Arial"/>
                <w:sz w:val="30"/>
                <w:szCs w:val="30"/>
                <w:color w:val="auto"/>
                <w:w w:val="96"/>
                <w:vertAlign w:val="superscript"/>
              </w:rPr>
              <w:t>1</w:t>
            </w:r>
          </w:p>
        </w:tc>
        <w:tc>
          <w:tcPr>
            <w:tcW w:w="2360" w:type="dxa"/>
            <w:vAlign w:val="bottom"/>
          </w:tcPr>
          <w:p>
            <w:pPr>
              <w:spacing w:after="0"/>
              <w:rPr>
                <w:sz w:val="17"/>
                <w:szCs w:val="17"/>
                <w:color w:val="auto"/>
              </w:rPr>
            </w:pPr>
          </w:p>
        </w:tc>
        <w:tc>
          <w:tcPr>
            <w:tcW w:w="4380" w:type="dxa"/>
            <w:vAlign w:val="bottom"/>
            <w:vMerge w:val="restart"/>
          </w:tcPr>
          <w:p>
            <w:pPr>
              <w:jc w:val="center"/>
              <w:spacing w:after="0"/>
              <w:rPr>
                <w:sz w:val="20"/>
                <w:szCs w:val="20"/>
                <w:color w:val="auto"/>
              </w:rPr>
            </w:pPr>
            <w:r>
              <w:rPr>
                <w:rFonts w:ascii="Arial" w:cs="Arial" w:eastAsia="Arial" w:hAnsi="Arial"/>
                <w:sz w:val="18"/>
                <w:szCs w:val="18"/>
                <w:color w:val="auto"/>
                <w:w w:val="90"/>
              </w:rPr>
              <w:t xml:space="preserve">390,095 </w:t>
            </w:r>
            <w:r>
              <w:rPr>
                <w:rFonts w:ascii="Arial" w:cs="Arial" w:eastAsia="Arial" w:hAnsi="Arial"/>
                <w:sz w:val="30"/>
                <w:szCs w:val="30"/>
                <w:color w:val="auto"/>
                <w:w w:val="90"/>
                <w:vertAlign w:val="superscript"/>
              </w:rPr>
              <w:t>2,3,4</w:t>
            </w:r>
          </w:p>
        </w:tc>
        <w:tc>
          <w:tcPr>
            <w:tcW w:w="0" w:type="dxa"/>
            <w:vAlign w:val="bottom"/>
          </w:tcPr>
          <w:p>
            <w:pPr>
              <w:spacing w:after="0"/>
              <w:rPr>
                <w:sz w:val="1"/>
                <w:szCs w:val="1"/>
                <w:color w:val="auto"/>
              </w:rPr>
            </w:pPr>
          </w:p>
        </w:tc>
      </w:tr>
      <w:tr>
        <w:trPr>
          <w:trHeight w:val="203"/>
        </w:trPr>
        <w:tc>
          <w:tcPr>
            <w:tcW w:w="1720" w:type="dxa"/>
            <w:vAlign w:val="bottom"/>
          </w:tcPr>
          <w:p>
            <w:pPr>
              <w:spacing w:after="0" w:line="202" w:lineRule="exact"/>
              <w:rPr>
                <w:sz w:val="20"/>
                <w:szCs w:val="20"/>
                <w:color w:val="auto"/>
              </w:rPr>
            </w:pPr>
            <w:r>
              <w:rPr>
                <w:rFonts w:ascii="Arial" w:cs="Arial" w:eastAsia="Arial" w:hAnsi="Arial"/>
                <w:sz w:val="18"/>
                <w:szCs w:val="18"/>
                <w:color w:val="auto"/>
              </w:rPr>
              <w:t>security holders</w:t>
            </w:r>
          </w:p>
        </w:tc>
        <w:tc>
          <w:tcPr>
            <w:tcW w:w="2960" w:type="dxa"/>
            <w:vAlign w:val="bottom"/>
            <w:vMerge w:val="continue"/>
          </w:tcPr>
          <w:p>
            <w:pPr>
              <w:spacing w:after="0"/>
              <w:rPr>
                <w:sz w:val="17"/>
                <w:szCs w:val="17"/>
                <w:color w:val="auto"/>
              </w:rPr>
            </w:pPr>
          </w:p>
        </w:tc>
        <w:tc>
          <w:tcPr>
            <w:tcW w:w="2360" w:type="dxa"/>
            <w:vAlign w:val="bottom"/>
          </w:tcPr>
          <w:p>
            <w:pPr>
              <w:jc w:val="center"/>
              <w:spacing w:after="0" w:line="202" w:lineRule="exact"/>
              <w:rPr>
                <w:sz w:val="20"/>
                <w:szCs w:val="20"/>
                <w:color w:val="auto"/>
              </w:rPr>
            </w:pPr>
            <w:r>
              <w:rPr>
                <w:rFonts w:ascii="Arial" w:cs="Arial" w:eastAsia="Arial" w:hAnsi="Arial"/>
                <w:sz w:val="18"/>
                <w:szCs w:val="18"/>
                <w:color w:val="auto"/>
              </w:rPr>
              <w:t>$18.94</w:t>
            </w:r>
          </w:p>
        </w:tc>
        <w:tc>
          <w:tcPr>
            <w:tcW w:w="4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line="202" w:lineRule="exact"/>
              <w:rPr>
                <w:sz w:val="20"/>
                <w:szCs w:val="20"/>
                <w:color w:val="auto"/>
              </w:rPr>
            </w:pPr>
            <w:r>
              <w:rPr>
                <w:rFonts w:ascii="Arial" w:cs="Arial" w:eastAsia="Arial" w:hAnsi="Arial"/>
                <w:sz w:val="18"/>
                <w:szCs w:val="18"/>
                <w:color w:val="auto"/>
              </w:rPr>
              <w:t>Equity compensation</w:t>
            </w:r>
          </w:p>
        </w:tc>
        <w:tc>
          <w:tcPr>
            <w:tcW w:w="29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line="202" w:lineRule="exact"/>
              <w:rPr>
                <w:sz w:val="20"/>
                <w:szCs w:val="20"/>
                <w:color w:val="auto"/>
              </w:rPr>
            </w:pPr>
            <w:r>
              <w:rPr>
                <w:rFonts w:ascii="Arial" w:cs="Arial" w:eastAsia="Arial" w:hAnsi="Arial"/>
                <w:sz w:val="18"/>
                <w:szCs w:val="18"/>
                <w:color w:val="auto"/>
              </w:rPr>
              <w:t>plans not approved</w:t>
            </w:r>
          </w:p>
        </w:tc>
        <w:tc>
          <w:tcPr>
            <w:tcW w:w="29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2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by security holders</w:t>
            </w:r>
          </w:p>
        </w:tc>
        <w:tc>
          <w:tcPr>
            <w:tcW w:w="2960" w:type="dxa"/>
            <w:vAlign w:val="bottom"/>
            <w:tcBorders>
              <w:bottom w:val="single" w:sz="8" w:color="auto"/>
            </w:tcBorders>
          </w:tcPr>
          <w:p>
            <w:pPr>
              <w:jc w:val="right"/>
              <w:ind w:right="1151"/>
              <w:spacing w:after="0" w:line="203" w:lineRule="exact"/>
              <w:rPr>
                <w:sz w:val="20"/>
                <w:szCs w:val="20"/>
                <w:color w:val="auto"/>
              </w:rPr>
            </w:pPr>
            <w:r>
              <w:rPr>
                <w:rFonts w:ascii="Arial" w:cs="Arial" w:eastAsia="Arial" w:hAnsi="Arial"/>
                <w:sz w:val="18"/>
                <w:szCs w:val="18"/>
                <w:color w:val="auto"/>
              </w:rPr>
              <w:t>-</w:t>
            </w:r>
          </w:p>
        </w:tc>
        <w:tc>
          <w:tcPr>
            <w:tcW w:w="2360" w:type="dxa"/>
            <w:vAlign w:val="bottom"/>
            <w:tcBorders>
              <w:bottom w:val="single" w:sz="8" w:color="auto"/>
            </w:tcBorders>
          </w:tcPr>
          <w:p>
            <w:pPr>
              <w:jc w:val="right"/>
              <w:ind w:right="830"/>
              <w:spacing w:after="0" w:line="203" w:lineRule="exact"/>
              <w:rPr>
                <w:sz w:val="20"/>
                <w:szCs w:val="20"/>
                <w:color w:val="auto"/>
              </w:rPr>
            </w:pPr>
            <w:r>
              <w:rPr>
                <w:rFonts w:ascii="Arial" w:cs="Arial" w:eastAsia="Arial" w:hAnsi="Arial"/>
                <w:sz w:val="18"/>
                <w:szCs w:val="18"/>
                <w:color w:val="auto"/>
              </w:rPr>
              <w:t>-</w:t>
            </w:r>
          </w:p>
        </w:tc>
        <w:tc>
          <w:tcPr>
            <w:tcW w:w="4380" w:type="dxa"/>
            <w:vAlign w:val="bottom"/>
            <w:tcBorders>
              <w:bottom w:val="single" w:sz="8" w:color="auto"/>
            </w:tcBorders>
          </w:tcPr>
          <w:p>
            <w:pPr>
              <w:jc w:val="right"/>
              <w:ind w:right="1991"/>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1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960" w:type="dxa"/>
            <w:vAlign w:val="bottom"/>
            <w:tcBorders>
              <w:bottom w:val="single" w:sz="8" w:color="auto"/>
            </w:tcBorders>
          </w:tcPr>
          <w:p>
            <w:pPr>
              <w:jc w:val="center"/>
              <w:spacing w:after="0" w:line="236" w:lineRule="exact"/>
              <w:rPr>
                <w:sz w:val="20"/>
                <w:szCs w:val="20"/>
                <w:color w:val="auto"/>
              </w:rPr>
            </w:pPr>
            <w:r>
              <w:rPr>
                <w:rFonts w:ascii="Arial" w:cs="Arial" w:eastAsia="Arial" w:hAnsi="Arial"/>
                <w:sz w:val="17"/>
                <w:szCs w:val="17"/>
                <w:color w:val="auto"/>
              </w:rPr>
              <w:t xml:space="preserve">228,533 </w:t>
            </w:r>
            <w:r>
              <w:rPr>
                <w:rFonts w:ascii="Arial" w:cs="Arial" w:eastAsia="Arial" w:hAnsi="Arial"/>
                <w:sz w:val="27"/>
                <w:szCs w:val="27"/>
                <w:color w:val="auto"/>
                <w:vertAlign w:val="superscript"/>
              </w:rPr>
              <w:t>1</w:t>
            </w: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$18.94</w:t>
            </w:r>
          </w:p>
        </w:tc>
        <w:tc>
          <w:tcPr>
            <w:tcW w:w="4380" w:type="dxa"/>
            <w:vAlign w:val="bottom"/>
            <w:tcBorders>
              <w:bottom w:val="single" w:sz="8" w:color="auto"/>
            </w:tcBorders>
          </w:tcPr>
          <w:p>
            <w:pPr>
              <w:jc w:val="center"/>
              <w:spacing w:after="0" w:line="236" w:lineRule="exact"/>
              <w:rPr>
                <w:sz w:val="20"/>
                <w:szCs w:val="20"/>
                <w:color w:val="auto"/>
              </w:rPr>
            </w:pPr>
            <w:r>
              <w:rPr>
                <w:rFonts w:ascii="Arial" w:cs="Arial" w:eastAsia="Arial" w:hAnsi="Arial"/>
                <w:sz w:val="17"/>
                <w:szCs w:val="17"/>
                <w:color w:val="auto"/>
                <w:w w:val="97"/>
              </w:rPr>
              <w:t xml:space="preserve">390,095 </w:t>
            </w:r>
            <w:r>
              <w:rPr>
                <w:rFonts w:ascii="Arial" w:cs="Arial" w:eastAsia="Arial" w:hAnsi="Arial"/>
                <w:sz w:val="27"/>
                <w:szCs w:val="27"/>
                <w:color w:val="auto"/>
                <w:w w:val="97"/>
                <w:vertAlign w:val="superscript"/>
              </w:rPr>
              <w:t>2,3,4</w:t>
            </w:r>
          </w:p>
        </w:tc>
        <w:tc>
          <w:tcPr>
            <w:tcW w:w="0" w:type="dxa"/>
            <w:vAlign w:val="bottom"/>
          </w:tcPr>
          <w:p>
            <w:pPr>
              <w:spacing w:after="0"/>
              <w:rPr>
                <w:sz w:val="1"/>
                <w:szCs w:val="1"/>
                <w:color w:val="auto"/>
              </w:rPr>
            </w:pPr>
          </w:p>
        </w:tc>
      </w:tr>
      <w:tr>
        <w:trPr>
          <w:trHeight w:val="196"/>
        </w:trPr>
        <w:tc>
          <w:tcPr>
            <w:tcW w:w="172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tcPr>
          <w:p>
            <w:pPr>
              <w:spacing w:after="0"/>
              <w:rPr>
                <w:sz w:val="17"/>
                <w:szCs w:val="17"/>
                <w:color w:val="auto"/>
              </w:rPr>
            </w:pPr>
          </w:p>
        </w:tc>
        <w:tc>
          <w:tcPr>
            <w:tcW w:w="43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ind w:left="1060" w:right="160" w:hanging="404"/>
        <w:spacing w:after="0" w:line="234" w:lineRule="auto"/>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Does not include 77,667, 52,737, and 29,082 shares that may be issued pursuant to 2011, 2012 and 2013, respectively, performance incentive awards granted to certain executive officers pursuant to the 2005 and 2011 Incentive Plans. Such awards are not “exercisable,” but will be paid out to the recipients in accordance with their terms, subject to certain conditions.</w:t>
      </w:r>
    </w:p>
    <w:p>
      <w:pPr>
        <w:spacing w:after="0" w:line="2" w:lineRule="exact"/>
        <w:rPr>
          <w:rFonts w:ascii="Arial" w:cs="Arial" w:eastAsia="Arial" w:hAnsi="Arial"/>
          <w:sz w:val="18"/>
          <w:szCs w:val="18"/>
          <w:color w:val="auto"/>
        </w:rPr>
      </w:pPr>
    </w:p>
    <w:p>
      <w:pPr>
        <w:ind w:left="1060" w:right="180" w:hanging="404"/>
        <w:spacing w:after="0" w:line="234" w:lineRule="auto"/>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Reflects the number of shares that may be issued pursuant to future awards under the 2011 Incentive Plan. Additional shares of Class A Common Stock are available for issuance under the 2011 Incentive Plan (see note 3 below), as well as under the Directors’ Annual Retainer Plan (see note 5 below). No additional shares are available under any of the stock option plans pursuant to which outstanding options were granted.</w:t>
      </w:r>
    </w:p>
    <w:p>
      <w:pPr>
        <w:spacing w:after="0" w:line="3" w:lineRule="exact"/>
        <w:rPr>
          <w:rFonts w:ascii="Arial" w:cs="Arial" w:eastAsia="Arial" w:hAnsi="Arial"/>
          <w:sz w:val="18"/>
          <w:szCs w:val="18"/>
          <w:color w:val="auto"/>
        </w:rPr>
      </w:pPr>
    </w:p>
    <w:p>
      <w:pPr>
        <w:ind w:left="1060" w:right="80" w:hanging="404"/>
        <w:spacing w:after="0" w:line="234" w:lineRule="auto"/>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390,095 shares available for future issuance under the 2011 Incentive Plan. The 2011 Incentive Plan allows the Board from time to time to increase the number of shares that may be issued pursuant to awards granted under that Plan, provided that the number of shares so added may not exceed 500,000 in any one calendar year, and provided further that the total number of shares then available for issuance under the Plan shall not exceed 1,000,000 at any time. Shares of Common Stock covered by awards granted under the 2011 Incentive Plan are only counted as used to the extent they are actually issued and delivered. Accordingly, if an award is settled for cash, or if shares are withheld to pay any exercise price or to satisfy any tax-withholding requirement, only shares issued (if any), net of shares withheld, will be deemed delivered for purposes of determining the number of shares available under the Plan. If shares are issued subject to conditions that may result in the forfeiture, cancellation, or return of such shares to the Company, any shares forfeited, canceled, or returned shall be treated as not issued. If shares are tendered to the Company in payment of any obligation in connection with an award, the number of shares tendered shall be added to the number of shares available under the 2005 Incentive Plan. Assuming full exercise by the Board of its power to increase annually the number of shares available under the 2011 Incentive Plan, the maximum number of additional shares that could yet be issued pursuant to the Plan awards (including those set forth in column (c) above) would be 4,390,095.</w:t>
      </w:r>
    </w:p>
    <w:p>
      <w:pPr>
        <w:spacing w:after="0" w:line="9" w:lineRule="exact"/>
        <w:rPr>
          <w:rFonts w:ascii="Arial" w:cs="Arial" w:eastAsia="Arial" w:hAnsi="Arial"/>
          <w:sz w:val="18"/>
          <w:szCs w:val="18"/>
          <w:color w:val="auto"/>
        </w:rPr>
      </w:pPr>
    </w:p>
    <w:p>
      <w:pPr>
        <w:ind w:left="1060" w:right="140" w:hanging="404"/>
        <w:spacing w:after="0" w:line="238" w:lineRule="auto"/>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Directors’ Annual Retainer Plan provides that the aggregate dollar amount of the annual retainer payable for service as a member of the Company’s Board of Directors is $100,000, $50,000 of which is required to be paid in shares of Class A Common Stock, the exact number of shares to be paid for any year being determined on the basis of the per share closing price of such stock on the day of the Annual Meeting at which the election of the directors for such year occurs, as shown in the composite index published for such day in the Wall Street Journal, rounded down to the nearest whole share.</w:t>
      </w:r>
    </w:p>
    <w:p>
      <w:pPr>
        <w:spacing w:after="0" w:line="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95" w:name="page96"/>
    <w:bookmarkEnd w:id="95"/>
    <w:p>
      <w:pPr>
        <w:ind w:left="420" w:right="40" w:firstLine="243"/>
        <w:spacing w:after="0" w:line="239" w:lineRule="auto"/>
        <w:rPr>
          <w:sz w:val="20"/>
          <w:szCs w:val="20"/>
          <w:color w:val="auto"/>
        </w:rPr>
      </w:pPr>
      <w:r>
        <w:rPr>
          <w:rFonts w:ascii="Arial" w:cs="Arial" w:eastAsia="Arial" w:hAnsi="Arial"/>
          <w:sz w:val="18"/>
          <w:szCs w:val="18"/>
          <w:color w:val="auto"/>
        </w:rPr>
        <w:t>The following graph compares the cumulative 5-year total return to shareholders on Albany International Corp.’s common stock relative to the cumulative total returns of the S&amp;P 500 index and the Dow Jones US Paper index. An investment of $100 (with reinvestment of all dividends) is assumed to have been made in the Company’s common stock and in each of the indexes on December 31, 2008, and its relative performance is tracked through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-7620</wp:posOffset>
            </wp:positionV>
            <wp:extent cx="5351145" cy="44596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351145" cy="4459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RELATED TRANSACTIONS AND DIRECTOR INDEPENDENCE</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set out in the section captioned “Election of Directors” in the Proxy Statement is incorporated herein by reference.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set forth in the section captioned “Independent Auditors” in the Proxy Statement is incorporated herein by reference.</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96" w:name="page97"/>
    <w:bookmarkEnd w:id="96"/>
    <w:tbl>
      <w:tblPr>
        <w:tblLayout w:type="fixed"/>
        <w:tblInd w:w="10" w:type="dxa"/>
        <w:tblCellMar>
          <w:top w:w="0" w:type="dxa"/>
          <w:left w:w="0" w:type="dxa"/>
          <w:bottom w:w="0" w:type="dxa"/>
          <w:right w:w="0" w:type="dxa"/>
        </w:tblCellMar>
      </w:tblPr>
      <w:tr>
        <w:trPr>
          <w:trHeight w:val="239"/>
        </w:trPr>
        <w:tc>
          <w:tcPr>
            <w:tcW w:w="780" w:type="dxa"/>
            <w:vAlign w:val="bottom"/>
          </w:tcPr>
          <w:p>
            <w:pPr>
              <w:spacing w:after="0"/>
              <w:rPr>
                <w:sz w:val="20"/>
                <w:szCs w:val="20"/>
                <w:color w:val="auto"/>
              </w:rPr>
            </w:pPr>
          </w:p>
        </w:tc>
        <w:tc>
          <w:tcPr>
            <w:tcW w:w="9180" w:type="dxa"/>
            <w:vAlign w:val="bottom"/>
            <w:gridSpan w:val="3"/>
          </w:tcPr>
          <w:p>
            <w:pPr>
              <w:ind w:left="1920"/>
              <w:spacing w:after="0"/>
              <w:rPr>
                <w:sz w:val="20"/>
                <w:szCs w:val="20"/>
                <w:color w:val="auto"/>
              </w:rPr>
            </w:pPr>
            <w:r>
              <w:rPr>
                <w:rFonts w:ascii="Arial" w:cs="Arial" w:eastAsia="Arial" w:hAnsi="Arial"/>
                <w:sz w:val="18"/>
                <w:szCs w:val="18"/>
                <w:b w:val="1"/>
                <w:bCs w:val="1"/>
                <w:color w:val="auto"/>
              </w:rPr>
              <w:t>PART IV Item 15. EXHIBITS AND FINANCIAL STATEMENT SCHEDULES</w:t>
            </w: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780" w:type="dxa"/>
            <w:vAlign w:val="bottom"/>
            <w:vMerge w:val="restart"/>
          </w:tcPr>
          <w:p>
            <w:pPr>
              <w:spacing w:after="0"/>
              <w:rPr>
                <w:sz w:val="20"/>
                <w:szCs w:val="20"/>
                <w:color w:val="auto"/>
              </w:rPr>
            </w:pPr>
            <w:r>
              <w:rPr>
                <w:rFonts w:ascii="Arial" w:cs="Arial" w:eastAsia="Arial" w:hAnsi="Arial"/>
                <w:sz w:val="18"/>
                <w:szCs w:val="18"/>
                <w:b w:val="1"/>
                <w:bCs w:val="1"/>
                <w:color w:val="auto"/>
              </w:rPr>
              <w:t>Exhibit</w:t>
            </w:r>
          </w:p>
        </w:tc>
        <w:tc>
          <w:tcPr>
            <w:tcW w:w="6780" w:type="dxa"/>
            <w:vAlign w:val="bottom"/>
          </w:tcPr>
          <w:p>
            <w:pPr>
              <w:spacing w:after="0"/>
              <w:rPr>
                <w:sz w:val="24"/>
                <w:szCs w:val="24"/>
                <w:color w:val="auto"/>
              </w:rPr>
            </w:pPr>
          </w:p>
        </w:tc>
        <w:tc>
          <w:tcPr>
            <w:tcW w:w="1020" w:type="dxa"/>
            <w:vAlign w:val="bottom"/>
            <w:vMerge w:val="restart"/>
          </w:tcPr>
          <w:p>
            <w:pPr>
              <w:jc w:val="center"/>
              <w:ind w:left="30"/>
              <w:spacing w:after="0"/>
              <w:rPr>
                <w:sz w:val="20"/>
                <w:szCs w:val="20"/>
                <w:color w:val="auto"/>
              </w:rPr>
            </w:pPr>
            <w:r>
              <w:rPr>
                <w:rFonts w:ascii="Arial" w:cs="Arial" w:eastAsia="Arial" w:hAnsi="Arial"/>
                <w:sz w:val="18"/>
                <w:szCs w:val="18"/>
                <w:b w:val="1"/>
                <w:bCs w:val="1"/>
                <w:color w:val="auto"/>
                <w:w w:val="99"/>
              </w:rPr>
              <w:t>Filed</w:t>
            </w:r>
          </w:p>
        </w:tc>
        <w:tc>
          <w:tcPr>
            <w:tcW w:w="2880" w:type="dxa"/>
            <w:vAlign w:val="bottom"/>
            <w:gridSpan w:val="3"/>
          </w:tcPr>
          <w:p>
            <w:pPr>
              <w:jc w:val="right"/>
              <w:ind w:right="230"/>
              <w:spacing w:after="0"/>
              <w:rPr>
                <w:sz w:val="20"/>
                <w:szCs w:val="20"/>
                <w:color w:val="auto"/>
              </w:rPr>
            </w:pPr>
            <w:r>
              <w:rPr>
                <w:rFonts w:ascii="Arial" w:cs="Arial" w:eastAsia="Arial" w:hAnsi="Arial"/>
                <w:sz w:val="18"/>
                <w:szCs w:val="18"/>
                <w:b w:val="1"/>
                <w:bCs w:val="1"/>
                <w:color w:val="auto"/>
              </w:rPr>
              <w:t>Incorporated by Reference</w:t>
            </w:r>
          </w:p>
        </w:tc>
        <w:tc>
          <w:tcPr>
            <w:tcW w:w="0" w:type="dxa"/>
            <w:vAlign w:val="bottom"/>
          </w:tcPr>
          <w:p>
            <w:pPr>
              <w:spacing w:after="0"/>
              <w:rPr>
                <w:sz w:val="1"/>
                <w:szCs w:val="1"/>
                <w:color w:val="auto"/>
              </w:rPr>
            </w:pPr>
          </w:p>
        </w:tc>
      </w:tr>
      <w:tr>
        <w:trPr>
          <w:trHeight w:val="173"/>
        </w:trPr>
        <w:tc>
          <w:tcPr>
            <w:tcW w:w="780" w:type="dxa"/>
            <w:vAlign w:val="bottom"/>
            <w:vMerge w:val="continue"/>
          </w:tcPr>
          <w:p>
            <w:pPr>
              <w:spacing w:after="0"/>
              <w:rPr>
                <w:sz w:val="15"/>
                <w:szCs w:val="15"/>
                <w:color w:val="auto"/>
              </w:rPr>
            </w:pPr>
          </w:p>
        </w:tc>
        <w:tc>
          <w:tcPr>
            <w:tcW w:w="67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ind w:left="40"/>
              <w:spacing w:after="0" w:line="173" w:lineRule="exact"/>
              <w:rPr>
                <w:sz w:val="20"/>
                <w:szCs w:val="20"/>
                <w:color w:val="auto"/>
              </w:rPr>
            </w:pPr>
            <w:r>
              <w:rPr>
                <w:rFonts w:ascii="Arial" w:cs="Arial" w:eastAsia="Arial" w:hAnsi="Arial"/>
                <w:sz w:val="18"/>
                <w:szCs w:val="18"/>
                <w:b w:val="1"/>
                <w:bCs w:val="1"/>
                <w:color w:val="auto"/>
              </w:rPr>
              <w:t>Period</w:t>
            </w:r>
          </w:p>
        </w:tc>
        <w:tc>
          <w:tcPr>
            <w:tcW w:w="80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8"/>
                <w:szCs w:val="18"/>
                <w:b w:val="1"/>
                <w:bCs w:val="1"/>
                <w:color w:val="auto"/>
                <w:w w:val="99"/>
              </w:rPr>
              <w:t>Filing</w:t>
            </w:r>
          </w:p>
        </w:tc>
        <w:tc>
          <w:tcPr>
            <w:tcW w:w="0" w:type="dxa"/>
            <w:vAlign w:val="bottom"/>
          </w:tcPr>
          <w:p>
            <w:pPr>
              <w:spacing w:after="0"/>
              <w:rPr>
                <w:sz w:val="1"/>
                <w:szCs w:val="1"/>
                <w:color w:val="auto"/>
              </w:rPr>
            </w:pPr>
          </w:p>
        </w:tc>
      </w:tr>
      <w:tr>
        <w:trPr>
          <w:trHeight w:val="225"/>
        </w:trPr>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67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Exhibit Description</w:t>
            </w:r>
          </w:p>
        </w:tc>
        <w:tc>
          <w:tcPr>
            <w:tcW w:w="102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9"/>
              </w:rPr>
              <w:t>Herewith</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Form</w:t>
            </w: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Ending</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195"/>
        </w:trPr>
        <w:tc>
          <w:tcPr>
            <w:tcW w:w="780" w:type="dxa"/>
            <w:vAlign w:val="bottom"/>
            <w:tcBorders>
              <w:left w:val="single" w:sz="8" w:color="auto"/>
            </w:tcBorders>
          </w:tcPr>
          <w:p>
            <w:pPr>
              <w:ind w:left="20"/>
              <w:spacing w:after="0" w:line="195" w:lineRule="exact"/>
              <w:rPr>
                <w:sz w:val="20"/>
                <w:szCs w:val="20"/>
                <w:color w:val="auto"/>
              </w:rPr>
            </w:pPr>
            <w:r>
              <w:rPr>
                <w:rFonts w:ascii="Arial" w:cs="Arial" w:eastAsia="Arial" w:hAnsi="Arial"/>
                <w:sz w:val="18"/>
                <w:szCs w:val="18"/>
                <w:color w:val="auto"/>
              </w:rPr>
              <w:t>3 (a)</w:t>
            </w:r>
          </w:p>
        </w:tc>
        <w:tc>
          <w:tcPr>
            <w:tcW w:w="6780" w:type="dxa"/>
            <w:vAlign w:val="bottom"/>
          </w:tcPr>
          <w:p>
            <w:pPr>
              <w:ind w:left="40"/>
              <w:spacing w:after="0" w:line="195" w:lineRule="exact"/>
              <w:rPr>
                <w:sz w:val="20"/>
                <w:szCs w:val="20"/>
                <w:color w:val="auto"/>
              </w:rPr>
            </w:pPr>
            <w:r>
              <w:rPr>
                <w:rFonts w:ascii="Arial" w:cs="Arial" w:eastAsia="Arial" w:hAnsi="Arial"/>
                <w:sz w:val="18"/>
                <w:szCs w:val="18"/>
                <w:color w:val="auto"/>
              </w:rPr>
              <w:t>Certificate of Incorporation of Company</w:t>
            </w:r>
          </w:p>
        </w:tc>
        <w:tc>
          <w:tcPr>
            <w:tcW w:w="1020" w:type="dxa"/>
            <w:vAlign w:val="bottom"/>
          </w:tcPr>
          <w:p>
            <w:pPr>
              <w:spacing w:after="0"/>
              <w:rPr>
                <w:sz w:val="16"/>
                <w:szCs w:val="16"/>
                <w:color w:val="auto"/>
              </w:rPr>
            </w:pPr>
          </w:p>
        </w:tc>
        <w:tc>
          <w:tcPr>
            <w:tcW w:w="1380" w:type="dxa"/>
            <w:vAlign w:val="bottom"/>
          </w:tcPr>
          <w:p>
            <w:pPr>
              <w:jc w:val="center"/>
              <w:spacing w:after="0" w:line="195" w:lineRule="exact"/>
              <w:rPr>
                <w:sz w:val="20"/>
                <w:szCs w:val="20"/>
                <w:color w:val="auto"/>
              </w:rPr>
            </w:pPr>
            <w:r>
              <w:rPr>
                <w:rFonts w:ascii="Arial" w:cs="Arial" w:eastAsia="Arial" w:hAnsi="Arial"/>
                <w:sz w:val="18"/>
                <w:szCs w:val="18"/>
                <w:color w:val="auto"/>
                <w:w w:val="96"/>
              </w:rPr>
              <w:t>8-A,</w:t>
            </w:r>
          </w:p>
        </w:tc>
        <w:tc>
          <w:tcPr>
            <w:tcW w:w="700" w:type="dxa"/>
            <w:vAlign w:val="bottom"/>
          </w:tcPr>
          <w:p>
            <w:pPr>
              <w:spacing w:after="0"/>
              <w:rPr>
                <w:sz w:val="16"/>
                <w:szCs w:val="16"/>
                <w:color w:val="auto"/>
              </w:rPr>
            </w:pPr>
          </w:p>
        </w:tc>
        <w:tc>
          <w:tcPr>
            <w:tcW w:w="8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9/7/88</w:t>
            </w:r>
          </w:p>
        </w:tc>
        <w:tc>
          <w:tcPr>
            <w:tcW w:w="0" w:type="dxa"/>
            <w:vAlign w:val="bottom"/>
          </w:tcPr>
          <w:p>
            <w:pPr>
              <w:spacing w:after="0"/>
              <w:rPr>
                <w:sz w:val="1"/>
                <w:szCs w:val="1"/>
                <w:color w:val="auto"/>
              </w:rPr>
            </w:pPr>
          </w:p>
        </w:tc>
      </w:tr>
      <w:tr>
        <w:trPr>
          <w:trHeight w:val="203"/>
        </w:trPr>
        <w:tc>
          <w:tcPr>
            <w:tcW w:w="780" w:type="dxa"/>
            <w:vAlign w:val="bottom"/>
            <w:tcBorders>
              <w:left w:val="single" w:sz="8" w:color="auto"/>
            </w:tcBorders>
          </w:tcPr>
          <w:p>
            <w:pPr>
              <w:spacing w:after="0"/>
              <w:rPr>
                <w:sz w:val="17"/>
                <w:szCs w:val="17"/>
                <w:color w:val="auto"/>
              </w:rPr>
            </w:pPr>
          </w:p>
        </w:tc>
        <w:tc>
          <w:tcPr>
            <w:tcW w:w="6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80" w:type="dxa"/>
            <w:vAlign w:val="bottom"/>
          </w:tcPr>
          <w:p>
            <w:pPr>
              <w:jc w:val="center"/>
              <w:spacing w:after="0" w:line="202" w:lineRule="exact"/>
              <w:rPr>
                <w:sz w:val="20"/>
                <w:szCs w:val="20"/>
                <w:color w:val="auto"/>
              </w:rPr>
            </w:pPr>
            <w:r>
              <w:rPr>
                <w:rFonts w:ascii="Arial" w:cs="Arial" w:eastAsia="Arial" w:hAnsi="Arial"/>
                <w:sz w:val="18"/>
                <w:szCs w:val="18"/>
                <w:color w:val="auto"/>
              </w:rPr>
              <w:t>File No. 1-10026</w:t>
            </w:r>
          </w:p>
        </w:tc>
        <w:tc>
          <w:tcPr>
            <w:tcW w:w="70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8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3 (b)</w:t>
            </w:r>
          </w:p>
        </w:tc>
        <w:tc>
          <w:tcPr>
            <w:tcW w:w="6780" w:type="dxa"/>
            <w:vAlign w:val="bottom"/>
          </w:tcPr>
          <w:p>
            <w:pPr>
              <w:ind w:left="40"/>
              <w:spacing w:after="0"/>
              <w:rPr>
                <w:sz w:val="20"/>
                <w:szCs w:val="20"/>
                <w:color w:val="auto"/>
              </w:rPr>
            </w:pPr>
            <w:r>
              <w:rPr>
                <w:rFonts w:ascii="Arial" w:cs="Arial" w:eastAsia="Arial" w:hAnsi="Arial"/>
                <w:sz w:val="18"/>
                <w:szCs w:val="18"/>
                <w:color w:val="auto"/>
              </w:rPr>
              <w:t>Bylaws of Company</w:t>
            </w:r>
          </w:p>
        </w:tc>
        <w:tc>
          <w:tcPr>
            <w:tcW w:w="10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700" w:type="dxa"/>
            <w:vAlign w:val="bottom"/>
          </w:tcPr>
          <w:p>
            <w:pPr>
              <w:spacing w:after="0"/>
              <w:rPr>
                <w:sz w:val="18"/>
                <w:szCs w:val="18"/>
                <w:color w:val="auto"/>
              </w:rPr>
            </w:pP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2/23/11</w:t>
            </w:r>
          </w:p>
        </w:tc>
        <w:tc>
          <w:tcPr>
            <w:tcW w:w="0" w:type="dxa"/>
            <w:vAlign w:val="bottom"/>
          </w:tcPr>
          <w:p>
            <w:pPr>
              <w:spacing w:after="0"/>
              <w:rPr>
                <w:sz w:val="1"/>
                <w:szCs w:val="1"/>
                <w:color w:val="auto"/>
              </w:rPr>
            </w:pPr>
          </w:p>
        </w:tc>
      </w:tr>
      <w:tr>
        <w:trPr>
          <w:trHeight w:val="404"/>
        </w:trPr>
        <w:tc>
          <w:tcPr>
            <w:tcW w:w="78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4 (a)</w:t>
            </w:r>
          </w:p>
        </w:tc>
        <w:tc>
          <w:tcPr>
            <w:tcW w:w="6780" w:type="dxa"/>
            <w:vAlign w:val="bottom"/>
          </w:tcPr>
          <w:p>
            <w:pPr>
              <w:ind w:left="40"/>
              <w:spacing w:after="0"/>
              <w:rPr>
                <w:sz w:val="20"/>
                <w:szCs w:val="20"/>
                <w:color w:val="auto"/>
              </w:rPr>
            </w:pPr>
            <w:r>
              <w:rPr>
                <w:rFonts w:ascii="Arial" w:cs="Arial" w:eastAsia="Arial" w:hAnsi="Arial"/>
                <w:sz w:val="18"/>
                <w:szCs w:val="18"/>
                <w:color w:val="auto"/>
              </w:rPr>
              <w:t>Article IV of Certificate of Incorporation of Company</w:t>
            </w:r>
          </w:p>
        </w:tc>
        <w:tc>
          <w:tcPr>
            <w:tcW w:w="102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6"/>
              </w:rPr>
              <w:t>8-A,</w:t>
            </w:r>
          </w:p>
        </w:tc>
        <w:tc>
          <w:tcPr>
            <w:tcW w:w="700" w:type="dxa"/>
            <w:vAlign w:val="bottom"/>
          </w:tcPr>
          <w:p>
            <w:pPr>
              <w:spacing w:after="0"/>
              <w:rPr>
                <w:sz w:val="24"/>
                <w:szCs w:val="24"/>
                <w:color w:val="auto"/>
              </w:rPr>
            </w:pP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9/7/88</w:t>
            </w:r>
          </w:p>
        </w:tc>
        <w:tc>
          <w:tcPr>
            <w:tcW w:w="0" w:type="dxa"/>
            <w:vAlign w:val="bottom"/>
          </w:tcPr>
          <w:p>
            <w:pPr>
              <w:spacing w:after="0"/>
              <w:rPr>
                <w:sz w:val="1"/>
                <w:szCs w:val="1"/>
                <w:color w:val="auto"/>
              </w:rPr>
            </w:pPr>
          </w:p>
        </w:tc>
      </w:tr>
      <w:tr>
        <w:trPr>
          <w:trHeight w:val="203"/>
        </w:trPr>
        <w:tc>
          <w:tcPr>
            <w:tcW w:w="780" w:type="dxa"/>
            <w:vAlign w:val="bottom"/>
            <w:tcBorders>
              <w:left w:val="single" w:sz="8" w:color="auto"/>
            </w:tcBorders>
          </w:tcPr>
          <w:p>
            <w:pPr>
              <w:spacing w:after="0"/>
              <w:rPr>
                <w:sz w:val="17"/>
                <w:szCs w:val="17"/>
                <w:color w:val="auto"/>
              </w:rPr>
            </w:pPr>
          </w:p>
        </w:tc>
        <w:tc>
          <w:tcPr>
            <w:tcW w:w="6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80" w:type="dxa"/>
            <w:vAlign w:val="bottom"/>
          </w:tcPr>
          <w:p>
            <w:pPr>
              <w:jc w:val="center"/>
              <w:spacing w:after="0" w:line="202" w:lineRule="exact"/>
              <w:rPr>
                <w:sz w:val="20"/>
                <w:szCs w:val="20"/>
                <w:color w:val="auto"/>
              </w:rPr>
            </w:pPr>
            <w:r>
              <w:rPr>
                <w:rFonts w:ascii="Arial" w:cs="Arial" w:eastAsia="Arial" w:hAnsi="Arial"/>
                <w:sz w:val="18"/>
                <w:szCs w:val="18"/>
                <w:color w:val="auto"/>
              </w:rPr>
              <w:t>File No. 1-10026</w:t>
            </w:r>
          </w:p>
        </w:tc>
        <w:tc>
          <w:tcPr>
            <w:tcW w:w="70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 w:type="dxa"/>
            <w:vAlign w:val="bottom"/>
            <w:tcBorders>
              <w:left w:val="single" w:sz="8" w:color="auto"/>
            </w:tcBorders>
          </w:tcPr>
          <w:p>
            <w:pPr>
              <w:ind w:left="20"/>
              <w:spacing w:after="0" w:line="202" w:lineRule="exact"/>
              <w:rPr>
                <w:sz w:val="20"/>
                <w:szCs w:val="20"/>
                <w:color w:val="auto"/>
              </w:rPr>
            </w:pPr>
            <w:r>
              <w:rPr>
                <w:rFonts w:ascii="Arial" w:cs="Arial" w:eastAsia="Arial" w:hAnsi="Arial"/>
                <w:sz w:val="18"/>
                <w:szCs w:val="18"/>
                <w:color w:val="auto"/>
              </w:rPr>
              <w:t>4 (b)</w:t>
            </w:r>
          </w:p>
        </w:tc>
        <w:tc>
          <w:tcPr>
            <w:tcW w:w="6780" w:type="dxa"/>
            <w:vAlign w:val="bottom"/>
          </w:tcPr>
          <w:p>
            <w:pPr>
              <w:ind w:left="40"/>
              <w:spacing w:after="0" w:line="202" w:lineRule="exact"/>
              <w:rPr>
                <w:sz w:val="20"/>
                <w:szCs w:val="20"/>
                <w:color w:val="auto"/>
              </w:rPr>
            </w:pPr>
            <w:r>
              <w:rPr>
                <w:rFonts w:ascii="Arial" w:cs="Arial" w:eastAsia="Arial" w:hAnsi="Arial"/>
                <w:sz w:val="18"/>
                <w:szCs w:val="18"/>
                <w:color w:val="auto"/>
              </w:rPr>
              <w:t>Specimen Stock Certificate for Class A Common Stock</w:t>
            </w:r>
          </w:p>
        </w:tc>
        <w:tc>
          <w:tcPr>
            <w:tcW w:w="1020" w:type="dxa"/>
            <w:vAlign w:val="bottom"/>
          </w:tcPr>
          <w:p>
            <w:pPr>
              <w:spacing w:after="0"/>
              <w:rPr>
                <w:sz w:val="17"/>
                <w:szCs w:val="17"/>
                <w:color w:val="auto"/>
              </w:rPr>
            </w:pPr>
          </w:p>
        </w:tc>
        <w:tc>
          <w:tcPr>
            <w:tcW w:w="1380" w:type="dxa"/>
            <w:vAlign w:val="bottom"/>
          </w:tcPr>
          <w:p>
            <w:pPr>
              <w:jc w:val="center"/>
              <w:spacing w:after="0" w:line="202" w:lineRule="exact"/>
              <w:rPr>
                <w:sz w:val="20"/>
                <w:szCs w:val="20"/>
                <w:color w:val="auto"/>
              </w:rPr>
            </w:pPr>
            <w:r>
              <w:rPr>
                <w:rFonts w:ascii="Arial" w:cs="Arial" w:eastAsia="Arial" w:hAnsi="Arial"/>
                <w:sz w:val="18"/>
                <w:szCs w:val="18"/>
                <w:color w:val="auto"/>
                <w:w w:val="96"/>
              </w:rPr>
              <w:t>S-1,</w:t>
            </w:r>
          </w:p>
        </w:tc>
        <w:tc>
          <w:tcPr>
            <w:tcW w:w="700" w:type="dxa"/>
            <w:vAlign w:val="bottom"/>
          </w:tcPr>
          <w:p>
            <w:pPr>
              <w:spacing w:after="0"/>
              <w:rPr>
                <w:sz w:val="17"/>
                <w:szCs w:val="17"/>
                <w:color w:val="auto"/>
              </w:rPr>
            </w:pPr>
          </w:p>
        </w:tc>
        <w:tc>
          <w:tcPr>
            <w:tcW w:w="8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9/30/87</w:t>
            </w:r>
          </w:p>
        </w:tc>
        <w:tc>
          <w:tcPr>
            <w:tcW w:w="0" w:type="dxa"/>
            <w:vAlign w:val="bottom"/>
          </w:tcPr>
          <w:p>
            <w:pPr>
              <w:spacing w:after="0"/>
              <w:rPr>
                <w:sz w:val="1"/>
                <w:szCs w:val="1"/>
                <w:color w:val="auto"/>
              </w:rPr>
            </w:pPr>
          </w:p>
        </w:tc>
      </w:tr>
      <w:tr>
        <w:trPr>
          <w:trHeight w:val="203"/>
        </w:trPr>
        <w:tc>
          <w:tcPr>
            <w:tcW w:w="780" w:type="dxa"/>
            <w:vAlign w:val="bottom"/>
            <w:tcBorders>
              <w:left w:val="single" w:sz="8" w:color="auto"/>
              <w:bottom w:val="single" w:sz="8" w:color="auto"/>
            </w:tcBorders>
          </w:tcPr>
          <w:p>
            <w:pPr>
              <w:spacing w:after="0"/>
              <w:rPr>
                <w:sz w:val="17"/>
                <w:szCs w:val="17"/>
                <w:color w:val="auto"/>
              </w:rPr>
            </w:pPr>
          </w:p>
        </w:tc>
        <w:tc>
          <w:tcPr>
            <w:tcW w:w="67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rPr>
              <w:t>No. 33-16254</w:t>
            </w:r>
          </w:p>
        </w:tc>
        <w:tc>
          <w:tcPr>
            <w:tcW w:w="700" w:type="dxa"/>
            <w:vAlign w:val="bottom"/>
            <w:tcBorders>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60" w:type="dxa"/>
            <w:vAlign w:val="bottom"/>
            <w:tcBorders>
              <w:left w:val="single" w:sz="8" w:color="auto"/>
              <w:bottom w:val="single" w:sz="8" w:color="auto"/>
            </w:tcBorders>
            <w:gridSpan w:val="2"/>
          </w:tcPr>
          <w:p>
            <w:pPr>
              <w:ind w:left="20"/>
              <w:spacing w:after="0" w:line="196" w:lineRule="exact"/>
              <w:rPr>
                <w:sz w:val="20"/>
                <w:szCs w:val="20"/>
                <w:color w:val="auto"/>
              </w:rPr>
            </w:pPr>
            <w:r>
              <w:rPr>
                <w:rFonts w:ascii="Arial" w:cs="Arial" w:eastAsia="Arial" w:hAnsi="Arial"/>
                <w:sz w:val="18"/>
                <w:szCs w:val="18"/>
                <w:b w:val="1"/>
                <w:bCs w:val="1"/>
                <w:color w:val="auto"/>
              </w:rPr>
              <w:t>Credit Agreement</w:t>
            </w:r>
          </w:p>
        </w:tc>
        <w:tc>
          <w:tcPr>
            <w:tcW w:w="10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80" w:type="dxa"/>
            <w:vAlign w:val="bottom"/>
            <w:tcBorders>
              <w:left w:val="single" w:sz="8" w:color="auto"/>
            </w:tcBorders>
          </w:tcPr>
          <w:p>
            <w:pPr>
              <w:ind w:left="20"/>
              <w:spacing w:after="0" w:line="195" w:lineRule="exact"/>
              <w:rPr>
                <w:sz w:val="20"/>
                <w:szCs w:val="20"/>
                <w:color w:val="auto"/>
              </w:rPr>
            </w:pPr>
            <w:r>
              <w:rPr>
                <w:rFonts w:ascii="Arial" w:cs="Arial" w:eastAsia="Arial" w:hAnsi="Arial"/>
                <w:sz w:val="18"/>
                <w:szCs w:val="18"/>
                <w:color w:val="auto"/>
              </w:rPr>
              <w:t>10(k)(xi)</w:t>
            </w:r>
          </w:p>
        </w:tc>
        <w:tc>
          <w:tcPr>
            <w:tcW w:w="6780" w:type="dxa"/>
            <w:vAlign w:val="bottom"/>
          </w:tcPr>
          <w:p>
            <w:pPr>
              <w:ind w:left="40"/>
              <w:spacing w:after="0" w:line="195" w:lineRule="exact"/>
              <w:rPr>
                <w:sz w:val="20"/>
                <w:szCs w:val="20"/>
                <w:color w:val="auto"/>
              </w:rPr>
            </w:pPr>
            <w:r>
              <w:rPr>
                <w:rFonts w:ascii="Arial" w:cs="Arial" w:eastAsia="Arial" w:hAnsi="Arial"/>
                <w:sz w:val="18"/>
                <w:szCs w:val="18"/>
                <w:color w:val="auto"/>
              </w:rPr>
              <w:t>$330 Million Five-Year Revolving Credit Facility Agreement among Albany</w:t>
            </w:r>
          </w:p>
        </w:tc>
        <w:tc>
          <w:tcPr>
            <w:tcW w:w="1020" w:type="dxa"/>
            <w:vAlign w:val="bottom"/>
          </w:tcPr>
          <w:p>
            <w:pPr>
              <w:spacing w:after="0"/>
              <w:rPr>
                <w:sz w:val="16"/>
                <w:szCs w:val="16"/>
                <w:color w:val="auto"/>
              </w:rPr>
            </w:pPr>
          </w:p>
        </w:tc>
        <w:tc>
          <w:tcPr>
            <w:tcW w:w="1380" w:type="dxa"/>
            <w:vAlign w:val="bottom"/>
          </w:tcPr>
          <w:p>
            <w:pPr>
              <w:jc w:val="center"/>
              <w:spacing w:after="0" w:line="195" w:lineRule="exact"/>
              <w:rPr>
                <w:sz w:val="20"/>
                <w:szCs w:val="20"/>
                <w:color w:val="auto"/>
              </w:rPr>
            </w:pPr>
            <w:r>
              <w:rPr>
                <w:rFonts w:ascii="Arial" w:cs="Arial" w:eastAsia="Arial" w:hAnsi="Arial"/>
                <w:sz w:val="18"/>
                <w:szCs w:val="18"/>
                <w:color w:val="auto"/>
                <w:w w:val="99"/>
              </w:rPr>
              <w:t>8-K</w:t>
            </w:r>
          </w:p>
        </w:tc>
        <w:tc>
          <w:tcPr>
            <w:tcW w:w="700" w:type="dxa"/>
            <w:vAlign w:val="bottom"/>
          </w:tcPr>
          <w:p>
            <w:pPr>
              <w:spacing w:after="0"/>
              <w:rPr>
                <w:sz w:val="16"/>
                <w:szCs w:val="16"/>
                <w:color w:val="auto"/>
              </w:rPr>
            </w:pPr>
          </w:p>
        </w:tc>
        <w:tc>
          <w:tcPr>
            <w:tcW w:w="8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3/28/13</w:t>
            </w:r>
          </w:p>
        </w:tc>
        <w:tc>
          <w:tcPr>
            <w:tcW w:w="0" w:type="dxa"/>
            <w:vAlign w:val="bottom"/>
          </w:tcPr>
          <w:p>
            <w:pPr>
              <w:spacing w:after="0"/>
              <w:rPr>
                <w:sz w:val="1"/>
                <w:szCs w:val="1"/>
                <w:color w:val="auto"/>
              </w:rPr>
            </w:pPr>
          </w:p>
        </w:tc>
      </w:tr>
      <w:tr>
        <w:trPr>
          <w:trHeight w:val="203"/>
        </w:trPr>
        <w:tc>
          <w:tcPr>
            <w:tcW w:w="780" w:type="dxa"/>
            <w:vAlign w:val="bottom"/>
            <w:tcBorders>
              <w:left w:val="single" w:sz="8" w:color="auto"/>
            </w:tcBorders>
          </w:tcPr>
          <w:p>
            <w:pPr>
              <w:spacing w:after="0"/>
              <w:rPr>
                <w:sz w:val="17"/>
                <w:szCs w:val="17"/>
                <w:color w:val="auto"/>
              </w:rPr>
            </w:pPr>
          </w:p>
        </w:tc>
        <w:tc>
          <w:tcPr>
            <w:tcW w:w="6780" w:type="dxa"/>
            <w:vAlign w:val="bottom"/>
          </w:tcPr>
          <w:p>
            <w:pPr>
              <w:ind w:left="40"/>
              <w:spacing w:after="0" w:line="202" w:lineRule="exact"/>
              <w:rPr>
                <w:sz w:val="20"/>
                <w:szCs w:val="20"/>
                <w:color w:val="auto"/>
              </w:rPr>
            </w:pPr>
            <w:r>
              <w:rPr>
                <w:rFonts w:ascii="Arial" w:cs="Arial" w:eastAsia="Arial" w:hAnsi="Arial"/>
                <w:sz w:val="18"/>
                <w:szCs w:val="18"/>
                <w:color w:val="auto"/>
              </w:rPr>
              <w:t>International Corp., the other Borrowers named therein, the Lenders Party thereto,</w:t>
            </w:r>
          </w:p>
        </w:tc>
        <w:tc>
          <w:tcPr>
            <w:tcW w:w="10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 w:type="dxa"/>
            <w:vAlign w:val="bottom"/>
            <w:tcBorders>
              <w:left w:val="single" w:sz="8" w:color="auto"/>
            </w:tcBorders>
          </w:tcPr>
          <w:p>
            <w:pPr>
              <w:spacing w:after="0"/>
              <w:rPr>
                <w:sz w:val="17"/>
                <w:szCs w:val="17"/>
                <w:color w:val="auto"/>
              </w:rPr>
            </w:pPr>
          </w:p>
        </w:tc>
        <w:tc>
          <w:tcPr>
            <w:tcW w:w="6780" w:type="dxa"/>
            <w:vAlign w:val="bottom"/>
          </w:tcPr>
          <w:p>
            <w:pPr>
              <w:ind w:left="40"/>
              <w:spacing w:after="0" w:line="202" w:lineRule="exact"/>
              <w:rPr>
                <w:sz w:val="20"/>
                <w:szCs w:val="20"/>
                <w:color w:val="auto"/>
              </w:rPr>
            </w:pPr>
            <w:r>
              <w:rPr>
                <w:rFonts w:ascii="Arial" w:cs="Arial" w:eastAsia="Arial" w:hAnsi="Arial"/>
                <w:sz w:val="18"/>
                <w:szCs w:val="18"/>
                <w:color w:val="auto"/>
              </w:rPr>
              <w:t>JPMorgan Chase Bank, N.A., as Administrative</w:t>
            </w:r>
          </w:p>
        </w:tc>
        <w:tc>
          <w:tcPr>
            <w:tcW w:w="10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 w:type="dxa"/>
            <w:vAlign w:val="bottom"/>
            <w:tcBorders>
              <w:left w:val="single" w:sz="8" w:color="auto"/>
            </w:tcBorders>
          </w:tcPr>
          <w:p>
            <w:pPr>
              <w:spacing w:after="0"/>
              <w:rPr>
                <w:sz w:val="17"/>
                <w:szCs w:val="17"/>
                <w:color w:val="auto"/>
              </w:rPr>
            </w:pPr>
          </w:p>
        </w:tc>
        <w:tc>
          <w:tcPr>
            <w:tcW w:w="6780" w:type="dxa"/>
            <w:vAlign w:val="bottom"/>
          </w:tcPr>
          <w:p>
            <w:pPr>
              <w:ind w:left="40"/>
              <w:spacing w:after="0" w:line="202" w:lineRule="exact"/>
              <w:rPr>
                <w:sz w:val="20"/>
                <w:szCs w:val="20"/>
                <w:color w:val="auto"/>
              </w:rPr>
            </w:pPr>
            <w:r>
              <w:rPr>
                <w:rFonts w:ascii="Arial" w:cs="Arial" w:eastAsia="Arial" w:hAnsi="Arial"/>
                <w:sz w:val="18"/>
                <w:szCs w:val="18"/>
                <w:color w:val="auto"/>
              </w:rPr>
              <w:t>Agent, JPMorgan Chase Bank, N.A., Toronto Branch, as Canadian Agent; J.P.</w:t>
            </w:r>
          </w:p>
        </w:tc>
        <w:tc>
          <w:tcPr>
            <w:tcW w:w="10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80" w:type="dxa"/>
            <w:vAlign w:val="bottom"/>
            <w:tcBorders>
              <w:left w:val="single" w:sz="8" w:color="auto"/>
            </w:tcBorders>
          </w:tcPr>
          <w:p>
            <w:pPr>
              <w:spacing w:after="0"/>
              <w:rPr>
                <w:sz w:val="18"/>
                <w:szCs w:val="18"/>
                <w:color w:val="auto"/>
              </w:rPr>
            </w:pPr>
          </w:p>
        </w:tc>
        <w:tc>
          <w:tcPr>
            <w:tcW w:w="6780" w:type="dxa"/>
            <w:vAlign w:val="bottom"/>
          </w:tcPr>
          <w:p>
            <w:pPr>
              <w:ind w:left="40"/>
              <w:spacing w:after="0"/>
              <w:rPr>
                <w:sz w:val="20"/>
                <w:szCs w:val="20"/>
                <w:color w:val="auto"/>
              </w:rPr>
            </w:pPr>
            <w:r>
              <w:rPr>
                <w:rFonts w:ascii="Arial" w:cs="Arial" w:eastAsia="Arial" w:hAnsi="Arial"/>
                <w:sz w:val="18"/>
                <w:szCs w:val="18"/>
                <w:color w:val="auto"/>
              </w:rPr>
              <w:t>Morgan Europe Limited, as London Agent, dated as of March 26, 2013</w:t>
            </w:r>
          </w:p>
        </w:tc>
        <w:tc>
          <w:tcPr>
            <w:tcW w:w="10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4"/>
        </w:trPr>
        <w:tc>
          <w:tcPr>
            <w:tcW w:w="78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10(k)(xii)</w:t>
            </w:r>
          </w:p>
        </w:tc>
        <w:tc>
          <w:tcPr>
            <w:tcW w:w="6780" w:type="dxa"/>
            <w:vAlign w:val="bottom"/>
          </w:tcPr>
          <w:p>
            <w:pPr>
              <w:ind w:left="40"/>
              <w:spacing w:after="0"/>
              <w:rPr>
                <w:sz w:val="20"/>
                <w:szCs w:val="20"/>
                <w:color w:val="auto"/>
              </w:rPr>
            </w:pPr>
            <w:r>
              <w:rPr>
                <w:rFonts w:ascii="Arial" w:cs="Arial" w:eastAsia="Arial" w:hAnsi="Arial"/>
                <w:sz w:val="18"/>
                <w:szCs w:val="18"/>
                <w:color w:val="auto"/>
              </w:rPr>
              <w:t>Amended and Restated Note Agreement and Guaranty, dated as of July 16, 2010,</w:t>
            </w:r>
          </w:p>
        </w:tc>
        <w:tc>
          <w:tcPr>
            <w:tcW w:w="102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700" w:type="dxa"/>
            <w:vAlign w:val="bottom"/>
          </w:tcPr>
          <w:p>
            <w:pPr>
              <w:spacing w:after="0"/>
              <w:rPr>
                <w:sz w:val="24"/>
                <w:szCs w:val="24"/>
                <w:color w:val="auto"/>
              </w:rPr>
            </w:pP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9/23/10</w:t>
            </w:r>
          </w:p>
        </w:tc>
        <w:tc>
          <w:tcPr>
            <w:tcW w:w="0" w:type="dxa"/>
            <w:vAlign w:val="bottom"/>
          </w:tcPr>
          <w:p>
            <w:pPr>
              <w:spacing w:after="0"/>
              <w:rPr>
                <w:sz w:val="1"/>
                <w:szCs w:val="1"/>
                <w:color w:val="auto"/>
              </w:rPr>
            </w:pPr>
          </w:p>
        </w:tc>
      </w:tr>
      <w:tr>
        <w:trPr>
          <w:trHeight w:val="203"/>
        </w:trPr>
        <w:tc>
          <w:tcPr>
            <w:tcW w:w="780" w:type="dxa"/>
            <w:vAlign w:val="bottom"/>
            <w:tcBorders>
              <w:left w:val="single" w:sz="8" w:color="auto"/>
            </w:tcBorders>
          </w:tcPr>
          <w:p>
            <w:pPr>
              <w:spacing w:after="0"/>
              <w:rPr>
                <w:sz w:val="17"/>
                <w:szCs w:val="17"/>
                <w:color w:val="auto"/>
              </w:rPr>
            </w:pPr>
          </w:p>
        </w:tc>
        <w:tc>
          <w:tcPr>
            <w:tcW w:w="6780" w:type="dxa"/>
            <w:vAlign w:val="bottom"/>
          </w:tcPr>
          <w:p>
            <w:pPr>
              <w:ind w:left="40"/>
              <w:spacing w:after="0" w:line="202" w:lineRule="exact"/>
              <w:rPr>
                <w:sz w:val="20"/>
                <w:szCs w:val="20"/>
                <w:color w:val="auto"/>
              </w:rPr>
            </w:pPr>
            <w:r>
              <w:rPr>
                <w:rFonts w:ascii="Arial" w:cs="Arial" w:eastAsia="Arial" w:hAnsi="Arial"/>
                <w:sz w:val="18"/>
                <w:szCs w:val="18"/>
                <w:color w:val="auto"/>
              </w:rPr>
              <w:t>among the Company, the Guarantors named therein, and the holders of the Notes</w:t>
            </w:r>
          </w:p>
        </w:tc>
        <w:tc>
          <w:tcPr>
            <w:tcW w:w="10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80" w:type="dxa"/>
            <w:vAlign w:val="bottom"/>
            <w:tcBorders>
              <w:left w:val="single" w:sz="8" w:color="auto"/>
            </w:tcBorders>
          </w:tcPr>
          <w:p>
            <w:pPr>
              <w:spacing w:after="0"/>
              <w:rPr>
                <w:sz w:val="18"/>
                <w:szCs w:val="18"/>
                <w:color w:val="auto"/>
              </w:rPr>
            </w:pPr>
          </w:p>
        </w:tc>
        <w:tc>
          <w:tcPr>
            <w:tcW w:w="6780" w:type="dxa"/>
            <w:vAlign w:val="bottom"/>
          </w:tcPr>
          <w:p>
            <w:pPr>
              <w:ind w:left="40"/>
              <w:spacing w:after="0"/>
              <w:rPr>
                <w:sz w:val="20"/>
                <w:szCs w:val="20"/>
                <w:color w:val="auto"/>
              </w:rPr>
            </w:pPr>
            <w:r>
              <w:rPr>
                <w:rFonts w:ascii="Arial" w:cs="Arial" w:eastAsia="Arial" w:hAnsi="Arial"/>
                <w:sz w:val="18"/>
                <w:szCs w:val="18"/>
                <w:color w:val="auto"/>
              </w:rPr>
              <w:t>from time to time party thereto ("Amended and Restated Note Agreement")</w:t>
            </w:r>
          </w:p>
        </w:tc>
        <w:tc>
          <w:tcPr>
            <w:tcW w:w="10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4"/>
        </w:trPr>
        <w:tc>
          <w:tcPr>
            <w:tcW w:w="7560" w:type="dxa"/>
            <w:vAlign w:val="bottom"/>
            <w:tcBorders>
              <w:left w:val="single" w:sz="8" w:color="auto"/>
            </w:tcBorders>
            <w:gridSpan w:val="2"/>
          </w:tcPr>
          <w:p>
            <w:pPr>
              <w:ind w:left="20"/>
              <w:spacing w:after="0"/>
              <w:rPr>
                <w:sz w:val="20"/>
                <w:szCs w:val="20"/>
                <w:color w:val="auto"/>
              </w:rPr>
            </w:pPr>
            <w:r>
              <w:rPr>
                <w:rFonts w:ascii="Arial" w:cs="Arial" w:eastAsia="Arial" w:hAnsi="Arial"/>
                <w:sz w:val="18"/>
                <w:szCs w:val="18"/>
                <w:color w:val="auto"/>
              </w:rPr>
              <w:t>10(k)(xiii) First Amendment, dated as of February 17, 2012, to Amended and Restated Note</w:t>
            </w:r>
          </w:p>
        </w:tc>
        <w:tc>
          <w:tcPr>
            <w:tcW w:w="102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700" w:type="dxa"/>
            <w:vAlign w:val="bottom"/>
          </w:tcPr>
          <w:p>
            <w:pPr>
              <w:spacing w:after="0"/>
              <w:rPr>
                <w:sz w:val="24"/>
                <w:szCs w:val="24"/>
                <w:color w:val="auto"/>
              </w:rPr>
            </w:pP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2/22/12</w:t>
            </w:r>
          </w:p>
        </w:tc>
        <w:tc>
          <w:tcPr>
            <w:tcW w:w="0" w:type="dxa"/>
            <w:vAlign w:val="bottom"/>
          </w:tcPr>
          <w:p>
            <w:pPr>
              <w:spacing w:after="0"/>
              <w:rPr>
                <w:sz w:val="1"/>
                <w:szCs w:val="1"/>
                <w:color w:val="auto"/>
              </w:rPr>
            </w:pPr>
          </w:p>
        </w:tc>
      </w:tr>
      <w:tr>
        <w:trPr>
          <w:trHeight w:val="217"/>
        </w:trPr>
        <w:tc>
          <w:tcPr>
            <w:tcW w:w="780" w:type="dxa"/>
            <w:vAlign w:val="bottom"/>
            <w:tcBorders>
              <w:left w:val="single" w:sz="8" w:color="auto"/>
            </w:tcBorders>
          </w:tcPr>
          <w:p>
            <w:pPr>
              <w:spacing w:after="0"/>
              <w:rPr>
                <w:sz w:val="18"/>
                <w:szCs w:val="18"/>
                <w:color w:val="auto"/>
              </w:rPr>
            </w:pPr>
          </w:p>
        </w:tc>
        <w:tc>
          <w:tcPr>
            <w:tcW w:w="6780" w:type="dxa"/>
            <w:vAlign w:val="bottom"/>
          </w:tcPr>
          <w:p>
            <w:pPr>
              <w:ind w:left="40"/>
              <w:spacing w:after="0"/>
              <w:rPr>
                <w:sz w:val="20"/>
                <w:szCs w:val="20"/>
                <w:color w:val="auto"/>
              </w:rPr>
            </w:pPr>
            <w:r>
              <w:rPr>
                <w:rFonts w:ascii="Arial" w:cs="Arial" w:eastAsia="Arial" w:hAnsi="Arial"/>
                <w:sz w:val="18"/>
                <w:szCs w:val="18"/>
                <w:color w:val="auto"/>
              </w:rPr>
              <w:t>Agreement</w:t>
            </w:r>
          </w:p>
        </w:tc>
        <w:tc>
          <w:tcPr>
            <w:tcW w:w="10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4"/>
        </w:trPr>
        <w:tc>
          <w:tcPr>
            <w:tcW w:w="78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10(k)(iv)</w:t>
            </w:r>
          </w:p>
        </w:tc>
        <w:tc>
          <w:tcPr>
            <w:tcW w:w="6780" w:type="dxa"/>
            <w:vAlign w:val="bottom"/>
          </w:tcPr>
          <w:p>
            <w:pPr>
              <w:ind w:left="40"/>
              <w:spacing w:after="0"/>
              <w:rPr>
                <w:sz w:val="20"/>
                <w:szCs w:val="20"/>
                <w:color w:val="auto"/>
              </w:rPr>
            </w:pPr>
            <w:r>
              <w:rPr>
                <w:rFonts w:ascii="Arial" w:cs="Arial" w:eastAsia="Arial" w:hAnsi="Arial"/>
                <w:sz w:val="18"/>
                <w:szCs w:val="18"/>
                <w:color w:val="auto"/>
              </w:rPr>
              <w:t>Second Amendment, dated as of March 26, 2013, to Amended and Restated Note</w:t>
            </w:r>
          </w:p>
        </w:tc>
        <w:tc>
          <w:tcPr>
            <w:tcW w:w="102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700" w:type="dxa"/>
            <w:vAlign w:val="bottom"/>
          </w:tcPr>
          <w:p>
            <w:pPr>
              <w:spacing w:after="0"/>
              <w:rPr>
                <w:sz w:val="24"/>
                <w:szCs w:val="24"/>
                <w:color w:val="auto"/>
              </w:rPr>
            </w:pP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3/28/13</w:t>
            </w:r>
          </w:p>
        </w:tc>
        <w:tc>
          <w:tcPr>
            <w:tcW w:w="0" w:type="dxa"/>
            <w:vAlign w:val="bottom"/>
          </w:tcPr>
          <w:p>
            <w:pPr>
              <w:spacing w:after="0"/>
              <w:rPr>
                <w:sz w:val="1"/>
                <w:szCs w:val="1"/>
                <w:color w:val="auto"/>
              </w:rPr>
            </w:pPr>
          </w:p>
        </w:tc>
      </w:tr>
      <w:tr>
        <w:trPr>
          <w:trHeight w:val="217"/>
        </w:trPr>
        <w:tc>
          <w:tcPr>
            <w:tcW w:w="780" w:type="dxa"/>
            <w:vAlign w:val="bottom"/>
            <w:tcBorders>
              <w:left w:val="single" w:sz="8" w:color="auto"/>
            </w:tcBorders>
          </w:tcPr>
          <w:p>
            <w:pPr>
              <w:spacing w:after="0"/>
              <w:rPr>
                <w:sz w:val="18"/>
                <w:szCs w:val="18"/>
                <w:color w:val="auto"/>
              </w:rPr>
            </w:pPr>
          </w:p>
        </w:tc>
        <w:tc>
          <w:tcPr>
            <w:tcW w:w="6780" w:type="dxa"/>
            <w:vAlign w:val="bottom"/>
          </w:tcPr>
          <w:p>
            <w:pPr>
              <w:ind w:left="40"/>
              <w:spacing w:after="0"/>
              <w:rPr>
                <w:sz w:val="20"/>
                <w:szCs w:val="20"/>
                <w:color w:val="auto"/>
              </w:rPr>
            </w:pPr>
            <w:r>
              <w:rPr>
                <w:rFonts w:ascii="Arial" w:cs="Arial" w:eastAsia="Arial" w:hAnsi="Arial"/>
                <w:sz w:val="18"/>
                <w:szCs w:val="18"/>
                <w:color w:val="auto"/>
              </w:rPr>
              <w:t>Agreement</w:t>
            </w:r>
          </w:p>
        </w:tc>
        <w:tc>
          <w:tcPr>
            <w:tcW w:w="10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80" w:type="dxa"/>
            <w:vAlign w:val="bottom"/>
            <w:tcBorders>
              <w:left w:val="single" w:sz="8" w:color="auto"/>
              <w:bottom w:val="single" w:sz="8" w:color="auto"/>
            </w:tcBorders>
          </w:tcPr>
          <w:p>
            <w:pPr>
              <w:spacing w:after="0"/>
              <w:rPr>
                <w:sz w:val="17"/>
                <w:szCs w:val="17"/>
                <w:color w:val="auto"/>
              </w:rPr>
            </w:pPr>
          </w:p>
        </w:tc>
        <w:tc>
          <w:tcPr>
            <w:tcW w:w="67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19"/>
        </w:trPr>
        <w:tc>
          <w:tcPr>
            <w:tcW w:w="780" w:type="dxa"/>
            <w:vAlign w:val="bottom"/>
            <w:tcBorders>
              <w:bottom w:val="single" w:sz="8" w:color="auto"/>
            </w:tcBorders>
          </w:tcPr>
          <w:p>
            <w:pPr>
              <w:spacing w:after="0"/>
              <w:rPr>
                <w:sz w:val="24"/>
                <w:szCs w:val="24"/>
                <w:color w:val="auto"/>
              </w:rPr>
            </w:pPr>
          </w:p>
        </w:tc>
        <w:tc>
          <w:tcPr>
            <w:tcW w:w="67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bl>
    <w:p>
      <w:pPr>
        <w:sectPr>
          <w:pgSz w:w="11900" w:h="16838" w:orient="portrait"/>
          <w:cols w:equalWidth="0" w:num="1">
            <w:col w:w="11440"/>
          </w:cols>
          <w:pgMar w:left="240" w:top="576" w:right="219" w:bottom="1440" w:gutter="0" w:footer="0" w:header="0"/>
        </w:sectPr>
      </w:pPr>
    </w:p>
    <w:bookmarkStart w:id="97" w:name="page98"/>
    <w:bookmarkEnd w:id="9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1260" w:type="dxa"/>
            <w:vAlign w:val="bottom"/>
            <w:vMerge w:val="restart"/>
          </w:tcPr>
          <w:p>
            <w:pPr>
              <w:spacing w:after="0"/>
              <w:rPr>
                <w:sz w:val="20"/>
                <w:szCs w:val="20"/>
                <w:color w:val="auto"/>
              </w:rPr>
            </w:pPr>
            <w:r>
              <w:rPr>
                <w:rFonts w:ascii="Arial" w:cs="Arial" w:eastAsia="Arial" w:hAnsi="Arial"/>
                <w:sz w:val="18"/>
                <w:szCs w:val="18"/>
                <w:b w:val="1"/>
                <w:bCs w:val="1"/>
                <w:color w:val="auto"/>
              </w:rPr>
              <w:t>Exhibit</w:t>
            </w:r>
          </w:p>
        </w:tc>
        <w:tc>
          <w:tcPr>
            <w:tcW w:w="42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9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Filed</w:t>
            </w:r>
          </w:p>
        </w:tc>
        <w:tc>
          <w:tcPr>
            <w:tcW w:w="31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9"/>
              </w:rPr>
              <w:t>Incorporated by Reference</w:t>
            </w:r>
          </w:p>
        </w:tc>
        <w:tc>
          <w:tcPr>
            <w:tcW w:w="0" w:type="dxa"/>
            <w:vAlign w:val="bottom"/>
          </w:tcPr>
          <w:p>
            <w:pPr>
              <w:spacing w:after="0"/>
              <w:rPr>
                <w:sz w:val="1"/>
                <w:szCs w:val="1"/>
                <w:color w:val="auto"/>
              </w:rPr>
            </w:pPr>
          </w:p>
        </w:tc>
      </w:tr>
      <w:tr>
        <w:trPr>
          <w:trHeight w:val="173"/>
        </w:trPr>
        <w:tc>
          <w:tcPr>
            <w:tcW w:w="12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570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jc w:val="center"/>
              <w:ind w:left="30"/>
              <w:spacing w:after="0" w:line="173" w:lineRule="exact"/>
              <w:rPr>
                <w:sz w:val="20"/>
                <w:szCs w:val="20"/>
                <w:color w:val="auto"/>
              </w:rPr>
            </w:pPr>
            <w:r>
              <w:rPr>
                <w:rFonts w:ascii="Arial" w:cs="Arial" w:eastAsia="Arial" w:hAnsi="Arial"/>
                <w:sz w:val="18"/>
                <w:szCs w:val="18"/>
                <w:b w:val="1"/>
                <w:bCs w:val="1"/>
                <w:color w:val="auto"/>
                <w:w w:val="99"/>
              </w:rPr>
              <w:t>Period</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1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6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Exhibit Description</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Herewith</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Form</w:t>
            </w:r>
          </w:p>
        </w:tc>
        <w:tc>
          <w:tcPr>
            <w:tcW w:w="104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8"/>
              </w:rPr>
              <w:t>Ending</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Filing Date</w:t>
            </w:r>
          </w:p>
        </w:tc>
        <w:tc>
          <w:tcPr>
            <w:tcW w:w="0" w:type="dxa"/>
            <w:vAlign w:val="bottom"/>
          </w:tcPr>
          <w:p>
            <w:pPr>
              <w:spacing w:after="0"/>
              <w:rPr>
                <w:sz w:val="1"/>
                <w:szCs w:val="1"/>
                <w:color w:val="auto"/>
              </w:rPr>
            </w:pPr>
          </w:p>
        </w:tc>
      </w:tr>
      <w:tr>
        <w:trPr>
          <w:trHeight w:val="196"/>
        </w:trPr>
        <w:tc>
          <w:tcPr>
            <w:tcW w:w="7380" w:type="dxa"/>
            <w:vAlign w:val="bottom"/>
            <w:tcBorders>
              <w:left w:val="single" w:sz="8" w:color="auto"/>
              <w:bottom w:val="single" w:sz="8" w:color="auto"/>
            </w:tcBorders>
            <w:gridSpan w:val="3"/>
          </w:tcPr>
          <w:p>
            <w:pPr>
              <w:ind w:left="20"/>
              <w:spacing w:after="0" w:line="196" w:lineRule="exact"/>
              <w:rPr>
                <w:sz w:val="20"/>
                <w:szCs w:val="20"/>
                <w:color w:val="auto"/>
              </w:rPr>
            </w:pPr>
            <w:r>
              <w:rPr>
                <w:rFonts w:ascii="Arial" w:cs="Arial" w:eastAsia="Arial" w:hAnsi="Arial"/>
                <w:sz w:val="18"/>
                <w:szCs w:val="18"/>
                <w:b w:val="1"/>
                <w:bCs w:val="1"/>
                <w:color w:val="auto"/>
              </w:rPr>
              <w:t>Restricted Stock Units</w:t>
            </w:r>
          </w:p>
        </w:tc>
        <w:tc>
          <w:tcPr>
            <w:tcW w:w="9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260" w:type="dxa"/>
            <w:vAlign w:val="bottom"/>
            <w:tcBorders>
              <w:left w:val="single" w:sz="8" w:color="auto"/>
            </w:tcBorders>
          </w:tcPr>
          <w:p>
            <w:pPr>
              <w:ind w:left="20"/>
              <w:spacing w:after="0" w:line="195" w:lineRule="exact"/>
              <w:rPr>
                <w:sz w:val="20"/>
                <w:szCs w:val="20"/>
                <w:color w:val="auto"/>
              </w:rPr>
            </w:pPr>
            <w:r>
              <w:rPr>
                <w:rFonts w:ascii="Arial" w:cs="Arial" w:eastAsia="Arial" w:hAnsi="Arial"/>
                <w:sz w:val="18"/>
                <w:szCs w:val="18"/>
                <w:color w:val="auto"/>
              </w:rPr>
              <w:t>10(l)(i)</w:t>
            </w:r>
          </w:p>
        </w:tc>
        <w:tc>
          <w:tcPr>
            <w:tcW w:w="420" w:type="dxa"/>
            <w:vAlign w:val="bottom"/>
          </w:tcPr>
          <w:p>
            <w:pPr>
              <w:spacing w:after="0" w:line="195" w:lineRule="exact"/>
              <w:rPr>
                <w:sz w:val="20"/>
                <w:szCs w:val="20"/>
                <w:color w:val="auto"/>
              </w:rPr>
            </w:pPr>
            <w:r>
              <w:rPr>
                <w:rFonts w:ascii="Arial" w:cs="Arial" w:eastAsia="Arial" w:hAnsi="Arial"/>
                <w:sz w:val="18"/>
                <w:szCs w:val="18"/>
                <w:color w:val="auto"/>
                <w:w w:val="99"/>
              </w:rPr>
              <w:t>2003</w:t>
            </w:r>
          </w:p>
        </w:tc>
        <w:tc>
          <w:tcPr>
            <w:tcW w:w="5700" w:type="dxa"/>
            <w:vAlign w:val="bottom"/>
          </w:tcPr>
          <w:p>
            <w:pPr>
              <w:ind w:left="40"/>
              <w:spacing w:after="0" w:line="195" w:lineRule="exact"/>
              <w:rPr>
                <w:sz w:val="20"/>
                <w:szCs w:val="20"/>
                <w:color w:val="auto"/>
              </w:rPr>
            </w:pPr>
            <w:r>
              <w:rPr>
                <w:rFonts w:ascii="Arial" w:cs="Arial" w:eastAsia="Arial" w:hAnsi="Arial"/>
                <w:sz w:val="18"/>
                <w:szCs w:val="18"/>
                <w:color w:val="auto"/>
              </w:rPr>
              <w:t>Restricted Stock Unit Plan, as adopted November 13, 2003</w:t>
            </w:r>
          </w:p>
        </w:tc>
        <w:tc>
          <w:tcPr>
            <w:tcW w:w="960" w:type="dxa"/>
            <w:vAlign w:val="bottom"/>
          </w:tcPr>
          <w:p>
            <w:pPr>
              <w:spacing w:after="0"/>
              <w:rPr>
                <w:sz w:val="16"/>
                <w:szCs w:val="16"/>
                <w:color w:val="auto"/>
              </w:rPr>
            </w:pPr>
          </w:p>
        </w:tc>
        <w:tc>
          <w:tcPr>
            <w:tcW w:w="960" w:type="dxa"/>
            <w:vAlign w:val="bottom"/>
          </w:tcPr>
          <w:p>
            <w:pPr>
              <w:jc w:val="center"/>
              <w:spacing w:after="0" w:line="195" w:lineRule="exact"/>
              <w:rPr>
                <w:sz w:val="20"/>
                <w:szCs w:val="20"/>
                <w:color w:val="auto"/>
              </w:rPr>
            </w:pPr>
            <w:r>
              <w:rPr>
                <w:rFonts w:ascii="Arial" w:cs="Arial" w:eastAsia="Arial" w:hAnsi="Arial"/>
                <w:sz w:val="18"/>
                <w:szCs w:val="18"/>
                <w:color w:val="auto"/>
                <w:w w:val="99"/>
              </w:rPr>
              <w:t>8-K</w:t>
            </w:r>
          </w:p>
        </w:tc>
        <w:tc>
          <w:tcPr>
            <w:tcW w:w="1040" w:type="dxa"/>
            <w:vAlign w:val="bottom"/>
          </w:tcPr>
          <w:p>
            <w:pPr>
              <w:spacing w:after="0"/>
              <w:rPr>
                <w:sz w:val="16"/>
                <w:szCs w:val="16"/>
                <w:color w:val="auto"/>
              </w:rPr>
            </w:pPr>
          </w:p>
        </w:tc>
        <w:tc>
          <w:tcPr>
            <w:tcW w:w="11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1/2/08</w:t>
            </w:r>
          </w:p>
        </w:tc>
        <w:tc>
          <w:tcPr>
            <w:tcW w:w="0" w:type="dxa"/>
            <w:vAlign w:val="bottom"/>
          </w:tcPr>
          <w:p>
            <w:pPr>
              <w:spacing w:after="0"/>
              <w:rPr>
                <w:sz w:val="1"/>
                <w:szCs w:val="1"/>
                <w:color w:val="auto"/>
              </w:rPr>
            </w:pPr>
          </w:p>
        </w:tc>
      </w:tr>
      <w:tr>
        <w:trPr>
          <w:trHeight w:val="203"/>
        </w:trPr>
        <w:tc>
          <w:tcPr>
            <w:tcW w:w="1260" w:type="dxa"/>
            <w:vAlign w:val="bottom"/>
            <w:tcBorders>
              <w:left w:val="single" w:sz="8" w:color="auto"/>
            </w:tcBorders>
          </w:tcPr>
          <w:p>
            <w:pPr>
              <w:ind w:left="20"/>
              <w:spacing w:after="0" w:line="202" w:lineRule="exact"/>
              <w:rPr>
                <w:sz w:val="20"/>
                <w:szCs w:val="20"/>
                <w:color w:val="auto"/>
              </w:rPr>
            </w:pPr>
            <w:r>
              <w:rPr>
                <w:rFonts w:ascii="Arial" w:cs="Arial" w:eastAsia="Arial" w:hAnsi="Arial"/>
                <w:sz w:val="18"/>
                <w:szCs w:val="18"/>
                <w:color w:val="auto"/>
              </w:rPr>
              <w:t>10(l)(ii)</w:t>
            </w:r>
          </w:p>
        </w:tc>
        <w:tc>
          <w:tcPr>
            <w:tcW w:w="420" w:type="dxa"/>
            <w:vAlign w:val="bottom"/>
          </w:tcPr>
          <w:p>
            <w:pPr>
              <w:spacing w:after="0" w:line="202" w:lineRule="exact"/>
              <w:rPr>
                <w:sz w:val="20"/>
                <w:szCs w:val="20"/>
                <w:color w:val="auto"/>
              </w:rPr>
            </w:pPr>
            <w:r>
              <w:rPr>
                <w:rFonts w:ascii="Arial" w:cs="Arial" w:eastAsia="Arial" w:hAnsi="Arial"/>
                <w:sz w:val="18"/>
                <w:szCs w:val="18"/>
                <w:color w:val="auto"/>
                <w:w w:val="99"/>
              </w:rPr>
              <w:t>2003</w:t>
            </w:r>
          </w:p>
        </w:tc>
        <w:tc>
          <w:tcPr>
            <w:tcW w:w="5700" w:type="dxa"/>
            <w:vAlign w:val="bottom"/>
          </w:tcPr>
          <w:p>
            <w:pPr>
              <w:ind w:left="40"/>
              <w:spacing w:after="0" w:line="202" w:lineRule="exact"/>
              <w:rPr>
                <w:sz w:val="20"/>
                <w:szCs w:val="20"/>
                <w:color w:val="auto"/>
              </w:rPr>
            </w:pPr>
            <w:r>
              <w:rPr>
                <w:rFonts w:ascii="Arial" w:cs="Arial" w:eastAsia="Arial" w:hAnsi="Arial"/>
                <w:sz w:val="18"/>
                <w:szCs w:val="18"/>
                <w:color w:val="auto"/>
              </w:rPr>
              <w:t>Form of Restricted Stock Unit Award, as adopted November 13, 2003</w:t>
            </w:r>
          </w:p>
        </w:tc>
        <w:tc>
          <w:tcPr>
            <w:tcW w:w="960" w:type="dxa"/>
            <w:vAlign w:val="bottom"/>
          </w:tcPr>
          <w:p>
            <w:pPr>
              <w:spacing w:after="0"/>
              <w:rPr>
                <w:sz w:val="17"/>
                <w:szCs w:val="17"/>
                <w:color w:val="auto"/>
              </w:rPr>
            </w:pPr>
          </w:p>
        </w:tc>
        <w:tc>
          <w:tcPr>
            <w:tcW w:w="960" w:type="dxa"/>
            <w:vAlign w:val="bottom"/>
          </w:tcPr>
          <w:p>
            <w:pPr>
              <w:jc w:val="center"/>
              <w:spacing w:after="0" w:line="202" w:lineRule="exact"/>
              <w:rPr>
                <w:sz w:val="20"/>
                <w:szCs w:val="20"/>
                <w:color w:val="auto"/>
              </w:rPr>
            </w:pPr>
            <w:r>
              <w:rPr>
                <w:rFonts w:ascii="Arial" w:cs="Arial" w:eastAsia="Arial" w:hAnsi="Arial"/>
                <w:sz w:val="18"/>
                <w:szCs w:val="18"/>
                <w:color w:val="auto"/>
                <w:w w:val="99"/>
              </w:rPr>
              <w:t>8-K</w:t>
            </w:r>
          </w:p>
        </w:tc>
        <w:tc>
          <w:tcPr>
            <w:tcW w:w="1040" w:type="dxa"/>
            <w:vAlign w:val="bottom"/>
          </w:tcPr>
          <w:p>
            <w:pPr>
              <w:spacing w:after="0"/>
              <w:rPr>
                <w:sz w:val="17"/>
                <w:szCs w:val="17"/>
                <w:color w:val="auto"/>
              </w:rPr>
            </w:pPr>
          </w:p>
        </w:tc>
        <w:tc>
          <w:tcPr>
            <w:tcW w:w="11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11/5/04</w:t>
            </w:r>
          </w:p>
        </w:tc>
        <w:tc>
          <w:tcPr>
            <w:tcW w:w="0" w:type="dxa"/>
            <w:vAlign w:val="bottom"/>
          </w:tcPr>
          <w:p>
            <w:pPr>
              <w:spacing w:after="0"/>
              <w:rPr>
                <w:sz w:val="1"/>
                <w:szCs w:val="1"/>
                <w:color w:val="auto"/>
              </w:rPr>
            </w:pPr>
          </w:p>
        </w:tc>
      </w:tr>
      <w:tr>
        <w:trPr>
          <w:trHeight w:val="203"/>
        </w:trPr>
        <w:tc>
          <w:tcPr>
            <w:tcW w:w="1260" w:type="dxa"/>
            <w:vAlign w:val="bottom"/>
            <w:tcBorders>
              <w:left w:val="single" w:sz="8" w:color="auto"/>
            </w:tcBorders>
          </w:tcPr>
          <w:p>
            <w:pPr>
              <w:ind w:left="20"/>
              <w:spacing w:after="0" w:line="202" w:lineRule="exact"/>
              <w:rPr>
                <w:sz w:val="20"/>
                <w:szCs w:val="20"/>
                <w:color w:val="auto"/>
              </w:rPr>
            </w:pPr>
            <w:r>
              <w:rPr>
                <w:rFonts w:ascii="Arial" w:cs="Arial" w:eastAsia="Arial" w:hAnsi="Arial"/>
                <w:sz w:val="18"/>
                <w:szCs w:val="18"/>
                <w:color w:val="auto"/>
              </w:rPr>
              <w:t>10(l)(iii)</w:t>
            </w:r>
          </w:p>
        </w:tc>
        <w:tc>
          <w:tcPr>
            <w:tcW w:w="6120" w:type="dxa"/>
            <w:vAlign w:val="bottom"/>
            <w:gridSpan w:val="2"/>
          </w:tcPr>
          <w:p>
            <w:pPr>
              <w:spacing w:after="0" w:line="202" w:lineRule="exact"/>
              <w:rPr>
                <w:sz w:val="20"/>
                <w:szCs w:val="20"/>
                <w:color w:val="auto"/>
              </w:rPr>
            </w:pPr>
            <w:r>
              <w:rPr>
                <w:rFonts w:ascii="Arial" w:cs="Arial" w:eastAsia="Arial" w:hAnsi="Arial"/>
                <w:sz w:val="18"/>
                <w:szCs w:val="18"/>
                <w:color w:val="auto"/>
              </w:rPr>
              <w:t>Amendment No. 1, dated as of November 30, 2005, to the 2003 Restricted</w:t>
            </w:r>
          </w:p>
        </w:tc>
        <w:tc>
          <w:tcPr>
            <w:tcW w:w="960" w:type="dxa"/>
            <w:vAlign w:val="bottom"/>
          </w:tcPr>
          <w:p>
            <w:pPr>
              <w:spacing w:after="0"/>
              <w:rPr>
                <w:sz w:val="17"/>
                <w:szCs w:val="17"/>
                <w:color w:val="auto"/>
              </w:rPr>
            </w:pPr>
          </w:p>
        </w:tc>
        <w:tc>
          <w:tcPr>
            <w:tcW w:w="960" w:type="dxa"/>
            <w:vAlign w:val="bottom"/>
          </w:tcPr>
          <w:p>
            <w:pPr>
              <w:jc w:val="center"/>
              <w:spacing w:after="0" w:line="202" w:lineRule="exact"/>
              <w:rPr>
                <w:sz w:val="20"/>
                <w:szCs w:val="20"/>
                <w:color w:val="auto"/>
              </w:rPr>
            </w:pPr>
            <w:r>
              <w:rPr>
                <w:rFonts w:ascii="Arial" w:cs="Arial" w:eastAsia="Arial" w:hAnsi="Arial"/>
                <w:sz w:val="18"/>
                <w:szCs w:val="18"/>
                <w:color w:val="auto"/>
                <w:w w:val="99"/>
              </w:rPr>
              <w:t>8-K</w:t>
            </w:r>
          </w:p>
        </w:tc>
        <w:tc>
          <w:tcPr>
            <w:tcW w:w="1040" w:type="dxa"/>
            <w:vAlign w:val="bottom"/>
          </w:tcPr>
          <w:p>
            <w:pPr>
              <w:spacing w:after="0"/>
              <w:rPr>
                <w:sz w:val="17"/>
                <w:szCs w:val="17"/>
                <w:color w:val="auto"/>
              </w:rPr>
            </w:pPr>
          </w:p>
        </w:tc>
        <w:tc>
          <w:tcPr>
            <w:tcW w:w="11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12/6/05</w:t>
            </w:r>
          </w:p>
        </w:tc>
        <w:tc>
          <w:tcPr>
            <w:tcW w:w="0" w:type="dxa"/>
            <w:vAlign w:val="bottom"/>
          </w:tcPr>
          <w:p>
            <w:pPr>
              <w:spacing w:after="0"/>
              <w:rPr>
                <w:sz w:val="1"/>
                <w:szCs w:val="1"/>
                <w:color w:val="auto"/>
              </w:rPr>
            </w:pPr>
          </w:p>
        </w:tc>
      </w:tr>
      <w:tr>
        <w:trPr>
          <w:trHeight w:val="203"/>
        </w:trPr>
        <w:tc>
          <w:tcPr>
            <w:tcW w:w="1260" w:type="dxa"/>
            <w:vAlign w:val="bottom"/>
            <w:tcBorders>
              <w:left w:val="single" w:sz="8" w:color="auto"/>
            </w:tcBorders>
          </w:tcPr>
          <w:p>
            <w:pPr>
              <w:spacing w:after="0"/>
              <w:rPr>
                <w:sz w:val="17"/>
                <w:szCs w:val="17"/>
                <w:color w:val="auto"/>
              </w:rPr>
            </w:pPr>
          </w:p>
        </w:tc>
        <w:tc>
          <w:tcPr>
            <w:tcW w:w="6120" w:type="dxa"/>
            <w:vAlign w:val="bottom"/>
            <w:gridSpan w:val="2"/>
          </w:tcPr>
          <w:p>
            <w:pPr>
              <w:spacing w:after="0" w:line="202" w:lineRule="exact"/>
              <w:rPr>
                <w:sz w:val="20"/>
                <w:szCs w:val="20"/>
                <w:color w:val="auto"/>
              </w:rPr>
            </w:pPr>
            <w:r>
              <w:rPr>
                <w:rFonts w:ascii="Arial" w:cs="Arial" w:eastAsia="Arial" w:hAnsi="Arial"/>
                <w:sz w:val="18"/>
                <w:szCs w:val="18"/>
                <w:color w:val="auto"/>
              </w:rPr>
              <w:t>Stock Unit Plan</w:t>
            </w:r>
          </w:p>
        </w:tc>
        <w:tc>
          <w:tcPr>
            <w:tcW w:w="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60" w:type="dxa"/>
            <w:vAlign w:val="bottom"/>
            <w:tcBorders>
              <w:left w:val="single" w:sz="8" w:color="auto"/>
            </w:tcBorders>
          </w:tcPr>
          <w:p>
            <w:pPr>
              <w:ind w:left="20"/>
              <w:spacing w:after="0" w:line="202" w:lineRule="exact"/>
              <w:rPr>
                <w:sz w:val="20"/>
                <w:szCs w:val="20"/>
                <w:color w:val="auto"/>
              </w:rPr>
            </w:pPr>
            <w:r>
              <w:rPr>
                <w:rFonts w:ascii="Arial" w:cs="Arial" w:eastAsia="Arial" w:hAnsi="Arial"/>
                <w:sz w:val="18"/>
                <w:szCs w:val="18"/>
                <w:color w:val="auto"/>
              </w:rPr>
              <w:t>10(l)(iv)</w:t>
            </w:r>
          </w:p>
        </w:tc>
        <w:tc>
          <w:tcPr>
            <w:tcW w:w="6120" w:type="dxa"/>
            <w:vAlign w:val="bottom"/>
            <w:gridSpan w:val="2"/>
          </w:tcPr>
          <w:p>
            <w:pPr>
              <w:spacing w:after="0" w:line="202" w:lineRule="exact"/>
              <w:rPr>
                <w:sz w:val="20"/>
                <w:szCs w:val="20"/>
                <w:color w:val="auto"/>
              </w:rPr>
            </w:pPr>
            <w:r>
              <w:rPr>
                <w:rFonts w:ascii="Arial" w:cs="Arial" w:eastAsia="Arial" w:hAnsi="Arial"/>
                <w:sz w:val="18"/>
                <w:szCs w:val="18"/>
                <w:color w:val="auto"/>
              </w:rPr>
              <w:t>Amendment No. 2, dated as of February 15, 2006, to the 2003 Restricted</w:t>
            </w:r>
          </w:p>
        </w:tc>
        <w:tc>
          <w:tcPr>
            <w:tcW w:w="960" w:type="dxa"/>
            <w:vAlign w:val="bottom"/>
          </w:tcPr>
          <w:p>
            <w:pPr>
              <w:spacing w:after="0"/>
              <w:rPr>
                <w:sz w:val="17"/>
                <w:szCs w:val="17"/>
                <w:color w:val="auto"/>
              </w:rPr>
            </w:pPr>
          </w:p>
        </w:tc>
        <w:tc>
          <w:tcPr>
            <w:tcW w:w="960" w:type="dxa"/>
            <w:vAlign w:val="bottom"/>
          </w:tcPr>
          <w:p>
            <w:pPr>
              <w:jc w:val="center"/>
              <w:spacing w:after="0" w:line="202" w:lineRule="exact"/>
              <w:rPr>
                <w:sz w:val="20"/>
                <w:szCs w:val="20"/>
                <w:color w:val="auto"/>
              </w:rPr>
            </w:pPr>
            <w:r>
              <w:rPr>
                <w:rFonts w:ascii="Arial" w:cs="Arial" w:eastAsia="Arial" w:hAnsi="Arial"/>
                <w:sz w:val="18"/>
                <w:szCs w:val="18"/>
                <w:color w:val="auto"/>
                <w:w w:val="99"/>
              </w:rPr>
              <w:t>8-K</w:t>
            </w:r>
          </w:p>
        </w:tc>
        <w:tc>
          <w:tcPr>
            <w:tcW w:w="1040" w:type="dxa"/>
            <w:vAlign w:val="bottom"/>
          </w:tcPr>
          <w:p>
            <w:pPr>
              <w:spacing w:after="0"/>
              <w:rPr>
                <w:sz w:val="17"/>
                <w:szCs w:val="17"/>
                <w:color w:val="auto"/>
              </w:rPr>
            </w:pPr>
          </w:p>
        </w:tc>
        <w:tc>
          <w:tcPr>
            <w:tcW w:w="11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2/21/06</w:t>
            </w:r>
          </w:p>
        </w:tc>
        <w:tc>
          <w:tcPr>
            <w:tcW w:w="0" w:type="dxa"/>
            <w:vAlign w:val="bottom"/>
          </w:tcPr>
          <w:p>
            <w:pPr>
              <w:spacing w:after="0"/>
              <w:rPr>
                <w:sz w:val="1"/>
                <w:szCs w:val="1"/>
                <w:color w:val="auto"/>
              </w:rPr>
            </w:pPr>
          </w:p>
        </w:tc>
      </w:tr>
      <w:tr>
        <w:trPr>
          <w:trHeight w:val="203"/>
        </w:trPr>
        <w:tc>
          <w:tcPr>
            <w:tcW w:w="1260" w:type="dxa"/>
            <w:vAlign w:val="bottom"/>
            <w:tcBorders>
              <w:left w:val="single" w:sz="8" w:color="auto"/>
            </w:tcBorders>
          </w:tcPr>
          <w:p>
            <w:pPr>
              <w:spacing w:after="0"/>
              <w:rPr>
                <w:sz w:val="17"/>
                <w:szCs w:val="17"/>
                <w:color w:val="auto"/>
              </w:rPr>
            </w:pPr>
          </w:p>
        </w:tc>
        <w:tc>
          <w:tcPr>
            <w:tcW w:w="6120" w:type="dxa"/>
            <w:vAlign w:val="bottom"/>
            <w:gridSpan w:val="2"/>
          </w:tcPr>
          <w:p>
            <w:pPr>
              <w:spacing w:after="0" w:line="202" w:lineRule="exact"/>
              <w:rPr>
                <w:sz w:val="20"/>
                <w:szCs w:val="20"/>
                <w:color w:val="auto"/>
              </w:rPr>
            </w:pPr>
            <w:r>
              <w:rPr>
                <w:rFonts w:ascii="Arial" w:cs="Arial" w:eastAsia="Arial" w:hAnsi="Arial"/>
                <w:sz w:val="18"/>
                <w:szCs w:val="18"/>
                <w:color w:val="auto"/>
              </w:rPr>
              <w:t>Stock Unit Plan</w:t>
            </w:r>
          </w:p>
        </w:tc>
        <w:tc>
          <w:tcPr>
            <w:tcW w:w="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60" w:type="dxa"/>
            <w:vAlign w:val="bottom"/>
            <w:tcBorders>
              <w:left w:val="single" w:sz="8" w:color="auto"/>
            </w:tcBorders>
          </w:tcPr>
          <w:p>
            <w:pPr>
              <w:ind w:left="20"/>
              <w:spacing w:after="0" w:line="202" w:lineRule="exact"/>
              <w:rPr>
                <w:sz w:val="20"/>
                <w:szCs w:val="20"/>
                <w:color w:val="auto"/>
              </w:rPr>
            </w:pPr>
            <w:r>
              <w:rPr>
                <w:rFonts w:ascii="Arial" w:cs="Arial" w:eastAsia="Arial" w:hAnsi="Arial"/>
                <w:sz w:val="18"/>
                <w:szCs w:val="18"/>
                <w:color w:val="auto"/>
              </w:rPr>
              <w:t>10(l)(v)</w:t>
            </w:r>
          </w:p>
        </w:tc>
        <w:tc>
          <w:tcPr>
            <w:tcW w:w="6120" w:type="dxa"/>
            <w:vAlign w:val="bottom"/>
            <w:gridSpan w:val="2"/>
          </w:tcPr>
          <w:p>
            <w:pPr>
              <w:spacing w:after="0" w:line="202" w:lineRule="exact"/>
              <w:rPr>
                <w:sz w:val="20"/>
                <w:szCs w:val="20"/>
                <w:color w:val="auto"/>
              </w:rPr>
            </w:pPr>
            <w:r>
              <w:rPr>
                <w:rFonts w:ascii="Arial" w:cs="Arial" w:eastAsia="Arial" w:hAnsi="Arial"/>
                <w:sz w:val="18"/>
                <w:szCs w:val="18"/>
                <w:color w:val="auto"/>
              </w:rPr>
              <w:t>Form of Restricted Stock Unit Award for units granted on February 15, 2008</w:t>
            </w:r>
          </w:p>
        </w:tc>
        <w:tc>
          <w:tcPr>
            <w:tcW w:w="960" w:type="dxa"/>
            <w:vAlign w:val="bottom"/>
          </w:tcPr>
          <w:p>
            <w:pPr>
              <w:spacing w:after="0"/>
              <w:rPr>
                <w:sz w:val="17"/>
                <w:szCs w:val="17"/>
                <w:color w:val="auto"/>
              </w:rPr>
            </w:pPr>
          </w:p>
        </w:tc>
        <w:tc>
          <w:tcPr>
            <w:tcW w:w="960" w:type="dxa"/>
            <w:vAlign w:val="bottom"/>
          </w:tcPr>
          <w:p>
            <w:pPr>
              <w:jc w:val="center"/>
              <w:spacing w:after="0" w:line="202" w:lineRule="exact"/>
              <w:rPr>
                <w:sz w:val="20"/>
                <w:szCs w:val="20"/>
                <w:color w:val="auto"/>
              </w:rPr>
            </w:pPr>
            <w:r>
              <w:rPr>
                <w:rFonts w:ascii="Arial" w:cs="Arial" w:eastAsia="Arial" w:hAnsi="Arial"/>
                <w:sz w:val="18"/>
                <w:szCs w:val="18"/>
                <w:color w:val="auto"/>
                <w:w w:val="99"/>
              </w:rPr>
              <w:t>8-K</w:t>
            </w:r>
          </w:p>
        </w:tc>
        <w:tc>
          <w:tcPr>
            <w:tcW w:w="1040" w:type="dxa"/>
            <w:vAlign w:val="bottom"/>
          </w:tcPr>
          <w:p>
            <w:pPr>
              <w:spacing w:after="0"/>
              <w:rPr>
                <w:sz w:val="17"/>
                <w:szCs w:val="17"/>
                <w:color w:val="auto"/>
              </w:rPr>
            </w:pPr>
          </w:p>
        </w:tc>
        <w:tc>
          <w:tcPr>
            <w:tcW w:w="11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2/21/08</w:t>
            </w:r>
          </w:p>
        </w:tc>
        <w:tc>
          <w:tcPr>
            <w:tcW w:w="0" w:type="dxa"/>
            <w:vAlign w:val="bottom"/>
          </w:tcPr>
          <w:p>
            <w:pPr>
              <w:spacing w:after="0"/>
              <w:rPr>
                <w:sz w:val="1"/>
                <w:szCs w:val="1"/>
                <w:color w:val="auto"/>
              </w:rPr>
            </w:pPr>
          </w:p>
        </w:tc>
      </w:tr>
      <w:tr>
        <w:trPr>
          <w:trHeight w:val="203"/>
        </w:trPr>
        <w:tc>
          <w:tcPr>
            <w:tcW w:w="1260" w:type="dxa"/>
            <w:vAlign w:val="bottom"/>
            <w:tcBorders>
              <w:left w:val="single" w:sz="8" w:color="auto"/>
            </w:tcBorders>
          </w:tcPr>
          <w:p>
            <w:pPr>
              <w:ind w:left="20"/>
              <w:spacing w:after="0" w:line="202" w:lineRule="exact"/>
              <w:rPr>
                <w:sz w:val="20"/>
                <w:szCs w:val="20"/>
                <w:color w:val="auto"/>
              </w:rPr>
            </w:pPr>
            <w:r>
              <w:rPr>
                <w:rFonts w:ascii="Arial" w:cs="Arial" w:eastAsia="Arial" w:hAnsi="Arial"/>
                <w:sz w:val="18"/>
                <w:szCs w:val="18"/>
                <w:color w:val="auto"/>
              </w:rPr>
              <w:t>10(l)(vi)</w:t>
            </w:r>
          </w:p>
        </w:tc>
        <w:tc>
          <w:tcPr>
            <w:tcW w:w="6120" w:type="dxa"/>
            <w:vAlign w:val="bottom"/>
            <w:gridSpan w:val="2"/>
          </w:tcPr>
          <w:p>
            <w:pPr>
              <w:spacing w:after="0" w:line="202" w:lineRule="exact"/>
              <w:rPr>
                <w:sz w:val="20"/>
                <w:szCs w:val="20"/>
                <w:color w:val="auto"/>
              </w:rPr>
            </w:pPr>
            <w:r>
              <w:rPr>
                <w:rFonts w:ascii="Arial" w:cs="Arial" w:eastAsia="Arial" w:hAnsi="Arial"/>
                <w:sz w:val="18"/>
                <w:szCs w:val="18"/>
                <w:color w:val="auto"/>
              </w:rPr>
              <w:t>Amended and Restated 2003 Restricted Stock Unit Plan as adopted on</w:t>
            </w:r>
          </w:p>
        </w:tc>
        <w:tc>
          <w:tcPr>
            <w:tcW w:w="960" w:type="dxa"/>
            <w:vAlign w:val="bottom"/>
          </w:tcPr>
          <w:p>
            <w:pPr>
              <w:spacing w:after="0"/>
              <w:rPr>
                <w:sz w:val="17"/>
                <w:szCs w:val="17"/>
                <w:color w:val="auto"/>
              </w:rPr>
            </w:pPr>
          </w:p>
        </w:tc>
        <w:tc>
          <w:tcPr>
            <w:tcW w:w="960" w:type="dxa"/>
            <w:vAlign w:val="bottom"/>
          </w:tcPr>
          <w:p>
            <w:pPr>
              <w:jc w:val="center"/>
              <w:spacing w:after="0" w:line="202" w:lineRule="exact"/>
              <w:rPr>
                <w:sz w:val="20"/>
                <w:szCs w:val="20"/>
                <w:color w:val="auto"/>
              </w:rPr>
            </w:pPr>
            <w:r>
              <w:rPr>
                <w:rFonts w:ascii="Arial" w:cs="Arial" w:eastAsia="Arial" w:hAnsi="Arial"/>
                <w:sz w:val="18"/>
                <w:szCs w:val="18"/>
                <w:color w:val="auto"/>
                <w:w w:val="99"/>
              </w:rPr>
              <w:t>8-K</w:t>
            </w:r>
          </w:p>
        </w:tc>
        <w:tc>
          <w:tcPr>
            <w:tcW w:w="1040" w:type="dxa"/>
            <w:vAlign w:val="bottom"/>
          </w:tcPr>
          <w:p>
            <w:pPr>
              <w:spacing w:after="0"/>
              <w:rPr>
                <w:sz w:val="17"/>
                <w:szCs w:val="17"/>
                <w:color w:val="auto"/>
              </w:rPr>
            </w:pPr>
          </w:p>
        </w:tc>
        <w:tc>
          <w:tcPr>
            <w:tcW w:w="11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5/13/08</w:t>
            </w:r>
          </w:p>
        </w:tc>
        <w:tc>
          <w:tcPr>
            <w:tcW w:w="0" w:type="dxa"/>
            <w:vAlign w:val="bottom"/>
          </w:tcPr>
          <w:p>
            <w:pPr>
              <w:spacing w:after="0"/>
              <w:rPr>
                <w:sz w:val="1"/>
                <w:szCs w:val="1"/>
                <w:color w:val="auto"/>
              </w:rPr>
            </w:pPr>
          </w:p>
        </w:tc>
      </w:tr>
      <w:tr>
        <w:trPr>
          <w:trHeight w:val="203"/>
        </w:trPr>
        <w:tc>
          <w:tcPr>
            <w:tcW w:w="1260" w:type="dxa"/>
            <w:vAlign w:val="bottom"/>
            <w:tcBorders>
              <w:left w:val="single" w:sz="8" w:color="auto"/>
            </w:tcBorders>
          </w:tcPr>
          <w:p>
            <w:pPr>
              <w:spacing w:after="0"/>
              <w:rPr>
                <w:sz w:val="17"/>
                <w:szCs w:val="17"/>
                <w:color w:val="auto"/>
              </w:rPr>
            </w:pPr>
          </w:p>
        </w:tc>
        <w:tc>
          <w:tcPr>
            <w:tcW w:w="6120" w:type="dxa"/>
            <w:vAlign w:val="bottom"/>
            <w:gridSpan w:val="2"/>
          </w:tcPr>
          <w:p>
            <w:pPr>
              <w:spacing w:after="0" w:line="202" w:lineRule="exact"/>
              <w:rPr>
                <w:sz w:val="20"/>
                <w:szCs w:val="20"/>
                <w:color w:val="auto"/>
              </w:rPr>
            </w:pPr>
            <w:r>
              <w:rPr>
                <w:rFonts w:ascii="Arial" w:cs="Arial" w:eastAsia="Arial" w:hAnsi="Arial"/>
                <w:sz w:val="18"/>
                <w:szCs w:val="18"/>
                <w:color w:val="auto"/>
              </w:rPr>
              <w:t>May 7, 2008</w:t>
            </w:r>
          </w:p>
        </w:tc>
        <w:tc>
          <w:tcPr>
            <w:tcW w:w="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60" w:type="dxa"/>
            <w:vAlign w:val="bottom"/>
            <w:tcBorders>
              <w:left w:val="single" w:sz="8" w:color="auto"/>
            </w:tcBorders>
          </w:tcPr>
          <w:p>
            <w:pPr>
              <w:ind w:left="20"/>
              <w:spacing w:after="0" w:line="202" w:lineRule="exact"/>
              <w:rPr>
                <w:sz w:val="20"/>
                <w:szCs w:val="20"/>
                <w:color w:val="auto"/>
              </w:rPr>
            </w:pPr>
            <w:r>
              <w:rPr>
                <w:rFonts w:ascii="Arial" w:cs="Arial" w:eastAsia="Arial" w:hAnsi="Arial"/>
                <w:sz w:val="18"/>
                <w:szCs w:val="18"/>
                <w:color w:val="auto"/>
              </w:rPr>
              <w:t>10(l)(vii)</w:t>
            </w:r>
          </w:p>
        </w:tc>
        <w:tc>
          <w:tcPr>
            <w:tcW w:w="6120" w:type="dxa"/>
            <w:vAlign w:val="bottom"/>
            <w:gridSpan w:val="2"/>
          </w:tcPr>
          <w:p>
            <w:pPr>
              <w:spacing w:after="0" w:line="202" w:lineRule="exact"/>
              <w:rPr>
                <w:sz w:val="20"/>
                <w:szCs w:val="20"/>
                <w:color w:val="auto"/>
              </w:rPr>
            </w:pPr>
            <w:r>
              <w:rPr>
                <w:rFonts w:ascii="Arial" w:cs="Arial" w:eastAsia="Arial" w:hAnsi="Arial"/>
                <w:sz w:val="18"/>
                <w:szCs w:val="18"/>
                <w:color w:val="auto"/>
              </w:rPr>
              <w:t>Form of Restricted Stock Unit Award for units granted on July 8, 2009</w:t>
            </w:r>
          </w:p>
        </w:tc>
        <w:tc>
          <w:tcPr>
            <w:tcW w:w="960" w:type="dxa"/>
            <w:vAlign w:val="bottom"/>
          </w:tcPr>
          <w:p>
            <w:pPr>
              <w:spacing w:after="0"/>
              <w:rPr>
                <w:sz w:val="17"/>
                <w:szCs w:val="17"/>
                <w:color w:val="auto"/>
              </w:rPr>
            </w:pPr>
          </w:p>
        </w:tc>
        <w:tc>
          <w:tcPr>
            <w:tcW w:w="960" w:type="dxa"/>
            <w:vAlign w:val="bottom"/>
          </w:tcPr>
          <w:p>
            <w:pPr>
              <w:jc w:val="center"/>
              <w:spacing w:after="0" w:line="202" w:lineRule="exact"/>
              <w:rPr>
                <w:sz w:val="20"/>
                <w:szCs w:val="20"/>
                <w:color w:val="auto"/>
              </w:rPr>
            </w:pPr>
            <w:r>
              <w:rPr>
                <w:rFonts w:ascii="Arial" w:cs="Arial" w:eastAsia="Arial" w:hAnsi="Arial"/>
                <w:sz w:val="18"/>
                <w:szCs w:val="18"/>
                <w:color w:val="auto"/>
                <w:w w:val="99"/>
              </w:rPr>
              <w:t>8-K</w:t>
            </w:r>
          </w:p>
        </w:tc>
        <w:tc>
          <w:tcPr>
            <w:tcW w:w="1040" w:type="dxa"/>
            <w:vAlign w:val="bottom"/>
          </w:tcPr>
          <w:p>
            <w:pPr>
              <w:spacing w:after="0"/>
              <w:rPr>
                <w:sz w:val="17"/>
                <w:szCs w:val="17"/>
                <w:color w:val="auto"/>
              </w:rPr>
            </w:pPr>
          </w:p>
        </w:tc>
        <w:tc>
          <w:tcPr>
            <w:tcW w:w="11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7/2/09</w:t>
            </w:r>
          </w:p>
        </w:tc>
        <w:tc>
          <w:tcPr>
            <w:tcW w:w="0" w:type="dxa"/>
            <w:vAlign w:val="bottom"/>
          </w:tcPr>
          <w:p>
            <w:pPr>
              <w:spacing w:after="0"/>
              <w:rPr>
                <w:sz w:val="1"/>
                <w:szCs w:val="1"/>
                <w:color w:val="auto"/>
              </w:rPr>
            </w:pPr>
          </w:p>
        </w:tc>
      </w:tr>
      <w:tr>
        <w:trPr>
          <w:trHeight w:val="203"/>
        </w:trPr>
        <w:tc>
          <w:tcPr>
            <w:tcW w:w="1260" w:type="dxa"/>
            <w:vAlign w:val="bottom"/>
            <w:tcBorders>
              <w:left w:val="single" w:sz="8" w:color="auto"/>
            </w:tcBorders>
          </w:tcPr>
          <w:p>
            <w:pPr>
              <w:ind w:left="20"/>
              <w:spacing w:after="0" w:line="202" w:lineRule="exact"/>
              <w:rPr>
                <w:sz w:val="20"/>
                <w:szCs w:val="20"/>
                <w:color w:val="auto"/>
              </w:rPr>
            </w:pPr>
            <w:r>
              <w:rPr>
                <w:rFonts w:ascii="Arial" w:cs="Arial" w:eastAsia="Arial" w:hAnsi="Arial"/>
                <w:sz w:val="18"/>
                <w:szCs w:val="18"/>
                <w:color w:val="auto"/>
              </w:rPr>
              <w:t>10(l)(viii)</w:t>
            </w:r>
          </w:p>
        </w:tc>
        <w:tc>
          <w:tcPr>
            <w:tcW w:w="420" w:type="dxa"/>
            <w:vAlign w:val="bottom"/>
          </w:tcPr>
          <w:p>
            <w:pPr>
              <w:spacing w:after="0" w:line="202" w:lineRule="exact"/>
              <w:rPr>
                <w:sz w:val="20"/>
                <w:szCs w:val="20"/>
                <w:color w:val="auto"/>
              </w:rPr>
            </w:pPr>
            <w:r>
              <w:rPr>
                <w:rFonts w:ascii="Arial" w:cs="Arial" w:eastAsia="Arial" w:hAnsi="Arial"/>
                <w:sz w:val="18"/>
                <w:szCs w:val="18"/>
                <w:color w:val="auto"/>
                <w:w w:val="99"/>
              </w:rPr>
              <w:t>2011</w:t>
            </w:r>
          </w:p>
        </w:tc>
        <w:tc>
          <w:tcPr>
            <w:tcW w:w="5700" w:type="dxa"/>
            <w:vAlign w:val="bottom"/>
          </w:tcPr>
          <w:p>
            <w:pPr>
              <w:ind w:left="40"/>
              <w:spacing w:after="0" w:line="202" w:lineRule="exact"/>
              <w:rPr>
                <w:sz w:val="20"/>
                <w:szCs w:val="20"/>
                <w:color w:val="auto"/>
              </w:rPr>
            </w:pPr>
            <w:r>
              <w:rPr>
                <w:rFonts w:ascii="Arial" w:cs="Arial" w:eastAsia="Arial" w:hAnsi="Arial"/>
                <w:sz w:val="18"/>
                <w:szCs w:val="18"/>
                <w:color w:val="auto"/>
              </w:rPr>
              <w:t>Performance Phantom Stock Plan as adopted on May 26, 2011 (42)</w:t>
            </w:r>
          </w:p>
        </w:tc>
        <w:tc>
          <w:tcPr>
            <w:tcW w:w="960" w:type="dxa"/>
            <w:vAlign w:val="bottom"/>
          </w:tcPr>
          <w:p>
            <w:pPr>
              <w:spacing w:after="0"/>
              <w:rPr>
                <w:sz w:val="17"/>
                <w:szCs w:val="17"/>
                <w:color w:val="auto"/>
              </w:rPr>
            </w:pPr>
          </w:p>
        </w:tc>
        <w:tc>
          <w:tcPr>
            <w:tcW w:w="960" w:type="dxa"/>
            <w:vAlign w:val="bottom"/>
          </w:tcPr>
          <w:p>
            <w:pPr>
              <w:jc w:val="center"/>
              <w:spacing w:after="0" w:line="202" w:lineRule="exact"/>
              <w:rPr>
                <w:sz w:val="20"/>
                <w:szCs w:val="20"/>
                <w:color w:val="auto"/>
              </w:rPr>
            </w:pPr>
            <w:r>
              <w:rPr>
                <w:rFonts w:ascii="Arial" w:cs="Arial" w:eastAsia="Arial" w:hAnsi="Arial"/>
                <w:sz w:val="18"/>
                <w:szCs w:val="18"/>
                <w:color w:val="auto"/>
                <w:w w:val="99"/>
              </w:rPr>
              <w:t>10-Q</w:t>
            </w:r>
          </w:p>
        </w:tc>
        <w:tc>
          <w:tcPr>
            <w:tcW w:w="1040" w:type="dxa"/>
            <w:vAlign w:val="bottom"/>
          </w:tcPr>
          <w:p>
            <w:pPr>
              <w:jc w:val="center"/>
              <w:ind w:left="30"/>
              <w:spacing w:after="0" w:line="202" w:lineRule="exact"/>
              <w:rPr>
                <w:sz w:val="20"/>
                <w:szCs w:val="20"/>
                <w:color w:val="auto"/>
              </w:rPr>
            </w:pPr>
            <w:r>
              <w:rPr>
                <w:rFonts w:ascii="Arial" w:cs="Arial" w:eastAsia="Arial" w:hAnsi="Arial"/>
                <w:sz w:val="18"/>
                <w:szCs w:val="18"/>
                <w:color w:val="auto"/>
                <w:w w:val="99"/>
              </w:rPr>
              <w:t>6/30/11</w:t>
            </w:r>
          </w:p>
        </w:tc>
        <w:tc>
          <w:tcPr>
            <w:tcW w:w="11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8/9/11</w:t>
            </w:r>
          </w:p>
        </w:tc>
        <w:tc>
          <w:tcPr>
            <w:tcW w:w="0" w:type="dxa"/>
            <w:vAlign w:val="bottom"/>
          </w:tcPr>
          <w:p>
            <w:pPr>
              <w:spacing w:after="0"/>
              <w:rPr>
                <w:sz w:val="1"/>
                <w:szCs w:val="1"/>
                <w:color w:val="auto"/>
              </w:rPr>
            </w:pPr>
          </w:p>
        </w:tc>
      </w:tr>
      <w:tr>
        <w:trPr>
          <w:trHeight w:val="203"/>
        </w:trPr>
        <w:tc>
          <w:tcPr>
            <w:tcW w:w="1260" w:type="dxa"/>
            <w:vAlign w:val="bottom"/>
            <w:tcBorders>
              <w:left w:val="single" w:sz="8" w:color="auto"/>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10(l)(ix)</w:t>
            </w:r>
          </w:p>
        </w:tc>
        <w:tc>
          <w:tcPr>
            <w:tcW w:w="6120" w:type="dxa"/>
            <w:vAlign w:val="bottom"/>
            <w:tcBorders>
              <w:bottom w:val="single" w:sz="8" w:color="auto"/>
            </w:tcBorders>
            <w:gridSpan w:val="2"/>
          </w:tcPr>
          <w:p>
            <w:pPr>
              <w:spacing w:after="0" w:line="203" w:lineRule="exact"/>
              <w:rPr>
                <w:sz w:val="20"/>
                <w:szCs w:val="20"/>
                <w:color w:val="auto"/>
              </w:rPr>
            </w:pPr>
            <w:r>
              <w:rPr>
                <w:rFonts w:ascii="Arial" w:cs="Arial" w:eastAsia="Arial" w:hAnsi="Arial"/>
                <w:sz w:val="18"/>
                <w:szCs w:val="18"/>
                <w:color w:val="auto"/>
              </w:rPr>
              <w:t>Form of Restricted Stock Unit Award for units granted on February 17, 2012</w:t>
            </w:r>
          </w:p>
        </w:tc>
        <w:tc>
          <w:tcPr>
            <w:tcW w:w="9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w w:val="99"/>
              </w:rPr>
              <w:t>8-K</w:t>
            </w:r>
          </w:p>
        </w:tc>
        <w:tc>
          <w:tcPr>
            <w:tcW w:w="1040" w:type="dxa"/>
            <w:vAlign w:val="bottom"/>
            <w:tcBorders>
              <w:bottom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jc w:val="center"/>
              <w:spacing w:after="0" w:line="203" w:lineRule="exact"/>
              <w:rPr>
                <w:sz w:val="20"/>
                <w:szCs w:val="20"/>
                <w:color w:val="auto"/>
              </w:rPr>
            </w:pPr>
            <w:r>
              <w:rPr>
                <w:rFonts w:ascii="Arial" w:cs="Arial" w:eastAsia="Arial" w:hAnsi="Arial"/>
                <w:sz w:val="18"/>
                <w:szCs w:val="18"/>
                <w:color w:val="auto"/>
                <w:w w:val="99"/>
              </w:rPr>
              <w:t>2/24/12</w:t>
            </w:r>
          </w:p>
        </w:tc>
        <w:tc>
          <w:tcPr>
            <w:tcW w:w="0" w:type="dxa"/>
            <w:vAlign w:val="bottom"/>
          </w:tcPr>
          <w:p>
            <w:pPr>
              <w:spacing w:after="0"/>
              <w:rPr>
                <w:sz w:val="1"/>
                <w:szCs w:val="1"/>
                <w:color w:val="auto"/>
              </w:rPr>
            </w:pPr>
          </w:p>
        </w:tc>
      </w:tr>
      <w:tr>
        <w:trPr>
          <w:trHeight w:val="196"/>
        </w:trPr>
        <w:tc>
          <w:tcPr>
            <w:tcW w:w="1260" w:type="dxa"/>
            <w:vAlign w:val="bottom"/>
            <w:tcBorders>
              <w:left w:val="single" w:sz="8" w:color="auto"/>
              <w:bottom w:val="single" w:sz="8" w:color="auto"/>
            </w:tcBorders>
          </w:tcPr>
          <w:p>
            <w:pPr>
              <w:ind w:left="20"/>
              <w:spacing w:after="0" w:line="196" w:lineRule="exact"/>
              <w:rPr>
                <w:sz w:val="20"/>
                <w:szCs w:val="20"/>
                <w:color w:val="auto"/>
              </w:rPr>
            </w:pPr>
            <w:r>
              <w:rPr>
                <w:rFonts w:ascii="Arial" w:cs="Arial" w:eastAsia="Arial" w:hAnsi="Arial"/>
                <w:sz w:val="18"/>
                <w:szCs w:val="18"/>
                <w:b w:val="1"/>
                <w:bCs w:val="1"/>
                <w:color w:val="auto"/>
                <w:w w:val="99"/>
              </w:rPr>
              <w:t>Stock Options</w:t>
            </w:r>
          </w:p>
        </w:tc>
        <w:tc>
          <w:tcPr>
            <w:tcW w:w="420" w:type="dxa"/>
            <w:vAlign w:val="bottom"/>
            <w:tcBorders>
              <w:bottom w:val="single" w:sz="8" w:color="auto"/>
            </w:tcBorders>
          </w:tcPr>
          <w:p>
            <w:pPr>
              <w:spacing w:after="0"/>
              <w:rPr>
                <w:sz w:val="17"/>
                <w:szCs w:val="17"/>
                <w:color w:val="auto"/>
              </w:rPr>
            </w:pPr>
          </w:p>
        </w:tc>
        <w:tc>
          <w:tcPr>
            <w:tcW w:w="57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26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10(m)(i)</w:t>
            </w:r>
          </w:p>
        </w:tc>
        <w:tc>
          <w:tcPr>
            <w:tcW w:w="420" w:type="dxa"/>
            <w:vAlign w:val="bottom"/>
          </w:tcPr>
          <w:p>
            <w:pPr>
              <w:spacing w:after="0"/>
              <w:rPr>
                <w:sz w:val="20"/>
                <w:szCs w:val="20"/>
                <w:color w:val="auto"/>
              </w:rPr>
            </w:pPr>
            <w:r>
              <w:rPr>
                <w:rFonts w:ascii="Arial" w:cs="Arial" w:eastAsia="Arial" w:hAnsi="Arial"/>
                <w:sz w:val="18"/>
                <w:szCs w:val="18"/>
                <w:color w:val="auto"/>
                <w:w w:val="99"/>
              </w:rPr>
              <w:t>1992</w:t>
            </w:r>
          </w:p>
        </w:tc>
        <w:tc>
          <w:tcPr>
            <w:tcW w:w="5700" w:type="dxa"/>
            <w:vAlign w:val="bottom"/>
          </w:tcPr>
          <w:p>
            <w:pPr>
              <w:ind w:left="40"/>
              <w:spacing w:after="0"/>
              <w:rPr>
                <w:sz w:val="20"/>
                <w:szCs w:val="20"/>
                <w:color w:val="auto"/>
              </w:rPr>
            </w:pPr>
            <w:r>
              <w:rPr>
                <w:rFonts w:ascii="Arial" w:cs="Arial" w:eastAsia="Arial" w:hAnsi="Arial"/>
                <w:sz w:val="18"/>
                <w:szCs w:val="18"/>
                <w:color w:val="auto"/>
              </w:rPr>
              <w:t>Stock Option Plan</w:t>
            </w:r>
          </w:p>
        </w:tc>
        <w:tc>
          <w:tcPr>
            <w:tcW w:w="9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40" w:type="dxa"/>
            <w:vAlign w:val="bottom"/>
          </w:tcPr>
          <w:p>
            <w:pPr>
              <w:spacing w:after="0"/>
              <w:rPr>
                <w:sz w:val="18"/>
                <w:szCs w:val="18"/>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1/18/93</w:t>
            </w:r>
          </w:p>
        </w:tc>
        <w:tc>
          <w:tcPr>
            <w:tcW w:w="0" w:type="dxa"/>
            <w:vAlign w:val="bottom"/>
          </w:tcPr>
          <w:p>
            <w:pPr>
              <w:spacing w:after="0"/>
              <w:rPr>
                <w:sz w:val="1"/>
                <w:szCs w:val="1"/>
                <w:color w:val="auto"/>
              </w:rPr>
            </w:pPr>
          </w:p>
        </w:tc>
      </w:tr>
      <w:tr>
        <w:trPr>
          <w:trHeight w:val="418"/>
        </w:trPr>
        <w:tc>
          <w:tcPr>
            <w:tcW w:w="126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10(m)(ii)</w:t>
            </w:r>
          </w:p>
        </w:tc>
        <w:tc>
          <w:tcPr>
            <w:tcW w:w="420" w:type="dxa"/>
            <w:vAlign w:val="bottom"/>
          </w:tcPr>
          <w:p>
            <w:pPr>
              <w:spacing w:after="0"/>
              <w:rPr>
                <w:sz w:val="20"/>
                <w:szCs w:val="20"/>
                <w:color w:val="auto"/>
              </w:rPr>
            </w:pPr>
            <w:r>
              <w:rPr>
                <w:rFonts w:ascii="Arial" w:cs="Arial" w:eastAsia="Arial" w:hAnsi="Arial"/>
                <w:sz w:val="18"/>
                <w:szCs w:val="18"/>
                <w:color w:val="auto"/>
                <w:w w:val="99"/>
              </w:rPr>
              <w:t>1997</w:t>
            </w:r>
          </w:p>
        </w:tc>
        <w:tc>
          <w:tcPr>
            <w:tcW w:w="5700" w:type="dxa"/>
            <w:vAlign w:val="bottom"/>
          </w:tcPr>
          <w:p>
            <w:pPr>
              <w:ind w:left="40"/>
              <w:spacing w:after="0"/>
              <w:rPr>
                <w:sz w:val="20"/>
                <w:szCs w:val="20"/>
                <w:color w:val="auto"/>
              </w:rPr>
            </w:pPr>
            <w:r>
              <w:rPr>
                <w:rFonts w:ascii="Arial" w:cs="Arial" w:eastAsia="Arial" w:hAnsi="Arial"/>
                <w:sz w:val="18"/>
                <w:szCs w:val="18"/>
                <w:color w:val="auto"/>
              </w:rPr>
              <w:t>Executive Stock Option Agreement</w:t>
            </w:r>
          </w:p>
        </w:tc>
        <w:tc>
          <w:tcPr>
            <w:tcW w:w="96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040" w:type="dxa"/>
            <w:vAlign w:val="bottom"/>
          </w:tcPr>
          <w:p>
            <w:pPr>
              <w:jc w:val="center"/>
              <w:ind w:left="50"/>
              <w:spacing w:after="0"/>
              <w:rPr>
                <w:sz w:val="20"/>
                <w:szCs w:val="20"/>
                <w:color w:val="auto"/>
              </w:rPr>
            </w:pPr>
            <w:r>
              <w:rPr>
                <w:rFonts w:ascii="Arial" w:cs="Arial" w:eastAsia="Arial" w:hAnsi="Arial"/>
                <w:sz w:val="18"/>
                <w:szCs w:val="18"/>
                <w:color w:val="auto"/>
                <w:w w:val="99"/>
              </w:rPr>
              <w:t>12/31/97</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3/16/98</w:t>
            </w:r>
          </w:p>
        </w:tc>
        <w:tc>
          <w:tcPr>
            <w:tcW w:w="0" w:type="dxa"/>
            <w:vAlign w:val="bottom"/>
          </w:tcPr>
          <w:p>
            <w:pPr>
              <w:spacing w:after="0"/>
              <w:rPr>
                <w:sz w:val="1"/>
                <w:szCs w:val="1"/>
                <w:color w:val="auto"/>
              </w:rPr>
            </w:pPr>
          </w:p>
        </w:tc>
      </w:tr>
      <w:tr>
        <w:trPr>
          <w:trHeight w:val="419"/>
        </w:trPr>
        <w:tc>
          <w:tcPr>
            <w:tcW w:w="126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10(m)(iii)</w:t>
            </w:r>
          </w:p>
        </w:tc>
        <w:tc>
          <w:tcPr>
            <w:tcW w:w="420" w:type="dxa"/>
            <w:vAlign w:val="bottom"/>
          </w:tcPr>
          <w:p>
            <w:pPr>
              <w:spacing w:after="0"/>
              <w:rPr>
                <w:sz w:val="20"/>
                <w:szCs w:val="20"/>
                <w:color w:val="auto"/>
              </w:rPr>
            </w:pPr>
            <w:r>
              <w:rPr>
                <w:rFonts w:ascii="Arial" w:cs="Arial" w:eastAsia="Arial" w:hAnsi="Arial"/>
                <w:sz w:val="18"/>
                <w:szCs w:val="18"/>
                <w:color w:val="auto"/>
                <w:w w:val="99"/>
              </w:rPr>
              <w:t>1998</w:t>
            </w:r>
          </w:p>
        </w:tc>
        <w:tc>
          <w:tcPr>
            <w:tcW w:w="5700" w:type="dxa"/>
            <w:vAlign w:val="bottom"/>
          </w:tcPr>
          <w:p>
            <w:pPr>
              <w:ind w:left="40"/>
              <w:spacing w:after="0"/>
              <w:rPr>
                <w:sz w:val="20"/>
                <w:szCs w:val="20"/>
                <w:color w:val="auto"/>
              </w:rPr>
            </w:pPr>
            <w:r>
              <w:rPr>
                <w:rFonts w:ascii="Arial" w:cs="Arial" w:eastAsia="Arial" w:hAnsi="Arial"/>
                <w:sz w:val="18"/>
                <w:szCs w:val="18"/>
                <w:color w:val="auto"/>
              </w:rPr>
              <w:t>Stock Option Plan</w:t>
            </w:r>
          </w:p>
        </w:tc>
        <w:tc>
          <w:tcPr>
            <w:tcW w:w="96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10-Q</w:t>
            </w:r>
          </w:p>
        </w:tc>
        <w:tc>
          <w:tcPr>
            <w:tcW w:w="1040" w:type="dxa"/>
            <w:vAlign w:val="bottom"/>
          </w:tcPr>
          <w:p>
            <w:pPr>
              <w:jc w:val="center"/>
              <w:ind w:left="30"/>
              <w:spacing w:after="0"/>
              <w:rPr>
                <w:sz w:val="20"/>
                <w:szCs w:val="20"/>
                <w:color w:val="auto"/>
              </w:rPr>
            </w:pPr>
            <w:r>
              <w:rPr>
                <w:rFonts w:ascii="Arial" w:cs="Arial" w:eastAsia="Arial" w:hAnsi="Arial"/>
                <w:sz w:val="18"/>
                <w:szCs w:val="18"/>
                <w:color w:val="auto"/>
                <w:w w:val="99"/>
              </w:rPr>
              <w:t>6/30/98</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8/10/98</w:t>
            </w:r>
          </w:p>
        </w:tc>
        <w:tc>
          <w:tcPr>
            <w:tcW w:w="0" w:type="dxa"/>
            <w:vAlign w:val="bottom"/>
          </w:tcPr>
          <w:p>
            <w:pPr>
              <w:spacing w:after="0"/>
              <w:rPr>
                <w:sz w:val="1"/>
                <w:szCs w:val="1"/>
                <w:color w:val="auto"/>
              </w:rPr>
            </w:pPr>
          </w:p>
        </w:tc>
      </w:tr>
      <w:tr>
        <w:trPr>
          <w:trHeight w:val="419"/>
        </w:trPr>
        <w:tc>
          <w:tcPr>
            <w:tcW w:w="126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10(m)(iv)</w:t>
            </w:r>
          </w:p>
        </w:tc>
        <w:tc>
          <w:tcPr>
            <w:tcW w:w="420" w:type="dxa"/>
            <w:vAlign w:val="bottom"/>
          </w:tcPr>
          <w:p>
            <w:pPr>
              <w:spacing w:after="0"/>
              <w:rPr>
                <w:sz w:val="20"/>
                <w:szCs w:val="20"/>
                <w:color w:val="auto"/>
              </w:rPr>
            </w:pPr>
            <w:r>
              <w:rPr>
                <w:rFonts w:ascii="Arial" w:cs="Arial" w:eastAsia="Arial" w:hAnsi="Arial"/>
                <w:sz w:val="18"/>
                <w:szCs w:val="18"/>
                <w:color w:val="auto"/>
                <w:w w:val="99"/>
              </w:rPr>
              <w:t>1998</w:t>
            </w:r>
          </w:p>
        </w:tc>
        <w:tc>
          <w:tcPr>
            <w:tcW w:w="5700" w:type="dxa"/>
            <w:vAlign w:val="bottom"/>
          </w:tcPr>
          <w:p>
            <w:pPr>
              <w:ind w:left="40"/>
              <w:spacing w:after="0"/>
              <w:rPr>
                <w:sz w:val="20"/>
                <w:szCs w:val="20"/>
                <w:color w:val="auto"/>
              </w:rPr>
            </w:pPr>
            <w:r>
              <w:rPr>
                <w:rFonts w:ascii="Arial" w:cs="Arial" w:eastAsia="Arial" w:hAnsi="Arial"/>
                <w:sz w:val="18"/>
                <w:szCs w:val="18"/>
                <w:color w:val="auto"/>
              </w:rPr>
              <w:t>Stock Option Plan, as amended and restated as of August 7, 2003</w:t>
            </w:r>
          </w:p>
        </w:tc>
        <w:tc>
          <w:tcPr>
            <w:tcW w:w="96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40" w:type="dxa"/>
            <w:vAlign w:val="bottom"/>
          </w:tcPr>
          <w:p>
            <w:pPr>
              <w:spacing w:after="0"/>
              <w:rPr>
                <w:sz w:val="24"/>
                <w:szCs w:val="24"/>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12/23/09</w:t>
            </w:r>
          </w:p>
        </w:tc>
        <w:tc>
          <w:tcPr>
            <w:tcW w:w="0" w:type="dxa"/>
            <w:vAlign w:val="bottom"/>
          </w:tcPr>
          <w:p>
            <w:pPr>
              <w:spacing w:after="0"/>
              <w:rPr>
                <w:sz w:val="1"/>
                <w:szCs w:val="1"/>
                <w:color w:val="auto"/>
              </w:rPr>
            </w:pPr>
          </w:p>
        </w:tc>
      </w:tr>
      <w:tr>
        <w:trPr>
          <w:trHeight w:val="419"/>
        </w:trPr>
        <w:tc>
          <w:tcPr>
            <w:tcW w:w="126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10(m)(v)</w:t>
            </w:r>
          </w:p>
        </w:tc>
        <w:tc>
          <w:tcPr>
            <w:tcW w:w="420" w:type="dxa"/>
            <w:vAlign w:val="bottom"/>
          </w:tcPr>
          <w:p>
            <w:pPr>
              <w:spacing w:after="0"/>
              <w:rPr>
                <w:sz w:val="20"/>
                <w:szCs w:val="20"/>
                <w:color w:val="auto"/>
              </w:rPr>
            </w:pPr>
            <w:r>
              <w:rPr>
                <w:rFonts w:ascii="Arial" w:cs="Arial" w:eastAsia="Arial" w:hAnsi="Arial"/>
                <w:sz w:val="18"/>
                <w:szCs w:val="18"/>
                <w:color w:val="auto"/>
                <w:w w:val="99"/>
              </w:rPr>
              <w:t>2005</w:t>
            </w:r>
          </w:p>
        </w:tc>
        <w:tc>
          <w:tcPr>
            <w:tcW w:w="5700" w:type="dxa"/>
            <w:vAlign w:val="bottom"/>
          </w:tcPr>
          <w:p>
            <w:pPr>
              <w:ind w:left="40"/>
              <w:spacing w:after="0"/>
              <w:rPr>
                <w:sz w:val="20"/>
                <w:szCs w:val="20"/>
                <w:color w:val="auto"/>
              </w:rPr>
            </w:pPr>
            <w:r>
              <w:rPr>
                <w:rFonts w:ascii="Arial" w:cs="Arial" w:eastAsia="Arial" w:hAnsi="Arial"/>
                <w:sz w:val="18"/>
                <w:szCs w:val="18"/>
                <w:color w:val="auto"/>
              </w:rPr>
              <w:t>Incentive Plan</w:t>
            </w:r>
          </w:p>
        </w:tc>
        <w:tc>
          <w:tcPr>
            <w:tcW w:w="96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40" w:type="dxa"/>
            <w:vAlign w:val="bottom"/>
          </w:tcPr>
          <w:p>
            <w:pPr>
              <w:spacing w:after="0"/>
              <w:rPr>
                <w:sz w:val="24"/>
                <w:szCs w:val="24"/>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5/18/05</w:t>
            </w:r>
          </w:p>
        </w:tc>
        <w:tc>
          <w:tcPr>
            <w:tcW w:w="0" w:type="dxa"/>
            <w:vAlign w:val="bottom"/>
          </w:tcPr>
          <w:p>
            <w:pPr>
              <w:spacing w:after="0"/>
              <w:rPr>
                <w:sz w:val="1"/>
                <w:szCs w:val="1"/>
                <w:color w:val="auto"/>
              </w:rPr>
            </w:pPr>
          </w:p>
        </w:tc>
      </w:tr>
      <w:tr>
        <w:trPr>
          <w:trHeight w:val="419"/>
        </w:trPr>
        <w:tc>
          <w:tcPr>
            <w:tcW w:w="126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10(m)(vi)</w:t>
            </w:r>
          </w:p>
        </w:tc>
        <w:tc>
          <w:tcPr>
            <w:tcW w:w="420" w:type="dxa"/>
            <w:vAlign w:val="bottom"/>
          </w:tcPr>
          <w:p>
            <w:pPr>
              <w:spacing w:after="0"/>
              <w:rPr>
                <w:sz w:val="20"/>
                <w:szCs w:val="20"/>
                <w:color w:val="auto"/>
              </w:rPr>
            </w:pPr>
            <w:r>
              <w:rPr>
                <w:rFonts w:ascii="Arial" w:cs="Arial" w:eastAsia="Arial" w:hAnsi="Arial"/>
                <w:sz w:val="18"/>
                <w:szCs w:val="18"/>
                <w:color w:val="auto"/>
                <w:w w:val="99"/>
              </w:rPr>
              <w:t>2011</w:t>
            </w:r>
          </w:p>
        </w:tc>
        <w:tc>
          <w:tcPr>
            <w:tcW w:w="5700" w:type="dxa"/>
            <w:vAlign w:val="bottom"/>
          </w:tcPr>
          <w:p>
            <w:pPr>
              <w:ind w:left="40"/>
              <w:spacing w:after="0"/>
              <w:rPr>
                <w:sz w:val="20"/>
                <w:szCs w:val="20"/>
                <w:color w:val="auto"/>
              </w:rPr>
            </w:pPr>
            <w:r>
              <w:rPr>
                <w:rFonts w:ascii="Arial" w:cs="Arial" w:eastAsia="Arial" w:hAnsi="Arial"/>
                <w:sz w:val="18"/>
                <w:szCs w:val="18"/>
                <w:color w:val="auto"/>
              </w:rPr>
              <w:t>Incentive Plan</w:t>
            </w:r>
          </w:p>
        </w:tc>
        <w:tc>
          <w:tcPr>
            <w:tcW w:w="96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40" w:type="dxa"/>
            <w:vAlign w:val="bottom"/>
          </w:tcPr>
          <w:p>
            <w:pPr>
              <w:spacing w:after="0"/>
              <w:rPr>
                <w:sz w:val="24"/>
                <w:szCs w:val="24"/>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6/1/11</w:t>
            </w:r>
          </w:p>
        </w:tc>
        <w:tc>
          <w:tcPr>
            <w:tcW w:w="0" w:type="dxa"/>
            <w:vAlign w:val="bottom"/>
          </w:tcPr>
          <w:p>
            <w:pPr>
              <w:spacing w:after="0"/>
              <w:rPr>
                <w:sz w:val="1"/>
                <w:szCs w:val="1"/>
                <w:color w:val="auto"/>
              </w:rPr>
            </w:pPr>
          </w:p>
        </w:tc>
      </w:tr>
      <w:tr>
        <w:trPr>
          <w:trHeight w:val="404"/>
        </w:trPr>
        <w:tc>
          <w:tcPr>
            <w:tcW w:w="126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10(m)(vii)</w:t>
            </w:r>
          </w:p>
        </w:tc>
        <w:tc>
          <w:tcPr>
            <w:tcW w:w="6120" w:type="dxa"/>
            <w:vAlign w:val="bottom"/>
            <w:gridSpan w:val="2"/>
          </w:tcPr>
          <w:p>
            <w:pPr>
              <w:spacing w:after="0"/>
              <w:rPr>
                <w:sz w:val="20"/>
                <w:szCs w:val="20"/>
                <w:color w:val="auto"/>
              </w:rPr>
            </w:pPr>
            <w:r>
              <w:rPr>
                <w:rFonts w:ascii="Arial" w:cs="Arial" w:eastAsia="Arial" w:hAnsi="Arial"/>
                <w:sz w:val="18"/>
                <w:szCs w:val="18"/>
                <w:color w:val="auto"/>
              </w:rPr>
              <w:t>Amendment No. 1, dated as of December 5, 2007, to the Albany</w:t>
            </w:r>
          </w:p>
        </w:tc>
        <w:tc>
          <w:tcPr>
            <w:tcW w:w="96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40" w:type="dxa"/>
            <w:vAlign w:val="bottom"/>
          </w:tcPr>
          <w:p>
            <w:pPr>
              <w:spacing w:after="0"/>
              <w:rPr>
                <w:sz w:val="24"/>
                <w:szCs w:val="24"/>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12/5/07</w:t>
            </w:r>
          </w:p>
        </w:tc>
        <w:tc>
          <w:tcPr>
            <w:tcW w:w="0" w:type="dxa"/>
            <w:vAlign w:val="bottom"/>
          </w:tcPr>
          <w:p>
            <w:pPr>
              <w:spacing w:after="0"/>
              <w:rPr>
                <w:sz w:val="1"/>
                <w:szCs w:val="1"/>
                <w:color w:val="auto"/>
              </w:rPr>
            </w:pPr>
          </w:p>
        </w:tc>
      </w:tr>
      <w:tr>
        <w:trPr>
          <w:trHeight w:val="217"/>
        </w:trPr>
        <w:tc>
          <w:tcPr>
            <w:tcW w:w="1260" w:type="dxa"/>
            <w:vAlign w:val="bottom"/>
            <w:tcBorders>
              <w:left w:val="single" w:sz="8" w:color="auto"/>
            </w:tcBorders>
          </w:tcPr>
          <w:p>
            <w:pPr>
              <w:spacing w:after="0"/>
              <w:rPr>
                <w:sz w:val="18"/>
                <w:szCs w:val="18"/>
                <w:color w:val="auto"/>
              </w:rPr>
            </w:pPr>
          </w:p>
        </w:tc>
        <w:tc>
          <w:tcPr>
            <w:tcW w:w="6120" w:type="dxa"/>
            <w:vAlign w:val="bottom"/>
            <w:gridSpan w:val="2"/>
          </w:tcPr>
          <w:p>
            <w:pPr>
              <w:spacing w:after="0"/>
              <w:rPr>
                <w:sz w:val="20"/>
                <w:szCs w:val="20"/>
                <w:color w:val="auto"/>
              </w:rPr>
            </w:pPr>
            <w:r>
              <w:rPr>
                <w:rFonts w:ascii="Arial" w:cs="Arial" w:eastAsia="Arial" w:hAnsi="Arial"/>
                <w:sz w:val="18"/>
                <w:szCs w:val="18"/>
                <w:color w:val="auto"/>
              </w:rPr>
              <w:t>International Corp. 2005 Incentive Plan</w:t>
            </w: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126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10(m)(viii)</w:t>
            </w:r>
          </w:p>
        </w:tc>
        <w:tc>
          <w:tcPr>
            <w:tcW w:w="6120" w:type="dxa"/>
            <w:vAlign w:val="bottom"/>
            <w:gridSpan w:val="2"/>
          </w:tcPr>
          <w:p>
            <w:pPr>
              <w:spacing w:after="0"/>
              <w:rPr>
                <w:sz w:val="20"/>
                <w:szCs w:val="20"/>
                <w:color w:val="auto"/>
              </w:rPr>
            </w:pPr>
            <w:r>
              <w:rPr>
                <w:rFonts w:ascii="Arial" w:cs="Arial" w:eastAsia="Arial" w:hAnsi="Arial"/>
                <w:sz w:val="18"/>
                <w:szCs w:val="18"/>
                <w:color w:val="auto"/>
              </w:rPr>
              <w:t>Form of 2010 Multi-Year Performance Bonus Agreement</w:t>
            </w:r>
          </w:p>
        </w:tc>
        <w:tc>
          <w:tcPr>
            <w:tcW w:w="96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40" w:type="dxa"/>
            <w:vAlign w:val="bottom"/>
          </w:tcPr>
          <w:p>
            <w:pPr>
              <w:spacing w:after="0"/>
              <w:rPr>
                <w:sz w:val="24"/>
                <w:szCs w:val="24"/>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3/31/10</w:t>
            </w:r>
          </w:p>
        </w:tc>
        <w:tc>
          <w:tcPr>
            <w:tcW w:w="0" w:type="dxa"/>
            <w:vAlign w:val="bottom"/>
          </w:tcPr>
          <w:p>
            <w:pPr>
              <w:spacing w:after="0"/>
              <w:rPr>
                <w:sz w:val="1"/>
                <w:szCs w:val="1"/>
                <w:color w:val="auto"/>
              </w:rPr>
            </w:pPr>
          </w:p>
        </w:tc>
      </w:tr>
      <w:tr>
        <w:trPr>
          <w:trHeight w:val="419"/>
        </w:trPr>
        <w:tc>
          <w:tcPr>
            <w:tcW w:w="126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10(m)(ix)</w:t>
            </w:r>
          </w:p>
        </w:tc>
        <w:tc>
          <w:tcPr>
            <w:tcW w:w="6120" w:type="dxa"/>
            <w:vAlign w:val="bottom"/>
            <w:gridSpan w:val="2"/>
          </w:tcPr>
          <w:p>
            <w:pPr>
              <w:spacing w:after="0"/>
              <w:rPr>
                <w:sz w:val="20"/>
                <w:szCs w:val="20"/>
                <w:color w:val="auto"/>
              </w:rPr>
            </w:pPr>
            <w:r>
              <w:rPr>
                <w:rFonts w:ascii="Arial" w:cs="Arial" w:eastAsia="Arial" w:hAnsi="Arial"/>
                <w:sz w:val="18"/>
                <w:szCs w:val="18"/>
                <w:color w:val="auto"/>
              </w:rPr>
              <w:t>Form of 2011 Multi-Year Performance Bonus Agreement</w:t>
            </w:r>
          </w:p>
        </w:tc>
        <w:tc>
          <w:tcPr>
            <w:tcW w:w="96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40" w:type="dxa"/>
            <w:vAlign w:val="bottom"/>
          </w:tcPr>
          <w:p>
            <w:pPr>
              <w:spacing w:after="0"/>
              <w:rPr>
                <w:sz w:val="24"/>
                <w:szCs w:val="24"/>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3/29/11</w:t>
            </w:r>
          </w:p>
        </w:tc>
        <w:tc>
          <w:tcPr>
            <w:tcW w:w="0" w:type="dxa"/>
            <w:vAlign w:val="bottom"/>
          </w:tcPr>
          <w:p>
            <w:pPr>
              <w:spacing w:after="0"/>
              <w:rPr>
                <w:sz w:val="1"/>
                <w:szCs w:val="1"/>
                <w:color w:val="auto"/>
              </w:rPr>
            </w:pPr>
          </w:p>
        </w:tc>
      </w:tr>
      <w:tr>
        <w:trPr>
          <w:trHeight w:val="203"/>
        </w:trPr>
        <w:tc>
          <w:tcPr>
            <w:tcW w:w="1260" w:type="dxa"/>
            <w:vAlign w:val="bottom"/>
            <w:tcBorders>
              <w:left w:val="single" w:sz="8" w:color="auto"/>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57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12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bl>
    <w:p>
      <w:pPr>
        <w:sectPr>
          <w:pgSz w:w="11900" w:h="16838" w:orient="portrait"/>
          <w:cols w:equalWidth="0" w:num="1">
            <w:col w:w="11440"/>
          </w:cols>
          <w:pgMar w:left="240" w:top="684" w:right="219" w:bottom="1440" w:gutter="0" w:footer="0" w:header="0"/>
        </w:sectPr>
      </w:pPr>
    </w:p>
    <w:bookmarkStart w:id="98" w:name="page99"/>
    <w:bookmarkEnd w:id="9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980" w:type="dxa"/>
            <w:vAlign w:val="bottom"/>
            <w:vMerge w:val="restart"/>
          </w:tcPr>
          <w:p>
            <w:pPr>
              <w:spacing w:after="0"/>
              <w:rPr>
                <w:sz w:val="20"/>
                <w:szCs w:val="20"/>
                <w:color w:val="auto"/>
              </w:rPr>
            </w:pPr>
            <w:r>
              <w:rPr>
                <w:rFonts w:ascii="Arial" w:cs="Arial" w:eastAsia="Arial" w:hAnsi="Arial"/>
                <w:sz w:val="18"/>
                <w:szCs w:val="18"/>
                <w:b w:val="1"/>
                <w:bCs w:val="1"/>
                <w:color w:val="auto"/>
              </w:rPr>
              <w:t>Exhibit</w:t>
            </w:r>
          </w:p>
        </w:tc>
        <w:tc>
          <w:tcPr>
            <w:tcW w:w="6360" w:type="dxa"/>
            <w:vAlign w:val="bottom"/>
          </w:tcPr>
          <w:p>
            <w:pPr>
              <w:spacing w:after="0"/>
              <w:rPr>
                <w:sz w:val="19"/>
                <w:szCs w:val="19"/>
                <w:color w:val="auto"/>
              </w:rPr>
            </w:pPr>
          </w:p>
        </w:tc>
        <w:tc>
          <w:tcPr>
            <w:tcW w:w="10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Filed</w:t>
            </w:r>
          </w:p>
        </w:tc>
        <w:tc>
          <w:tcPr>
            <w:tcW w:w="31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9"/>
              </w:rPr>
              <w:t>Incorporated by Reference</w:t>
            </w:r>
          </w:p>
        </w:tc>
        <w:tc>
          <w:tcPr>
            <w:tcW w:w="0" w:type="dxa"/>
            <w:vAlign w:val="bottom"/>
          </w:tcPr>
          <w:p>
            <w:pPr>
              <w:spacing w:after="0"/>
              <w:rPr>
                <w:sz w:val="1"/>
                <w:szCs w:val="1"/>
                <w:color w:val="auto"/>
              </w:rPr>
            </w:pPr>
          </w:p>
        </w:tc>
      </w:tr>
      <w:tr>
        <w:trPr>
          <w:trHeight w:val="173"/>
        </w:trPr>
        <w:tc>
          <w:tcPr>
            <w:tcW w:w="980" w:type="dxa"/>
            <w:vAlign w:val="bottom"/>
            <w:vMerge w:val="continue"/>
          </w:tcPr>
          <w:p>
            <w:pPr>
              <w:spacing w:after="0"/>
              <w:rPr>
                <w:sz w:val="15"/>
                <w:szCs w:val="15"/>
                <w:color w:val="auto"/>
              </w:rPr>
            </w:pPr>
          </w:p>
        </w:tc>
        <w:tc>
          <w:tcPr>
            <w:tcW w:w="63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100" w:type="dxa"/>
            <w:vAlign w:val="bottom"/>
          </w:tcPr>
          <w:p>
            <w:pPr>
              <w:spacing w:after="0"/>
              <w:rPr>
                <w:sz w:val="15"/>
                <w:szCs w:val="15"/>
                <w:color w:val="auto"/>
              </w:rPr>
            </w:pPr>
          </w:p>
        </w:tc>
        <w:tc>
          <w:tcPr>
            <w:tcW w:w="900" w:type="dxa"/>
            <w:vAlign w:val="bottom"/>
          </w:tcPr>
          <w:p>
            <w:pPr>
              <w:jc w:val="center"/>
              <w:spacing w:after="0" w:line="173" w:lineRule="exact"/>
              <w:rPr>
                <w:sz w:val="20"/>
                <w:szCs w:val="20"/>
                <w:color w:val="auto"/>
              </w:rPr>
            </w:pPr>
            <w:r>
              <w:rPr>
                <w:rFonts w:ascii="Arial" w:cs="Arial" w:eastAsia="Arial" w:hAnsi="Arial"/>
                <w:sz w:val="18"/>
                <w:szCs w:val="18"/>
                <w:b w:val="1"/>
                <w:bCs w:val="1"/>
                <w:color w:val="auto"/>
                <w:w w:val="99"/>
              </w:rPr>
              <w:t>Period</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636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Exhibit Description</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Herewith</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Form</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Ending</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Filing Date</w:t>
            </w:r>
          </w:p>
        </w:tc>
        <w:tc>
          <w:tcPr>
            <w:tcW w:w="0" w:type="dxa"/>
            <w:vAlign w:val="bottom"/>
          </w:tcPr>
          <w:p>
            <w:pPr>
              <w:spacing w:after="0"/>
              <w:rPr>
                <w:sz w:val="1"/>
                <w:szCs w:val="1"/>
                <w:color w:val="auto"/>
              </w:rPr>
            </w:pPr>
          </w:p>
        </w:tc>
      </w:tr>
      <w:tr>
        <w:trPr>
          <w:trHeight w:val="196"/>
        </w:trPr>
        <w:tc>
          <w:tcPr>
            <w:tcW w:w="7340" w:type="dxa"/>
            <w:vAlign w:val="bottom"/>
            <w:tcBorders>
              <w:left w:val="single" w:sz="8" w:color="auto"/>
              <w:bottom w:val="single" w:sz="8" w:color="auto"/>
            </w:tcBorders>
            <w:gridSpan w:val="2"/>
          </w:tcPr>
          <w:p>
            <w:pPr>
              <w:ind w:left="20"/>
              <w:spacing w:after="0" w:line="196" w:lineRule="exact"/>
              <w:rPr>
                <w:sz w:val="20"/>
                <w:szCs w:val="20"/>
                <w:color w:val="auto"/>
              </w:rPr>
            </w:pPr>
            <w:r>
              <w:rPr>
                <w:rFonts w:ascii="Arial" w:cs="Arial" w:eastAsia="Arial" w:hAnsi="Arial"/>
                <w:sz w:val="18"/>
                <w:szCs w:val="18"/>
                <w:b w:val="1"/>
                <w:bCs w:val="1"/>
                <w:color w:val="auto"/>
              </w:rPr>
              <w:t>Executive Compensation</w:t>
            </w:r>
          </w:p>
        </w:tc>
        <w:tc>
          <w:tcPr>
            <w:tcW w:w="10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980" w:type="dxa"/>
            <w:vAlign w:val="bottom"/>
            <w:tcBorders>
              <w:left w:val="single" w:sz="8" w:color="auto"/>
            </w:tcBorders>
          </w:tcPr>
          <w:p>
            <w:pPr>
              <w:ind w:left="20"/>
              <w:spacing w:after="0" w:line="195" w:lineRule="exact"/>
              <w:rPr>
                <w:sz w:val="20"/>
                <w:szCs w:val="20"/>
                <w:color w:val="auto"/>
              </w:rPr>
            </w:pPr>
            <w:r>
              <w:rPr>
                <w:rFonts w:ascii="Arial" w:cs="Arial" w:eastAsia="Arial" w:hAnsi="Arial"/>
                <w:sz w:val="18"/>
                <w:szCs w:val="18"/>
                <w:color w:val="auto"/>
              </w:rPr>
              <w:t>10(n)(i)</w:t>
            </w:r>
          </w:p>
        </w:tc>
        <w:tc>
          <w:tcPr>
            <w:tcW w:w="6360" w:type="dxa"/>
            <w:vAlign w:val="bottom"/>
          </w:tcPr>
          <w:p>
            <w:pPr>
              <w:ind w:left="280"/>
              <w:spacing w:after="0" w:line="195" w:lineRule="exact"/>
              <w:rPr>
                <w:sz w:val="20"/>
                <w:szCs w:val="20"/>
                <w:color w:val="auto"/>
              </w:rPr>
            </w:pPr>
            <w:r>
              <w:rPr>
                <w:rFonts w:ascii="Arial" w:cs="Arial" w:eastAsia="Arial" w:hAnsi="Arial"/>
                <w:sz w:val="18"/>
                <w:szCs w:val="18"/>
                <w:color w:val="auto"/>
              </w:rPr>
              <w:t>Supplemental Executive Retirement Plan, adopted as of January 1, 1994,</w:t>
            </w:r>
          </w:p>
        </w:tc>
        <w:tc>
          <w:tcPr>
            <w:tcW w:w="1000" w:type="dxa"/>
            <w:vAlign w:val="bottom"/>
          </w:tcPr>
          <w:p>
            <w:pPr>
              <w:spacing w:after="0"/>
              <w:rPr>
                <w:sz w:val="16"/>
                <w:szCs w:val="16"/>
                <w:color w:val="auto"/>
              </w:rPr>
            </w:pPr>
          </w:p>
        </w:tc>
        <w:tc>
          <w:tcPr>
            <w:tcW w:w="1100" w:type="dxa"/>
            <w:vAlign w:val="bottom"/>
          </w:tcPr>
          <w:p>
            <w:pPr>
              <w:jc w:val="center"/>
              <w:spacing w:after="0" w:line="195" w:lineRule="exact"/>
              <w:rPr>
                <w:sz w:val="20"/>
                <w:szCs w:val="20"/>
                <w:color w:val="auto"/>
              </w:rPr>
            </w:pPr>
            <w:r>
              <w:rPr>
                <w:rFonts w:ascii="Arial" w:cs="Arial" w:eastAsia="Arial" w:hAnsi="Arial"/>
                <w:sz w:val="18"/>
                <w:szCs w:val="18"/>
                <w:color w:val="auto"/>
                <w:w w:val="99"/>
              </w:rPr>
              <w:t>8-K</w:t>
            </w:r>
          </w:p>
        </w:tc>
        <w:tc>
          <w:tcPr>
            <w:tcW w:w="900" w:type="dxa"/>
            <w:vAlign w:val="bottom"/>
          </w:tcPr>
          <w:p>
            <w:pPr>
              <w:spacing w:after="0"/>
              <w:rPr>
                <w:sz w:val="16"/>
                <w:szCs w:val="16"/>
                <w:color w:val="auto"/>
              </w:rPr>
            </w:pPr>
          </w:p>
        </w:tc>
        <w:tc>
          <w:tcPr>
            <w:tcW w:w="11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1/2/08</w:t>
            </w:r>
          </w:p>
        </w:tc>
        <w:tc>
          <w:tcPr>
            <w:tcW w:w="0" w:type="dxa"/>
            <w:vAlign w:val="bottom"/>
          </w:tcPr>
          <w:p>
            <w:pPr>
              <w:spacing w:after="0"/>
              <w:rPr>
                <w:sz w:val="1"/>
                <w:szCs w:val="1"/>
                <w:color w:val="auto"/>
              </w:rPr>
            </w:pPr>
          </w:p>
        </w:tc>
      </w:tr>
      <w:tr>
        <w:trPr>
          <w:trHeight w:val="217"/>
        </w:trPr>
        <w:tc>
          <w:tcPr>
            <w:tcW w:w="980" w:type="dxa"/>
            <w:vAlign w:val="bottom"/>
            <w:tcBorders>
              <w:left w:val="single" w:sz="8" w:color="auto"/>
            </w:tcBorders>
          </w:tcPr>
          <w:p>
            <w:pPr>
              <w:spacing w:after="0"/>
              <w:rPr>
                <w:sz w:val="18"/>
                <w:szCs w:val="18"/>
                <w:color w:val="auto"/>
              </w:rPr>
            </w:pPr>
          </w:p>
        </w:tc>
        <w:tc>
          <w:tcPr>
            <w:tcW w:w="6360" w:type="dxa"/>
            <w:vAlign w:val="bottom"/>
          </w:tcPr>
          <w:p>
            <w:pPr>
              <w:ind w:left="280"/>
              <w:spacing w:after="0"/>
              <w:rPr>
                <w:sz w:val="20"/>
                <w:szCs w:val="20"/>
                <w:color w:val="auto"/>
              </w:rPr>
            </w:pPr>
            <w:r>
              <w:rPr>
                <w:rFonts w:ascii="Arial" w:cs="Arial" w:eastAsia="Arial" w:hAnsi="Arial"/>
                <w:sz w:val="18"/>
                <w:szCs w:val="18"/>
                <w:color w:val="auto"/>
              </w:rPr>
              <w:t>as amended and restated as of January 1, 2008</w:t>
            </w:r>
          </w:p>
        </w:tc>
        <w:tc>
          <w:tcPr>
            <w:tcW w:w="1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4"/>
        </w:trPr>
        <w:tc>
          <w:tcPr>
            <w:tcW w:w="98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10(n)(ii)</w:t>
            </w:r>
          </w:p>
        </w:tc>
        <w:tc>
          <w:tcPr>
            <w:tcW w:w="6360" w:type="dxa"/>
            <w:vAlign w:val="bottom"/>
          </w:tcPr>
          <w:p>
            <w:pPr>
              <w:ind w:left="280"/>
              <w:spacing w:after="0"/>
              <w:rPr>
                <w:sz w:val="20"/>
                <w:szCs w:val="20"/>
                <w:color w:val="auto"/>
              </w:rPr>
            </w:pPr>
            <w:r>
              <w:rPr>
                <w:rFonts w:ascii="Arial" w:cs="Arial" w:eastAsia="Arial" w:hAnsi="Arial"/>
                <w:sz w:val="18"/>
                <w:szCs w:val="18"/>
                <w:color w:val="auto"/>
              </w:rPr>
              <w:t>Annual Bonus Program</w:t>
            </w:r>
          </w:p>
        </w:tc>
        <w:tc>
          <w:tcPr>
            <w:tcW w:w="10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rPr>
              <w:t>S-1, No. 33-</w:t>
            </w:r>
          </w:p>
        </w:tc>
        <w:tc>
          <w:tcPr>
            <w:tcW w:w="900" w:type="dxa"/>
            <w:vAlign w:val="bottom"/>
          </w:tcPr>
          <w:p>
            <w:pPr>
              <w:spacing w:after="0"/>
              <w:rPr>
                <w:sz w:val="24"/>
                <w:szCs w:val="24"/>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9/30/87</w:t>
            </w:r>
          </w:p>
        </w:tc>
        <w:tc>
          <w:tcPr>
            <w:tcW w:w="0" w:type="dxa"/>
            <w:vAlign w:val="bottom"/>
          </w:tcPr>
          <w:p>
            <w:pPr>
              <w:spacing w:after="0"/>
              <w:rPr>
                <w:sz w:val="1"/>
                <w:szCs w:val="1"/>
                <w:color w:val="auto"/>
              </w:rPr>
            </w:pPr>
          </w:p>
        </w:tc>
      </w:tr>
      <w:tr>
        <w:trPr>
          <w:trHeight w:val="217"/>
        </w:trPr>
        <w:tc>
          <w:tcPr>
            <w:tcW w:w="980" w:type="dxa"/>
            <w:vAlign w:val="bottom"/>
            <w:tcBorders>
              <w:left w:val="single" w:sz="8" w:color="auto"/>
            </w:tcBorders>
          </w:tcPr>
          <w:p>
            <w:pPr>
              <w:spacing w:after="0"/>
              <w:rPr>
                <w:sz w:val="18"/>
                <w:szCs w:val="18"/>
                <w:color w:val="auto"/>
              </w:rPr>
            </w:pPr>
          </w:p>
        </w:tc>
        <w:tc>
          <w:tcPr>
            <w:tcW w:w="6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16254</w:t>
            </w:r>
          </w:p>
        </w:tc>
        <w:tc>
          <w:tcPr>
            <w:tcW w:w="90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4"/>
        </w:trPr>
        <w:tc>
          <w:tcPr>
            <w:tcW w:w="98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10(n)(iii)</w:t>
            </w:r>
          </w:p>
        </w:tc>
        <w:tc>
          <w:tcPr>
            <w:tcW w:w="6360" w:type="dxa"/>
            <w:vAlign w:val="bottom"/>
          </w:tcPr>
          <w:p>
            <w:pPr>
              <w:ind w:left="280"/>
              <w:spacing w:after="0"/>
              <w:rPr>
                <w:sz w:val="20"/>
                <w:szCs w:val="20"/>
                <w:color w:val="auto"/>
              </w:rPr>
            </w:pPr>
            <w:r>
              <w:rPr>
                <w:rFonts w:ascii="Arial" w:cs="Arial" w:eastAsia="Arial" w:hAnsi="Arial"/>
                <w:sz w:val="18"/>
                <w:szCs w:val="18"/>
                <w:color w:val="auto"/>
              </w:rPr>
              <w:t>Form of Executive Deferred Compensation Plan adopted September 1,</w:t>
            </w:r>
          </w:p>
        </w:tc>
        <w:tc>
          <w:tcPr>
            <w:tcW w:w="10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10-Q</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9/30/01</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11/12/01</w:t>
            </w:r>
          </w:p>
        </w:tc>
        <w:tc>
          <w:tcPr>
            <w:tcW w:w="0" w:type="dxa"/>
            <w:vAlign w:val="bottom"/>
          </w:tcPr>
          <w:p>
            <w:pPr>
              <w:spacing w:after="0"/>
              <w:rPr>
                <w:sz w:val="1"/>
                <w:szCs w:val="1"/>
                <w:color w:val="auto"/>
              </w:rPr>
            </w:pPr>
          </w:p>
        </w:tc>
      </w:tr>
      <w:tr>
        <w:trPr>
          <w:trHeight w:val="217"/>
        </w:trPr>
        <w:tc>
          <w:tcPr>
            <w:tcW w:w="980" w:type="dxa"/>
            <w:vAlign w:val="bottom"/>
            <w:tcBorders>
              <w:left w:val="single" w:sz="8" w:color="auto"/>
            </w:tcBorders>
          </w:tcPr>
          <w:p>
            <w:pPr>
              <w:spacing w:after="0"/>
              <w:rPr>
                <w:sz w:val="18"/>
                <w:szCs w:val="18"/>
                <w:color w:val="auto"/>
              </w:rPr>
            </w:pPr>
          </w:p>
        </w:tc>
        <w:tc>
          <w:tcPr>
            <w:tcW w:w="6360" w:type="dxa"/>
            <w:vAlign w:val="bottom"/>
          </w:tcPr>
          <w:p>
            <w:pPr>
              <w:ind w:left="280"/>
              <w:spacing w:after="0"/>
              <w:rPr>
                <w:sz w:val="20"/>
                <w:szCs w:val="20"/>
                <w:color w:val="auto"/>
              </w:rPr>
            </w:pPr>
            <w:r>
              <w:rPr>
                <w:rFonts w:ascii="Arial" w:cs="Arial" w:eastAsia="Arial" w:hAnsi="Arial"/>
                <w:sz w:val="18"/>
                <w:szCs w:val="18"/>
                <w:color w:val="auto"/>
              </w:rPr>
              <w:t>1985, as amended and restated as of August 8, 2001</w:t>
            </w:r>
          </w:p>
        </w:tc>
        <w:tc>
          <w:tcPr>
            <w:tcW w:w="1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4"/>
        </w:trPr>
        <w:tc>
          <w:tcPr>
            <w:tcW w:w="98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10(o)(i)</w:t>
            </w:r>
          </w:p>
        </w:tc>
        <w:tc>
          <w:tcPr>
            <w:tcW w:w="6360" w:type="dxa"/>
            <w:vAlign w:val="bottom"/>
          </w:tcPr>
          <w:p>
            <w:pPr>
              <w:ind w:left="280"/>
              <w:spacing w:after="0"/>
              <w:rPr>
                <w:sz w:val="20"/>
                <w:szCs w:val="20"/>
                <w:color w:val="auto"/>
              </w:rPr>
            </w:pPr>
            <w:r>
              <w:rPr>
                <w:rFonts w:ascii="Arial" w:cs="Arial" w:eastAsia="Arial" w:hAnsi="Arial"/>
                <w:sz w:val="18"/>
                <w:szCs w:val="18"/>
                <w:color w:val="auto"/>
              </w:rPr>
              <w:t>Form of Directors’ Deferred Compensation Plan adopted September 1,</w:t>
            </w:r>
          </w:p>
        </w:tc>
        <w:tc>
          <w:tcPr>
            <w:tcW w:w="10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10-Q</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9/30/01</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11/12/01</w:t>
            </w:r>
          </w:p>
        </w:tc>
        <w:tc>
          <w:tcPr>
            <w:tcW w:w="0" w:type="dxa"/>
            <w:vAlign w:val="bottom"/>
          </w:tcPr>
          <w:p>
            <w:pPr>
              <w:spacing w:after="0"/>
              <w:rPr>
                <w:sz w:val="1"/>
                <w:szCs w:val="1"/>
                <w:color w:val="auto"/>
              </w:rPr>
            </w:pPr>
          </w:p>
        </w:tc>
      </w:tr>
      <w:tr>
        <w:trPr>
          <w:trHeight w:val="217"/>
        </w:trPr>
        <w:tc>
          <w:tcPr>
            <w:tcW w:w="980" w:type="dxa"/>
            <w:vAlign w:val="bottom"/>
            <w:tcBorders>
              <w:left w:val="single" w:sz="8" w:color="auto"/>
            </w:tcBorders>
          </w:tcPr>
          <w:p>
            <w:pPr>
              <w:spacing w:after="0"/>
              <w:rPr>
                <w:sz w:val="18"/>
                <w:szCs w:val="18"/>
                <w:color w:val="auto"/>
              </w:rPr>
            </w:pPr>
          </w:p>
        </w:tc>
        <w:tc>
          <w:tcPr>
            <w:tcW w:w="6360" w:type="dxa"/>
            <w:vAlign w:val="bottom"/>
          </w:tcPr>
          <w:p>
            <w:pPr>
              <w:ind w:left="280"/>
              <w:spacing w:after="0"/>
              <w:rPr>
                <w:sz w:val="20"/>
                <w:szCs w:val="20"/>
                <w:color w:val="auto"/>
              </w:rPr>
            </w:pPr>
            <w:r>
              <w:rPr>
                <w:rFonts w:ascii="Arial" w:cs="Arial" w:eastAsia="Arial" w:hAnsi="Arial"/>
                <w:sz w:val="18"/>
                <w:szCs w:val="18"/>
                <w:color w:val="auto"/>
              </w:rPr>
              <w:t>1985, as amended and restated as of August 8, 2001</w:t>
            </w:r>
          </w:p>
        </w:tc>
        <w:tc>
          <w:tcPr>
            <w:tcW w:w="1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4"/>
        </w:trPr>
        <w:tc>
          <w:tcPr>
            <w:tcW w:w="98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10(o)(ii)</w:t>
            </w:r>
          </w:p>
        </w:tc>
        <w:tc>
          <w:tcPr>
            <w:tcW w:w="6360" w:type="dxa"/>
            <w:vAlign w:val="bottom"/>
          </w:tcPr>
          <w:p>
            <w:pPr>
              <w:ind w:left="280"/>
              <w:spacing w:after="0"/>
              <w:rPr>
                <w:sz w:val="20"/>
                <w:szCs w:val="20"/>
                <w:color w:val="auto"/>
              </w:rPr>
            </w:pPr>
            <w:r>
              <w:rPr>
                <w:rFonts w:ascii="Arial" w:cs="Arial" w:eastAsia="Arial" w:hAnsi="Arial"/>
                <w:sz w:val="18"/>
                <w:szCs w:val="18"/>
                <w:color w:val="auto"/>
              </w:rPr>
              <w:t>Deferred Compensation Plan of Albany International Corp., as amended</w:t>
            </w:r>
          </w:p>
        </w:tc>
        <w:tc>
          <w:tcPr>
            <w:tcW w:w="10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12/31/02</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3/21/03</w:t>
            </w:r>
          </w:p>
        </w:tc>
        <w:tc>
          <w:tcPr>
            <w:tcW w:w="0" w:type="dxa"/>
            <w:vAlign w:val="bottom"/>
          </w:tcPr>
          <w:p>
            <w:pPr>
              <w:spacing w:after="0"/>
              <w:rPr>
                <w:sz w:val="1"/>
                <w:szCs w:val="1"/>
                <w:color w:val="auto"/>
              </w:rPr>
            </w:pPr>
          </w:p>
        </w:tc>
      </w:tr>
      <w:tr>
        <w:trPr>
          <w:trHeight w:val="217"/>
        </w:trPr>
        <w:tc>
          <w:tcPr>
            <w:tcW w:w="980" w:type="dxa"/>
            <w:vAlign w:val="bottom"/>
            <w:tcBorders>
              <w:left w:val="single" w:sz="8" w:color="auto"/>
            </w:tcBorders>
          </w:tcPr>
          <w:p>
            <w:pPr>
              <w:spacing w:after="0"/>
              <w:rPr>
                <w:sz w:val="18"/>
                <w:szCs w:val="18"/>
                <w:color w:val="auto"/>
              </w:rPr>
            </w:pPr>
          </w:p>
        </w:tc>
        <w:tc>
          <w:tcPr>
            <w:tcW w:w="6360" w:type="dxa"/>
            <w:vAlign w:val="bottom"/>
          </w:tcPr>
          <w:p>
            <w:pPr>
              <w:ind w:left="280"/>
              <w:spacing w:after="0"/>
              <w:rPr>
                <w:sz w:val="20"/>
                <w:szCs w:val="20"/>
                <w:color w:val="auto"/>
              </w:rPr>
            </w:pPr>
            <w:r>
              <w:rPr>
                <w:rFonts w:ascii="Arial" w:cs="Arial" w:eastAsia="Arial" w:hAnsi="Arial"/>
                <w:sz w:val="18"/>
                <w:szCs w:val="18"/>
                <w:color w:val="auto"/>
              </w:rPr>
              <w:t>and restated as of August 8, 2001</w:t>
            </w:r>
          </w:p>
        </w:tc>
        <w:tc>
          <w:tcPr>
            <w:tcW w:w="1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4"/>
        </w:trPr>
        <w:tc>
          <w:tcPr>
            <w:tcW w:w="98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10(o)(iii)</w:t>
            </w:r>
          </w:p>
        </w:tc>
        <w:tc>
          <w:tcPr>
            <w:tcW w:w="6360" w:type="dxa"/>
            <w:vAlign w:val="bottom"/>
          </w:tcPr>
          <w:p>
            <w:pPr>
              <w:ind w:left="280"/>
              <w:spacing w:after="0"/>
              <w:rPr>
                <w:sz w:val="20"/>
                <w:szCs w:val="20"/>
                <w:color w:val="auto"/>
              </w:rPr>
            </w:pPr>
            <w:r>
              <w:rPr>
                <w:rFonts w:ascii="Arial" w:cs="Arial" w:eastAsia="Arial" w:hAnsi="Arial"/>
                <w:sz w:val="18"/>
                <w:szCs w:val="18"/>
                <w:color w:val="auto"/>
              </w:rPr>
              <w:t>Centennial Deferred Compensation Plan, as amended and restated as of</w:t>
            </w:r>
          </w:p>
        </w:tc>
        <w:tc>
          <w:tcPr>
            <w:tcW w:w="10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10-Q</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9/30/01</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11/12/01</w:t>
            </w:r>
          </w:p>
        </w:tc>
        <w:tc>
          <w:tcPr>
            <w:tcW w:w="0" w:type="dxa"/>
            <w:vAlign w:val="bottom"/>
          </w:tcPr>
          <w:p>
            <w:pPr>
              <w:spacing w:after="0"/>
              <w:rPr>
                <w:sz w:val="1"/>
                <w:szCs w:val="1"/>
                <w:color w:val="auto"/>
              </w:rPr>
            </w:pPr>
          </w:p>
        </w:tc>
      </w:tr>
      <w:tr>
        <w:trPr>
          <w:trHeight w:val="217"/>
        </w:trPr>
        <w:tc>
          <w:tcPr>
            <w:tcW w:w="980" w:type="dxa"/>
            <w:vAlign w:val="bottom"/>
            <w:tcBorders>
              <w:left w:val="single" w:sz="8" w:color="auto"/>
            </w:tcBorders>
          </w:tcPr>
          <w:p>
            <w:pPr>
              <w:spacing w:after="0"/>
              <w:rPr>
                <w:sz w:val="18"/>
                <w:szCs w:val="18"/>
                <w:color w:val="auto"/>
              </w:rPr>
            </w:pPr>
          </w:p>
        </w:tc>
        <w:tc>
          <w:tcPr>
            <w:tcW w:w="6360" w:type="dxa"/>
            <w:vAlign w:val="bottom"/>
          </w:tcPr>
          <w:p>
            <w:pPr>
              <w:ind w:left="280"/>
              <w:spacing w:after="0"/>
              <w:rPr>
                <w:sz w:val="20"/>
                <w:szCs w:val="20"/>
                <w:color w:val="auto"/>
              </w:rPr>
            </w:pPr>
            <w:r>
              <w:rPr>
                <w:rFonts w:ascii="Arial" w:cs="Arial" w:eastAsia="Arial" w:hAnsi="Arial"/>
                <w:sz w:val="18"/>
                <w:szCs w:val="18"/>
                <w:color w:val="auto"/>
              </w:rPr>
              <w:t>August 8, 2001</w:t>
            </w:r>
          </w:p>
        </w:tc>
        <w:tc>
          <w:tcPr>
            <w:tcW w:w="1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4"/>
        </w:trPr>
        <w:tc>
          <w:tcPr>
            <w:tcW w:w="98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10(o)(iv)</w:t>
            </w:r>
          </w:p>
        </w:tc>
        <w:tc>
          <w:tcPr>
            <w:tcW w:w="6360" w:type="dxa"/>
            <w:vAlign w:val="bottom"/>
          </w:tcPr>
          <w:p>
            <w:pPr>
              <w:ind w:left="280"/>
              <w:spacing w:after="0"/>
              <w:rPr>
                <w:sz w:val="20"/>
                <w:szCs w:val="20"/>
                <w:color w:val="auto"/>
              </w:rPr>
            </w:pPr>
            <w:r>
              <w:rPr>
                <w:rFonts w:ascii="Arial" w:cs="Arial" w:eastAsia="Arial" w:hAnsi="Arial"/>
                <w:sz w:val="18"/>
                <w:szCs w:val="18"/>
                <w:color w:val="auto"/>
              </w:rPr>
              <w:t>Directors’ Annual Retainer Plan, as amended and restated as of December</w:t>
            </w:r>
          </w:p>
        </w:tc>
        <w:tc>
          <w:tcPr>
            <w:tcW w:w="10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00" w:type="dxa"/>
            <w:vAlign w:val="bottom"/>
          </w:tcPr>
          <w:p>
            <w:pPr>
              <w:spacing w:after="0"/>
              <w:rPr>
                <w:sz w:val="24"/>
                <w:szCs w:val="24"/>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12/23/09</w:t>
            </w:r>
          </w:p>
        </w:tc>
        <w:tc>
          <w:tcPr>
            <w:tcW w:w="0" w:type="dxa"/>
            <w:vAlign w:val="bottom"/>
          </w:tcPr>
          <w:p>
            <w:pPr>
              <w:spacing w:after="0"/>
              <w:rPr>
                <w:sz w:val="1"/>
                <w:szCs w:val="1"/>
                <w:color w:val="auto"/>
              </w:rPr>
            </w:pPr>
          </w:p>
        </w:tc>
      </w:tr>
      <w:tr>
        <w:trPr>
          <w:trHeight w:val="217"/>
        </w:trPr>
        <w:tc>
          <w:tcPr>
            <w:tcW w:w="980" w:type="dxa"/>
            <w:vAlign w:val="bottom"/>
            <w:tcBorders>
              <w:left w:val="single" w:sz="8" w:color="auto"/>
            </w:tcBorders>
          </w:tcPr>
          <w:p>
            <w:pPr>
              <w:spacing w:after="0"/>
              <w:rPr>
                <w:sz w:val="18"/>
                <w:szCs w:val="18"/>
                <w:color w:val="auto"/>
              </w:rPr>
            </w:pPr>
          </w:p>
        </w:tc>
        <w:tc>
          <w:tcPr>
            <w:tcW w:w="6360" w:type="dxa"/>
            <w:vAlign w:val="bottom"/>
          </w:tcPr>
          <w:p>
            <w:pPr>
              <w:ind w:left="280"/>
              <w:spacing w:after="0"/>
              <w:rPr>
                <w:sz w:val="20"/>
                <w:szCs w:val="20"/>
                <w:color w:val="auto"/>
              </w:rPr>
            </w:pPr>
            <w:r>
              <w:rPr>
                <w:rFonts w:ascii="Arial" w:cs="Arial" w:eastAsia="Arial" w:hAnsi="Arial"/>
                <w:sz w:val="18"/>
                <w:szCs w:val="18"/>
                <w:color w:val="auto"/>
              </w:rPr>
              <w:t>8, 2009</w:t>
            </w:r>
          </w:p>
        </w:tc>
        <w:tc>
          <w:tcPr>
            <w:tcW w:w="1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4"/>
        </w:trPr>
        <w:tc>
          <w:tcPr>
            <w:tcW w:w="98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10(o)(v)</w:t>
            </w:r>
          </w:p>
        </w:tc>
        <w:tc>
          <w:tcPr>
            <w:tcW w:w="6360" w:type="dxa"/>
            <w:vAlign w:val="bottom"/>
          </w:tcPr>
          <w:p>
            <w:pPr>
              <w:ind w:left="280"/>
              <w:spacing w:after="0"/>
              <w:rPr>
                <w:sz w:val="20"/>
                <w:szCs w:val="20"/>
                <w:color w:val="auto"/>
              </w:rPr>
            </w:pPr>
            <w:r>
              <w:rPr>
                <w:rFonts w:ascii="Arial" w:cs="Arial" w:eastAsia="Arial" w:hAnsi="Arial"/>
                <w:sz w:val="18"/>
                <w:szCs w:val="18"/>
                <w:color w:val="auto"/>
              </w:rPr>
              <w:t>Excerpt from the Company’s Corporate Governance Guidelines describing</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80" w:type="dxa"/>
            <w:vAlign w:val="bottom"/>
            <w:tcBorders>
              <w:left w:val="single" w:sz="8" w:color="auto"/>
            </w:tcBorders>
          </w:tcPr>
          <w:p>
            <w:pPr>
              <w:spacing w:after="0"/>
              <w:rPr>
                <w:sz w:val="18"/>
                <w:szCs w:val="18"/>
                <w:color w:val="auto"/>
              </w:rPr>
            </w:pPr>
          </w:p>
        </w:tc>
        <w:tc>
          <w:tcPr>
            <w:tcW w:w="6360" w:type="dxa"/>
            <w:vAlign w:val="bottom"/>
          </w:tcPr>
          <w:p>
            <w:pPr>
              <w:ind w:left="280"/>
              <w:spacing w:after="0"/>
              <w:rPr>
                <w:sz w:val="20"/>
                <w:szCs w:val="20"/>
                <w:color w:val="auto"/>
              </w:rPr>
            </w:pPr>
            <w:r>
              <w:rPr>
                <w:rFonts w:ascii="Arial" w:cs="Arial" w:eastAsia="Arial" w:hAnsi="Arial"/>
                <w:sz w:val="18"/>
                <w:szCs w:val="18"/>
                <w:color w:val="auto"/>
              </w:rPr>
              <w:t>director compensation</w:t>
            </w:r>
          </w:p>
        </w:tc>
        <w:tc>
          <w:tcPr>
            <w:tcW w:w="1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4"/>
        </w:trPr>
        <w:tc>
          <w:tcPr>
            <w:tcW w:w="98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10(o)(vi)</w:t>
            </w:r>
          </w:p>
        </w:tc>
        <w:tc>
          <w:tcPr>
            <w:tcW w:w="6360" w:type="dxa"/>
            <w:vAlign w:val="bottom"/>
          </w:tcPr>
          <w:p>
            <w:pPr>
              <w:ind w:left="280"/>
              <w:spacing w:after="0"/>
              <w:rPr>
                <w:sz w:val="20"/>
                <w:szCs w:val="20"/>
                <w:color w:val="auto"/>
              </w:rPr>
            </w:pPr>
            <w:r>
              <w:rPr>
                <w:rFonts w:ascii="Arial" w:cs="Arial" w:eastAsia="Arial" w:hAnsi="Arial"/>
                <w:sz w:val="18"/>
                <w:szCs w:val="18"/>
                <w:color w:val="auto"/>
              </w:rPr>
              <w:t>Form of Severance Agreement between Albany International Corp. and</w:t>
            </w:r>
          </w:p>
        </w:tc>
        <w:tc>
          <w:tcPr>
            <w:tcW w:w="10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00" w:type="dxa"/>
            <w:vAlign w:val="bottom"/>
          </w:tcPr>
          <w:p>
            <w:pPr>
              <w:spacing w:after="0"/>
              <w:rPr>
                <w:sz w:val="24"/>
                <w:szCs w:val="24"/>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1/3/13</w:t>
            </w:r>
          </w:p>
        </w:tc>
        <w:tc>
          <w:tcPr>
            <w:tcW w:w="0" w:type="dxa"/>
            <w:vAlign w:val="bottom"/>
          </w:tcPr>
          <w:p>
            <w:pPr>
              <w:spacing w:after="0"/>
              <w:rPr>
                <w:sz w:val="1"/>
                <w:szCs w:val="1"/>
                <w:color w:val="auto"/>
              </w:rPr>
            </w:pPr>
          </w:p>
        </w:tc>
      </w:tr>
      <w:tr>
        <w:trPr>
          <w:trHeight w:val="217"/>
        </w:trPr>
        <w:tc>
          <w:tcPr>
            <w:tcW w:w="980" w:type="dxa"/>
            <w:vAlign w:val="bottom"/>
            <w:tcBorders>
              <w:left w:val="single" w:sz="8" w:color="auto"/>
            </w:tcBorders>
          </w:tcPr>
          <w:p>
            <w:pPr>
              <w:spacing w:after="0"/>
              <w:rPr>
                <w:sz w:val="18"/>
                <w:szCs w:val="18"/>
                <w:color w:val="auto"/>
              </w:rPr>
            </w:pPr>
          </w:p>
        </w:tc>
        <w:tc>
          <w:tcPr>
            <w:tcW w:w="6360" w:type="dxa"/>
            <w:vAlign w:val="bottom"/>
          </w:tcPr>
          <w:p>
            <w:pPr>
              <w:ind w:left="280"/>
              <w:spacing w:after="0"/>
              <w:rPr>
                <w:sz w:val="20"/>
                <w:szCs w:val="20"/>
                <w:color w:val="auto"/>
              </w:rPr>
            </w:pPr>
            <w:r>
              <w:rPr>
                <w:rFonts w:ascii="Arial" w:cs="Arial" w:eastAsia="Arial" w:hAnsi="Arial"/>
                <w:sz w:val="18"/>
                <w:szCs w:val="18"/>
                <w:color w:val="auto"/>
              </w:rPr>
              <w:t>certain corporate officers or key executives</w:t>
            </w:r>
          </w:p>
        </w:tc>
        <w:tc>
          <w:tcPr>
            <w:tcW w:w="1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98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10(p)</w:t>
            </w:r>
          </w:p>
        </w:tc>
        <w:tc>
          <w:tcPr>
            <w:tcW w:w="6360" w:type="dxa"/>
            <w:vAlign w:val="bottom"/>
          </w:tcPr>
          <w:p>
            <w:pPr>
              <w:ind w:left="280"/>
              <w:spacing w:after="0"/>
              <w:rPr>
                <w:sz w:val="20"/>
                <w:szCs w:val="20"/>
                <w:color w:val="auto"/>
              </w:rPr>
            </w:pPr>
            <w:r>
              <w:rPr>
                <w:rFonts w:ascii="Arial" w:cs="Arial" w:eastAsia="Arial" w:hAnsi="Arial"/>
                <w:sz w:val="18"/>
                <w:szCs w:val="18"/>
                <w:color w:val="auto"/>
              </w:rPr>
              <w:t>Code of Ethics</w:t>
            </w:r>
          </w:p>
        </w:tc>
        <w:tc>
          <w:tcPr>
            <w:tcW w:w="10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00" w:type="dxa"/>
            <w:vAlign w:val="bottom"/>
          </w:tcPr>
          <w:p>
            <w:pPr>
              <w:spacing w:after="0"/>
              <w:rPr>
                <w:sz w:val="24"/>
                <w:szCs w:val="24"/>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1/2/08</w:t>
            </w:r>
          </w:p>
        </w:tc>
        <w:tc>
          <w:tcPr>
            <w:tcW w:w="0" w:type="dxa"/>
            <w:vAlign w:val="bottom"/>
          </w:tcPr>
          <w:p>
            <w:pPr>
              <w:spacing w:after="0"/>
              <w:rPr>
                <w:sz w:val="1"/>
                <w:szCs w:val="1"/>
                <w:color w:val="auto"/>
              </w:rPr>
            </w:pPr>
          </w:p>
        </w:tc>
      </w:tr>
      <w:tr>
        <w:trPr>
          <w:trHeight w:val="419"/>
        </w:trPr>
        <w:tc>
          <w:tcPr>
            <w:tcW w:w="98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10(q)</w:t>
            </w:r>
          </w:p>
        </w:tc>
        <w:tc>
          <w:tcPr>
            <w:tcW w:w="6360" w:type="dxa"/>
            <w:vAlign w:val="bottom"/>
          </w:tcPr>
          <w:p>
            <w:pPr>
              <w:ind w:left="280"/>
              <w:spacing w:after="0"/>
              <w:rPr>
                <w:sz w:val="20"/>
                <w:szCs w:val="20"/>
                <w:color w:val="auto"/>
              </w:rPr>
            </w:pPr>
            <w:r>
              <w:rPr>
                <w:rFonts w:ascii="Arial" w:cs="Arial" w:eastAsia="Arial" w:hAnsi="Arial"/>
                <w:sz w:val="18"/>
                <w:szCs w:val="18"/>
                <w:color w:val="auto"/>
              </w:rPr>
              <w:t>Directors Pension Plan, amendment dated as of January 12, 2005</w:t>
            </w:r>
          </w:p>
        </w:tc>
        <w:tc>
          <w:tcPr>
            <w:tcW w:w="10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00" w:type="dxa"/>
            <w:vAlign w:val="bottom"/>
          </w:tcPr>
          <w:p>
            <w:pPr>
              <w:spacing w:after="0"/>
              <w:rPr>
                <w:sz w:val="24"/>
                <w:szCs w:val="24"/>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1/13/05</w:t>
            </w:r>
          </w:p>
        </w:tc>
        <w:tc>
          <w:tcPr>
            <w:tcW w:w="0" w:type="dxa"/>
            <w:vAlign w:val="bottom"/>
          </w:tcPr>
          <w:p>
            <w:pPr>
              <w:spacing w:after="0"/>
              <w:rPr>
                <w:sz w:val="1"/>
                <w:szCs w:val="1"/>
                <w:color w:val="auto"/>
              </w:rPr>
            </w:pPr>
          </w:p>
        </w:tc>
      </w:tr>
      <w:tr>
        <w:trPr>
          <w:trHeight w:val="404"/>
        </w:trPr>
        <w:tc>
          <w:tcPr>
            <w:tcW w:w="98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10(r)</w:t>
            </w:r>
          </w:p>
        </w:tc>
        <w:tc>
          <w:tcPr>
            <w:tcW w:w="6360" w:type="dxa"/>
            <w:vAlign w:val="bottom"/>
          </w:tcPr>
          <w:p>
            <w:pPr>
              <w:ind w:left="280"/>
              <w:spacing w:after="0"/>
              <w:rPr>
                <w:sz w:val="20"/>
                <w:szCs w:val="20"/>
                <w:color w:val="auto"/>
              </w:rPr>
            </w:pPr>
            <w:r>
              <w:rPr>
                <w:rFonts w:ascii="Arial" w:cs="Arial" w:eastAsia="Arial" w:hAnsi="Arial"/>
                <w:sz w:val="18"/>
                <w:szCs w:val="18"/>
                <w:color w:val="auto"/>
              </w:rPr>
              <w:t>Employment agreement, dated May 12, 2005, between the Company and</w:t>
            </w:r>
          </w:p>
        </w:tc>
        <w:tc>
          <w:tcPr>
            <w:tcW w:w="10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00" w:type="dxa"/>
            <w:vAlign w:val="bottom"/>
          </w:tcPr>
          <w:p>
            <w:pPr>
              <w:spacing w:after="0"/>
              <w:rPr>
                <w:sz w:val="24"/>
                <w:szCs w:val="24"/>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5/18/05</w:t>
            </w:r>
          </w:p>
        </w:tc>
        <w:tc>
          <w:tcPr>
            <w:tcW w:w="0" w:type="dxa"/>
            <w:vAlign w:val="bottom"/>
          </w:tcPr>
          <w:p>
            <w:pPr>
              <w:spacing w:after="0"/>
              <w:rPr>
                <w:sz w:val="1"/>
                <w:szCs w:val="1"/>
                <w:color w:val="auto"/>
              </w:rPr>
            </w:pPr>
          </w:p>
        </w:tc>
      </w:tr>
      <w:tr>
        <w:trPr>
          <w:trHeight w:val="217"/>
        </w:trPr>
        <w:tc>
          <w:tcPr>
            <w:tcW w:w="980" w:type="dxa"/>
            <w:vAlign w:val="bottom"/>
            <w:tcBorders>
              <w:left w:val="single" w:sz="8" w:color="auto"/>
            </w:tcBorders>
          </w:tcPr>
          <w:p>
            <w:pPr>
              <w:spacing w:after="0"/>
              <w:rPr>
                <w:sz w:val="18"/>
                <w:szCs w:val="18"/>
                <w:color w:val="auto"/>
              </w:rPr>
            </w:pPr>
          </w:p>
        </w:tc>
        <w:tc>
          <w:tcPr>
            <w:tcW w:w="6360" w:type="dxa"/>
            <w:vAlign w:val="bottom"/>
          </w:tcPr>
          <w:p>
            <w:pPr>
              <w:ind w:left="280"/>
              <w:spacing w:after="0"/>
              <w:rPr>
                <w:sz w:val="20"/>
                <w:szCs w:val="20"/>
                <w:color w:val="auto"/>
              </w:rPr>
            </w:pPr>
            <w:r>
              <w:rPr>
                <w:rFonts w:ascii="Arial" w:cs="Arial" w:eastAsia="Arial" w:hAnsi="Arial"/>
                <w:sz w:val="18"/>
                <w:szCs w:val="18"/>
                <w:color w:val="auto"/>
              </w:rPr>
              <w:t>Joseph G. Morone</w:t>
            </w:r>
          </w:p>
        </w:tc>
        <w:tc>
          <w:tcPr>
            <w:tcW w:w="1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98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10(s)</w:t>
            </w:r>
          </w:p>
        </w:tc>
        <w:tc>
          <w:tcPr>
            <w:tcW w:w="6360" w:type="dxa"/>
            <w:vAlign w:val="bottom"/>
          </w:tcPr>
          <w:p>
            <w:pPr>
              <w:ind w:left="280"/>
              <w:spacing w:after="0"/>
              <w:rPr>
                <w:sz w:val="20"/>
                <w:szCs w:val="20"/>
                <w:color w:val="auto"/>
              </w:rPr>
            </w:pPr>
            <w:r>
              <w:rPr>
                <w:rFonts w:ascii="Arial" w:cs="Arial" w:eastAsia="Arial" w:hAnsi="Arial"/>
                <w:sz w:val="18"/>
                <w:szCs w:val="18"/>
                <w:color w:val="auto"/>
              </w:rPr>
              <w:t>Form of Indemnification Agreement</w:t>
            </w:r>
          </w:p>
        </w:tc>
        <w:tc>
          <w:tcPr>
            <w:tcW w:w="10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00" w:type="dxa"/>
            <w:vAlign w:val="bottom"/>
          </w:tcPr>
          <w:p>
            <w:pPr>
              <w:spacing w:after="0"/>
              <w:rPr>
                <w:sz w:val="24"/>
                <w:szCs w:val="24"/>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2/23/11</w:t>
            </w:r>
          </w:p>
        </w:tc>
        <w:tc>
          <w:tcPr>
            <w:tcW w:w="0" w:type="dxa"/>
            <w:vAlign w:val="bottom"/>
          </w:tcPr>
          <w:p>
            <w:pPr>
              <w:spacing w:after="0"/>
              <w:rPr>
                <w:sz w:val="1"/>
                <w:szCs w:val="1"/>
                <w:color w:val="auto"/>
              </w:rPr>
            </w:pPr>
          </w:p>
        </w:tc>
      </w:tr>
      <w:tr>
        <w:trPr>
          <w:trHeight w:val="203"/>
        </w:trPr>
        <w:tc>
          <w:tcPr>
            <w:tcW w:w="980" w:type="dxa"/>
            <w:vAlign w:val="bottom"/>
            <w:tcBorders>
              <w:left w:val="single" w:sz="8" w:color="auto"/>
              <w:bottom w:val="single" w:sz="8" w:color="auto"/>
            </w:tcBorders>
          </w:tcPr>
          <w:p>
            <w:pPr>
              <w:spacing w:after="0"/>
              <w:rPr>
                <w:sz w:val="17"/>
                <w:szCs w:val="17"/>
                <w:color w:val="auto"/>
              </w:rPr>
            </w:pPr>
          </w:p>
        </w:tc>
        <w:tc>
          <w:tcPr>
            <w:tcW w:w="6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19"/>
        </w:trPr>
        <w:tc>
          <w:tcPr>
            <w:tcW w:w="980" w:type="dxa"/>
            <w:vAlign w:val="bottom"/>
            <w:tcBorders>
              <w:bottom w:val="single" w:sz="8" w:color="auto"/>
            </w:tcBorders>
          </w:tcPr>
          <w:p>
            <w:pPr>
              <w:spacing w:after="0"/>
              <w:rPr>
                <w:sz w:val="24"/>
                <w:szCs w:val="24"/>
                <w:color w:val="auto"/>
              </w:rPr>
            </w:pPr>
          </w:p>
        </w:tc>
        <w:tc>
          <w:tcPr>
            <w:tcW w:w="6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bl>
    <w:p>
      <w:pPr>
        <w:sectPr>
          <w:pgSz w:w="11900" w:h="16838" w:orient="portrait"/>
          <w:cols w:equalWidth="0" w:num="1">
            <w:col w:w="11440"/>
          </w:cols>
          <w:pgMar w:left="240" w:top="643" w:right="219" w:bottom="1440" w:gutter="0" w:footer="0" w:header="0"/>
        </w:sectPr>
      </w:pPr>
    </w:p>
    <w:bookmarkStart w:id="99" w:name="page100"/>
    <w:bookmarkEnd w:id="9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920" w:type="dxa"/>
            <w:vAlign w:val="bottom"/>
            <w:vMerge w:val="restart"/>
          </w:tcPr>
          <w:p>
            <w:pPr>
              <w:spacing w:after="0"/>
              <w:rPr>
                <w:sz w:val="20"/>
                <w:szCs w:val="20"/>
                <w:color w:val="auto"/>
              </w:rPr>
            </w:pPr>
            <w:r>
              <w:rPr>
                <w:rFonts w:ascii="Arial" w:cs="Arial" w:eastAsia="Arial" w:hAnsi="Arial"/>
                <w:sz w:val="18"/>
                <w:szCs w:val="18"/>
                <w:b w:val="1"/>
                <w:bCs w:val="1"/>
                <w:color w:val="auto"/>
              </w:rPr>
              <w:t>Exhibit</w:t>
            </w:r>
          </w:p>
        </w:tc>
        <w:tc>
          <w:tcPr>
            <w:tcW w:w="6780" w:type="dxa"/>
            <w:vAlign w:val="bottom"/>
          </w:tcPr>
          <w:p>
            <w:pPr>
              <w:spacing w:after="0"/>
              <w:rPr>
                <w:sz w:val="19"/>
                <w:szCs w:val="19"/>
                <w:color w:val="auto"/>
              </w:rPr>
            </w:pPr>
          </w:p>
        </w:tc>
        <w:tc>
          <w:tcPr>
            <w:tcW w:w="8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Filed</w:t>
            </w:r>
          </w:p>
        </w:tc>
        <w:tc>
          <w:tcPr>
            <w:tcW w:w="288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Incorporated by Reference</w:t>
            </w:r>
          </w:p>
        </w:tc>
        <w:tc>
          <w:tcPr>
            <w:tcW w:w="0" w:type="dxa"/>
            <w:vAlign w:val="bottom"/>
          </w:tcPr>
          <w:p>
            <w:pPr>
              <w:spacing w:after="0"/>
              <w:rPr>
                <w:sz w:val="1"/>
                <w:szCs w:val="1"/>
                <w:color w:val="auto"/>
              </w:rPr>
            </w:pPr>
          </w:p>
        </w:tc>
      </w:tr>
      <w:tr>
        <w:trPr>
          <w:trHeight w:val="173"/>
        </w:trPr>
        <w:tc>
          <w:tcPr>
            <w:tcW w:w="920" w:type="dxa"/>
            <w:vAlign w:val="bottom"/>
            <w:vMerge w:val="continue"/>
          </w:tcPr>
          <w:p>
            <w:pPr>
              <w:spacing w:after="0"/>
              <w:rPr>
                <w:sz w:val="15"/>
                <w:szCs w:val="15"/>
                <w:color w:val="auto"/>
              </w:rPr>
            </w:pPr>
          </w:p>
        </w:tc>
        <w:tc>
          <w:tcPr>
            <w:tcW w:w="67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020" w:type="dxa"/>
            <w:vAlign w:val="bottom"/>
            <w:tcBorders>
              <w:top w:val="single" w:sz="8" w:color="auto"/>
            </w:tcBorders>
          </w:tcPr>
          <w:p>
            <w:pPr>
              <w:ind w:left="220"/>
              <w:spacing w:after="0" w:line="173" w:lineRule="exact"/>
              <w:rPr>
                <w:sz w:val="20"/>
                <w:szCs w:val="20"/>
                <w:color w:val="auto"/>
              </w:rPr>
            </w:pPr>
            <w:r>
              <w:rPr>
                <w:rFonts w:ascii="Arial" w:cs="Arial" w:eastAsia="Arial" w:hAnsi="Arial"/>
                <w:sz w:val="18"/>
                <w:szCs w:val="18"/>
                <w:b w:val="1"/>
                <w:bCs w:val="1"/>
                <w:color w:val="auto"/>
              </w:rPr>
              <w:t>Period</w:t>
            </w:r>
          </w:p>
        </w:tc>
        <w:tc>
          <w:tcPr>
            <w:tcW w:w="0" w:type="dxa"/>
            <w:vAlign w:val="bottom"/>
          </w:tcPr>
          <w:p>
            <w:pPr>
              <w:spacing w:after="0"/>
              <w:rPr>
                <w:sz w:val="1"/>
                <w:szCs w:val="1"/>
                <w:color w:val="auto"/>
              </w:rPr>
            </w:pPr>
          </w:p>
        </w:tc>
      </w:tr>
      <w:tr>
        <w:trPr>
          <w:trHeight w:val="225"/>
        </w:trPr>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678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Exhibit Description</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Herewith</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Form</w:t>
            </w:r>
          </w:p>
        </w:tc>
        <w:tc>
          <w:tcPr>
            <w:tcW w:w="202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Ending  Filing Date</w:t>
            </w:r>
          </w:p>
        </w:tc>
        <w:tc>
          <w:tcPr>
            <w:tcW w:w="0" w:type="dxa"/>
            <w:vAlign w:val="bottom"/>
          </w:tcPr>
          <w:p>
            <w:pPr>
              <w:spacing w:after="0"/>
              <w:rPr>
                <w:sz w:val="1"/>
                <w:szCs w:val="1"/>
                <w:color w:val="auto"/>
              </w:rPr>
            </w:pPr>
          </w:p>
        </w:tc>
      </w:tr>
      <w:tr>
        <w:trPr>
          <w:trHeight w:val="195"/>
        </w:trPr>
        <w:tc>
          <w:tcPr>
            <w:tcW w:w="920" w:type="dxa"/>
            <w:vAlign w:val="bottom"/>
            <w:tcBorders>
              <w:left w:val="single" w:sz="8" w:color="auto"/>
            </w:tcBorders>
          </w:tcPr>
          <w:p>
            <w:pPr>
              <w:ind w:left="20"/>
              <w:spacing w:after="0" w:line="195" w:lineRule="exact"/>
              <w:rPr>
                <w:sz w:val="20"/>
                <w:szCs w:val="20"/>
                <w:color w:val="auto"/>
              </w:rPr>
            </w:pPr>
            <w:r>
              <w:rPr>
                <w:rFonts w:ascii="Arial" w:cs="Arial" w:eastAsia="Arial" w:hAnsi="Arial"/>
                <w:sz w:val="18"/>
                <w:szCs w:val="18"/>
                <w:color w:val="auto"/>
              </w:rPr>
              <w:t>10.1</w:t>
            </w:r>
          </w:p>
        </w:tc>
        <w:tc>
          <w:tcPr>
            <w:tcW w:w="6780" w:type="dxa"/>
            <w:vAlign w:val="bottom"/>
          </w:tcPr>
          <w:p>
            <w:pPr>
              <w:ind w:left="240"/>
              <w:spacing w:after="0" w:line="195" w:lineRule="exact"/>
              <w:rPr>
                <w:sz w:val="20"/>
                <w:szCs w:val="20"/>
                <w:color w:val="auto"/>
              </w:rPr>
            </w:pPr>
            <w:r>
              <w:rPr>
                <w:rFonts w:ascii="Arial" w:cs="Arial" w:eastAsia="Arial" w:hAnsi="Arial"/>
                <w:sz w:val="18"/>
                <w:szCs w:val="18"/>
                <w:color w:val="auto"/>
              </w:rPr>
              <w:t>Stock and Asset Purchase Agreement by and between Albany International Corp.</w:t>
            </w:r>
          </w:p>
        </w:tc>
        <w:tc>
          <w:tcPr>
            <w:tcW w:w="880" w:type="dxa"/>
            <w:vAlign w:val="bottom"/>
          </w:tcPr>
          <w:p>
            <w:pPr>
              <w:spacing w:after="0"/>
              <w:rPr>
                <w:sz w:val="16"/>
                <w:szCs w:val="16"/>
                <w:color w:val="auto"/>
              </w:rPr>
            </w:pPr>
          </w:p>
        </w:tc>
        <w:tc>
          <w:tcPr>
            <w:tcW w:w="860" w:type="dxa"/>
            <w:vAlign w:val="bottom"/>
          </w:tcPr>
          <w:p>
            <w:pPr>
              <w:jc w:val="center"/>
              <w:spacing w:after="0" w:line="195" w:lineRule="exact"/>
              <w:rPr>
                <w:sz w:val="20"/>
                <w:szCs w:val="20"/>
                <w:color w:val="auto"/>
              </w:rPr>
            </w:pPr>
            <w:r>
              <w:rPr>
                <w:rFonts w:ascii="Arial" w:cs="Arial" w:eastAsia="Arial" w:hAnsi="Arial"/>
                <w:sz w:val="18"/>
                <w:szCs w:val="18"/>
                <w:color w:val="auto"/>
                <w:w w:val="99"/>
              </w:rPr>
              <w:t>8-K</w:t>
            </w:r>
          </w:p>
        </w:tc>
        <w:tc>
          <w:tcPr>
            <w:tcW w:w="2020" w:type="dxa"/>
            <w:vAlign w:val="bottom"/>
            <w:tcBorders>
              <w:right w:val="single" w:sz="8" w:color="auto"/>
            </w:tcBorders>
          </w:tcPr>
          <w:p>
            <w:pPr>
              <w:jc w:val="right"/>
              <w:ind w:right="170"/>
              <w:spacing w:after="0" w:line="195" w:lineRule="exact"/>
              <w:rPr>
                <w:sz w:val="20"/>
                <w:szCs w:val="20"/>
                <w:color w:val="auto"/>
              </w:rPr>
            </w:pPr>
            <w:r>
              <w:rPr>
                <w:rFonts w:ascii="Arial" w:cs="Arial" w:eastAsia="Arial" w:hAnsi="Arial"/>
                <w:sz w:val="18"/>
                <w:szCs w:val="18"/>
                <w:color w:val="auto"/>
              </w:rPr>
              <w:t>11/1/11</w:t>
            </w:r>
          </w:p>
        </w:tc>
        <w:tc>
          <w:tcPr>
            <w:tcW w:w="0" w:type="dxa"/>
            <w:vAlign w:val="bottom"/>
          </w:tcPr>
          <w:p>
            <w:pPr>
              <w:spacing w:after="0"/>
              <w:rPr>
                <w:sz w:val="1"/>
                <w:szCs w:val="1"/>
                <w:color w:val="auto"/>
              </w:rPr>
            </w:pPr>
          </w:p>
        </w:tc>
      </w:tr>
      <w:tr>
        <w:trPr>
          <w:trHeight w:val="203"/>
        </w:trPr>
        <w:tc>
          <w:tcPr>
            <w:tcW w:w="920" w:type="dxa"/>
            <w:vAlign w:val="bottom"/>
            <w:tcBorders>
              <w:left w:val="single" w:sz="8" w:color="auto"/>
            </w:tcBorders>
          </w:tcPr>
          <w:p>
            <w:pPr>
              <w:spacing w:after="0"/>
              <w:rPr>
                <w:sz w:val="17"/>
                <w:szCs w:val="17"/>
                <w:color w:val="auto"/>
              </w:rPr>
            </w:pPr>
          </w:p>
        </w:tc>
        <w:tc>
          <w:tcPr>
            <w:tcW w:w="6780" w:type="dxa"/>
            <w:vAlign w:val="bottom"/>
          </w:tcPr>
          <w:p>
            <w:pPr>
              <w:ind w:left="240"/>
              <w:spacing w:after="0" w:line="202" w:lineRule="exact"/>
              <w:rPr>
                <w:sz w:val="20"/>
                <w:szCs w:val="20"/>
                <w:color w:val="auto"/>
              </w:rPr>
            </w:pPr>
            <w:r>
              <w:rPr>
                <w:rFonts w:ascii="Arial" w:cs="Arial" w:eastAsia="Arial" w:hAnsi="Arial"/>
                <w:sz w:val="18"/>
                <w:szCs w:val="18"/>
                <w:color w:val="auto"/>
              </w:rPr>
              <w:t>and ASSA ABLOY AB, dated as of October 27, 2011</w:t>
            </w: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Borders>
              <w:left w:val="single" w:sz="8" w:color="auto"/>
            </w:tcBorders>
          </w:tcPr>
          <w:p>
            <w:pPr>
              <w:ind w:left="20"/>
              <w:spacing w:after="0" w:line="202" w:lineRule="exact"/>
              <w:rPr>
                <w:sz w:val="20"/>
                <w:szCs w:val="20"/>
                <w:color w:val="auto"/>
              </w:rPr>
            </w:pPr>
            <w:r>
              <w:rPr>
                <w:rFonts w:ascii="Arial" w:cs="Arial" w:eastAsia="Arial" w:hAnsi="Arial"/>
                <w:sz w:val="18"/>
                <w:szCs w:val="18"/>
                <w:color w:val="auto"/>
              </w:rPr>
              <w:t>10.2</w:t>
            </w:r>
          </w:p>
        </w:tc>
        <w:tc>
          <w:tcPr>
            <w:tcW w:w="6780" w:type="dxa"/>
            <w:vAlign w:val="bottom"/>
          </w:tcPr>
          <w:p>
            <w:pPr>
              <w:ind w:left="240"/>
              <w:spacing w:after="0" w:line="202" w:lineRule="exact"/>
              <w:rPr>
                <w:sz w:val="20"/>
                <w:szCs w:val="20"/>
                <w:color w:val="auto"/>
              </w:rPr>
            </w:pPr>
            <w:r>
              <w:rPr>
                <w:rFonts w:ascii="Arial" w:cs="Arial" w:eastAsia="Arial" w:hAnsi="Arial"/>
                <w:sz w:val="18"/>
                <w:szCs w:val="18"/>
                <w:color w:val="auto"/>
              </w:rPr>
              <w:t>Amended and restated LLC operating agreement by and between Albany</w:t>
            </w:r>
          </w:p>
        </w:tc>
        <w:tc>
          <w:tcPr>
            <w:tcW w:w="880" w:type="dxa"/>
            <w:vAlign w:val="bottom"/>
          </w:tcPr>
          <w:p>
            <w:pPr>
              <w:jc w:val="center"/>
              <w:spacing w:after="0" w:line="202" w:lineRule="exact"/>
              <w:rPr>
                <w:sz w:val="20"/>
                <w:szCs w:val="20"/>
                <w:color w:val="auto"/>
              </w:rPr>
            </w:pPr>
            <w:r>
              <w:rPr>
                <w:rFonts w:ascii="Arial" w:cs="Arial" w:eastAsia="Arial" w:hAnsi="Arial"/>
                <w:sz w:val="18"/>
                <w:szCs w:val="18"/>
                <w:color w:val="auto"/>
                <w:w w:val="99"/>
              </w:rPr>
              <w:t>X</w:t>
            </w:r>
          </w:p>
        </w:tc>
        <w:tc>
          <w:tcPr>
            <w:tcW w:w="860" w:type="dxa"/>
            <w:vAlign w:val="bottom"/>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Borders>
              <w:left w:val="single" w:sz="8" w:color="auto"/>
            </w:tcBorders>
          </w:tcPr>
          <w:p>
            <w:pPr>
              <w:spacing w:after="0"/>
              <w:rPr>
                <w:sz w:val="17"/>
                <w:szCs w:val="17"/>
                <w:color w:val="auto"/>
              </w:rPr>
            </w:pPr>
          </w:p>
        </w:tc>
        <w:tc>
          <w:tcPr>
            <w:tcW w:w="6780" w:type="dxa"/>
            <w:vAlign w:val="bottom"/>
          </w:tcPr>
          <w:p>
            <w:pPr>
              <w:ind w:left="240"/>
              <w:spacing w:after="0" w:line="202" w:lineRule="exact"/>
              <w:rPr>
                <w:sz w:val="20"/>
                <w:szCs w:val="20"/>
                <w:color w:val="auto"/>
              </w:rPr>
            </w:pPr>
            <w:r>
              <w:rPr>
                <w:rFonts w:ascii="Arial" w:cs="Arial" w:eastAsia="Arial" w:hAnsi="Arial"/>
                <w:sz w:val="18"/>
                <w:szCs w:val="18"/>
                <w:color w:val="auto"/>
              </w:rPr>
              <w:t>Engineered Composites and Safran Aerospace Composites, Inc. 10% equity</w:t>
            </w: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Borders>
              <w:left w:val="single" w:sz="8" w:color="auto"/>
            </w:tcBorders>
          </w:tcPr>
          <w:p>
            <w:pPr>
              <w:spacing w:after="0"/>
              <w:rPr>
                <w:sz w:val="17"/>
                <w:szCs w:val="17"/>
                <w:color w:val="auto"/>
              </w:rPr>
            </w:pPr>
          </w:p>
        </w:tc>
        <w:tc>
          <w:tcPr>
            <w:tcW w:w="6780" w:type="dxa"/>
            <w:vAlign w:val="bottom"/>
          </w:tcPr>
          <w:p>
            <w:pPr>
              <w:ind w:left="240"/>
              <w:spacing w:after="0" w:line="202" w:lineRule="exact"/>
              <w:rPr>
                <w:sz w:val="20"/>
                <w:szCs w:val="20"/>
                <w:color w:val="auto"/>
              </w:rPr>
            </w:pPr>
            <w:r>
              <w:rPr>
                <w:rFonts w:ascii="Arial" w:cs="Arial" w:eastAsia="Arial" w:hAnsi="Arial"/>
                <w:sz w:val="18"/>
                <w:szCs w:val="18"/>
                <w:color w:val="auto"/>
              </w:rPr>
              <w:t>interest in ASC for $28 million</w:t>
            </w: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Borders>
              <w:left w:val="single" w:sz="8" w:color="auto"/>
            </w:tcBorders>
          </w:tcPr>
          <w:p>
            <w:pPr>
              <w:ind w:left="20"/>
              <w:spacing w:after="0" w:line="202" w:lineRule="exact"/>
              <w:rPr>
                <w:sz w:val="20"/>
                <w:szCs w:val="20"/>
                <w:color w:val="auto"/>
              </w:rPr>
            </w:pPr>
            <w:r>
              <w:rPr>
                <w:rFonts w:ascii="Arial" w:cs="Arial" w:eastAsia="Arial" w:hAnsi="Arial"/>
                <w:sz w:val="18"/>
                <w:szCs w:val="18"/>
                <w:color w:val="auto"/>
              </w:rPr>
              <w:t>11</w:t>
            </w:r>
          </w:p>
        </w:tc>
        <w:tc>
          <w:tcPr>
            <w:tcW w:w="6780" w:type="dxa"/>
            <w:vAlign w:val="bottom"/>
          </w:tcPr>
          <w:p>
            <w:pPr>
              <w:ind w:left="240"/>
              <w:spacing w:after="0" w:line="202" w:lineRule="exact"/>
              <w:rPr>
                <w:sz w:val="20"/>
                <w:szCs w:val="20"/>
                <w:color w:val="auto"/>
              </w:rPr>
            </w:pPr>
            <w:r>
              <w:rPr>
                <w:rFonts w:ascii="Arial" w:cs="Arial" w:eastAsia="Arial" w:hAnsi="Arial"/>
                <w:sz w:val="18"/>
                <w:szCs w:val="18"/>
                <w:color w:val="auto"/>
              </w:rPr>
              <w:t>Statement of Computation of Earnings per share (provided in Footnote 9 to the</w:t>
            </w:r>
          </w:p>
        </w:tc>
        <w:tc>
          <w:tcPr>
            <w:tcW w:w="880" w:type="dxa"/>
            <w:vAlign w:val="bottom"/>
          </w:tcPr>
          <w:p>
            <w:pPr>
              <w:jc w:val="center"/>
              <w:spacing w:after="0" w:line="202" w:lineRule="exact"/>
              <w:rPr>
                <w:sz w:val="20"/>
                <w:szCs w:val="20"/>
                <w:color w:val="auto"/>
              </w:rPr>
            </w:pPr>
            <w:r>
              <w:rPr>
                <w:rFonts w:ascii="Arial" w:cs="Arial" w:eastAsia="Arial" w:hAnsi="Arial"/>
                <w:sz w:val="18"/>
                <w:szCs w:val="18"/>
                <w:color w:val="auto"/>
                <w:w w:val="99"/>
              </w:rPr>
              <w:t>X</w:t>
            </w:r>
          </w:p>
        </w:tc>
        <w:tc>
          <w:tcPr>
            <w:tcW w:w="860" w:type="dxa"/>
            <w:vAlign w:val="bottom"/>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920" w:type="dxa"/>
            <w:vAlign w:val="bottom"/>
            <w:tcBorders>
              <w:left w:val="single" w:sz="8" w:color="auto"/>
            </w:tcBorders>
          </w:tcPr>
          <w:p>
            <w:pPr>
              <w:spacing w:after="0"/>
              <w:rPr>
                <w:sz w:val="18"/>
                <w:szCs w:val="18"/>
                <w:color w:val="auto"/>
              </w:rPr>
            </w:pPr>
          </w:p>
        </w:tc>
        <w:tc>
          <w:tcPr>
            <w:tcW w:w="6780" w:type="dxa"/>
            <w:vAlign w:val="bottom"/>
          </w:tcPr>
          <w:p>
            <w:pPr>
              <w:ind w:left="240"/>
              <w:spacing w:after="0"/>
              <w:rPr>
                <w:sz w:val="20"/>
                <w:szCs w:val="20"/>
                <w:color w:val="auto"/>
              </w:rPr>
            </w:pPr>
            <w:r>
              <w:rPr>
                <w:rFonts w:ascii="Arial" w:cs="Arial" w:eastAsia="Arial" w:hAnsi="Arial"/>
                <w:sz w:val="18"/>
                <w:szCs w:val="18"/>
                <w:color w:val="auto"/>
              </w:rPr>
              <w:t>Consolidated Financial Statements)</w:t>
            </w:r>
          </w:p>
        </w:tc>
        <w:tc>
          <w:tcPr>
            <w:tcW w:w="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4"/>
        </w:trPr>
        <w:tc>
          <w:tcPr>
            <w:tcW w:w="92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21</w:t>
            </w:r>
          </w:p>
        </w:tc>
        <w:tc>
          <w:tcPr>
            <w:tcW w:w="6780" w:type="dxa"/>
            <w:vAlign w:val="bottom"/>
          </w:tcPr>
          <w:p>
            <w:pPr>
              <w:ind w:left="240"/>
              <w:spacing w:after="0"/>
              <w:rPr>
                <w:sz w:val="20"/>
                <w:szCs w:val="20"/>
                <w:color w:val="auto"/>
              </w:rPr>
            </w:pPr>
            <w:r>
              <w:rPr>
                <w:rFonts w:ascii="Arial" w:cs="Arial" w:eastAsia="Arial" w:hAnsi="Arial"/>
                <w:sz w:val="18"/>
                <w:szCs w:val="18"/>
                <w:color w:val="auto"/>
              </w:rPr>
              <w:t>Subsidiaries of Company</w:t>
            </w: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860" w:type="dxa"/>
            <w:vAlign w:val="bottom"/>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920" w:type="dxa"/>
            <w:vAlign w:val="bottom"/>
            <w:tcBorders>
              <w:left w:val="single" w:sz="8" w:color="auto"/>
            </w:tcBorders>
          </w:tcPr>
          <w:p>
            <w:pPr>
              <w:ind w:left="20"/>
              <w:spacing w:after="0" w:line="202" w:lineRule="exact"/>
              <w:rPr>
                <w:sz w:val="20"/>
                <w:szCs w:val="20"/>
                <w:color w:val="auto"/>
              </w:rPr>
            </w:pPr>
            <w:r>
              <w:rPr>
                <w:rFonts w:ascii="Arial" w:cs="Arial" w:eastAsia="Arial" w:hAnsi="Arial"/>
                <w:sz w:val="18"/>
                <w:szCs w:val="18"/>
                <w:color w:val="auto"/>
              </w:rPr>
              <w:t>23</w:t>
            </w:r>
          </w:p>
        </w:tc>
        <w:tc>
          <w:tcPr>
            <w:tcW w:w="6780" w:type="dxa"/>
            <w:vAlign w:val="bottom"/>
          </w:tcPr>
          <w:p>
            <w:pPr>
              <w:ind w:left="240"/>
              <w:spacing w:after="0" w:line="202" w:lineRule="exact"/>
              <w:rPr>
                <w:sz w:val="20"/>
                <w:szCs w:val="20"/>
                <w:color w:val="auto"/>
              </w:rPr>
            </w:pPr>
            <w:r>
              <w:rPr>
                <w:rFonts w:ascii="Arial" w:cs="Arial" w:eastAsia="Arial" w:hAnsi="Arial"/>
                <w:sz w:val="18"/>
                <w:szCs w:val="18"/>
                <w:color w:val="auto"/>
              </w:rPr>
              <w:t>Consent of PricewaterhouseCoopers LLP</w:t>
            </w:r>
          </w:p>
        </w:tc>
        <w:tc>
          <w:tcPr>
            <w:tcW w:w="880" w:type="dxa"/>
            <w:vAlign w:val="bottom"/>
          </w:tcPr>
          <w:p>
            <w:pPr>
              <w:jc w:val="center"/>
              <w:spacing w:after="0" w:line="202" w:lineRule="exact"/>
              <w:rPr>
                <w:sz w:val="20"/>
                <w:szCs w:val="20"/>
                <w:color w:val="auto"/>
              </w:rPr>
            </w:pPr>
            <w:r>
              <w:rPr>
                <w:rFonts w:ascii="Arial" w:cs="Arial" w:eastAsia="Arial" w:hAnsi="Arial"/>
                <w:sz w:val="18"/>
                <w:szCs w:val="18"/>
                <w:color w:val="auto"/>
                <w:w w:val="99"/>
              </w:rPr>
              <w:t>X</w:t>
            </w:r>
          </w:p>
        </w:tc>
        <w:tc>
          <w:tcPr>
            <w:tcW w:w="860" w:type="dxa"/>
            <w:vAlign w:val="bottom"/>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Borders>
              <w:left w:val="single" w:sz="8" w:color="auto"/>
            </w:tcBorders>
          </w:tcPr>
          <w:p>
            <w:pPr>
              <w:ind w:left="20"/>
              <w:spacing w:after="0" w:line="202" w:lineRule="exact"/>
              <w:rPr>
                <w:sz w:val="20"/>
                <w:szCs w:val="20"/>
                <w:color w:val="auto"/>
              </w:rPr>
            </w:pPr>
            <w:r>
              <w:rPr>
                <w:rFonts w:ascii="Arial" w:cs="Arial" w:eastAsia="Arial" w:hAnsi="Arial"/>
                <w:sz w:val="18"/>
                <w:szCs w:val="18"/>
                <w:color w:val="auto"/>
              </w:rPr>
              <w:t>24</w:t>
            </w:r>
          </w:p>
        </w:tc>
        <w:tc>
          <w:tcPr>
            <w:tcW w:w="6780" w:type="dxa"/>
            <w:vAlign w:val="bottom"/>
          </w:tcPr>
          <w:p>
            <w:pPr>
              <w:ind w:left="240"/>
              <w:spacing w:after="0" w:line="202" w:lineRule="exact"/>
              <w:rPr>
                <w:sz w:val="20"/>
                <w:szCs w:val="20"/>
                <w:color w:val="auto"/>
              </w:rPr>
            </w:pPr>
            <w:r>
              <w:rPr>
                <w:rFonts w:ascii="Arial" w:cs="Arial" w:eastAsia="Arial" w:hAnsi="Arial"/>
                <w:sz w:val="18"/>
                <w:szCs w:val="18"/>
                <w:color w:val="auto"/>
              </w:rPr>
              <w:t>Powers of Attorney</w:t>
            </w:r>
          </w:p>
        </w:tc>
        <w:tc>
          <w:tcPr>
            <w:tcW w:w="880" w:type="dxa"/>
            <w:vAlign w:val="bottom"/>
          </w:tcPr>
          <w:p>
            <w:pPr>
              <w:jc w:val="center"/>
              <w:spacing w:after="0" w:line="202" w:lineRule="exact"/>
              <w:rPr>
                <w:sz w:val="20"/>
                <w:szCs w:val="20"/>
                <w:color w:val="auto"/>
              </w:rPr>
            </w:pPr>
            <w:r>
              <w:rPr>
                <w:rFonts w:ascii="Arial" w:cs="Arial" w:eastAsia="Arial" w:hAnsi="Arial"/>
                <w:sz w:val="18"/>
                <w:szCs w:val="18"/>
                <w:color w:val="auto"/>
                <w:w w:val="99"/>
              </w:rPr>
              <w:t>X</w:t>
            </w:r>
          </w:p>
        </w:tc>
        <w:tc>
          <w:tcPr>
            <w:tcW w:w="860" w:type="dxa"/>
            <w:vAlign w:val="bottom"/>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Borders>
              <w:left w:val="single" w:sz="8" w:color="auto"/>
            </w:tcBorders>
          </w:tcPr>
          <w:p>
            <w:pPr>
              <w:ind w:left="20"/>
              <w:spacing w:after="0" w:line="202" w:lineRule="exact"/>
              <w:rPr>
                <w:sz w:val="20"/>
                <w:szCs w:val="20"/>
                <w:color w:val="auto"/>
              </w:rPr>
            </w:pPr>
            <w:r>
              <w:rPr>
                <w:rFonts w:ascii="Arial" w:cs="Arial" w:eastAsia="Arial" w:hAnsi="Arial"/>
                <w:sz w:val="18"/>
                <w:szCs w:val="18"/>
                <w:color w:val="auto"/>
              </w:rPr>
              <w:t>31(a)</w:t>
            </w:r>
          </w:p>
        </w:tc>
        <w:tc>
          <w:tcPr>
            <w:tcW w:w="6780" w:type="dxa"/>
            <w:vAlign w:val="bottom"/>
          </w:tcPr>
          <w:p>
            <w:pPr>
              <w:ind w:left="240"/>
              <w:spacing w:after="0" w:line="202" w:lineRule="exact"/>
              <w:rPr>
                <w:sz w:val="20"/>
                <w:szCs w:val="20"/>
                <w:color w:val="auto"/>
              </w:rPr>
            </w:pPr>
            <w:r>
              <w:rPr>
                <w:rFonts w:ascii="Arial" w:cs="Arial" w:eastAsia="Arial" w:hAnsi="Arial"/>
                <w:sz w:val="18"/>
                <w:szCs w:val="18"/>
                <w:color w:val="auto"/>
              </w:rPr>
              <w:t>Certification of Joseph G. Morone required pursuant to Rule 13a-14(a) or Rule</w:t>
            </w:r>
          </w:p>
        </w:tc>
        <w:tc>
          <w:tcPr>
            <w:tcW w:w="880" w:type="dxa"/>
            <w:vAlign w:val="bottom"/>
          </w:tcPr>
          <w:p>
            <w:pPr>
              <w:jc w:val="center"/>
              <w:spacing w:after="0" w:line="202" w:lineRule="exact"/>
              <w:rPr>
                <w:sz w:val="20"/>
                <w:szCs w:val="20"/>
                <w:color w:val="auto"/>
              </w:rPr>
            </w:pPr>
            <w:r>
              <w:rPr>
                <w:rFonts w:ascii="Arial" w:cs="Arial" w:eastAsia="Arial" w:hAnsi="Arial"/>
                <w:sz w:val="18"/>
                <w:szCs w:val="18"/>
                <w:color w:val="auto"/>
                <w:w w:val="99"/>
              </w:rPr>
              <w:t>X</w:t>
            </w:r>
          </w:p>
        </w:tc>
        <w:tc>
          <w:tcPr>
            <w:tcW w:w="860" w:type="dxa"/>
            <w:vAlign w:val="bottom"/>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Borders>
              <w:left w:val="single" w:sz="8" w:color="auto"/>
            </w:tcBorders>
          </w:tcPr>
          <w:p>
            <w:pPr>
              <w:spacing w:after="0"/>
              <w:rPr>
                <w:sz w:val="17"/>
                <w:szCs w:val="17"/>
                <w:color w:val="auto"/>
              </w:rPr>
            </w:pPr>
          </w:p>
        </w:tc>
        <w:tc>
          <w:tcPr>
            <w:tcW w:w="6780" w:type="dxa"/>
            <w:vAlign w:val="bottom"/>
          </w:tcPr>
          <w:p>
            <w:pPr>
              <w:ind w:left="240"/>
              <w:spacing w:after="0" w:line="202" w:lineRule="exact"/>
              <w:rPr>
                <w:sz w:val="20"/>
                <w:szCs w:val="20"/>
                <w:color w:val="auto"/>
              </w:rPr>
            </w:pPr>
            <w:r>
              <w:rPr>
                <w:rFonts w:ascii="Arial" w:cs="Arial" w:eastAsia="Arial" w:hAnsi="Arial"/>
                <w:sz w:val="18"/>
                <w:szCs w:val="18"/>
                <w:color w:val="auto"/>
              </w:rPr>
              <w:t>15d-14(a)</w:t>
            </w: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Borders>
              <w:left w:val="single" w:sz="8" w:color="auto"/>
            </w:tcBorders>
          </w:tcPr>
          <w:p>
            <w:pPr>
              <w:ind w:left="20"/>
              <w:spacing w:after="0" w:line="202" w:lineRule="exact"/>
              <w:rPr>
                <w:sz w:val="20"/>
                <w:szCs w:val="20"/>
                <w:color w:val="auto"/>
              </w:rPr>
            </w:pPr>
            <w:r>
              <w:rPr>
                <w:rFonts w:ascii="Arial" w:cs="Arial" w:eastAsia="Arial" w:hAnsi="Arial"/>
                <w:sz w:val="18"/>
                <w:szCs w:val="18"/>
                <w:color w:val="auto"/>
              </w:rPr>
              <w:t>31(b)</w:t>
            </w:r>
          </w:p>
        </w:tc>
        <w:tc>
          <w:tcPr>
            <w:tcW w:w="6780" w:type="dxa"/>
            <w:vAlign w:val="bottom"/>
          </w:tcPr>
          <w:p>
            <w:pPr>
              <w:ind w:left="240"/>
              <w:spacing w:after="0" w:line="202" w:lineRule="exact"/>
              <w:rPr>
                <w:sz w:val="20"/>
                <w:szCs w:val="20"/>
                <w:color w:val="auto"/>
              </w:rPr>
            </w:pPr>
            <w:r>
              <w:rPr>
                <w:rFonts w:ascii="Arial" w:cs="Arial" w:eastAsia="Arial" w:hAnsi="Arial"/>
                <w:sz w:val="18"/>
                <w:szCs w:val="18"/>
                <w:color w:val="auto"/>
              </w:rPr>
              <w:t>Certification of John B. Cozzolino required pursuant to Rule 13a-14(a) or Rule</w:t>
            </w:r>
          </w:p>
        </w:tc>
        <w:tc>
          <w:tcPr>
            <w:tcW w:w="880" w:type="dxa"/>
            <w:vAlign w:val="bottom"/>
          </w:tcPr>
          <w:p>
            <w:pPr>
              <w:jc w:val="center"/>
              <w:spacing w:after="0" w:line="202" w:lineRule="exact"/>
              <w:rPr>
                <w:sz w:val="20"/>
                <w:szCs w:val="20"/>
                <w:color w:val="auto"/>
              </w:rPr>
            </w:pPr>
            <w:r>
              <w:rPr>
                <w:rFonts w:ascii="Arial" w:cs="Arial" w:eastAsia="Arial" w:hAnsi="Arial"/>
                <w:sz w:val="18"/>
                <w:szCs w:val="18"/>
                <w:color w:val="auto"/>
                <w:w w:val="99"/>
              </w:rPr>
              <w:t>X</w:t>
            </w:r>
          </w:p>
        </w:tc>
        <w:tc>
          <w:tcPr>
            <w:tcW w:w="860" w:type="dxa"/>
            <w:vAlign w:val="bottom"/>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Borders>
              <w:left w:val="single" w:sz="8" w:color="auto"/>
            </w:tcBorders>
          </w:tcPr>
          <w:p>
            <w:pPr>
              <w:spacing w:after="0"/>
              <w:rPr>
                <w:sz w:val="17"/>
                <w:szCs w:val="17"/>
                <w:color w:val="auto"/>
              </w:rPr>
            </w:pPr>
          </w:p>
        </w:tc>
        <w:tc>
          <w:tcPr>
            <w:tcW w:w="6780" w:type="dxa"/>
            <w:vAlign w:val="bottom"/>
          </w:tcPr>
          <w:p>
            <w:pPr>
              <w:ind w:left="240"/>
              <w:spacing w:after="0" w:line="202" w:lineRule="exact"/>
              <w:rPr>
                <w:sz w:val="20"/>
                <w:szCs w:val="20"/>
                <w:color w:val="auto"/>
              </w:rPr>
            </w:pPr>
            <w:r>
              <w:rPr>
                <w:rFonts w:ascii="Arial" w:cs="Arial" w:eastAsia="Arial" w:hAnsi="Arial"/>
                <w:sz w:val="18"/>
                <w:szCs w:val="18"/>
                <w:color w:val="auto"/>
              </w:rPr>
              <w:t>15d-14(a)</w:t>
            </w: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Borders>
              <w:left w:val="single" w:sz="8" w:color="auto"/>
            </w:tcBorders>
          </w:tcPr>
          <w:p>
            <w:pPr>
              <w:ind w:left="20"/>
              <w:spacing w:after="0" w:line="202" w:lineRule="exact"/>
              <w:rPr>
                <w:sz w:val="20"/>
                <w:szCs w:val="20"/>
                <w:color w:val="auto"/>
              </w:rPr>
            </w:pPr>
            <w:r>
              <w:rPr>
                <w:rFonts w:ascii="Arial" w:cs="Arial" w:eastAsia="Arial" w:hAnsi="Arial"/>
                <w:sz w:val="18"/>
                <w:szCs w:val="18"/>
                <w:color w:val="auto"/>
              </w:rPr>
              <w:t>32(a)</w:t>
            </w:r>
          </w:p>
        </w:tc>
        <w:tc>
          <w:tcPr>
            <w:tcW w:w="6780" w:type="dxa"/>
            <w:vAlign w:val="bottom"/>
          </w:tcPr>
          <w:p>
            <w:pPr>
              <w:ind w:left="240"/>
              <w:spacing w:after="0" w:line="202" w:lineRule="exact"/>
              <w:rPr>
                <w:sz w:val="20"/>
                <w:szCs w:val="20"/>
                <w:color w:val="auto"/>
              </w:rPr>
            </w:pPr>
            <w:r>
              <w:rPr>
                <w:rFonts w:ascii="Arial" w:cs="Arial" w:eastAsia="Arial" w:hAnsi="Arial"/>
                <w:sz w:val="18"/>
                <w:szCs w:val="18"/>
                <w:color w:val="auto"/>
              </w:rPr>
              <w:t>Certification of Joseph G. Morone and John B. Cozzolino required pursuant to</w:t>
            </w:r>
          </w:p>
        </w:tc>
        <w:tc>
          <w:tcPr>
            <w:tcW w:w="880" w:type="dxa"/>
            <w:vAlign w:val="bottom"/>
          </w:tcPr>
          <w:p>
            <w:pPr>
              <w:jc w:val="center"/>
              <w:spacing w:after="0" w:line="202" w:lineRule="exact"/>
              <w:rPr>
                <w:sz w:val="20"/>
                <w:szCs w:val="20"/>
                <w:color w:val="auto"/>
              </w:rPr>
            </w:pPr>
            <w:r>
              <w:rPr>
                <w:rFonts w:ascii="Arial" w:cs="Arial" w:eastAsia="Arial" w:hAnsi="Arial"/>
                <w:sz w:val="18"/>
                <w:szCs w:val="18"/>
                <w:color w:val="auto"/>
                <w:w w:val="99"/>
              </w:rPr>
              <w:t>X</w:t>
            </w:r>
          </w:p>
        </w:tc>
        <w:tc>
          <w:tcPr>
            <w:tcW w:w="860" w:type="dxa"/>
            <w:vAlign w:val="bottom"/>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Borders>
              <w:left w:val="single" w:sz="8" w:color="auto"/>
            </w:tcBorders>
          </w:tcPr>
          <w:p>
            <w:pPr>
              <w:spacing w:after="0"/>
              <w:rPr>
                <w:sz w:val="17"/>
                <w:szCs w:val="17"/>
                <w:color w:val="auto"/>
              </w:rPr>
            </w:pPr>
          </w:p>
        </w:tc>
        <w:tc>
          <w:tcPr>
            <w:tcW w:w="6780" w:type="dxa"/>
            <w:vAlign w:val="bottom"/>
          </w:tcPr>
          <w:p>
            <w:pPr>
              <w:ind w:left="240"/>
              <w:spacing w:after="0" w:line="202" w:lineRule="exact"/>
              <w:rPr>
                <w:sz w:val="20"/>
                <w:szCs w:val="20"/>
                <w:color w:val="auto"/>
              </w:rPr>
            </w:pPr>
            <w:r>
              <w:rPr>
                <w:rFonts w:ascii="Arial" w:cs="Arial" w:eastAsia="Arial" w:hAnsi="Arial"/>
                <w:sz w:val="18"/>
                <w:szCs w:val="18"/>
                <w:color w:val="auto"/>
              </w:rPr>
              <w:t>Rule 13a-14(b) or Rule 15d-14(b) and Section 1350 of Chapter 63 of Title 18 of</w:t>
            </w: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Borders>
              <w:left w:val="single" w:sz="8" w:color="auto"/>
              <w:bottom w:val="single" w:sz="8" w:color="auto"/>
            </w:tcBorders>
          </w:tcPr>
          <w:p>
            <w:pPr>
              <w:spacing w:after="0"/>
              <w:rPr>
                <w:sz w:val="17"/>
                <w:szCs w:val="17"/>
                <w:color w:val="auto"/>
              </w:rPr>
            </w:pPr>
          </w:p>
        </w:tc>
        <w:tc>
          <w:tcPr>
            <w:tcW w:w="6780" w:type="dxa"/>
            <w:vAlign w:val="bottom"/>
            <w:tcBorders>
              <w:bottom w:val="single" w:sz="8" w:color="auto"/>
            </w:tcBorders>
          </w:tcPr>
          <w:p>
            <w:pPr>
              <w:ind w:left="240"/>
              <w:spacing w:after="0" w:line="203" w:lineRule="exact"/>
              <w:rPr>
                <w:sz w:val="20"/>
                <w:szCs w:val="20"/>
                <w:color w:val="auto"/>
              </w:rPr>
            </w:pPr>
            <w:r>
              <w:rPr>
                <w:rFonts w:ascii="Arial" w:cs="Arial" w:eastAsia="Arial" w:hAnsi="Arial"/>
                <w:sz w:val="18"/>
                <w:szCs w:val="18"/>
                <w:color w:val="auto"/>
              </w:rPr>
              <w:t>the United States Code</w:t>
            </w:r>
          </w:p>
        </w:tc>
        <w:tc>
          <w:tcPr>
            <w:tcW w:w="8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11460" w:type="dxa"/>
            <w:vAlign w:val="bottom"/>
            <w:tcBorders>
              <w:left w:val="single" w:sz="8" w:color="auto"/>
              <w:right w:val="single" w:sz="8" w:color="auto"/>
            </w:tcBorders>
            <w:gridSpan w:val="5"/>
          </w:tcPr>
          <w:p>
            <w:pPr>
              <w:ind w:left="20"/>
              <w:spacing w:after="0" w:line="173" w:lineRule="exact"/>
              <w:rPr>
                <w:sz w:val="20"/>
                <w:szCs w:val="20"/>
                <w:color w:val="auto"/>
              </w:rPr>
            </w:pPr>
            <w:r>
              <w:rPr>
                <w:rFonts w:ascii="Arial" w:cs="Arial" w:eastAsia="Arial" w:hAnsi="Arial"/>
                <w:sz w:val="18"/>
                <w:szCs w:val="18"/>
                <w:b w:val="1"/>
                <w:bCs w:val="1"/>
                <w:color w:val="auto"/>
              </w:rPr>
              <w:t>The following information from the Registrant’s Annual Report on Form 10-K for the year ended December 31, 2013, formatted in</w:t>
            </w:r>
          </w:p>
        </w:tc>
        <w:tc>
          <w:tcPr>
            <w:tcW w:w="0" w:type="dxa"/>
            <w:vAlign w:val="bottom"/>
          </w:tcPr>
          <w:p>
            <w:pPr>
              <w:spacing w:after="0"/>
              <w:rPr>
                <w:sz w:val="1"/>
                <w:szCs w:val="1"/>
                <w:color w:val="auto"/>
              </w:rPr>
            </w:pPr>
          </w:p>
        </w:tc>
      </w:tr>
      <w:tr>
        <w:trPr>
          <w:trHeight w:val="225"/>
        </w:trPr>
        <w:tc>
          <w:tcPr>
            <w:tcW w:w="7700" w:type="dxa"/>
            <w:vAlign w:val="bottom"/>
            <w:tcBorders>
              <w:left w:val="single" w:sz="8" w:color="auto"/>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eXtensible Business Reporting Language (XBRL), filed herewith:</w:t>
            </w:r>
          </w:p>
        </w:tc>
        <w:tc>
          <w:tcPr>
            <w:tcW w:w="8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0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920" w:type="dxa"/>
            <w:vAlign w:val="bottom"/>
            <w:tcBorders>
              <w:left w:val="single" w:sz="8" w:color="auto"/>
            </w:tcBorders>
          </w:tcPr>
          <w:p>
            <w:pPr>
              <w:ind w:left="20"/>
              <w:spacing w:after="0" w:line="195" w:lineRule="exact"/>
              <w:rPr>
                <w:sz w:val="20"/>
                <w:szCs w:val="20"/>
                <w:color w:val="auto"/>
              </w:rPr>
            </w:pPr>
            <w:r>
              <w:rPr>
                <w:rFonts w:ascii="Arial" w:cs="Arial" w:eastAsia="Arial" w:hAnsi="Arial"/>
                <w:sz w:val="18"/>
                <w:szCs w:val="18"/>
                <w:color w:val="auto"/>
              </w:rPr>
              <w:t>101(i)</w:t>
            </w:r>
          </w:p>
        </w:tc>
        <w:tc>
          <w:tcPr>
            <w:tcW w:w="6780" w:type="dxa"/>
            <w:vAlign w:val="bottom"/>
          </w:tcPr>
          <w:p>
            <w:pPr>
              <w:ind w:left="240"/>
              <w:spacing w:after="0" w:line="195" w:lineRule="exact"/>
              <w:rPr>
                <w:sz w:val="20"/>
                <w:szCs w:val="20"/>
                <w:color w:val="auto"/>
              </w:rPr>
            </w:pPr>
            <w:r>
              <w:rPr>
                <w:rFonts w:ascii="Arial" w:cs="Arial" w:eastAsia="Arial" w:hAnsi="Arial"/>
                <w:sz w:val="18"/>
                <w:szCs w:val="18"/>
                <w:color w:val="auto"/>
              </w:rPr>
              <w:t>Consolidated Statements of Income for the years ended December 31, 2013,</w:t>
            </w:r>
          </w:p>
        </w:tc>
        <w:tc>
          <w:tcPr>
            <w:tcW w:w="880" w:type="dxa"/>
            <w:vAlign w:val="bottom"/>
          </w:tcPr>
          <w:p>
            <w:pPr>
              <w:jc w:val="center"/>
              <w:spacing w:after="0" w:line="195" w:lineRule="exact"/>
              <w:rPr>
                <w:sz w:val="20"/>
                <w:szCs w:val="20"/>
                <w:color w:val="auto"/>
              </w:rPr>
            </w:pPr>
            <w:r>
              <w:rPr>
                <w:rFonts w:ascii="Arial" w:cs="Arial" w:eastAsia="Arial" w:hAnsi="Arial"/>
                <w:sz w:val="18"/>
                <w:szCs w:val="18"/>
                <w:color w:val="auto"/>
                <w:w w:val="99"/>
              </w:rPr>
              <w:t>X</w:t>
            </w:r>
          </w:p>
        </w:tc>
        <w:tc>
          <w:tcPr>
            <w:tcW w:w="860" w:type="dxa"/>
            <w:vAlign w:val="bottom"/>
          </w:tcPr>
          <w:p>
            <w:pPr>
              <w:spacing w:after="0"/>
              <w:rPr>
                <w:sz w:val="16"/>
                <w:szCs w:val="16"/>
                <w:color w:val="auto"/>
              </w:rPr>
            </w:pPr>
          </w:p>
        </w:tc>
        <w:tc>
          <w:tcPr>
            <w:tcW w:w="20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920" w:type="dxa"/>
            <w:vAlign w:val="bottom"/>
            <w:tcBorders>
              <w:left w:val="single" w:sz="8" w:color="auto"/>
            </w:tcBorders>
          </w:tcPr>
          <w:p>
            <w:pPr>
              <w:spacing w:after="0"/>
              <w:rPr>
                <w:sz w:val="17"/>
                <w:szCs w:val="17"/>
                <w:color w:val="auto"/>
              </w:rPr>
            </w:pPr>
          </w:p>
        </w:tc>
        <w:tc>
          <w:tcPr>
            <w:tcW w:w="6780" w:type="dxa"/>
            <w:vAlign w:val="bottom"/>
          </w:tcPr>
          <w:p>
            <w:pPr>
              <w:ind w:left="240"/>
              <w:spacing w:after="0" w:line="202" w:lineRule="exact"/>
              <w:rPr>
                <w:sz w:val="20"/>
                <w:szCs w:val="20"/>
                <w:color w:val="auto"/>
              </w:rPr>
            </w:pPr>
            <w:r>
              <w:rPr>
                <w:rFonts w:ascii="Arial" w:cs="Arial" w:eastAsia="Arial" w:hAnsi="Arial"/>
                <w:sz w:val="18"/>
                <w:szCs w:val="18"/>
                <w:color w:val="auto"/>
              </w:rPr>
              <w:t>2012 and 2011</w:t>
            </w: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Borders>
              <w:left w:val="single" w:sz="8" w:color="auto"/>
            </w:tcBorders>
          </w:tcPr>
          <w:p>
            <w:pPr>
              <w:ind w:left="20"/>
              <w:spacing w:after="0" w:line="202" w:lineRule="exact"/>
              <w:rPr>
                <w:sz w:val="20"/>
                <w:szCs w:val="20"/>
                <w:color w:val="auto"/>
              </w:rPr>
            </w:pPr>
            <w:r>
              <w:rPr>
                <w:rFonts w:ascii="Arial" w:cs="Arial" w:eastAsia="Arial" w:hAnsi="Arial"/>
                <w:sz w:val="18"/>
                <w:szCs w:val="18"/>
                <w:color w:val="auto"/>
              </w:rPr>
              <w:t>101(ii)</w:t>
            </w:r>
          </w:p>
        </w:tc>
        <w:tc>
          <w:tcPr>
            <w:tcW w:w="6780" w:type="dxa"/>
            <w:vAlign w:val="bottom"/>
          </w:tcPr>
          <w:p>
            <w:pPr>
              <w:ind w:left="240"/>
              <w:spacing w:after="0" w:line="202" w:lineRule="exact"/>
              <w:rPr>
                <w:sz w:val="20"/>
                <w:szCs w:val="20"/>
                <w:color w:val="auto"/>
              </w:rPr>
            </w:pPr>
            <w:r>
              <w:rPr>
                <w:rFonts w:ascii="Arial" w:cs="Arial" w:eastAsia="Arial" w:hAnsi="Arial"/>
                <w:sz w:val="18"/>
                <w:szCs w:val="18"/>
                <w:color w:val="auto"/>
              </w:rPr>
              <w:t>Consolidated Statements of Comprehensive Income for years ended December</w:t>
            </w:r>
          </w:p>
        </w:tc>
        <w:tc>
          <w:tcPr>
            <w:tcW w:w="880" w:type="dxa"/>
            <w:vAlign w:val="bottom"/>
          </w:tcPr>
          <w:p>
            <w:pPr>
              <w:jc w:val="center"/>
              <w:spacing w:after="0" w:line="202" w:lineRule="exact"/>
              <w:rPr>
                <w:sz w:val="20"/>
                <w:szCs w:val="20"/>
                <w:color w:val="auto"/>
              </w:rPr>
            </w:pPr>
            <w:r>
              <w:rPr>
                <w:rFonts w:ascii="Arial" w:cs="Arial" w:eastAsia="Arial" w:hAnsi="Arial"/>
                <w:sz w:val="18"/>
                <w:szCs w:val="18"/>
                <w:color w:val="auto"/>
                <w:w w:val="99"/>
              </w:rPr>
              <w:t>X</w:t>
            </w:r>
          </w:p>
        </w:tc>
        <w:tc>
          <w:tcPr>
            <w:tcW w:w="860" w:type="dxa"/>
            <w:vAlign w:val="bottom"/>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Borders>
              <w:left w:val="single" w:sz="8" w:color="auto"/>
            </w:tcBorders>
          </w:tcPr>
          <w:p>
            <w:pPr>
              <w:spacing w:after="0"/>
              <w:rPr>
                <w:sz w:val="17"/>
                <w:szCs w:val="17"/>
                <w:color w:val="auto"/>
              </w:rPr>
            </w:pPr>
          </w:p>
        </w:tc>
        <w:tc>
          <w:tcPr>
            <w:tcW w:w="6780" w:type="dxa"/>
            <w:vAlign w:val="bottom"/>
          </w:tcPr>
          <w:p>
            <w:pPr>
              <w:ind w:left="240"/>
              <w:spacing w:after="0" w:line="202" w:lineRule="exact"/>
              <w:rPr>
                <w:sz w:val="20"/>
                <w:szCs w:val="20"/>
                <w:color w:val="auto"/>
              </w:rPr>
            </w:pPr>
            <w:r>
              <w:rPr>
                <w:rFonts w:ascii="Arial" w:cs="Arial" w:eastAsia="Arial" w:hAnsi="Arial"/>
                <w:sz w:val="18"/>
                <w:szCs w:val="18"/>
                <w:color w:val="auto"/>
              </w:rPr>
              <w:t>31, 2013, 2012, and 2011</w:t>
            </w: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Borders>
              <w:left w:val="single" w:sz="8" w:color="auto"/>
            </w:tcBorders>
          </w:tcPr>
          <w:p>
            <w:pPr>
              <w:ind w:left="20"/>
              <w:spacing w:after="0" w:line="202" w:lineRule="exact"/>
              <w:rPr>
                <w:sz w:val="20"/>
                <w:szCs w:val="20"/>
                <w:color w:val="auto"/>
              </w:rPr>
            </w:pPr>
            <w:r>
              <w:rPr>
                <w:rFonts w:ascii="Arial" w:cs="Arial" w:eastAsia="Arial" w:hAnsi="Arial"/>
                <w:sz w:val="18"/>
                <w:szCs w:val="18"/>
                <w:color w:val="auto"/>
              </w:rPr>
              <w:t>101(iii)</w:t>
            </w:r>
          </w:p>
        </w:tc>
        <w:tc>
          <w:tcPr>
            <w:tcW w:w="6780" w:type="dxa"/>
            <w:vAlign w:val="bottom"/>
          </w:tcPr>
          <w:p>
            <w:pPr>
              <w:ind w:left="240"/>
              <w:spacing w:after="0" w:line="202" w:lineRule="exact"/>
              <w:rPr>
                <w:sz w:val="20"/>
                <w:szCs w:val="20"/>
                <w:color w:val="auto"/>
              </w:rPr>
            </w:pPr>
            <w:r>
              <w:rPr>
                <w:rFonts w:ascii="Arial" w:cs="Arial" w:eastAsia="Arial" w:hAnsi="Arial"/>
                <w:sz w:val="18"/>
                <w:szCs w:val="18"/>
                <w:color w:val="auto"/>
              </w:rPr>
              <w:t>Consolidated Balance Sheets as of December 31, 2013 and 2012</w:t>
            </w:r>
          </w:p>
        </w:tc>
        <w:tc>
          <w:tcPr>
            <w:tcW w:w="880" w:type="dxa"/>
            <w:vAlign w:val="bottom"/>
          </w:tcPr>
          <w:p>
            <w:pPr>
              <w:jc w:val="center"/>
              <w:spacing w:after="0" w:line="202" w:lineRule="exact"/>
              <w:rPr>
                <w:sz w:val="20"/>
                <w:szCs w:val="20"/>
                <w:color w:val="auto"/>
              </w:rPr>
            </w:pPr>
            <w:r>
              <w:rPr>
                <w:rFonts w:ascii="Arial" w:cs="Arial" w:eastAsia="Arial" w:hAnsi="Arial"/>
                <w:sz w:val="18"/>
                <w:szCs w:val="18"/>
                <w:color w:val="auto"/>
                <w:w w:val="99"/>
              </w:rPr>
              <w:t>X</w:t>
            </w:r>
          </w:p>
        </w:tc>
        <w:tc>
          <w:tcPr>
            <w:tcW w:w="860" w:type="dxa"/>
            <w:vAlign w:val="bottom"/>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Borders>
              <w:left w:val="single" w:sz="8" w:color="auto"/>
            </w:tcBorders>
          </w:tcPr>
          <w:p>
            <w:pPr>
              <w:ind w:left="20"/>
              <w:spacing w:after="0" w:line="202" w:lineRule="exact"/>
              <w:rPr>
                <w:sz w:val="20"/>
                <w:szCs w:val="20"/>
                <w:color w:val="auto"/>
              </w:rPr>
            </w:pPr>
            <w:r>
              <w:rPr>
                <w:rFonts w:ascii="Arial" w:cs="Arial" w:eastAsia="Arial" w:hAnsi="Arial"/>
                <w:sz w:val="18"/>
                <w:szCs w:val="18"/>
                <w:color w:val="auto"/>
              </w:rPr>
              <w:t>101(iv)</w:t>
            </w:r>
          </w:p>
        </w:tc>
        <w:tc>
          <w:tcPr>
            <w:tcW w:w="6780" w:type="dxa"/>
            <w:vAlign w:val="bottom"/>
          </w:tcPr>
          <w:p>
            <w:pPr>
              <w:ind w:left="240"/>
              <w:spacing w:after="0" w:line="202" w:lineRule="exact"/>
              <w:rPr>
                <w:sz w:val="20"/>
                <w:szCs w:val="20"/>
                <w:color w:val="auto"/>
              </w:rPr>
            </w:pPr>
            <w:r>
              <w:rPr>
                <w:rFonts w:ascii="Arial" w:cs="Arial" w:eastAsia="Arial" w:hAnsi="Arial"/>
                <w:sz w:val="18"/>
                <w:szCs w:val="18"/>
                <w:color w:val="auto"/>
              </w:rPr>
              <w:t>Consolidated Statements of Cash Flows for the years ended December 31, 2013,</w:t>
            </w:r>
          </w:p>
        </w:tc>
        <w:tc>
          <w:tcPr>
            <w:tcW w:w="880" w:type="dxa"/>
            <w:vAlign w:val="bottom"/>
          </w:tcPr>
          <w:p>
            <w:pPr>
              <w:jc w:val="center"/>
              <w:spacing w:after="0" w:line="202" w:lineRule="exact"/>
              <w:rPr>
                <w:sz w:val="20"/>
                <w:szCs w:val="20"/>
                <w:color w:val="auto"/>
              </w:rPr>
            </w:pPr>
            <w:r>
              <w:rPr>
                <w:rFonts w:ascii="Arial" w:cs="Arial" w:eastAsia="Arial" w:hAnsi="Arial"/>
                <w:sz w:val="18"/>
                <w:szCs w:val="18"/>
                <w:color w:val="auto"/>
                <w:w w:val="99"/>
              </w:rPr>
              <w:t>X</w:t>
            </w:r>
          </w:p>
        </w:tc>
        <w:tc>
          <w:tcPr>
            <w:tcW w:w="860" w:type="dxa"/>
            <w:vAlign w:val="bottom"/>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Borders>
              <w:left w:val="single" w:sz="8" w:color="auto"/>
            </w:tcBorders>
          </w:tcPr>
          <w:p>
            <w:pPr>
              <w:spacing w:after="0"/>
              <w:rPr>
                <w:sz w:val="17"/>
                <w:szCs w:val="17"/>
                <w:color w:val="auto"/>
              </w:rPr>
            </w:pPr>
          </w:p>
        </w:tc>
        <w:tc>
          <w:tcPr>
            <w:tcW w:w="6780" w:type="dxa"/>
            <w:vAlign w:val="bottom"/>
          </w:tcPr>
          <w:p>
            <w:pPr>
              <w:ind w:left="240"/>
              <w:spacing w:after="0" w:line="202" w:lineRule="exact"/>
              <w:rPr>
                <w:sz w:val="20"/>
                <w:szCs w:val="20"/>
                <w:color w:val="auto"/>
              </w:rPr>
            </w:pPr>
            <w:r>
              <w:rPr>
                <w:rFonts w:ascii="Arial" w:cs="Arial" w:eastAsia="Arial" w:hAnsi="Arial"/>
                <w:sz w:val="18"/>
                <w:szCs w:val="18"/>
                <w:color w:val="auto"/>
              </w:rPr>
              <w:t>2012, and 2011</w:t>
            </w: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Borders>
              <w:left w:val="single" w:sz="8" w:color="auto"/>
            </w:tcBorders>
          </w:tcPr>
          <w:p>
            <w:pPr>
              <w:ind w:left="20"/>
              <w:spacing w:after="0" w:line="202" w:lineRule="exact"/>
              <w:rPr>
                <w:sz w:val="20"/>
                <w:szCs w:val="20"/>
                <w:color w:val="auto"/>
              </w:rPr>
            </w:pPr>
            <w:r>
              <w:rPr>
                <w:rFonts w:ascii="Arial" w:cs="Arial" w:eastAsia="Arial" w:hAnsi="Arial"/>
                <w:sz w:val="18"/>
                <w:szCs w:val="18"/>
                <w:color w:val="auto"/>
              </w:rPr>
              <w:t>101(v)</w:t>
            </w:r>
          </w:p>
        </w:tc>
        <w:tc>
          <w:tcPr>
            <w:tcW w:w="6780" w:type="dxa"/>
            <w:vAlign w:val="bottom"/>
          </w:tcPr>
          <w:p>
            <w:pPr>
              <w:ind w:left="240"/>
              <w:spacing w:after="0" w:line="202" w:lineRule="exact"/>
              <w:rPr>
                <w:sz w:val="20"/>
                <w:szCs w:val="20"/>
                <w:color w:val="auto"/>
              </w:rPr>
            </w:pPr>
            <w:r>
              <w:rPr>
                <w:rFonts w:ascii="Arial" w:cs="Arial" w:eastAsia="Arial" w:hAnsi="Arial"/>
                <w:sz w:val="18"/>
                <w:szCs w:val="18"/>
                <w:color w:val="auto"/>
              </w:rPr>
              <w:t>Notes to Consolidated Financial Statements</w:t>
            </w:r>
          </w:p>
        </w:tc>
        <w:tc>
          <w:tcPr>
            <w:tcW w:w="880" w:type="dxa"/>
            <w:vAlign w:val="bottom"/>
          </w:tcPr>
          <w:p>
            <w:pPr>
              <w:jc w:val="center"/>
              <w:spacing w:after="0" w:line="202" w:lineRule="exact"/>
              <w:rPr>
                <w:sz w:val="20"/>
                <w:szCs w:val="20"/>
                <w:color w:val="auto"/>
              </w:rPr>
            </w:pPr>
            <w:r>
              <w:rPr>
                <w:rFonts w:ascii="Arial" w:cs="Arial" w:eastAsia="Arial" w:hAnsi="Arial"/>
                <w:sz w:val="18"/>
                <w:szCs w:val="18"/>
                <w:color w:val="auto"/>
                <w:w w:val="99"/>
              </w:rPr>
              <w:t>X</w:t>
            </w:r>
          </w:p>
        </w:tc>
        <w:tc>
          <w:tcPr>
            <w:tcW w:w="860" w:type="dxa"/>
            <w:vAlign w:val="bottom"/>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60" w:type="dxa"/>
            <w:vAlign w:val="bottom"/>
            <w:tcBorders>
              <w:left w:val="single" w:sz="8" w:color="auto"/>
              <w:right w:val="single" w:sz="8" w:color="auto"/>
            </w:tcBorders>
            <w:gridSpan w:val="5"/>
          </w:tcPr>
          <w:p>
            <w:pPr>
              <w:ind w:left="20"/>
              <w:spacing w:after="0" w:line="202" w:lineRule="exact"/>
              <w:rPr>
                <w:sz w:val="20"/>
                <w:szCs w:val="20"/>
                <w:color w:val="auto"/>
              </w:rPr>
            </w:pPr>
            <w:r>
              <w:rPr>
                <w:rFonts w:ascii="Arial" w:cs="Arial" w:eastAsia="Arial" w:hAnsi="Arial"/>
                <w:sz w:val="18"/>
                <w:szCs w:val="18"/>
                <w:color w:val="auto"/>
              </w:rPr>
              <w:t>* As provided in Rule 406T of Regulation S-T, this information shall not be deemed “filed” for purposes of Sections 11 and 12 of the Securities</w:t>
            </w:r>
          </w:p>
        </w:tc>
        <w:tc>
          <w:tcPr>
            <w:tcW w:w="0" w:type="dxa"/>
            <w:vAlign w:val="bottom"/>
          </w:tcPr>
          <w:p>
            <w:pPr>
              <w:spacing w:after="0"/>
              <w:rPr>
                <w:sz w:val="1"/>
                <w:szCs w:val="1"/>
                <w:color w:val="auto"/>
              </w:rPr>
            </w:pPr>
          </w:p>
        </w:tc>
      </w:tr>
      <w:tr>
        <w:trPr>
          <w:trHeight w:val="203"/>
        </w:trPr>
        <w:tc>
          <w:tcPr>
            <w:tcW w:w="8580" w:type="dxa"/>
            <w:vAlign w:val="bottom"/>
            <w:tcBorders>
              <w:left w:val="single" w:sz="8" w:color="auto"/>
              <w:bottom w:val="single" w:sz="8" w:color="auto"/>
            </w:tcBorders>
            <w:gridSpan w:val="3"/>
          </w:tcPr>
          <w:p>
            <w:pPr>
              <w:ind w:left="20"/>
              <w:spacing w:after="0" w:line="203" w:lineRule="exact"/>
              <w:rPr>
                <w:sz w:val="20"/>
                <w:szCs w:val="20"/>
                <w:color w:val="auto"/>
              </w:rPr>
            </w:pPr>
            <w:r>
              <w:rPr>
                <w:rFonts w:ascii="Arial" w:cs="Arial" w:eastAsia="Arial" w:hAnsi="Arial"/>
                <w:sz w:val="18"/>
                <w:szCs w:val="18"/>
                <w:color w:val="auto"/>
              </w:rPr>
              <w:t>Act and Section 18 of the Securities Exchange Act or otherwise subject to liability under those sections.</w:t>
            </w:r>
          </w:p>
        </w:tc>
        <w:tc>
          <w:tcPr>
            <w:tcW w:w="860" w:type="dxa"/>
            <w:vAlign w:val="bottom"/>
            <w:tcBorders>
              <w:bottom w:val="single" w:sz="8" w:color="auto"/>
            </w:tcBorders>
          </w:tcPr>
          <w:p>
            <w:pPr>
              <w:spacing w:after="0"/>
              <w:rPr>
                <w:sz w:val="17"/>
                <w:szCs w:val="17"/>
                <w:color w:val="auto"/>
              </w:rPr>
            </w:pPr>
          </w:p>
        </w:tc>
        <w:tc>
          <w:tcPr>
            <w:tcW w:w="20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19"/>
        </w:trPr>
        <w:tc>
          <w:tcPr>
            <w:tcW w:w="920" w:type="dxa"/>
            <w:vAlign w:val="bottom"/>
            <w:tcBorders>
              <w:bottom w:val="single" w:sz="8" w:color="auto"/>
            </w:tcBorders>
          </w:tcPr>
          <w:p>
            <w:pPr>
              <w:spacing w:after="0"/>
              <w:rPr>
                <w:sz w:val="24"/>
                <w:szCs w:val="24"/>
                <w:color w:val="auto"/>
              </w:rPr>
            </w:pPr>
          </w:p>
        </w:tc>
        <w:tc>
          <w:tcPr>
            <w:tcW w:w="67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ectPr>
          <w:pgSz w:w="11900" w:h="16838" w:orient="portrait"/>
          <w:cols w:equalWidth="0" w:num="1">
            <w:col w:w="11440"/>
          </w:cols>
          <w:pgMar w:left="240" w:top="643" w:right="21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SIGNATURES</w:t>
      </w:r>
    </w:p>
    <w:p>
      <w:pPr>
        <w:spacing w:after="0" w:line="207" w:lineRule="exact"/>
        <w:rPr>
          <w:sz w:val="20"/>
          <w:szCs w:val="20"/>
          <w:color w:val="auto"/>
        </w:rPr>
      </w:pPr>
    </w:p>
    <w:p>
      <w:pPr>
        <w:ind w:right="140" w:firstLine="648"/>
        <w:spacing w:after="0" w:line="246" w:lineRule="auto"/>
        <w:rPr>
          <w:sz w:val="20"/>
          <w:szCs w:val="20"/>
          <w:color w:val="auto"/>
        </w:rPr>
      </w:pPr>
      <w:r>
        <w:rPr>
          <w:rFonts w:ascii="Arial" w:cs="Arial" w:eastAsia="Arial" w:hAnsi="Arial"/>
          <w:sz w:val="18"/>
          <w:szCs w:val="18"/>
          <w:color w:val="auto"/>
        </w:rPr>
        <w:t>Pursuant to the requirements of Section 13 or 15(d) of the Securities Exchange Act of 1934, the Company has duly caused this report to be signed on its behalf by the undersigned, thereunto duly authorized on the 26th day of February, 2014.</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ALBANY INTERNATIONAL CORP.</w:t>
      </w:r>
    </w:p>
    <w:p>
      <w:pPr>
        <w:spacing w:after="0" w:line="17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ALBANY INTERNATIONAL CORP.</w:t>
      </w:r>
    </w:p>
    <w:p>
      <w:pPr>
        <w:spacing w:after="0" w:line="16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 /s/ John B. Cozzolino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3694430</wp:posOffset>
            </wp:positionH>
            <wp:positionV relativeFrom="paragraph">
              <wp:posOffset>-15875</wp:posOffset>
            </wp:positionV>
            <wp:extent cx="148018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480185" cy="8890"/>
                    </a:xfrm>
                    <a:prstGeom prst="rect">
                      <a:avLst/>
                    </a:prstGeom>
                    <a:noFill/>
                  </pic:spPr>
                </pic:pic>
              </a:graphicData>
            </a:graphic>
          </wp:anchor>
        </w:drawing>
      </w:r>
    </w:p>
    <w:p>
      <w:pPr>
        <w:ind w:left="5820"/>
        <w:spacing w:after="0" w:line="234" w:lineRule="auto"/>
        <w:rPr>
          <w:sz w:val="20"/>
          <w:szCs w:val="20"/>
          <w:color w:val="auto"/>
        </w:rPr>
      </w:pPr>
      <w:r>
        <w:rPr>
          <w:rFonts w:ascii="Arial" w:cs="Arial" w:eastAsia="Arial" w:hAnsi="Arial"/>
          <w:sz w:val="18"/>
          <w:szCs w:val="18"/>
          <w:color w:val="auto"/>
        </w:rPr>
        <w:t>John B. Cozzolino</w:t>
      </w:r>
    </w:p>
    <w:p>
      <w:pPr>
        <w:ind w:left="5820"/>
        <w:spacing w:after="0" w:line="235" w:lineRule="auto"/>
        <w:rPr>
          <w:sz w:val="20"/>
          <w:szCs w:val="20"/>
          <w:color w:val="auto"/>
        </w:rPr>
      </w:pPr>
      <w:r>
        <w:rPr>
          <w:rFonts w:ascii="Arial" w:cs="Arial" w:eastAsia="Arial" w:hAnsi="Arial"/>
          <w:sz w:val="18"/>
          <w:szCs w:val="18"/>
          <w:color w:val="auto"/>
        </w:rPr>
        <w:t>Chief Financial Officer and Treasurer</w:t>
      </w:r>
    </w:p>
    <w:p>
      <w:pPr>
        <w:spacing w:after="0" w:line="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(Principal Financial Officer)</w:t>
      </w:r>
    </w:p>
    <w:p>
      <w:pPr>
        <w:spacing w:after="0" w:line="387" w:lineRule="exact"/>
        <w:rPr>
          <w:sz w:val="20"/>
          <w:szCs w:val="20"/>
          <w:color w:val="auto"/>
        </w:rPr>
      </w:pPr>
    </w:p>
    <w:p>
      <w:pPr>
        <w:ind w:right="40" w:firstLine="648"/>
        <w:spacing w:after="0" w:line="246"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Company and in the capacities and on the dates indicated.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00" w:type="dxa"/>
            <w:vAlign w:val="bottom"/>
            <w:gridSpan w:val="3"/>
          </w:tcPr>
          <w:p>
            <w:pPr>
              <w:spacing w:after="0"/>
              <w:rPr>
                <w:sz w:val="20"/>
                <w:szCs w:val="20"/>
                <w:color w:val="auto"/>
              </w:rPr>
            </w:pPr>
            <w:r>
              <w:rPr>
                <w:rFonts w:ascii="Arial" w:cs="Arial" w:eastAsia="Arial" w:hAnsi="Arial"/>
                <w:sz w:val="18"/>
                <w:szCs w:val="18"/>
                <w:b w:val="1"/>
                <w:bCs w:val="1"/>
                <w:color w:val="auto"/>
              </w:rPr>
              <w:t>Signature</w:t>
            </w:r>
          </w:p>
        </w:tc>
        <w:tc>
          <w:tcPr>
            <w:tcW w:w="240" w:type="dxa"/>
            <w:vAlign w:val="bottom"/>
          </w:tcPr>
          <w:p>
            <w:pPr>
              <w:spacing w:after="0"/>
              <w:rPr>
                <w:sz w:val="17"/>
                <w:szCs w:val="17"/>
                <w:color w:val="auto"/>
              </w:rPr>
            </w:pPr>
          </w:p>
        </w:tc>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Title</w:t>
            </w:r>
          </w:p>
        </w:tc>
        <w:tc>
          <w:tcPr>
            <w:tcW w:w="2420" w:type="dxa"/>
            <w:vAlign w:val="bottom"/>
            <w:gridSpan w:val="3"/>
          </w:tcPr>
          <w:p>
            <w:pPr>
              <w:ind w:left="960"/>
              <w:spacing w:after="0"/>
              <w:rPr>
                <w:sz w:val="20"/>
                <w:szCs w:val="20"/>
                <w:color w:val="auto"/>
              </w:rPr>
            </w:pPr>
            <w:r>
              <w:rPr>
                <w:rFonts w:ascii="Arial" w:cs="Arial" w:eastAsia="Arial" w:hAnsi="Arial"/>
                <w:sz w:val="18"/>
                <w:szCs w:val="18"/>
                <w:b w:val="1"/>
                <w:bCs w:val="1"/>
                <w:color w:val="auto"/>
              </w:rPr>
              <w:t>Date</w:t>
            </w:r>
          </w:p>
        </w:tc>
      </w:tr>
      <w:tr>
        <w:trPr>
          <w:trHeight w:val="20"/>
        </w:trPr>
        <w:tc>
          <w:tcPr>
            <w:tcW w:w="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 and Director</w:t>
            </w:r>
          </w:p>
        </w:tc>
        <w:tc>
          <w:tcPr>
            <w:tcW w:w="2420" w:type="dxa"/>
            <w:vAlign w:val="bottom"/>
            <w:gridSpan w:val="3"/>
          </w:tcPr>
          <w:p>
            <w:pPr>
              <w:ind w:left="960"/>
              <w:spacing w:after="0"/>
              <w:rPr>
                <w:sz w:val="20"/>
                <w:szCs w:val="20"/>
                <w:color w:val="auto"/>
              </w:rPr>
            </w:pPr>
            <w:r>
              <w:rPr>
                <w:rFonts w:ascii="Arial" w:cs="Arial" w:eastAsia="Arial" w:hAnsi="Arial"/>
                <w:sz w:val="18"/>
                <w:szCs w:val="18"/>
                <w:color w:val="auto"/>
                <w:w w:val="97"/>
              </w:rPr>
              <w:t>February 26, 2014</w:t>
            </w:r>
          </w:p>
        </w:tc>
      </w:tr>
      <w:tr>
        <w:trPr>
          <w:trHeight w:val="210"/>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Joseph G. Morone</w:t>
            </w:r>
          </w:p>
        </w:tc>
        <w:tc>
          <w:tcPr>
            <w:tcW w:w="24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391"/>
        </w:trPr>
        <w:tc>
          <w:tcPr>
            <w:tcW w:w="31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John B. Cozzolino</w:t>
            </w:r>
          </w:p>
        </w:tc>
        <w:tc>
          <w:tcPr>
            <w:tcW w:w="24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Chief Financial Officer and Treasurer</w:t>
            </w:r>
          </w:p>
        </w:tc>
        <w:tc>
          <w:tcPr>
            <w:tcW w:w="2420" w:type="dxa"/>
            <w:vAlign w:val="bottom"/>
            <w:gridSpan w:val="3"/>
          </w:tcPr>
          <w:p>
            <w:pPr>
              <w:ind w:left="960"/>
              <w:spacing w:after="0"/>
              <w:rPr>
                <w:sz w:val="20"/>
                <w:szCs w:val="20"/>
                <w:color w:val="auto"/>
              </w:rPr>
            </w:pPr>
            <w:r>
              <w:rPr>
                <w:rFonts w:ascii="Arial" w:cs="Arial" w:eastAsia="Arial" w:hAnsi="Arial"/>
                <w:sz w:val="18"/>
                <w:szCs w:val="18"/>
                <w:color w:val="auto"/>
                <w:w w:val="97"/>
              </w:rPr>
              <w:t>February 26, 2014</w:t>
            </w:r>
          </w:p>
        </w:tc>
      </w:tr>
      <w:tr>
        <w:trPr>
          <w:trHeight w:val="210"/>
        </w:trPr>
        <w:tc>
          <w:tcPr>
            <w:tcW w:w="3100" w:type="dxa"/>
            <w:vAlign w:val="bottom"/>
            <w:gridSpan w:val="3"/>
          </w:tcPr>
          <w:p>
            <w:pPr>
              <w:spacing w:after="0"/>
              <w:rPr>
                <w:sz w:val="20"/>
                <w:szCs w:val="20"/>
                <w:color w:val="auto"/>
              </w:rPr>
            </w:pPr>
            <w:r>
              <w:rPr>
                <w:rFonts w:ascii="Arial" w:cs="Arial" w:eastAsia="Arial" w:hAnsi="Arial"/>
                <w:sz w:val="18"/>
                <w:szCs w:val="18"/>
                <w:color w:val="auto"/>
              </w:rPr>
              <w:t>John B. Cozzolino</w:t>
            </w:r>
          </w:p>
        </w:tc>
        <w:tc>
          <w:tcPr>
            <w:tcW w:w="24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(Principal Financial Officer)</w:t>
            </w: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391"/>
        </w:trPr>
        <w:tc>
          <w:tcPr>
            <w:tcW w:w="3100" w:type="dxa"/>
            <w:vAlign w:val="bottom"/>
            <w:gridSpan w:val="3"/>
          </w:tcPr>
          <w:p>
            <w:pPr>
              <w:ind w:left="15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Vice President–Controller</w:t>
            </w:r>
          </w:p>
        </w:tc>
        <w:tc>
          <w:tcPr>
            <w:tcW w:w="2420" w:type="dxa"/>
            <w:vAlign w:val="bottom"/>
            <w:gridSpan w:val="3"/>
          </w:tcPr>
          <w:p>
            <w:pPr>
              <w:ind w:left="960"/>
              <w:spacing w:after="0"/>
              <w:rPr>
                <w:sz w:val="20"/>
                <w:szCs w:val="20"/>
                <w:color w:val="auto"/>
              </w:rPr>
            </w:pPr>
            <w:r>
              <w:rPr>
                <w:rFonts w:ascii="Arial" w:cs="Arial" w:eastAsia="Arial" w:hAnsi="Arial"/>
                <w:sz w:val="18"/>
                <w:szCs w:val="18"/>
                <w:color w:val="auto"/>
                <w:w w:val="97"/>
              </w:rPr>
              <w:t>February 26, 2014</w:t>
            </w:r>
          </w:p>
        </w:tc>
      </w:tr>
      <w:tr>
        <w:trPr>
          <w:trHeight w:val="210"/>
        </w:trPr>
        <w:tc>
          <w:tcPr>
            <w:tcW w:w="20" w:type="dxa"/>
            <w:vAlign w:val="bottom"/>
          </w:tcPr>
          <w:p>
            <w:pPr>
              <w:spacing w:after="0"/>
              <w:rPr>
                <w:sz w:val="18"/>
                <w:szCs w:val="18"/>
                <w:color w:val="auto"/>
              </w:rPr>
            </w:pPr>
          </w:p>
        </w:tc>
        <w:tc>
          <w:tcPr>
            <w:tcW w:w="30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David M. Pawlick</w:t>
            </w:r>
          </w:p>
        </w:tc>
        <w:tc>
          <w:tcPr>
            <w:tcW w:w="24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(Principal Accounting Officer)</w:t>
            </w: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391"/>
        </w:trPr>
        <w:tc>
          <w:tcPr>
            <w:tcW w:w="3100" w:type="dxa"/>
            <w:vAlign w:val="bottom"/>
            <w:gridSpan w:val="3"/>
          </w:tcPr>
          <w:p>
            <w:pPr>
              <w:ind w:left="15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Chairman of the Board and Director</w:t>
            </w:r>
          </w:p>
        </w:tc>
        <w:tc>
          <w:tcPr>
            <w:tcW w:w="2420" w:type="dxa"/>
            <w:vAlign w:val="bottom"/>
            <w:gridSpan w:val="3"/>
          </w:tcPr>
          <w:p>
            <w:pPr>
              <w:ind w:left="960"/>
              <w:spacing w:after="0"/>
              <w:rPr>
                <w:sz w:val="20"/>
                <w:szCs w:val="20"/>
                <w:color w:val="auto"/>
              </w:rPr>
            </w:pPr>
            <w:r>
              <w:rPr>
                <w:rFonts w:ascii="Arial" w:cs="Arial" w:eastAsia="Arial" w:hAnsi="Arial"/>
                <w:sz w:val="18"/>
                <w:szCs w:val="18"/>
                <w:color w:val="auto"/>
                <w:w w:val="97"/>
              </w:rPr>
              <w:t>February 26, 2014</w:t>
            </w:r>
          </w:p>
        </w:tc>
      </w:tr>
      <w:tr>
        <w:trPr>
          <w:trHeight w:val="210"/>
        </w:trPr>
        <w:tc>
          <w:tcPr>
            <w:tcW w:w="20" w:type="dxa"/>
            <w:vAlign w:val="bottom"/>
          </w:tcPr>
          <w:p>
            <w:pPr>
              <w:spacing w:after="0"/>
              <w:rPr>
                <w:sz w:val="18"/>
                <w:szCs w:val="18"/>
                <w:color w:val="auto"/>
              </w:rPr>
            </w:pPr>
          </w:p>
        </w:tc>
        <w:tc>
          <w:tcPr>
            <w:tcW w:w="30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Erland E. Kailbourne</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391"/>
        </w:trPr>
        <w:tc>
          <w:tcPr>
            <w:tcW w:w="3100" w:type="dxa"/>
            <w:vAlign w:val="bottom"/>
            <w:gridSpan w:val="3"/>
          </w:tcPr>
          <w:p>
            <w:pPr>
              <w:ind w:left="15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Vice Chairman of the Board and Director</w:t>
            </w:r>
          </w:p>
        </w:tc>
        <w:tc>
          <w:tcPr>
            <w:tcW w:w="2420" w:type="dxa"/>
            <w:vAlign w:val="bottom"/>
            <w:gridSpan w:val="3"/>
          </w:tcPr>
          <w:p>
            <w:pPr>
              <w:ind w:left="960"/>
              <w:spacing w:after="0"/>
              <w:rPr>
                <w:sz w:val="20"/>
                <w:szCs w:val="20"/>
                <w:color w:val="auto"/>
              </w:rPr>
            </w:pPr>
            <w:r>
              <w:rPr>
                <w:rFonts w:ascii="Arial" w:cs="Arial" w:eastAsia="Arial" w:hAnsi="Arial"/>
                <w:sz w:val="18"/>
                <w:szCs w:val="18"/>
                <w:color w:val="auto"/>
                <w:w w:val="97"/>
              </w:rPr>
              <w:t>February 26, 2014</w:t>
            </w:r>
          </w:p>
        </w:tc>
      </w:tr>
      <w:tr>
        <w:trPr>
          <w:trHeight w:val="210"/>
        </w:trPr>
        <w:tc>
          <w:tcPr>
            <w:tcW w:w="20" w:type="dxa"/>
            <w:vAlign w:val="bottom"/>
          </w:tcPr>
          <w:p>
            <w:pPr>
              <w:spacing w:after="0"/>
              <w:rPr>
                <w:sz w:val="18"/>
                <w:szCs w:val="18"/>
                <w:color w:val="auto"/>
              </w:rPr>
            </w:pPr>
          </w:p>
        </w:tc>
        <w:tc>
          <w:tcPr>
            <w:tcW w:w="30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John C. Standish</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391"/>
        </w:trPr>
        <w:tc>
          <w:tcPr>
            <w:tcW w:w="3100" w:type="dxa"/>
            <w:vAlign w:val="bottom"/>
            <w:gridSpan w:val="3"/>
          </w:tcPr>
          <w:p>
            <w:pPr>
              <w:ind w:left="15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420" w:type="dxa"/>
            <w:vAlign w:val="bottom"/>
            <w:gridSpan w:val="3"/>
          </w:tcPr>
          <w:p>
            <w:pPr>
              <w:ind w:left="960"/>
              <w:spacing w:after="0"/>
              <w:rPr>
                <w:sz w:val="20"/>
                <w:szCs w:val="20"/>
                <w:color w:val="auto"/>
              </w:rPr>
            </w:pPr>
            <w:r>
              <w:rPr>
                <w:rFonts w:ascii="Arial" w:cs="Arial" w:eastAsia="Arial" w:hAnsi="Arial"/>
                <w:sz w:val="18"/>
                <w:szCs w:val="18"/>
                <w:color w:val="auto"/>
                <w:w w:val="97"/>
              </w:rPr>
              <w:t>February 26, 2014</w:t>
            </w:r>
          </w:p>
        </w:tc>
      </w:tr>
      <w:tr>
        <w:trPr>
          <w:trHeight w:val="210"/>
        </w:trPr>
        <w:tc>
          <w:tcPr>
            <w:tcW w:w="20" w:type="dxa"/>
            <w:vAlign w:val="bottom"/>
          </w:tcPr>
          <w:p>
            <w:pPr>
              <w:spacing w:after="0"/>
              <w:rPr>
                <w:sz w:val="18"/>
                <w:szCs w:val="18"/>
                <w:color w:val="auto"/>
              </w:rPr>
            </w:pPr>
          </w:p>
        </w:tc>
        <w:tc>
          <w:tcPr>
            <w:tcW w:w="30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John F. Cassidy, Jr.</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391"/>
        </w:trPr>
        <w:tc>
          <w:tcPr>
            <w:tcW w:w="3100" w:type="dxa"/>
            <w:vAlign w:val="bottom"/>
            <w:gridSpan w:val="3"/>
          </w:tcPr>
          <w:p>
            <w:pPr>
              <w:ind w:left="15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420" w:type="dxa"/>
            <w:vAlign w:val="bottom"/>
            <w:gridSpan w:val="3"/>
          </w:tcPr>
          <w:p>
            <w:pPr>
              <w:ind w:left="960"/>
              <w:spacing w:after="0"/>
              <w:rPr>
                <w:sz w:val="20"/>
                <w:szCs w:val="20"/>
                <w:color w:val="auto"/>
              </w:rPr>
            </w:pPr>
            <w:r>
              <w:rPr>
                <w:rFonts w:ascii="Arial" w:cs="Arial" w:eastAsia="Arial" w:hAnsi="Arial"/>
                <w:sz w:val="18"/>
                <w:szCs w:val="18"/>
                <w:color w:val="auto"/>
                <w:w w:val="97"/>
              </w:rPr>
              <w:t>February 26, 2014</w:t>
            </w:r>
          </w:p>
        </w:tc>
      </w:tr>
      <w:tr>
        <w:trPr>
          <w:trHeight w:val="210"/>
        </w:trPr>
        <w:tc>
          <w:tcPr>
            <w:tcW w:w="20" w:type="dxa"/>
            <w:vAlign w:val="bottom"/>
          </w:tcPr>
          <w:p>
            <w:pPr>
              <w:spacing w:after="0"/>
              <w:rPr>
                <w:sz w:val="18"/>
                <w:szCs w:val="18"/>
                <w:color w:val="auto"/>
              </w:rPr>
            </w:pPr>
          </w:p>
        </w:tc>
        <w:tc>
          <w:tcPr>
            <w:tcW w:w="30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Katharine Plourde</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391"/>
        </w:trPr>
        <w:tc>
          <w:tcPr>
            <w:tcW w:w="3100" w:type="dxa"/>
            <w:vAlign w:val="bottom"/>
            <w:gridSpan w:val="3"/>
          </w:tcPr>
          <w:p>
            <w:pPr>
              <w:ind w:left="15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420" w:type="dxa"/>
            <w:vAlign w:val="bottom"/>
            <w:gridSpan w:val="3"/>
          </w:tcPr>
          <w:p>
            <w:pPr>
              <w:ind w:left="960"/>
              <w:spacing w:after="0"/>
              <w:rPr>
                <w:sz w:val="20"/>
                <w:szCs w:val="20"/>
                <w:color w:val="auto"/>
              </w:rPr>
            </w:pPr>
            <w:r>
              <w:rPr>
                <w:rFonts w:ascii="Arial" w:cs="Arial" w:eastAsia="Arial" w:hAnsi="Arial"/>
                <w:sz w:val="18"/>
                <w:szCs w:val="18"/>
                <w:color w:val="auto"/>
                <w:w w:val="97"/>
              </w:rPr>
              <w:t>February 26, 2014</w:t>
            </w:r>
          </w:p>
        </w:tc>
      </w:tr>
      <w:tr>
        <w:trPr>
          <w:trHeight w:val="210"/>
        </w:trPr>
        <w:tc>
          <w:tcPr>
            <w:tcW w:w="20" w:type="dxa"/>
            <w:vAlign w:val="bottom"/>
          </w:tcPr>
          <w:p>
            <w:pPr>
              <w:spacing w:after="0"/>
              <w:rPr>
                <w:sz w:val="18"/>
                <w:szCs w:val="18"/>
                <w:color w:val="auto"/>
              </w:rPr>
            </w:pPr>
          </w:p>
        </w:tc>
        <w:tc>
          <w:tcPr>
            <w:tcW w:w="30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Edgar G. Hotard</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391"/>
        </w:trPr>
        <w:tc>
          <w:tcPr>
            <w:tcW w:w="3100" w:type="dxa"/>
            <w:vAlign w:val="bottom"/>
            <w:gridSpan w:val="3"/>
          </w:tcPr>
          <w:p>
            <w:pPr>
              <w:ind w:left="15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420" w:type="dxa"/>
            <w:vAlign w:val="bottom"/>
            <w:gridSpan w:val="3"/>
          </w:tcPr>
          <w:p>
            <w:pPr>
              <w:ind w:left="960"/>
              <w:spacing w:after="0"/>
              <w:rPr>
                <w:sz w:val="20"/>
                <w:szCs w:val="20"/>
                <w:color w:val="auto"/>
              </w:rPr>
            </w:pPr>
            <w:r>
              <w:rPr>
                <w:rFonts w:ascii="Arial" w:cs="Arial" w:eastAsia="Arial" w:hAnsi="Arial"/>
                <w:sz w:val="18"/>
                <w:szCs w:val="18"/>
                <w:color w:val="auto"/>
                <w:w w:val="97"/>
              </w:rPr>
              <w:t>February 26, 2014</w:t>
            </w:r>
          </w:p>
        </w:tc>
      </w:tr>
      <w:tr>
        <w:trPr>
          <w:trHeight w:val="210"/>
        </w:trPr>
        <w:tc>
          <w:tcPr>
            <w:tcW w:w="20" w:type="dxa"/>
            <w:vAlign w:val="bottom"/>
          </w:tcPr>
          <w:p>
            <w:pPr>
              <w:spacing w:after="0"/>
              <w:rPr>
                <w:sz w:val="18"/>
                <w:szCs w:val="18"/>
                <w:color w:val="auto"/>
              </w:rPr>
            </w:pPr>
          </w:p>
        </w:tc>
        <w:tc>
          <w:tcPr>
            <w:tcW w:w="30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John R. Scannell</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391"/>
        </w:trPr>
        <w:tc>
          <w:tcPr>
            <w:tcW w:w="3100" w:type="dxa"/>
            <w:vAlign w:val="bottom"/>
            <w:gridSpan w:val="3"/>
          </w:tcPr>
          <w:p>
            <w:pPr>
              <w:ind w:left="15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420" w:type="dxa"/>
            <w:vAlign w:val="bottom"/>
            <w:gridSpan w:val="3"/>
          </w:tcPr>
          <w:p>
            <w:pPr>
              <w:ind w:left="960"/>
              <w:spacing w:after="0"/>
              <w:rPr>
                <w:sz w:val="20"/>
                <w:szCs w:val="20"/>
                <w:color w:val="auto"/>
              </w:rPr>
            </w:pPr>
            <w:r>
              <w:rPr>
                <w:rFonts w:ascii="Arial" w:cs="Arial" w:eastAsia="Arial" w:hAnsi="Arial"/>
                <w:sz w:val="18"/>
                <w:szCs w:val="18"/>
                <w:color w:val="auto"/>
                <w:w w:val="97"/>
              </w:rPr>
              <w:t>February 26, 2014</w:t>
            </w:r>
          </w:p>
        </w:tc>
      </w:tr>
      <w:tr>
        <w:trPr>
          <w:trHeight w:val="210"/>
        </w:trPr>
        <w:tc>
          <w:tcPr>
            <w:tcW w:w="20" w:type="dxa"/>
            <w:vAlign w:val="bottom"/>
          </w:tcPr>
          <w:p>
            <w:pPr>
              <w:spacing w:after="0"/>
              <w:rPr>
                <w:sz w:val="18"/>
                <w:szCs w:val="18"/>
                <w:color w:val="auto"/>
              </w:rPr>
            </w:pPr>
          </w:p>
        </w:tc>
        <w:tc>
          <w:tcPr>
            <w:tcW w:w="30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Christine L. Standish</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391"/>
        </w:trPr>
        <w:tc>
          <w:tcPr>
            <w:tcW w:w="31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*By /s/ John B. Cozzolino</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95"/>
        </w:trPr>
        <w:tc>
          <w:tcPr>
            <w:tcW w:w="3100" w:type="dxa"/>
            <w:vAlign w:val="bottom"/>
            <w:gridSpan w:val="3"/>
          </w:tcPr>
          <w:p>
            <w:pPr>
              <w:spacing w:after="0" w:line="195" w:lineRule="exact"/>
              <w:rPr>
                <w:sz w:val="20"/>
                <w:szCs w:val="20"/>
                <w:color w:val="auto"/>
              </w:rPr>
            </w:pPr>
            <w:r>
              <w:rPr>
                <w:rFonts w:ascii="Arial" w:cs="Arial" w:eastAsia="Arial" w:hAnsi="Arial"/>
                <w:sz w:val="18"/>
                <w:szCs w:val="18"/>
                <w:color w:val="auto"/>
              </w:rPr>
              <w:t>John B. Cozzolino</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17"/>
        </w:trPr>
        <w:tc>
          <w:tcPr>
            <w:tcW w:w="3100" w:type="dxa"/>
            <w:vAlign w:val="bottom"/>
            <w:gridSpan w:val="3"/>
          </w:tcPr>
          <w:p>
            <w:pPr>
              <w:spacing w:after="0"/>
              <w:rPr>
                <w:sz w:val="20"/>
                <w:szCs w:val="20"/>
                <w:color w:val="auto"/>
              </w:rPr>
            </w:pPr>
            <w:r>
              <w:rPr>
                <w:rFonts w:ascii="Arial" w:cs="Arial" w:eastAsia="Arial" w:hAnsi="Arial"/>
                <w:sz w:val="18"/>
                <w:szCs w:val="18"/>
                <w:color w:val="auto"/>
              </w:rPr>
              <w:t>Attorney-in-fact</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r>
    </w:tbl>
    <w:p>
      <w:pPr>
        <w:spacing w:after="0" w:line="1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101" w:name="page102"/>
    <w:bookmarkEnd w:id="101"/>
    <w:p>
      <w:pPr>
        <w:ind w:left="5140"/>
        <w:spacing w:after="0"/>
        <w:rPr>
          <w:sz w:val="20"/>
          <w:szCs w:val="20"/>
          <w:color w:val="auto"/>
        </w:rPr>
      </w:pPr>
      <w:r>
        <w:rPr>
          <w:rFonts w:ascii="Arial" w:cs="Arial" w:eastAsia="Arial" w:hAnsi="Arial"/>
          <w:sz w:val="18"/>
          <w:szCs w:val="18"/>
          <w:b w:val="1"/>
          <w:bCs w:val="1"/>
          <w:color w:val="auto"/>
        </w:rPr>
        <w:t>SCHEDULE II</w:t>
      </w:r>
    </w:p>
    <w:p>
      <w:pPr>
        <w:spacing w:after="0" w:line="185"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ALBANY INTERNATIONAL CORP.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98"/>
              </w:rPr>
              <w:t>Column A</w:t>
            </w:r>
          </w:p>
        </w:tc>
        <w:tc>
          <w:tcPr>
            <w:tcW w:w="134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rPr>
              <w:t>Column B</w:t>
            </w:r>
          </w:p>
        </w:tc>
        <w:tc>
          <w:tcPr>
            <w:tcW w:w="620" w:type="dxa"/>
            <w:vAlign w:val="bottom"/>
            <w:gridSpan w:val="3"/>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rPr>
              <w:t>Column C</w:t>
            </w:r>
          </w:p>
        </w:tc>
        <w:tc>
          <w:tcPr>
            <w:tcW w:w="1220" w:type="dxa"/>
            <w:vAlign w:val="bottom"/>
            <w:gridSpan w:val="2"/>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w w:val="94"/>
              </w:rPr>
              <w:t>Column D</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9"/>
              </w:rPr>
              <w:t>Column E</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60" w:type="dxa"/>
            <w:vAlign w:val="bottom"/>
            <w:tcBorders>
              <w:lef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360" w:type="dxa"/>
            <w:vAlign w:val="bottom"/>
            <w:gridSpan w:val="5"/>
            <w:vMerge w:val="restart"/>
          </w:tcPr>
          <w:p>
            <w:pPr>
              <w:jc w:val="center"/>
              <w:ind w:right="160"/>
              <w:spacing w:after="0"/>
              <w:rPr>
                <w:sz w:val="20"/>
                <w:szCs w:val="20"/>
                <w:color w:val="auto"/>
              </w:rPr>
            </w:pPr>
            <w:r>
              <w:rPr>
                <w:rFonts w:ascii="Arial" w:cs="Arial" w:eastAsia="Arial" w:hAnsi="Arial"/>
                <w:sz w:val="18"/>
                <w:szCs w:val="18"/>
                <w:b w:val="1"/>
                <w:bCs w:val="1"/>
                <w:color w:val="auto"/>
              </w:rPr>
              <w:t>Description</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00" w:type="dxa"/>
            <w:vAlign w:val="bottom"/>
            <w:gridSpan w:val="5"/>
          </w:tcPr>
          <w:p>
            <w:pPr>
              <w:jc w:val="center"/>
              <w:ind w:right="600"/>
              <w:spacing w:after="0"/>
              <w:rPr>
                <w:sz w:val="20"/>
                <w:szCs w:val="20"/>
                <w:color w:val="auto"/>
              </w:rPr>
            </w:pPr>
            <w:r>
              <w:rPr>
                <w:rFonts w:ascii="Arial" w:cs="Arial" w:eastAsia="Arial" w:hAnsi="Arial"/>
                <w:sz w:val="18"/>
                <w:szCs w:val="18"/>
                <w:b w:val="1"/>
                <w:bCs w:val="1"/>
                <w:color w:val="auto"/>
                <w:w w:val="99"/>
              </w:rPr>
              <w:t>Balance at</w:t>
            </w:r>
          </w:p>
        </w:tc>
        <w:tc>
          <w:tcPr>
            <w:tcW w:w="2680" w:type="dxa"/>
            <w:vAlign w:val="bottom"/>
            <w:gridSpan w:val="5"/>
            <w:vMerge w:val="restart"/>
          </w:tcPr>
          <w:p>
            <w:pPr>
              <w:jc w:val="center"/>
              <w:ind w:right="620"/>
              <w:spacing w:after="0"/>
              <w:rPr>
                <w:sz w:val="20"/>
                <w:szCs w:val="20"/>
                <w:color w:val="auto"/>
              </w:rPr>
            </w:pPr>
            <w:r>
              <w:rPr>
                <w:rFonts w:ascii="Arial" w:cs="Arial" w:eastAsia="Arial" w:hAnsi="Arial"/>
                <w:sz w:val="18"/>
                <w:szCs w:val="18"/>
                <w:b w:val="1"/>
                <w:bCs w:val="1"/>
                <w:color w:val="auto"/>
              </w:rPr>
              <w:t>Charge to expense</w:t>
            </w:r>
          </w:p>
        </w:tc>
        <w:tc>
          <w:tcPr>
            <w:tcW w:w="1440" w:type="dxa"/>
            <w:vAlign w:val="bottom"/>
            <w:gridSpan w:val="2"/>
            <w:vMerge w:val="restart"/>
          </w:tcPr>
          <w:p>
            <w:pPr>
              <w:jc w:val="right"/>
              <w:ind w:right="660"/>
              <w:spacing w:after="0"/>
              <w:rPr>
                <w:sz w:val="20"/>
                <w:szCs w:val="20"/>
                <w:color w:val="auto"/>
              </w:rPr>
            </w:pPr>
            <w:r>
              <w:rPr>
                <w:rFonts w:ascii="Arial" w:cs="Arial" w:eastAsia="Arial" w:hAnsi="Arial"/>
                <w:sz w:val="18"/>
                <w:szCs w:val="18"/>
                <w:b w:val="1"/>
                <w:bCs w:val="1"/>
                <w:color w:val="auto"/>
                <w:w w:val="97"/>
              </w:rPr>
              <w:t>Other (A)</w:t>
            </w:r>
          </w:p>
        </w:tc>
        <w:tc>
          <w:tcPr>
            <w:tcW w:w="1760" w:type="dxa"/>
            <w:vAlign w:val="bottom"/>
            <w:gridSpan w:val="5"/>
          </w:tcPr>
          <w:p>
            <w:pPr>
              <w:jc w:val="center"/>
              <w:ind w:left="50"/>
              <w:spacing w:after="0"/>
              <w:rPr>
                <w:sz w:val="20"/>
                <w:szCs w:val="20"/>
                <w:color w:val="auto"/>
              </w:rPr>
            </w:pPr>
            <w:r>
              <w:rPr>
                <w:rFonts w:ascii="Arial" w:cs="Arial" w:eastAsia="Arial" w:hAnsi="Arial"/>
                <w:sz w:val="18"/>
                <w:szCs w:val="18"/>
                <w:b w:val="1"/>
                <w:bCs w:val="1"/>
                <w:color w:val="auto"/>
              </w:rPr>
              <w:t>Balance at end of</w:t>
            </w:r>
          </w:p>
        </w:tc>
        <w:tc>
          <w:tcPr>
            <w:tcW w:w="0" w:type="dxa"/>
            <w:vAlign w:val="bottom"/>
          </w:tcPr>
          <w:p>
            <w:pPr>
              <w:spacing w:after="0"/>
              <w:rPr>
                <w:sz w:val="1"/>
                <w:szCs w:val="1"/>
                <w:color w:val="auto"/>
              </w:rPr>
            </w:pPr>
          </w:p>
        </w:tc>
      </w:tr>
      <w:tr>
        <w:trPr>
          <w:trHeight w:val="20"/>
        </w:trPr>
        <w:tc>
          <w:tcPr>
            <w:tcW w:w="3360" w:type="dxa"/>
            <w:vAlign w:val="bottom"/>
            <w:gridSpan w:val="5"/>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80" w:type="dxa"/>
            <w:vAlign w:val="bottom"/>
            <w:gridSpan w:val="5"/>
            <w:vMerge w:val="continue"/>
          </w:tcPr>
          <w:p>
            <w:pPr>
              <w:spacing w:after="0" w:line="20" w:lineRule="exact"/>
              <w:rPr>
                <w:sz w:val="1"/>
                <w:szCs w:val="1"/>
                <w:color w:val="auto"/>
              </w:rPr>
            </w:pPr>
          </w:p>
        </w:tc>
        <w:tc>
          <w:tcPr>
            <w:tcW w:w="1440" w:type="dxa"/>
            <w:vAlign w:val="bottom"/>
            <w:gridSpan w:val="2"/>
            <w:vMerge w:val="continue"/>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360" w:type="dxa"/>
            <w:vAlign w:val="bottom"/>
            <w:gridSpan w:val="5"/>
            <w:vMerge w:val="continue"/>
          </w:tcPr>
          <w:p>
            <w:pPr>
              <w:spacing w:after="0"/>
              <w:rPr>
                <w:sz w:val="15"/>
                <w:szCs w:val="15"/>
                <w:color w:val="auto"/>
              </w:rPr>
            </w:pPr>
          </w:p>
        </w:tc>
        <w:tc>
          <w:tcPr>
            <w:tcW w:w="2080" w:type="dxa"/>
            <w:vAlign w:val="bottom"/>
            <w:gridSpan w:val="7"/>
          </w:tcPr>
          <w:p>
            <w:pPr>
              <w:jc w:val="center"/>
              <w:spacing w:after="0" w:line="182" w:lineRule="exact"/>
              <w:rPr>
                <w:sz w:val="20"/>
                <w:szCs w:val="20"/>
                <w:color w:val="auto"/>
              </w:rPr>
            </w:pPr>
            <w:r>
              <w:rPr>
                <w:rFonts w:ascii="Arial" w:cs="Arial" w:eastAsia="Arial" w:hAnsi="Arial"/>
                <w:sz w:val="18"/>
                <w:szCs w:val="18"/>
                <w:b w:val="1"/>
                <w:bCs w:val="1"/>
                <w:color w:val="auto"/>
                <w:w w:val="99"/>
              </w:rPr>
              <w:t>beginning of period</w:t>
            </w:r>
          </w:p>
        </w:tc>
        <w:tc>
          <w:tcPr>
            <w:tcW w:w="2680" w:type="dxa"/>
            <w:vAlign w:val="bottom"/>
            <w:gridSpan w:val="5"/>
            <w:vMerge w:val="continue"/>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500" w:type="dxa"/>
            <w:vAlign w:val="bottom"/>
            <w:gridSpan w:val="3"/>
          </w:tcPr>
          <w:p>
            <w:pPr>
              <w:jc w:val="center"/>
              <w:spacing w:after="0" w:line="182" w:lineRule="exact"/>
              <w:rPr>
                <w:sz w:val="20"/>
                <w:szCs w:val="20"/>
                <w:color w:val="auto"/>
              </w:rPr>
            </w:pPr>
            <w:r>
              <w:rPr>
                <w:rFonts w:ascii="Arial" w:cs="Arial" w:eastAsia="Arial" w:hAnsi="Arial"/>
                <w:sz w:val="18"/>
                <w:szCs w:val="18"/>
                <w:b w:val="1"/>
                <w:bCs w:val="1"/>
                <w:color w:val="auto"/>
                <w:w w:val="98"/>
              </w:rPr>
              <w:t>the period</w:t>
            </w: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000" w:type="dxa"/>
            <w:vAlign w:val="bottom"/>
            <w:gridSpan w:val="3"/>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60" w:type="dxa"/>
            <w:vAlign w:val="bottom"/>
            <w:gridSpan w:val="5"/>
          </w:tcPr>
          <w:p>
            <w:pPr>
              <w:spacing w:after="0"/>
              <w:rPr>
                <w:sz w:val="20"/>
                <w:szCs w:val="20"/>
                <w:color w:val="auto"/>
              </w:rPr>
            </w:pPr>
            <w:r>
              <w:rPr>
                <w:rFonts w:ascii="Arial" w:cs="Arial" w:eastAsia="Arial" w:hAnsi="Arial"/>
                <w:sz w:val="18"/>
                <w:szCs w:val="18"/>
                <w:color w:val="auto"/>
              </w:rPr>
              <w:t>Allowance for doubtful accounts</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60" w:type="dxa"/>
            <w:vAlign w:val="bottom"/>
            <w:gridSpan w:val="5"/>
          </w:tcPr>
          <w:p>
            <w:pPr>
              <w:spacing w:after="0" w:line="202" w:lineRule="exact"/>
              <w:rPr>
                <w:sz w:val="20"/>
                <w:szCs w:val="20"/>
                <w:color w:val="auto"/>
              </w:rPr>
            </w:pPr>
            <w:r>
              <w:rPr>
                <w:rFonts w:ascii="Arial" w:cs="Arial" w:eastAsia="Arial" w:hAnsi="Arial"/>
                <w:sz w:val="18"/>
                <w:szCs w:val="18"/>
                <w:color w:val="auto"/>
              </w:rPr>
              <w:t>Year ended December 31:</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0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2013</w:t>
            </w: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80" w:type="dxa"/>
            <w:vAlign w:val="bottom"/>
            <w:gridSpan w:val="7"/>
          </w:tcPr>
          <w:p>
            <w:pPr>
              <w:jc w:val="right"/>
              <w:ind w:right="200"/>
              <w:spacing w:after="0" w:line="202" w:lineRule="exact"/>
              <w:rPr>
                <w:sz w:val="20"/>
                <w:szCs w:val="20"/>
                <w:color w:val="auto"/>
              </w:rPr>
            </w:pPr>
            <w:r>
              <w:rPr>
                <w:rFonts w:ascii="Arial" w:cs="Arial" w:eastAsia="Arial" w:hAnsi="Arial"/>
                <w:sz w:val="18"/>
                <w:szCs w:val="18"/>
                <w:color w:val="auto"/>
              </w:rPr>
              <w:t>$11,862</w:t>
            </w:r>
          </w:p>
        </w:tc>
        <w:tc>
          <w:tcPr>
            <w:tcW w:w="2680" w:type="dxa"/>
            <w:vAlign w:val="bottom"/>
            <w:gridSpan w:val="5"/>
          </w:tcPr>
          <w:p>
            <w:pPr>
              <w:jc w:val="right"/>
              <w:ind w:right="800"/>
              <w:spacing w:after="0" w:line="202" w:lineRule="exact"/>
              <w:rPr>
                <w:sz w:val="20"/>
                <w:szCs w:val="20"/>
                <w:color w:val="auto"/>
              </w:rPr>
            </w:pPr>
            <w:r>
              <w:rPr>
                <w:rFonts w:ascii="Arial" w:cs="Arial" w:eastAsia="Arial" w:hAnsi="Arial"/>
                <w:sz w:val="18"/>
                <w:szCs w:val="18"/>
                <w:color w:val="auto"/>
              </w:rPr>
              <w:t>$235</w:t>
            </w:r>
          </w:p>
        </w:tc>
        <w:tc>
          <w:tcPr>
            <w:tcW w:w="14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($823)</w:t>
            </w:r>
          </w:p>
        </w:tc>
        <w:tc>
          <w:tcPr>
            <w:tcW w:w="176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$11,274</w:t>
            </w:r>
          </w:p>
        </w:tc>
        <w:tc>
          <w:tcPr>
            <w:tcW w:w="0" w:type="dxa"/>
            <w:vAlign w:val="bottom"/>
          </w:tcPr>
          <w:p>
            <w:pPr>
              <w:spacing w:after="0"/>
              <w:rPr>
                <w:sz w:val="1"/>
                <w:szCs w:val="1"/>
                <w:color w:val="auto"/>
              </w:rPr>
            </w:pPr>
          </w:p>
        </w:tc>
      </w:tr>
      <w:tr>
        <w:trPr>
          <w:trHeight w:val="203"/>
        </w:trPr>
        <w:tc>
          <w:tcPr>
            <w:tcW w:w="110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2012</w:t>
            </w: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80" w:type="dxa"/>
            <w:vAlign w:val="bottom"/>
            <w:gridSpan w:val="7"/>
          </w:tcPr>
          <w:p>
            <w:pPr>
              <w:jc w:val="right"/>
              <w:ind w:right="200"/>
              <w:spacing w:after="0" w:line="202" w:lineRule="exact"/>
              <w:rPr>
                <w:sz w:val="20"/>
                <w:szCs w:val="20"/>
                <w:color w:val="auto"/>
              </w:rPr>
            </w:pPr>
            <w:r>
              <w:rPr>
                <w:rFonts w:ascii="Arial" w:cs="Arial" w:eastAsia="Arial" w:hAnsi="Arial"/>
                <w:sz w:val="18"/>
                <w:szCs w:val="18"/>
                <w:color w:val="auto"/>
              </w:rPr>
              <w:t>10,729</w:t>
            </w:r>
          </w:p>
        </w:tc>
        <w:tc>
          <w:tcPr>
            <w:tcW w:w="2680" w:type="dxa"/>
            <w:vAlign w:val="bottom"/>
            <w:gridSpan w:val="5"/>
          </w:tcPr>
          <w:p>
            <w:pPr>
              <w:jc w:val="right"/>
              <w:ind w:right="800"/>
              <w:spacing w:after="0" w:line="202" w:lineRule="exact"/>
              <w:rPr>
                <w:sz w:val="20"/>
                <w:szCs w:val="20"/>
                <w:color w:val="auto"/>
              </w:rPr>
            </w:pPr>
            <w:r>
              <w:rPr>
                <w:rFonts w:ascii="Arial" w:cs="Arial" w:eastAsia="Arial" w:hAnsi="Arial"/>
                <w:sz w:val="18"/>
                <w:szCs w:val="18"/>
                <w:color w:val="auto"/>
              </w:rPr>
              <w:t>1,411</w:t>
            </w:r>
          </w:p>
        </w:tc>
        <w:tc>
          <w:tcPr>
            <w:tcW w:w="14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(278)</w:t>
            </w:r>
          </w:p>
        </w:tc>
        <w:tc>
          <w:tcPr>
            <w:tcW w:w="176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11,862</w:t>
            </w:r>
          </w:p>
        </w:tc>
        <w:tc>
          <w:tcPr>
            <w:tcW w:w="0" w:type="dxa"/>
            <w:vAlign w:val="bottom"/>
          </w:tcPr>
          <w:p>
            <w:pPr>
              <w:spacing w:after="0"/>
              <w:rPr>
                <w:sz w:val="1"/>
                <w:szCs w:val="1"/>
                <w:color w:val="auto"/>
              </w:rPr>
            </w:pPr>
          </w:p>
        </w:tc>
      </w:tr>
      <w:tr>
        <w:trPr>
          <w:trHeight w:val="217"/>
        </w:trPr>
        <w:tc>
          <w:tcPr>
            <w:tcW w:w="1100" w:type="dxa"/>
            <w:vAlign w:val="bottom"/>
          </w:tcPr>
          <w:p>
            <w:pPr>
              <w:jc w:val="right"/>
              <w:ind w:right="430"/>
              <w:spacing w:after="0"/>
              <w:rPr>
                <w:sz w:val="20"/>
                <w:szCs w:val="20"/>
                <w:color w:val="auto"/>
              </w:rPr>
            </w:pPr>
            <w:r>
              <w:rPr>
                <w:rFonts w:ascii="Arial" w:cs="Arial" w:eastAsia="Arial" w:hAnsi="Arial"/>
                <w:sz w:val="18"/>
                <w:szCs w:val="18"/>
                <w:color w:val="auto"/>
              </w:rPr>
              <w:t>2011</w:t>
            </w: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80" w:type="dxa"/>
            <w:vAlign w:val="bottom"/>
            <w:gridSpan w:val="7"/>
          </w:tcPr>
          <w:p>
            <w:pPr>
              <w:jc w:val="right"/>
              <w:ind w:right="200"/>
              <w:spacing w:after="0"/>
              <w:rPr>
                <w:sz w:val="20"/>
                <w:szCs w:val="20"/>
                <w:color w:val="auto"/>
              </w:rPr>
            </w:pPr>
            <w:r>
              <w:rPr>
                <w:rFonts w:ascii="Arial" w:cs="Arial" w:eastAsia="Arial" w:hAnsi="Arial"/>
                <w:sz w:val="18"/>
                <w:szCs w:val="18"/>
                <w:color w:val="auto"/>
              </w:rPr>
              <w:t>12,331</w:t>
            </w:r>
          </w:p>
        </w:tc>
        <w:tc>
          <w:tcPr>
            <w:tcW w:w="2680" w:type="dxa"/>
            <w:vAlign w:val="bottom"/>
            <w:gridSpan w:val="5"/>
          </w:tcPr>
          <w:p>
            <w:pPr>
              <w:jc w:val="right"/>
              <w:ind w:right="800"/>
              <w:spacing w:after="0"/>
              <w:rPr>
                <w:sz w:val="20"/>
                <w:szCs w:val="20"/>
                <w:color w:val="auto"/>
              </w:rPr>
            </w:pPr>
            <w:r>
              <w:rPr>
                <w:rFonts w:ascii="Arial" w:cs="Arial" w:eastAsia="Arial" w:hAnsi="Arial"/>
                <w:sz w:val="18"/>
                <w:szCs w:val="18"/>
                <w:color w:val="auto"/>
              </w:rPr>
              <w:t>3,081</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(4,683)</w:t>
            </w:r>
          </w:p>
        </w:tc>
        <w:tc>
          <w:tcPr>
            <w:tcW w:w="1760" w:type="dxa"/>
            <w:vAlign w:val="bottom"/>
            <w:gridSpan w:val="5"/>
          </w:tcPr>
          <w:p>
            <w:pPr>
              <w:jc w:val="right"/>
              <w:spacing w:after="0"/>
              <w:rPr>
                <w:sz w:val="20"/>
                <w:szCs w:val="20"/>
                <w:color w:val="auto"/>
              </w:rPr>
            </w:pPr>
            <w:r>
              <w:rPr>
                <w:rFonts w:ascii="Arial" w:cs="Arial" w:eastAsia="Arial" w:hAnsi="Arial"/>
                <w:sz w:val="18"/>
                <w:szCs w:val="18"/>
                <w:color w:val="auto"/>
              </w:rPr>
              <w:t>10,729</w:t>
            </w:r>
          </w:p>
        </w:tc>
        <w:tc>
          <w:tcPr>
            <w:tcW w:w="0" w:type="dxa"/>
            <w:vAlign w:val="bottom"/>
          </w:tcPr>
          <w:p>
            <w:pPr>
              <w:spacing w:after="0"/>
              <w:rPr>
                <w:sz w:val="1"/>
                <w:szCs w:val="1"/>
                <w:color w:val="auto"/>
              </w:rPr>
            </w:pPr>
          </w:p>
        </w:tc>
      </w:tr>
      <w:tr>
        <w:trPr>
          <w:trHeight w:val="391"/>
        </w:trPr>
        <w:tc>
          <w:tcPr>
            <w:tcW w:w="3360" w:type="dxa"/>
            <w:vAlign w:val="bottom"/>
            <w:gridSpan w:val="5"/>
          </w:tcPr>
          <w:p>
            <w:pPr>
              <w:spacing w:after="0"/>
              <w:rPr>
                <w:sz w:val="20"/>
                <w:szCs w:val="20"/>
                <w:color w:val="auto"/>
              </w:rPr>
            </w:pPr>
            <w:r>
              <w:rPr>
                <w:rFonts w:ascii="Arial" w:cs="Arial" w:eastAsia="Arial" w:hAnsi="Arial"/>
                <w:sz w:val="18"/>
                <w:szCs w:val="18"/>
                <w:color w:val="auto"/>
              </w:rPr>
              <w:t>Allowance for sales returns</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360" w:type="dxa"/>
            <w:vAlign w:val="bottom"/>
            <w:gridSpan w:val="5"/>
          </w:tcPr>
          <w:p>
            <w:pPr>
              <w:spacing w:after="0" w:line="202" w:lineRule="exact"/>
              <w:rPr>
                <w:sz w:val="20"/>
                <w:szCs w:val="20"/>
                <w:color w:val="auto"/>
              </w:rPr>
            </w:pPr>
            <w:r>
              <w:rPr>
                <w:rFonts w:ascii="Arial" w:cs="Arial" w:eastAsia="Arial" w:hAnsi="Arial"/>
                <w:sz w:val="18"/>
                <w:szCs w:val="18"/>
                <w:color w:val="auto"/>
              </w:rPr>
              <w:t>Year ended December 31:</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0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2013</w:t>
            </w: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80" w:type="dxa"/>
            <w:vAlign w:val="bottom"/>
            <w:gridSpan w:val="7"/>
          </w:tcPr>
          <w:p>
            <w:pPr>
              <w:jc w:val="right"/>
              <w:ind w:right="200"/>
              <w:spacing w:after="0" w:line="202" w:lineRule="exact"/>
              <w:rPr>
                <w:sz w:val="20"/>
                <w:szCs w:val="20"/>
                <w:color w:val="auto"/>
              </w:rPr>
            </w:pPr>
            <w:r>
              <w:rPr>
                <w:rFonts w:ascii="Arial" w:cs="Arial" w:eastAsia="Arial" w:hAnsi="Arial"/>
                <w:sz w:val="18"/>
                <w:szCs w:val="18"/>
                <w:color w:val="auto"/>
              </w:rPr>
              <w:t>$19,536</w:t>
            </w:r>
          </w:p>
        </w:tc>
        <w:tc>
          <w:tcPr>
            <w:tcW w:w="2680" w:type="dxa"/>
            <w:vAlign w:val="bottom"/>
            <w:gridSpan w:val="5"/>
          </w:tcPr>
          <w:p>
            <w:pPr>
              <w:jc w:val="right"/>
              <w:ind w:right="800"/>
              <w:spacing w:after="0" w:line="202" w:lineRule="exact"/>
              <w:rPr>
                <w:sz w:val="20"/>
                <w:szCs w:val="20"/>
                <w:color w:val="auto"/>
              </w:rPr>
            </w:pPr>
            <w:r>
              <w:rPr>
                <w:rFonts w:ascii="Arial" w:cs="Arial" w:eastAsia="Arial" w:hAnsi="Arial"/>
                <w:sz w:val="18"/>
                <w:szCs w:val="18"/>
                <w:color w:val="auto"/>
              </w:rPr>
              <w:t>$25,013</w:t>
            </w:r>
          </w:p>
        </w:tc>
        <w:tc>
          <w:tcPr>
            <w:tcW w:w="14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($22,121)</w:t>
            </w:r>
          </w:p>
        </w:tc>
        <w:tc>
          <w:tcPr>
            <w:tcW w:w="176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$22,428</w:t>
            </w:r>
          </w:p>
        </w:tc>
        <w:tc>
          <w:tcPr>
            <w:tcW w:w="0" w:type="dxa"/>
            <w:vAlign w:val="bottom"/>
          </w:tcPr>
          <w:p>
            <w:pPr>
              <w:spacing w:after="0"/>
              <w:rPr>
                <w:sz w:val="1"/>
                <w:szCs w:val="1"/>
                <w:color w:val="auto"/>
              </w:rPr>
            </w:pPr>
          </w:p>
        </w:tc>
      </w:tr>
      <w:tr>
        <w:trPr>
          <w:trHeight w:val="203"/>
        </w:trPr>
        <w:tc>
          <w:tcPr>
            <w:tcW w:w="110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2012</w:t>
            </w: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80" w:type="dxa"/>
            <w:vAlign w:val="bottom"/>
            <w:gridSpan w:val="7"/>
          </w:tcPr>
          <w:p>
            <w:pPr>
              <w:jc w:val="right"/>
              <w:ind w:right="200"/>
              <w:spacing w:after="0" w:line="202" w:lineRule="exact"/>
              <w:rPr>
                <w:sz w:val="20"/>
                <w:szCs w:val="20"/>
                <w:color w:val="auto"/>
              </w:rPr>
            </w:pPr>
            <w:r>
              <w:rPr>
                <w:rFonts w:ascii="Arial" w:cs="Arial" w:eastAsia="Arial" w:hAnsi="Arial"/>
                <w:sz w:val="18"/>
                <w:szCs w:val="18"/>
                <w:color w:val="auto"/>
              </w:rPr>
              <w:t>15,609</w:t>
            </w:r>
          </w:p>
        </w:tc>
        <w:tc>
          <w:tcPr>
            <w:tcW w:w="2680" w:type="dxa"/>
            <w:vAlign w:val="bottom"/>
            <w:gridSpan w:val="5"/>
          </w:tcPr>
          <w:p>
            <w:pPr>
              <w:jc w:val="right"/>
              <w:ind w:right="800"/>
              <w:spacing w:after="0" w:line="202" w:lineRule="exact"/>
              <w:rPr>
                <w:sz w:val="20"/>
                <w:szCs w:val="20"/>
                <w:color w:val="auto"/>
              </w:rPr>
            </w:pPr>
            <w:r>
              <w:rPr>
                <w:rFonts w:ascii="Arial" w:cs="Arial" w:eastAsia="Arial" w:hAnsi="Arial"/>
                <w:sz w:val="18"/>
                <w:szCs w:val="18"/>
                <w:color w:val="auto"/>
              </w:rPr>
              <w:t>19,911</w:t>
            </w:r>
          </w:p>
        </w:tc>
        <w:tc>
          <w:tcPr>
            <w:tcW w:w="14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(15,984)</w:t>
            </w:r>
          </w:p>
        </w:tc>
        <w:tc>
          <w:tcPr>
            <w:tcW w:w="176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19,536</w:t>
            </w:r>
          </w:p>
        </w:tc>
        <w:tc>
          <w:tcPr>
            <w:tcW w:w="0" w:type="dxa"/>
            <w:vAlign w:val="bottom"/>
          </w:tcPr>
          <w:p>
            <w:pPr>
              <w:spacing w:after="0"/>
              <w:rPr>
                <w:sz w:val="1"/>
                <w:szCs w:val="1"/>
                <w:color w:val="auto"/>
              </w:rPr>
            </w:pPr>
          </w:p>
        </w:tc>
      </w:tr>
      <w:tr>
        <w:trPr>
          <w:trHeight w:val="217"/>
        </w:trPr>
        <w:tc>
          <w:tcPr>
            <w:tcW w:w="1100" w:type="dxa"/>
            <w:vAlign w:val="bottom"/>
          </w:tcPr>
          <w:p>
            <w:pPr>
              <w:jc w:val="right"/>
              <w:ind w:right="430"/>
              <w:spacing w:after="0"/>
              <w:rPr>
                <w:sz w:val="20"/>
                <w:szCs w:val="20"/>
                <w:color w:val="auto"/>
              </w:rPr>
            </w:pPr>
            <w:r>
              <w:rPr>
                <w:rFonts w:ascii="Arial" w:cs="Arial" w:eastAsia="Arial" w:hAnsi="Arial"/>
                <w:sz w:val="18"/>
                <w:szCs w:val="18"/>
                <w:color w:val="auto"/>
              </w:rPr>
              <w:t>2011</w:t>
            </w: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80" w:type="dxa"/>
            <w:vAlign w:val="bottom"/>
            <w:gridSpan w:val="7"/>
          </w:tcPr>
          <w:p>
            <w:pPr>
              <w:jc w:val="right"/>
              <w:ind w:right="200"/>
              <w:spacing w:after="0"/>
              <w:rPr>
                <w:sz w:val="20"/>
                <w:szCs w:val="20"/>
                <w:color w:val="auto"/>
              </w:rPr>
            </w:pPr>
            <w:r>
              <w:rPr>
                <w:rFonts w:ascii="Arial" w:cs="Arial" w:eastAsia="Arial" w:hAnsi="Arial"/>
                <w:sz w:val="18"/>
                <w:szCs w:val="18"/>
                <w:color w:val="auto"/>
              </w:rPr>
              <w:t>14,208</w:t>
            </w:r>
          </w:p>
        </w:tc>
        <w:tc>
          <w:tcPr>
            <w:tcW w:w="2680" w:type="dxa"/>
            <w:vAlign w:val="bottom"/>
            <w:gridSpan w:val="5"/>
          </w:tcPr>
          <w:p>
            <w:pPr>
              <w:jc w:val="right"/>
              <w:ind w:right="800"/>
              <w:spacing w:after="0"/>
              <w:rPr>
                <w:sz w:val="20"/>
                <w:szCs w:val="20"/>
                <w:color w:val="auto"/>
              </w:rPr>
            </w:pPr>
            <w:r>
              <w:rPr>
                <w:rFonts w:ascii="Arial" w:cs="Arial" w:eastAsia="Arial" w:hAnsi="Arial"/>
                <w:sz w:val="18"/>
                <w:szCs w:val="18"/>
                <w:color w:val="auto"/>
              </w:rPr>
              <w:t>18,942</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(17,541)</w:t>
            </w:r>
          </w:p>
        </w:tc>
        <w:tc>
          <w:tcPr>
            <w:tcW w:w="1760" w:type="dxa"/>
            <w:vAlign w:val="bottom"/>
            <w:gridSpan w:val="5"/>
          </w:tcPr>
          <w:p>
            <w:pPr>
              <w:jc w:val="right"/>
              <w:spacing w:after="0"/>
              <w:rPr>
                <w:sz w:val="20"/>
                <w:szCs w:val="20"/>
                <w:color w:val="auto"/>
              </w:rPr>
            </w:pPr>
            <w:r>
              <w:rPr>
                <w:rFonts w:ascii="Arial" w:cs="Arial" w:eastAsia="Arial" w:hAnsi="Arial"/>
                <w:sz w:val="18"/>
                <w:szCs w:val="18"/>
                <w:color w:val="auto"/>
              </w:rPr>
              <w:t>15,609</w:t>
            </w:r>
          </w:p>
        </w:tc>
        <w:tc>
          <w:tcPr>
            <w:tcW w:w="0" w:type="dxa"/>
            <w:vAlign w:val="bottom"/>
          </w:tcPr>
          <w:p>
            <w:pPr>
              <w:spacing w:after="0"/>
              <w:rPr>
                <w:sz w:val="1"/>
                <w:szCs w:val="1"/>
                <w:color w:val="auto"/>
              </w:rPr>
            </w:pPr>
          </w:p>
        </w:tc>
      </w:tr>
      <w:tr>
        <w:trPr>
          <w:trHeight w:val="391"/>
        </w:trPr>
        <w:tc>
          <w:tcPr>
            <w:tcW w:w="3360" w:type="dxa"/>
            <w:vAlign w:val="bottom"/>
            <w:gridSpan w:val="5"/>
          </w:tcPr>
          <w:p>
            <w:pPr>
              <w:spacing w:after="0"/>
              <w:rPr>
                <w:sz w:val="20"/>
                <w:szCs w:val="20"/>
                <w:color w:val="auto"/>
              </w:rPr>
            </w:pPr>
            <w:r>
              <w:rPr>
                <w:rFonts w:ascii="Arial" w:cs="Arial" w:eastAsia="Arial" w:hAnsi="Arial"/>
                <w:sz w:val="18"/>
                <w:szCs w:val="18"/>
                <w:color w:val="auto"/>
              </w:rPr>
              <w:t>Valuation allowance deferred tax assets</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360" w:type="dxa"/>
            <w:vAlign w:val="bottom"/>
            <w:gridSpan w:val="5"/>
          </w:tcPr>
          <w:p>
            <w:pPr>
              <w:spacing w:after="0" w:line="202" w:lineRule="exact"/>
              <w:rPr>
                <w:sz w:val="20"/>
                <w:szCs w:val="20"/>
                <w:color w:val="auto"/>
              </w:rPr>
            </w:pPr>
            <w:r>
              <w:rPr>
                <w:rFonts w:ascii="Arial" w:cs="Arial" w:eastAsia="Arial" w:hAnsi="Arial"/>
                <w:sz w:val="18"/>
                <w:szCs w:val="18"/>
                <w:color w:val="auto"/>
              </w:rPr>
              <w:t>Year ended December 31:</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0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2013</w:t>
            </w: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80" w:type="dxa"/>
            <w:vAlign w:val="bottom"/>
            <w:gridSpan w:val="7"/>
          </w:tcPr>
          <w:p>
            <w:pPr>
              <w:jc w:val="right"/>
              <w:ind w:right="200"/>
              <w:spacing w:after="0" w:line="202" w:lineRule="exact"/>
              <w:rPr>
                <w:sz w:val="20"/>
                <w:szCs w:val="20"/>
                <w:color w:val="auto"/>
              </w:rPr>
            </w:pPr>
            <w:r>
              <w:rPr>
                <w:rFonts w:ascii="Arial" w:cs="Arial" w:eastAsia="Arial" w:hAnsi="Arial"/>
                <w:sz w:val="18"/>
                <w:szCs w:val="18"/>
                <w:color w:val="auto"/>
              </w:rPr>
              <w:t>$60,348</w:t>
            </w:r>
          </w:p>
        </w:tc>
        <w:tc>
          <w:tcPr>
            <w:tcW w:w="2680" w:type="dxa"/>
            <w:vAlign w:val="bottom"/>
            <w:gridSpan w:val="5"/>
          </w:tcPr>
          <w:p>
            <w:pPr>
              <w:jc w:val="right"/>
              <w:ind w:right="740"/>
              <w:spacing w:after="0" w:line="202" w:lineRule="exact"/>
              <w:rPr>
                <w:sz w:val="20"/>
                <w:szCs w:val="20"/>
                <w:color w:val="auto"/>
              </w:rPr>
            </w:pPr>
            <w:r>
              <w:rPr>
                <w:rFonts w:ascii="Arial" w:cs="Arial" w:eastAsia="Arial" w:hAnsi="Arial"/>
                <w:sz w:val="18"/>
                <w:szCs w:val="18"/>
                <w:color w:val="auto"/>
              </w:rPr>
              <w:t>($8,795)</w:t>
            </w:r>
          </w:p>
        </w:tc>
        <w:tc>
          <w:tcPr>
            <w:tcW w:w="14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($1,566)</w:t>
            </w:r>
          </w:p>
        </w:tc>
        <w:tc>
          <w:tcPr>
            <w:tcW w:w="176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$49,987</w:t>
            </w:r>
          </w:p>
        </w:tc>
        <w:tc>
          <w:tcPr>
            <w:tcW w:w="0" w:type="dxa"/>
            <w:vAlign w:val="bottom"/>
          </w:tcPr>
          <w:p>
            <w:pPr>
              <w:spacing w:after="0"/>
              <w:rPr>
                <w:sz w:val="1"/>
                <w:szCs w:val="1"/>
                <w:color w:val="auto"/>
              </w:rPr>
            </w:pPr>
          </w:p>
        </w:tc>
      </w:tr>
      <w:tr>
        <w:trPr>
          <w:trHeight w:val="203"/>
        </w:trPr>
        <w:tc>
          <w:tcPr>
            <w:tcW w:w="110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2012</w:t>
            </w: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80" w:type="dxa"/>
            <w:vAlign w:val="bottom"/>
            <w:gridSpan w:val="7"/>
          </w:tcPr>
          <w:p>
            <w:pPr>
              <w:jc w:val="right"/>
              <w:ind w:right="200"/>
              <w:spacing w:after="0" w:line="202" w:lineRule="exact"/>
              <w:rPr>
                <w:sz w:val="20"/>
                <w:szCs w:val="20"/>
                <w:color w:val="auto"/>
              </w:rPr>
            </w:pPr>
            <w:r>
              <w:rPr>
                <w:rFonts w:ascii="Arial" w:cs="Arial" w:eastAsia="Arial" w:hAnsi="Arial"/>
                <w:sz w:val="18"/>
                <w:szCs w:val="18"/>
                <w:color w:val="auto"/>
              </w:rPr>
              <w:t>63,413</w:t>
            </w:r>
          </w:p>
        </w:tc>
        <w:tc>
          <w:tcPr>
            <w:tcW w:w="2680" w:type="dxa"/>
            <w:vAlign w:val="bottom"/>
            <w:gridSpan w:val="5"/>
          </w:tcPr>
          <w:p>
            <w:pPr>
              <w:jc w:val="right"/>
              <w:ind w:right="740"/>
              <w:spacing w:after="0" w:line="202" w:lineRule="exact"/>
              <w:rPr>
                <w:sz w:val="20"/>
                <w:szCs w:val="20"/>
                <w:color w:val="auto"/>
              </w:rPr>
            </w:pPr>
            <w:r>
              <w:rPr>
                <w:rFonts w:ascii="Arial" w:cs="Arial" w:eastAsia="Arial" w:hAnsi="Arial"/>
                <w:sz w:val="18"/>
                <w:szCs w:val="18"/>
                <w:color w:val="auto"/>
              </w:rPr>
              <w:t>(4,131)</w:t>
            </w:r>
          </w:p>
        </w:tc>
        <w:tc>
          <w:tcPr>
            <w:tcW w:w="14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1,066</w:t>
            </w:r>
          </w:p>
        </w:tc>
        <w:tc>
          <w:tcPr>
            <w:tcW w:w="176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60,348</w:t>
            </w:r>
          </w:p>
        </w:tc>
        <w:tc>
          <w:tcPr>
            <w:tcW w:w="0" w:type="dxa"/>
            <w:vAlign w:val="bottom"/>
          </w:tcPr>
          <w:p>
            <w:pPr>
              <w:spacing w:after="0"/>
              <w:rPr>
                <w:sz w:val="1"/>
                <w:szCs w:val="1"/>
                <w:color w:val="auto"/>
              </w:rPr>
            </w:pPr>
          </w:p>
        </w:tc>
      </w:tr>
      <w:tr>
        <w:trPr>
          <w:trHeight w:val="217"/>
        </w:trPr>
        <w:tc>
          <w:tcPr>
            <w:tcW w:w="1100" w:type="dxa"/>
            <w:vAlign w:val="bottom"/>
          </w:tcPr>
          <w:p>
            <w:pPr>
              <w:jc w:val="right"/>
              <w:ind w:right="430"/>
              <w:spacing w:after="0"/>
              <w:rPr>
                <w:sz w:val="20"/>
                <w:szCs w:val="20"/>
                <w:color w:val="auto"/>
              </w:rPr>
            </w:pPr>
            <w:r>
              <w:rPr>
                <w:rFonts w:ascii="Arial" w:cs="Arial" w:eastAsia="Arial" w:hAnsi="Arial"/>
                <w:sz w:val="18"/>
                <w:szCs w:val="18"/>
                <w:color w:val="auto"/>
              </w:rPr>
              <w:t>2011</w:t>
            </w: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80" w:type="dxa"/>
            <w:vAlign w:val="bottom"/>
            <w:gridSpan w:val="7"/>
          </w:tcPr>
          <w:p>
            <w:pPr>
              <w:jc w:val="right"/>
              <w:ind w:right="200"/>
              <w:spacing w:after="0"/>
              <w:rPr>
                <w:sz w:val="20"/>
                <w:szCs w:val="20"/>
                <w:color w:val="auto"/>
              </w:rPr>
            </w:pPr>
            <w:r>
              <w:rPr>
                <w:rFonts w:ascii="Arial" w:cs="Arial" w:eastAsia="Arial" w:hAnsi="Arial"/>
                <w:sz w:val="18"/>
                <w:szCs w:val="18"/>
                <w:color w:val="auto"/>
              </w:rPr>
              <w:t>42,140</w:t>
            </w:r>
          </w:p>
        </w:tc>
        <w:tc>
          <w:tcPr>
            <w:tcW w:w="2680" w:type="dxa"/>
            <w:vAlign w:val="bottom"/>
            <w:gridSpan w:val="5"/>
          </w:tcPr>
          <w:p>
            <w:pPr>
              <w:jc w:val="right"/>
              <w:ind w:right="800"/>
              <w:spacing w:after="0"/>
              <w:rPr>
                <w:sz w:val="20"/>
                <w:szCs w:val="20"/>
                <w:color w:val="auto"/>
              </w:rPr>
            </w:pPr>
            <w:r>
              <w:rPr>
                <w:rFonts w:ascii="Arial" w:cs="Arial" w:eastAsia="Arial" w:hAnsi="Arial"/>
                <w:sz w:val="18"/>
                <w:szCs w:val="18"/>
                <w:color w:val="auto"/>
              </w:rPr>
              <w:t>18,529</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2,744</w:t>
            </w:r>
          </w:p>
        </w:tc>
        <w:tc>
          <w:tcPr>
            <w:tcW w:w="1760" w:type="dxa"/>
            <w:vAlign w:val="bottom"/>
            <w:gridSpan w:val="5"/>
          </w:tcPr>
          <w:p>
            <w:pPr>
              <w:jc w:val="right"/>
              <w:spacing w:after="0"/>
              <w:rPr>
                <w:sz w:val="20"/>
                <w:szCs w:val="20"/>
                <w:color w:val="auto"/>
              </w:rPr>
            </w:pPr>
            <w:r>
              <w:rPr>
                <w:rFonts w:ascii="Arial" w:cs="Arial" w:eastAsia="Arial" w:hAnsi="Arial"/>
                <w:sz w:val="18"/>
                <w:szCs w:val="18"/>
                <w:color w:val="auto"/>
              </w:rPr>
              <w:t>63,413</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Amounts sold, written off, or recovered, and the effect of changes in currency translation rates, are included in Column D.</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t>CORPORATE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Investor Relations Department may be contacted at:</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Investor Relations Department</w:t>
      </w:r>
    </w:p>
    <w:p>
      <w:pPr>
        <w:ind w:left="660"/>
        <w:spacing w:after="0" w:line="234" w:lineRule="auto"/>
        <w:rPr>
          <w:sz w:val="20"/>
          <w:szCs w:val="20"/>
          <w:color w:val="auto"/>
        </w:rPr>
      </w:pPr>
      <w:r>
        <w:rPr>
          <w:rFonts w:ascii="Arial" w:cs="Arial" w:eastAsia="Arial" w:hAnsi="Arial"/>
          <w:sz w:val="18"/>
          <w:szCs w:val="18"/>
          <w:color w:val="auto"/>
        </w:rPr>
        <w:t>Albany International Corp.</w:t>
      </w:r>
    </w:p>
    <w:p>
      <w:pPr>
        <w:ind w:left="660"/>
        <w:spacing w:after="0" w:line="235" w:lineRule="auto"/>
        <w:rPr>
          <w:sz w:val="20"/>
          <w:szCs w:val="20"/>
          <w:color w:val="auto"/>
        </w:rPr>
      </w:pPr>
      <w:r>
        <w:rPr>
          <w:rFonts w:ascii="Arial" w:cs="Arial" w:eastAsia="Arial" w:hAnsi="Arial"/>
          <w:sz w:val="18"/>
          <w:szCs w:val="18"/>
          <w:color w:val="auto"/>
        </w:rPr>
        <w:t>216 Airport Drive</w:t>
      </w:r>
    </w:p>
    <w:p>
      <w:pPr>
        <w:ind w:left="660"/>
        <w:spacing w:after="0" w:line="235" w:lineRule="auto"/>
        <w:rPr>
          <w:sz w:val="20"/>
          <w:szCs w:val="20"/>
          <w:color w:val="auto"/>
        </w:rPr>
      </w:pPr>
      <w:r>
        <w:rPr>
          <w:rFonts w:ascii="Arial" w:cs="Arial" w:eastAsia="Arial" w:hAnsi="Arial"/>
          <w:sz w:val="18"/>
          <w:szCs w:val="18"/>
          <w:color w:val="auto"/>
        </w:rPr>
        <w:t>Rochester, NH 03867</w:t>
      </w:r>
    </w:p>
    <w:p>
      <w:pPr>
        <w:ind w:left="660"/>
        <w:spacing w:after="0" w:line="235" w:lineRule="auto"/>
        <w:rPr>
          <w:sz w:val="20"/>
          <w:szCs w:val="20"/>
          <w:color w:val="auto"/>
        </w:rPr>
      </w:pPr>
      <w:r>
        <w:rPr>
          <w:rFonts w:ascii="Arial" w:cs="Arial" w:eastAsia="Arial" w:hAnsi="Arial"/>
          <w:sz w:val="18"/>
          <w:szCs w:val="18"/>
          <w:color w:val="auto"/>
        </w:rPr>
        <w:t>Telephone: (603) 330-5850</w:t>
      </w:r>
    </w:p>
    <w:p>
      <w:pPr>
        <w:ind w:left="660"/>
        <w:spacing w:after="0" w:line="235" w:lineRule="auto"/>
        <w:rPr>
          <w:sz w:val="20"/>
          <w:szCs w:val="20"/>
          <w:color w:val="auto"/>
        </w:rPr>
      </w:pPr>
      <w:r>
        <w:rPr>
          <w:rFonts w:ascii="Arial" w:cs="Arial" w:eastAsia="Arial" w:hAnsi="Arial"/>
          <w:sz w:val="18"/>
          <w:szCs w:val="18"/>
          <w:color w:val="auto"/>
        </w:rPr>
        <w:t>Fax: (603) 994-3974</w:t>
      </w:r>
    </w:p>
    <w:p>
      <w:pPr>
        <w:ind w:left="660"/>
        <w:spacing w:after="0"/>
        <w:rPr>
          <w:sz w:val="20"/>
          <w:szCs w:val="20"/>
          <w:color w:val="auto"/>
        </w:rPr>
      </w:pPr>
      <w:r>
        <w:rPr>
          <w:rFonts w:ascii="Arial" w:cs="Arial" w:eastAsia="Arial" w:hAnsi="Arial"/>
          <w:sz w:val="18"/>
          <w:szCs w:val="18"/>
          <w:color w:val="auto"/>
        </w:rPr>
        <w:t>E-mail: investor.relations@albint.com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Computershare</w:t>
      </w:r>
    </w:p>
    <w:p>
      <w:pPr>
        <w:ind w:left="660"/>
        <w:spacing w:after="0" w:line="234" w:lineRule="auto"/>
        <w:rPr>
          <w:sz w:val="20"/>
          <w:szCs w:val="20"/>
          <w:color w:val="auto"/>
        </w:rPr>
      </w:pPr>
      <w:r>
        <w:rPr>
          <w:rFonts w:ascii="Arial" w:cs="Arial" w:eastAsia="Arial" w:hAnsi="Arial"/>
          <w:sz w:val="18"/>
          <w:szCs w:val="18"/>
          <w:color w:val="auto"/>
        </w:rPr>
        <w:t>P.O. Box 30170</w:t>
      </w:r>
    </w:p>
    <w:p>
      <w:pPr>
        <w:ind w:left="660"/>
        <w:spacing w:after="0" w:line="235" w:lineRule="auto"/>
        <w:rPr>
          <w:sz w:val="20"/>
          <w:szCs w:val="20"/>
          <w:color w:val="auto"/>
        </w:rPr>
      </w:pPr>
      <w:r>
        <w:rPr>
          <w:rFonts w:ascii="Arial" w:cs="Arial" w:eastAsia="Arial" w:hAnsi="Arial"/>
          <w:sz w:val="18"/>
          <w:szCs w:val="18"/>
          <w:color w:val="auto"/>
        </w:rPr>
        <w:t>College Station, TX 77842-3170</w:t>
      </w:r>
    </w:p>
    <w:p>
      <w:pPr>
        <w:ind w:left="660"/>
        <w:spacing w:after="0" w:line="235" w:lineRule="auto"/>
        <w:rPr>
          <w:sz w:val="20"/>
          <w:szCs w:val="20"/>
          <w:color w:val="auto"/>
        </w:rPr>
      </w:pPr>
      <w:r>
        <w:rPr>
          <w:rFonts w:ascii="Arial" w:cs="Arial" w:eastAsia="Arial" w:hAnsi="Arial"/>
          <w:sz w:val="18"/>
          <w:szCs w:val="18"/>
          <w:color w:val="auto"/>
        </w:rPr>
        <w:t>Telephone (toll-free): 1-877-277-9931</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Web: </w:t>
      </w:r>
      <w:r>
        <w:rPr>
          <w:rFonts w:ascii="Arial" w:cs="Arial" w:eastAsia="Arial" w:hAnsi="Arial"/>
          <w:sz w:val="18"/>
          <w:szCs w:val="18"/>
          <w:u w:val="single" w:color="auto"/>
          <w:color w:val="auto"/>
        </w:rPr>
        <w:t>www.computershare.com/investor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Services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an Albany International shareholder, you are invited to take advantage of our convenient shareholder services.</w:t>
      </w:r>
    </w:p>
    <w:p>
      <w:pPr>
        <w:spacing w:after="0" w:line="171" w:lineRule="exact"/>
        <w:rPr>
          <w:sz w:val="20"/>
          <w:szCs w:val="20"/>
          <w:color w:val="auto"/>
        </w:rPr>
      </w:pPr>
    </w:p>
    <w:p>
      <w:pPr>
        <w:ind w:right="200" w:firstLine="648"/>
        <w:spacing w:after="0" w:line="246" w:lineRule="auto"/>
        <w:rPr>
          <w:sz w:val="20"/>
          <w:szCs w:val="20"/>
          <w:color w:val="auto"/>
        </w:rPr>
      </w:pPr>
      <w:r>
        <w:rPr>
          <w:rFonts w:ascii="Arial" w:cs="Arial" w:eastAsia="Arial" w:hAnsi="Arial"/>
          <w:sz w:val="18"/>
          <w:szCs w:val="18"/>
          <w:color w:val="auto"/>
        </w:rPr>
        <w:t>Computershare maintains the records for our registered shareholders and can help you with a variety of shareholder-related services at no charge, including:</w:t>
      </w:r>
    </w:p>
    <w:p>
      <w:pPr>
        <w:spacing w:after="0" w:line="170" w:lineRule="exact"/>
        <w:rPr>
          <w:sz w:val="20"/>
          <w:szCs w:val="20"/>
          <w:color w:val="auto"/>
        </w:rPr>
      </w:pPr>
    </w:p>
    <w:p>
      <w:pPr>
        <w:ind w:left="900" w:hanging="244"/>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 of name and/or address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Consolidation of accounts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Duplicate mailings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Dividend reinvestment enrollment</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Lost stock certificates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Transfer of stock to another person</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Additional administrative services</w:t>
      </w:r>
    </w:p>
    <w:p>
      <w:pPr>
        <w:spacing w:after="0" w:line="167" w:lineRule="exact"/>
        <w:rPr>
          <w:sz w:val="20"/>
          <w:szCs w:val="20"/>
          <w:color w:val="auto"/>
        </w:rPr>
      </w:pPr>
    </w:p>
    <w:p>
      <w:pPr>
        <w:ind w:right="1720" w:firstLine="648"/>
        <w:spacing w:after="0" w:line="267" w:lineRule="auto"/>
        <w:rPr>
          <w:sz w:val="20"/>
          <w:szCs w:val="20"/>
          <w:color w:val="auto"/>
        </w:rPr>
      </w:pPr>
      <w:r>
        <w:rPr>
          <w:rFonts w:ascii="Arial" w:cs="Arial" w:eastAsia="Arial" w:hAnsi="Arial"/>
          <w:sz w:val="18"/>
          <w:szCs w:val="18"/>
          <w:i w:val="1"/>
          <w:iCs w:val="1"/>
          <w:color w:val="auto"/>
        </w:rPr>
        <w:t xml:space="preserve">Access your investor statements online 24 hours a day, 7 days a week with MLinkSM. For more information, go to </w:t>
      </w:r>
      <w:r>
        <w:rPr>
          <w:rFonts w:ascii="Arial" w:cs="Arial" w:eastAsia="Arial" w:hAnsi="Arial"/>
          <w:sz w:val="18"/>
          <w:szCs w:val="18"/>
          <w:i w:val="1"/>
          <w:iCs w:val="1"/>
          <w:u w:val="single" w:color="auto"/>
          <w:color w:val="auto"/>
        </w:rPr>
        <w:t>www.computershare.com/investor</w:t>
      </w:r>
      <w:r>
        <w:rPr>
          <w:rFonts w:ascii="Arial" w:cs="Arial" w:eastAsia="Arial" w:hAnsi="Arial"/>
          <w:sz w:val="18"/>
          <w:szCs w:val="18"/>
          <w:i w:val="1"/>
          <w:iCs w:val="1"/>
          <w:color w:val="auto"/>
        </w:rPr>
        <w: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Annual Meeting</w:t>
      </w:r>
    </w:p>
    <w:p>
      <w:pPr>
        <w:spacing w:after="0" w:line="207" w:lineRule="exact"/>
        <w:rPr>
          <w:sz w:val="20"/>
          <w:szCs w:val="20"/>
          <w:color w:val="auto"/>
        </w:rPr>
      </w:pPr>
    </w:p>
    <w:p>
      <w:pPr>
        <w:ind w:right="280" w:firstLine="648"/>
        <w:spacing w:after="0" w:line="246" w:lineRule="auto"/>
        <w:rPr>
          <w:sz w:val="20"/>
          <w:szCs w:val="20"/>
          <w:color w:val="auto"/>
        </w:rPr>
      </w:pPr>
      <w:r>
        <w:rPr>
          <w:rFonts w:ascii="Arial" w:cs="Arial" w:eastAsia="Arial" w:hAnsi="Arial"/>
          <w:sz w:val="18"/>
          <w:szCs w:val="18"/>
          <w:color w:val="auto"/>
        </w:rPr>
        <w:t>The Annual Meeting of the Company’s shareholders will be held on Friday, May 16, 2014, at 9:00 a.m. at the Hilton Garden Inn, 100 High St., Portsmouth, New Hampshire 03801.</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Listing</w:t>
      </w:r>
    </w:p>
    <w:p>
      <w:pPr>
        <w:spacing w:after="0" w:line="193" w:lineRule="exact"/>
        <w:rPr>
          <w:sz w:val="20"/>
          <w:szCs w:val="20"/>
          <w:color w:val="auto"/>
        </w:rPr>
      </w:pPr>
    </w:p>
    <w:p>
      <w:pPr>
        <w:ind w:right="60" w:firstLine="648"/>
        <w:spacing w:after="0" w:line="246" w:lineRule="auto"/>
        <w:rPr>
          <w:sz w:val="20"/>
          <w:szCs w:val="20"/>
          <w:color w:val="auto"/>
        </w:rPr>
      </w:pPr>
      <w:r>
        <w:rPr>
          <w:rFonts w:ascii="Arial" w:cs="Arial" w:eastAsia="Arial" w:hAnsi="Arial"/>
          <w:sz w:val="18"/>
          <w:szCs w:val="18"/>
          <w:color w:val="auto"/>
        </w:rPr>
        <w:t>Albany International is listed on the New York Stock Exchange (Symbol AIN). Stock tables in newspapers and financial publications list Albany International as “AlbanyInt.”</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Equal Employment Opportunity</w:t>
      </w:r>
    </w:p>
    <w:p>
      <w:pPr>
        <w:spacing w:after="0" w:line="193" w:lineRule="exact"/>
        <w:rPr>
          <w:sz w:val="20"/>
          <w:szCs w:val="20"/>
          <w:color w:val="auto"/>
        </w:rPr>
      </w:pPr>
    </w:p>
    <w:p>
      <w:pPr>
        <w:ind w:right="220" w:firstLine="648"/>
        <w:spacing w:after="0" w:line="239" w:lineRule="auto"/>
        <w:rPr>
          <w:sz w:val="20"/>
          <w:szCs w:val="20"/>
          <w:color w:val="auto"/>
        </w:rPr>
      </w:pPr>
      <w:r>
        <w:rPr>
          <w:rFonts w:ascii="Arial" w:cs="Arial" w:eastAsia="Arial" w:hAnsi="Arial"/>
          <w:sz w:val="18"/>
          <w:szCs w:val="18"/>
          <w:color w:val="auto"/>
        </w:rPr>
        <w:t>Albany International, as a matter of policy, does not discriminate against any employee or applicant for employment because of race, color, religion, sex, national origin, age, physical or mental disability, or status as a disabled or Vietnam-era veteran. This policy of nondiscrimination is applicable to matters of hiring, upgrading, promotions, transfers, layoffs, terminations, rates of pay, selection for training, recruitment, and recruitment advertising. The Company maintains affirmative action programs to implement its EEO policy.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193" w:lineRule="exact"/>
        <w:rPr>
          <w:sz w:val="20"/>
          <w:szCs w:val="20"/>
          <w:color w:val="auto"/>
        </w:rPr>
      </w:pPr>
    </w:p>
    <w:p>
      <w:pPr>
        <w:ind w:right="260" w:firstLine="648"/>
        <w:spacing w:after="0"/>
        <w:rPr>
          <w:sz w:val="20"/>
          <w:szCs w:val="20"/>
          <w:color w:val="auto"/>
        </w:rPr>
      </w:pPr>
      <w:r>
        <w:rPr>
          <w:rFonts w:ascii="Arial" w:cs="Arial" w:eastAsia="Arial" w:hAnsi="Arial"/>
          <w:sz w:val="18"/>
          <w:szCs w:val="18"/>
          <w:color w:val="auto"/>
        </w:rPr>
        <w:t>INLINE, HYDROCROSS, SPRING, SEAM HYDROCROSS, SEAMPLANE, Seam KMX, VENTABELT EVM, VENTABELT XTS, TRANSBELT GX, AEROPULSE, DURASPIRAL, NEOSTAT and SUPRASTAT are trademarks of Albany International Corp., registered in the United States and other countries.</w:t>
      </w:r>
    </w:p>
    <w:p>
      <w:pPr>
        <w:spacing w:after="0" w:line="2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t>Directors and Officers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ectPr>
          <w:pgSz w:w="11900" w:h="16838" w:orient="portrait"/>
          <w:cols w:equalWidth="0" w:num="1">
            <w:col w:w="11420"/>
          </w:cols>
          <w:pgMar w:left="240" w:top="643" w:right="239" w:bottom="1440" w:gutter="0" w:footer="0" w:header="0"/>
        </w:sectPr>
      </w:pP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Erland E. Kailbourne, Chairman</w:t>
      </w:r>
      <w:r>
        <w:rPr>
          <w:rFonts w:ascii="Arial" w:cs="Arial" w:eastAsia="Arial" w:hAnsi="Arial"/>
          <w:sz w:val="15"/>
          <w:szCs w:val="15"/>
          <w:color w:val="auto"/>
        </w:rPr>
        <w:t>1</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Retired – Chairman and Chief Executive Officer,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Fleet National Bank (New York Region)</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Edgar G. Hotard</w:t>
      </w:r>
      <w:r>
        <w:rPr>
          <w:rFonts w:ascii="Arial" w:cs="Arial" w:eastAsia="Arial" w:hAnsi="Arial"/>
          <w:sz w:val="15"/>
          <w:szCs w:val="15"/>
          <w:color w:val="auto"/>
        </w:rPr>
        <w:t>1,3</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Operating Partner - HAO Capital</w:t>
      </w:r>
    </w:p>
    <w:p>
      <w:pPr>
        <w:spacing w:after="0" w:line="412" w:lineRule="exact"/>
        <w:rPr>
          <w:sz w:val="20"/>
          <w:szCs w:val="20"/>
          <w:color w:val="auto"/>
        </w:rPr>
      </w:pPr>
    </w:p>
    <w:p>
      <w:pPr>
        <w:sectPr>
          <w:pgSz w:w="11900" w:h="16838" w:orient="portrait"/>
          <w:cols w:equalWidth="0" w:num="2">
            <w:col w:w="4900" w:space="720"/>
            <w:col w:w="5800"/>
          </w:cols>
          <w:pgMar w:left="240" w:top="643" w:right="239" w:bottom="1440" w:gutter="0" w:footer="0" w:header="0"/>
          <w:type w:val="continuous"/>
        </w:sectPr>
      </w:pPr>
    </w:p>
    <w:p>
      <w:pPr>
        <w:spacing w:after="0"/>
        <w:rPr>
          <w:sz w:val="20"/>
          <w:szCs w:val="20"/>
          <w:color w:val="auto"/>
        </w:rPr>
      </w:pPr>
      <w:r>
        <w:rPr>
          <w:rFonts w:ascii="Arial" w:cs="Arial" w:eastAsia="Arial" w:hAnsi="Arial"/>
          <w:sz w:val="18"/>
          <w:szCs w:val="18"/>
          <w:color w:val="auto"/>
        </w:rPr>
        <w:t>John C. Standish,</w:t>
      </w:r>
      <w:r>
        <w:rPr>
          <w:rFonts w:ascii="Arial" w:cs="Arial" w:eastAsia="Arial" w:hAnsi="Arial"/>
          <w:sz w:val="15"/>
          <w:szCs w:val="15"/>
          <w:color w:val="auto"/>
        </w:rPr>
        <w:t>2</w:t>
      </w:r>
      <w:r>
        <w:rPr>
          <w:rFonts w:ascii="Arial" w:cs="Arial" w:eastAsia="Arial" w:hAnsi="Arial"/>
          <w:sz w:val="18"/>
          <w:szCs w:val="18"/>
          <w:color w:val="auto"/>
        </w:rPr>
        <w:t xml:space="preserve"> Vice Chairman</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President, J.S. Standish Company</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Joseph G. Morone</w:t>
      </w:r>
    </w:p>
    <w:p>
      <w:pPr>
        <w:spacing w:after="0"/>
        <w:rPr>
          <w:sz w:val="20"/>
          <w:szCs w:val="20"/>
          <w:color w:val="auto"/>
        </w:rPr>
      </w:pPr>
      <w:r>
        <w:rPr>
          <w:rFonts w:ascii="Arial" w:cs="Arial" w:eastAsia="Arial" w:hAnsi="Arial"/>
          <w:sz w:val="17"/>
          <w:szCs w:val="17"/>
          <w:color w:val="auto"/>
        </w:rPr>
        <w:t>President and Chief Executive Officer</w:t>
      </w:r>
    </w:p>
    <w:p>
      <w:pPr>
        <w:spacing w:after="0" w:line="200" w:lineRule="exact"/>
        <w:rPr>
          <w:sz w:val="20"/>
          <w:szCs w:val="20"/>
          <w:color w:val="auto"/>
        </w:rPr>
      </w:pPr>
    </w:p>
    <w:p>
      <w:pPr>
        <w:sectPr>
          <w:pgSz w:w="11900" w:h="16838" w:orient="portrait"/>
          <w:cols w:equalWidth="0" w:num="2">
            <w:col w:w="4900" w:space="720"/>
            <w:col w:w="5800"/>
          </w:cols>
          <w:pgMar w:left="240" w:top="643" w:right="239"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John F. Cassidy, Jr.</w:t>
      </w:r>
      <w:r>
        <w:rPr>
          <w:rFonts w:ascii="Arial" w:cs="Arial" w:eastAsia="Arial" w:hAnsi="Arial"/>
          <w:sz w:val="15"/>
          <w:szCs w:val="15"/>
          <w:color w:val="auto"/>
        </w:rPr>
        <w:t>2</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Retired – Senior Vice President,</w:t>
      </w:r>
    </w:p>
    <w:p>
      <w:pPr>
        <w:spacing w:after="0"/>
        <w:rPr>
          <w:sz w:val="20"/>
          <w:szCs w:val="20"/>
          <w:color w:val="auto"/>
        </w:rPr>
      </w:pPr>
      <w:r>
        <w:rPr>
          <w:rFonts w:ascii="Arial" w:cs="Arial" w:eastAsia="Arial" w:hAnsi="Arial"/>
          <w:sz w:val="17"/>
          <w:szCs w:val="17"/>
          <w:color w:val="auto"/>
        </w:rPr>
        <w:t>Science and Technology, United Technologies Corp.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Christine L. Standish</w:t>
      </w:r>
      <w:r>
        <w:rPr>
          <w:rFonts w:ascii="Arial" w:cs="Arial" w:eastAsia="Arial" w:hAnsi="Arial"/>
          <w:sz w:val="15"/>
          <w:szCs w:val="15"/>
          <w:color w:val="auto"/>
        </w:rPr>
        <w:t>3</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Chairperson, J.S. Standish Company</w:t>
      </w:r>
    </w:p>
    <w:p>
      <w:pPr>
        <w:spacing w:after="0" w:line="402" w:lineRule="exact"/>
        <w:rPr>
          <w:sz w:val="20"/>
          <w:szCs w:val="20"/>
          <w:color w:val="auto"/>
        </w:rPr>
      </w:pPr>
    </w:p>
    <w:p>
      <w:pPr>
        <w:sectPr>
          <w:pgSz w:w="11900" w:h="16838" w:orient="portrait"/>
          <w:cols w:equalWidth="0" w:num="2">
            <w:col w:w="4900" w:space="720"/>
            <w:col w:w="5800"/>
          </w:cols>
          <w:pgMar w:left="240" w:top="643" w:right="239" w:bottom="1440" w:gutter="0" w:footer="0" w:header="0"/>
          <w:type w:val="continuous"/>
        </w:sectPr>
      </w:pP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Katharine L. Plourde</w:t>
      </w:r>
      <w:r>
        <w:rPr>
          <w:rFonts w:ascii="Arial" w:cs="Arial" w:eastAsia="Arial" w:hAnsi="Arial"/>
          <w:sz w:val="15"/>
          <w:szCs w:val="15"/>
          <w:color w:val="auto"/>
        </w:rPr>
        <w:t>1,3</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Retired- Principal and Analyst,</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John R. Scannell</w:t>
      </w:r>
      <w:r>
        <w:rPr>
          <w:rFonts w:ascii="Arial" w:cs="Arial" w:eastAsia="Arial" w:hAnsi="Arial"/>
          <w:sz w:val="15"/>
          <w:szCs w:val="15"/>
          <w:color w:val="auto"/>
        </w:rPr>
        <w:t>2</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Chairman and Chief Executive Officer, Moog Inc.</w:t>
      </w:r>
    </w:p>
    <w:p>
      <w:pPr>
        <w:spacing w:after="0" w:line="21" w:lineRule="exact"/>
        <w:rPr>
          <w:sz w:val="20"/>
          <w:szCs w:val="20"/>
          <w:color w:val="auto"/>
        </w:rPr>
      </w:pPr>
    </w:p>
    <w:p>
      <w:pPr>
        <w:sectPr>
          <w:pgSz w:w="11900" w:h="16838" w:orient="portrait"/>
          <w:cols w:equalWidth="0" w:num="2">
            <w:col w:w="4900" w:space="720"/>
            <w:col w:w="5800"/>
          </w:cols>
          <w:pgMar w:left="240" w:top="643" w:right="239" w:bottom="1440" w:gutter="0" w:footer="0" w:header="0"/>
          <w:type w:val="continuous"/>
        </w:sectPr>
      </w:pPr>
    </w:p>
    <w:p>
      <w:pPr>
        <w:spacing w:after="0"/>
        <w:rPr>
          <w:sz w:val="20"/>
          <w:szCs w:val="20"/>
          <w:color w:val="auto"/>
        </w:rPr>
      </w:pPr>
      <w:r>
        <w:rPr>
          <w:rFonts w:ascii="Arial" w:cs="Arial" w:eastAsia="Arial" w:hAnsi="Arial"/>
          <w:sz w:val="18"/>
          <w:szCs w:val="18"/>
          <w:color w:val="auto"/>
        </w:rPr>
        <w:t>Donaldson, Lufkin &amp; Jenrette, Inc.</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¹ Member, Audit Committee</w:t>
      </w:r>
    </w:p>
    <w:p>
      <w:pPr>
        <w:ind w:left="5620"/>
        <w:spacing w:after="0"/>
        <w:rPr>
          <w:sz w:val="20"/>
          <w:szCs w:val="20"/>
          <w:color w:val="auto"/>
        </w:rPr>
      </w:pPr>
      <w:r>
        <w:rPr>
          <w:rFonts w:ascii="Arial" w:cs="Arial" w:eastAsia="Arial" w:hAnsi="Arial"/>
          <w:sz w:val="17"/>
          <w:szCs w:val="17"/>
          <w:color w:val="auto"/>
        </w:rPr>
        <w:t>² Member, Compensation Committee</w:t>
      </w:r>
    </w:p>
    <w:p>
      <w:pPr>
        <w:spacing w:after="0" w:line="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³ Member, Governance Committee</w:t>
      </w:r>
    </w:p>
    <w:p>
      <w:pPr>
        <w:sectPr>
          <w:pgSz w:w="11900" w:h="16838" w:orient="portrait"/>
          <w:cols w:equalWidth="0" w:num="1">
            <w:col w:w="11420"/>
          </w:cols>
          <w:pgMar w:left="240" w:top="643" w:right="239" w:bottom="1440" w:gutter="0" w:footer="0" w:header="0"/>
          <w:type w:val="continuous"/>
        </w:sectPr>
      </w:pP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Joseph G. Morone</w:t>
      </w:r>
    </w:p>
    <w:p>
      <w:pPr>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John B. Cozzolino</w:t>
      </w:r>
    </w:p>
    <w:p>
      <w:pPr>
        <w:spacing w:after="0"/>
        <w:rPr>
          <w:sz w:val="20"/>
          <w:szCs w:val="20"/>
          <w:color w:val="auto"/>
        </w:rPr>
      </w:pPr>
      <w:r>
        <w:rPr>
          <w:rFonts w:ascii="Arial" w:cs="Arial" w:eastAsia="Arial" w:hAnsi="Arial"/>
          <w:sz w:val="17"/>
          <w:szCs w:val="17"/>
          <w:color w:val="auto"/>
        </w:rPr>
        <w:t>Chief Financial Officer and Treasurer</w:t>
      </w:r>
    </w:p>
    <w:p>
      <w:pPr>
        <w:spacing w:after="0" w:line="205" w:lineRule="exact"/>
        <w:rPr>
          <w:sz w:val="20"/>
          <w:szCs w:val="20"/>
          <w:color w:val="auto"/>
        </w:rPr>
      </w:pPr>
    </w:p>
    <w:p>
      <w:pPr>
        <w:sectPr>
          <w:pgSz w:w="11900" w:h="16838" w:orient="portrait"/>
          <w:cols w:equalWidth="0" w:num="2">
            <w:col w:w="4900" w:space="720"/>
            <w:col w:w="5800"/>
          </w:cols>
          <w:pgMar w:left="240" w:top="643" w:right="239" w:bottom="1440" w:gutter="0" w:footer="0" w:header="0"/>
          <w:type w:val="continuous"/>
        </w:sectPr>
      </w:pPr>
    </w:p>
    <w:p>
      <w:pPr>
        <w:spacing w:after="0"/>
        <w:rPr>
          <w:sz w:val="20"/>
          <w:szCs w:val="20"/>
          <w:color w:val="auto"/>
        </w:rPr>
      </w:pPr>
      <w:r>
        <w:rPr>
          <w:rFonts w:ascii="Arial" w:cs="Arial" w:eastAsia="Arial" w:hAnsi="Arial"/>
          <w:sz w:val="18"/>
          <w:szCs w:val="18"/>
          <w:color w:val="auto"/>
        </w:rPr>
        <w:t>Ralph M. Polumbo</w:t>
      </w:r>
    </w:p>
    <w:p>
      <w:pPr>
        <w:spacing w:after="0"/>
        <w:rPr>
          <w:sz w:val="20"/>
          <w:szCs w:val="20"/>
          <w:color w:val="auto"/>
        </w:rPr>
      </w:pPr>
      <w:r>
        <w:rPr>
          <w:rFonts w:ascii="Arial" w:cs="Arial" w:eastAsia="Arial" w:hAnsi="Arial"/>
          <w:sz w:val="18"/>
          <w:szCs w:val="18"/>
          <w:color w:val="auto"/>
        </w:rPr>
        <w:t>President – Albany Engineered Composites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David M. Pawlick</w:t>
      </w:r>
    </w:p>
    <w:p>
      <w:pPr>
        <w:spacing w:after="0"/>
        <w:rPr>
          <w:sz w:val="20"/>
          <w:szCs w:val="20"/>
          <w:color w:val="auto"/>
        </w:rPr>
      </w:pPr>
      <w:r>
        <w:rPr>
          <w:rFonts w:ascii="Arial" w:cs="Arial" w:eastAsia="Arial" w:hAnsi="Arial"/>
          <w:sz w:val="17"/>
          <w:szCs w:val="17"/>
          <w:color w:val="auto"/>
        </w:rPr>
        <w:t>Vice President – Controller</w:t>
      </w:r>
    </w:p>
    <w:p>
      <w:pPr>
        <w:spacing w:after="0" w:line="205" w:lineRule="exact"/>
        <w:rPr>
          <w:sz w:val="20"/>
          <w:szCs w:val="20"/>
          <w:color w:val="auto"/>
        </w:rPr>
      </w:pPr>
    </w:p>
    <w:p>
      <w:pPr>
        <w:sectPr>
          <w:pgSz w:w="11900" w:h="16838" w:orient="portrait"/>
          <w:cols w:equalWidth="0" w:num="2">
            <w:col w:w="4900" w:space="720"/>
            <w:col w:w="5800"/>
          </w:cols>
          <w:pgMar w:left="240" w:top="643" w:right="239" w:bottom="1440" w:gutter="0" w:footer="0" w:header="0"/>
          <w:type w:val="continuous"/>
        </w:sectPr>
      </w:pPr>
    </w:p>
    <w:p>
      <w:pPr>
        <w:spacing w:after="0"/>
        <w:rPr>
          <w:sz w:val="20"/>
          <w:szCs w:val="20"/>
          <w:color w:val="auto"/>
        </w:rPr>
      </w:pPr>
      <w:r>
        <w:rPr>
          <w:rFonts w:ascii="Arial" w:cs="Arial" w:eastAsia="Arial" w:hAnsi="Arial"/>
          <w:sz w:val="18"/>
          <w:szCs w:val="18"/>
          <w:color w:val="auto"/>
        </w:rPr>
        <w:t>Daniel A. Halftermeyer</w:t>
      </w:r>
    </w:p>
    <w:p>
      <w:pPr>
        <w:spacing w:after="0"/>
        <w:rPr>
          <w:sz w:val="20"/>
          <w:szCs w:val="20"/>
          <w:color w:val="auto"/>
        </w:rPr>
      </w:pPr>
      <w:r>
        <w:rPr>
          <w:rFonts w:ascii="Arial" w:cs="Arial" w:eastAsia="Arial" w:hAnsi="Arial"/>
          <w:sz w:val="18"/>
          <w:szCs w:val="18"/>
          <w:color w:val="auto"/>
        </w:rPr>
        <w:t>President – Machine Clothing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Charles J. Silva, Jr.</w:t>
      </w:r>
    </w:p>
    <w:p>
      <w:pPr>
        <w:spacing w:after="0"/>
        <w:rPr>
          <w:sz w:val="20"/>
          <w:szCs w:val="20"/>
          <w:color w:val="auto"/>
        </w:rPr>
      </w:pPr>
      <w:r>
        <w:rPr>
          <w:rFonts w:ascii="Arial" w:cs="Arial" w:eastAsia="Arial" w:hAnsi="Arial"/>
          <w:sz w:val="17"/>
          <w:szCs w:val="17"/>
          <w:color w:val="auto"/>
        </w:rPr>
        <w:t>Vice President – General Counsel and Secretary</w:t>
      </w:r>
    </w:p>
    <w:p>
      <w:pPr>
        <w:spacing w:after="0" w:line="211" w:lineRule="exact"/>
        <w:rPr>
          <w:sz w:val="20"/>
          <w:szCs w:val="20"/>
          <w:color w:val="auto"/>
        </w:rPr>
      </w:pPr>
    </w:p>
    <w:p>
      <w:pPr>
        <w:sectPr>
          <w:pgSz w:w="11900" w:h="16838" w:orient="portrait"/>
          <w:cols w:equalWidth="0" w:num="2">
            <w:col w:w="4900" w:space="720"/>
            <w:col w:w="5800"/>
          </w:cols>
          <w:pgMar w:left="240" w:top="643" w:right="2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Robert A. Hansen</w:t>
      </w:r>
    </w:p>
    <w:p>
      <w:pPr>
        <w:spacing w:after="0"/>
        <w:rPr>
          <w:sz w:val="20"/>
          <w:szCs w:val="20"/>
          <w:color w:val="auto"/>
        </w:rPr>
      </w:pPr>
      <w:r>
        <w:rPr>
          <w:rFonts w:ascii="Arial" w:cs="Arial" w:eastAsia="Arial" w:hAnsi="Arial"/>
          <w:sz w:val="17"/>
          <w:szCs w:val="17"/>
          <w:color w:val="auto"/>
        </w:rPr>
        <w:t>Senior Vice President and Chief Technology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Dawne H. Wimbrow</w:t>
      </w:r>
    </w:p>
    <w:p>
      <w:pPr>
        <w:spacing w:after="0"/>
        <w:rPr>
          <w:sz w:val="20"/>
          <w:szCs w:val="20"/>
          <w:color w:val="auto"/>
        </w:rPr>
      </w:pPr>
      <w:r>
        <w:rPr>
          <w:rFonts w:ascii="Arial" w:cs="Arial" w:eastAsia="Arial" w:hAnsi="Arial"/>
          <w:sz w:val="17"/>
          <w:szCs w:val="17"/>
          <w:color w:val="auto"/>
        </w:rPr>
        <w:t>Vice President – Global Information Services and Chief</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Information Officer</w:t>
      </w:r>
    </w:p>
    <w:p>
      <w:pPr>
        <w:spacing w:after="0" w:line="194" w:lineRule="exact"/>
        <w:rPr>
          <w:sz w:val="20"/>
          <w:szCs w:val="20"/>
          <w:color w:val="auto"/>
        </w:rPr>
      </w:pPr>
    </w:p>
    <w:p>
      <w:pPr>
        <w:sectPr>
          <w:pgSz w:w="11900" w:h="16838" w:orient="portrait"/>
          <w:cols w:equalWidth="0" w:num="2">
            <w:col w:w="4900" w:space="720"/>
            <w:col w:w="5800"/>
          </w:cols>
          <w:pgMar w:left="240" w:top="643" w:right="239" w:bottom="1440" w:gutter="0" w:footer="0" w:header="0"/>
          <w:type w:val="continuous"/>
        </w:sectPr>
      </w:pPr>
    </w:p>
    <w:p>
      <w:pPr>
        <w:spacing w:after="0"/>
        <w:rPr>
          <w:sz w:val="20"/>
          <w:szCs w:val="20"/>
          <w:color w:val="auto"/>
        </w:rPr>
      </w:pPr>
      <w:r>
        <w:rPr>
          <w:rFonts w:ascii="Arial" w:cs="Arial" w:eastAsia="Arial" w:hAnsi="Arial"/>
          <w:sz w:val="18"/>
          <w:szCs w:val="18"/>
          <w:color w:val="auto"/>
        </w:rPr>
        <w:t>Joseph M. Gaug</w:t>
      </w:r>
    </w:p>
    <w:p>
      <w:pPr>
        <w:spacing w:after="0"/>
        <w:rPr>
          <w:sz w:val="20"/>
          <w:szCs w:val="20"/>
          <w:color w:val="auto"/>
        </w:rPr>
      </w:pPr>
      <w:r>
        <w:rPr>
          <w:rFonts w:ascii="Arial" w:cs="Arial" w:eastAsia="Arial" w:hAnsi="Arial"/>
          <w:sz w:val="18"/>
          <w:szCs w:val="18"/>
          <w:color w:val="auto"/>
        </w:rPr>
        <w:t>Associate General Counsel and Assistant Secretary</w:t>
      </w:r>
    </w:p>
    <w:p>
      <w:pPr>
        <w:sectPr>
          <w:pgSz w:w="11900" w:h="16838" w:orient="portrait"/>
          <w:cols w:equalWidth="0" w:num="1">
            <w:col w:w="11420"/>
          </w:cols>
          <w:pgMar w:left="240" w:top="643" w:right="239" w:bottom="1440" w:gutter="0" w:footer="0" w:header="0"/>
          <w:type w:val="continuous"/>
        </w:sectPr>
      </w:pPr>
    </w:p>
    <w:p>
      <w:pPr>
        <w:spacing w:after="0" w:line="18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6620" cy="342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43" w:right="239" w:bottom="1440" w:gutter="0" w:footer="0" w:header="0"/>
          <w:type w:val="continuous"/>
        </w:sectPr>
      </w:pPr>
    </w:p>
    <w:bookmarkStart w:id="105" w:name="page106"/>
    <w:bookmarkEnd w:id="105"/>
    <w:p>
      <w:pPr>
        <w:jc w:val="right"/>
        <w:spacing w:after="0"/>
        <w:rPr>
          <w:sz w:val="20"/>
          <w:szCs w:val="20"/>
          <w:color w:val="auto"/>
        </w:rPr>
      </w:pPr>
      <w:r>
        <w:rPr>
          <w:rFonts w:ascii="Arial" w:cs="Arial" w:eastAsia="Arial" w:hAnsi="Arial"/>
          <w:sz w:val="22"/>
          <w:szCs w:val="22"/>
          <w:b w:val="1"/>
          <w:bCs w:val="1"/>
          <w:color w:val="auto"/>
        </w:rPr>
        <w:t>Exhibit 10(o)(v)</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COMPENSATION</w:t>
      </w:r>
    </w:p>
    <w:p>
      <w:pPr>
        <w:spacing w:after="0" w:line="212" w:lineRule="exact"/>
        <w:rPr>
          <w:sz w:val="20"/>
          <w:szCs w:val="20"/>
          <w:color w:val="auto"/>
        </w:rPr>
      </w:pPr>
    </w:p>
    <w:p>
      <w:pPr>
        <w:jc w:val="both"/>
        <w:ind w:firstLine="1039"/>
        <w:spacing w:after="0" w:line="235" w:lineRule="auto"/>
        <w:rPr>
          <w:sz w:val="20"/>
          <w:szCs w:val="20"/>
          <w:color w:val="auto"/>
        </w:rPr>
      </w:pPr>
      <w:r>
        <w:rPr>
          <w:rFonts w:ascii="Arial" w:cs="Arial" w:eastAsia="Arial" w:hAnsi="Arial"/>
          <w:sz w:val="22"/>
          <w:szCs w:val="22"/>
          <w:color w:val="auto"/>
        </w:rPr>
        <w:t>Directors who are not employees of the Company are compensated for their services by fees in cash and stock. All directors are reimbursed for expenses incurred in connection with such services. In addition, the Company provides travel and liability insurance to all directors. It is the goal of the Committee to set directors’ fees at a competitive level that will enable the Company to attract and retain talented, well-qualified directors. The payment of a portion of each director’s fee in shares of Class A Common Stock of the Company is intended to align the interests of the director with the interests of our stockholders, consistent with delivering shareholder value.</w:t>
      </w:r>
    </w:p>
    <w:p>
      <w:pPr>
        <w:spacing w:after="0" w:line="182" w:lineRule="exact"/>
        <w:rPr>
          <w:sz w:val="20"/>
          <w:szCs w:val="20"/>
          <w:color w:val="auto"/>
        </w:rPr>
      </w:pPr>
    </w:p>
    <w:p>
      <w:pPr>
        <w:jc w:val="both"/>
        <w:ind w:firstLine="986"/>
        <w:spacing w:after="0" w:line="243" w:lineRule="auto"/>
        <w:rPr>
          <w:sz w:val="20"/>
          <w:szCs w:val="20"/>
          <w:color w:val="auto"/>
        </w:rPr>
      </w:pPr>
      <w:r>
        <w:rPr>
          <w:rFonts w:ascii="Arial" w:cs="Arial" w:eastAsia="Arial" w:hAnsi="Arial"/>
          <w:sz w:val="22"/>
          <w:szCs w:val="22"/>
          <w:b w:val="1"/>
          <w:bCs w:val="1"/>
          <w:color w:val="auto"/>
        </w:rPr>
        <w:t xml:space="preserve">Annual Retainer. </w:t>
      </w:r>
      <w:r>
        <w:rPr>
          <w:rFonts w:ascii="Arial" w:cs="Arial" w:eastAsia="Arial" w:hAnsi="Arial"/>
          <w:sz w:val="22"/>
          <w:szCs w:val="22"/>
          <w:color w:val="auto"/>
        </w:rPr>
        <w:t>Directors receive an annual retainer of $100,000, $50,000 of which is payable in shares of Class A</w:t>
      </w:r>
      <w:r>
        <w:rPr>
          <w:rFonts w:ascii="Arial" w:cs="Arial" w:eastAsia="Arial" w:hAnsi="Arial"/>
          <w:sz w:val="22"/>
          <w:szCs w:val="22"/>
          <w:b w:val="1"/>
          <w:bCs w:val="1"/>
          <w:color w:val="auto"/>
        </w:rPr>
        <w:t xml:space="preserve"> </w:t>
      </w:r>
      <w:r>
        <w:rPr>
          <w:rFonts w:ascii="Arial" w:cs="Arial" w:eastAsia="Arial" w:hAnsi="Arial"/>
          <w:sz w:val="22"/>
          <w:szCs w:val="22"/>
          <w:color w:val="auto"/>
        </w:rPr>
        <w:t>Common Stock of the Company pursuant to the Directors’ Annual Retainer Plan. Directors serving for only a portion of the year receive a pro-rated portion of the annual retainer.</w:t>
      </w:r>
    </w:p>
    <w:p>
      <w:pPr>
        <w:spacing w:after="0" w:line="177" w:lineRule="exact"/>
        <w:rPr>
          <w:sz w:val="20"/>
          <w:szCs w:val="20"/>
          <w:color w:val="auto"/>
        </w:rPr>
      </w:pPr>
    </w:p>
    <w:p>
      <w:pPr>
        <w:jc w:val="both"/>
        <w:ind w:firstLine="945"/>
        <w:spacing w:after="0" w:line="284" w:lineRule="auto"/>
        <w:rPr>
          <w:sz w:val="20"/>
          <w:szCs w:val="20"/>
          <w:color w:val="auto"/>
        </w:rPr>
      </w:pPr>
      <w:r>
        <w:rPr>
          <w:rFonts w:ascii="Arial" w:cs="Arial" w:eastAsia="Arial" w:hAnsi="Arial"/>
          <w:sz w:val="19"/>
          <w:szCs w:val="19"/>
          <w:b w:val="1"/>
          <w:bCs w:val="1"/>
          <w:color w:val="auto"/>
        </w:rPr>
        <w:t xml:space="preserve">Meeting Fees. </w:t>
      </w:r>
      <w:r>
        <w:rPr>
          <w:rFonts w:ascii="Arial" w:cs="Arial" w:eastAsia="Arial" w:hAnsi="Arial"/>
          <w:sz w:val="19"/>
          <w:szCs w:val="19"/>
          <w:color w:val="auto"/>
        </w:rPr>
        <w:t>In lieu of cash fees for regularly scheduled meetings, directors receive an additional cash fee of $30,000,</w:t>
      </w:r>
      <w:r>
        <w:rPr>
          <w:rFonts w:ascii="Arial" w:cs="Arial" w:eastAsia="Arial" w:hAnsi="Arial"/>
          <w:sz w:val="19"/>
          <w:szCs w:val="19"/>
          <w:b w:val="1"/>
          <w:bCs w:val="1"/>
          <w:color w:val="auto"/>
        </w:rPr>
        <w:t xml:space="preserve"> </w:t>
      </w:r>
      <w:r>
        <w:rPr>
          <w:rFonts w:ascii="Arial" w:cs="Arial" w:eastAsia="Arial" w:hAnsi="Arial"/>
          <w:sz w:val="19"/>
          <w:szCs w:val="19"/>
          <w:color w:val="auto"/>
        </w:rPr>
        <w:t>and members of the Audit Committee also receive an additional annual cash amount of $5,000. These amounts are paid in four equal quarterly installments. Directors receive cash fees of $750 for each special meeting of the Board or any Board Committee designated as a telephone meeting. Directors are also entitled to receive cash fees of $1,500 for each special meeting of the Board, and $1,000 for each special meeting of a Committee they attend in person or by telephone.</w:t>
      </w:r>
    </w:p>
    <w:p>
      <w:pPr>
        <w:spacing w:after="0" w:line="139" w:lineRule="exact"/>
        <w:rPr>
          <w:sz w:val="20"/>
          <w:szCs w:val="20"/>
          <w:color w:val="auto"/>
        </w:rPr>
      </w:pPr>
    </w:p>
    <w:p>
      <w:pPr>
        <w:jc w:val="both"/>
        <w:ind w:firstLine="945"/>
        <w:spacing w:after="0" w:line="280" w:lineRule="auto"/>
        <w:rPr>
          <w:sz w:val="20"/>
          <w:szCs w:val="20"/>
          <w:color w:val="auto"/>
        </w:rPr>
      </w:pPr>
      <w:r>
        <w:rPr>
          <w:rFonts w:ascii="Arial" w:cs="Arial" w:eastAsia="Arial" w:hAnsi="Arial"/>
          <w:sz w:val="19"/>
          <w:szCs w:val="19"/>
          <w:b w:val="1"/>
          <w:bCs w:val="1"/>
          <w:color w:val="auto"/>
        </w:rPr>
        <w:t xml:space="preserve">Other Fees. </w:t>
      </w:r>
      <w:r>
        <w:rPr>
          <w:rFonts w:ascii="Arial" w:cs="Arial" w:eastAsia="Arial" w:hAnsi="Arial"/>
          <w:sz w:val="19"/>
          <w:szCs w:val="19"/>
          <w:color w:val="auto"/>
        </w:rPr>
        <w:t>The Chairman of each standing committee of the Board receives an annual fee for such service: $5,000 for</w:t>
      </w:r>
      <w:r>
        <w:rPr>
          <w:rFonts w:ascii="Arial" w:cs="Arial" w:eastAsia="Arial" w:hAnsi="Arial"/>
          <w:sz w:val="19"/>
          <w:szCs w:val="19"/>
          <w:b w:val="1"/>
          <w:bCs w:val="1"/>
          <w:color w:val="auto"/>
        </w:rPr>
        <w:t xml:space="preserve"> </w:t>
      </w:r>
      <w:r>
        <w:rPr>
          <w:rFonts w:ascii="Arial" w:cs="Arial" w:eastAsia="Arial" w:hAnsi="Arial"/>
          <w:sz w:val="19"/>
          <w:szCs w:val="19"/>
          <w:color w:val="auto"/>
        </w:rPr>
        <w:t>the Chairman of the Governance Committee, $7,500 for the Chairman of the Compensation Committee, and $12,000 for the Chairman of the Audit Committee. The Chairman of the Board receives an annual fee of $55,000 for such service, and the Vice Chairman of the Board receives an annual fee of $30,000 for such service. Directors receive $1,500 for each day that they are engaged in Company business (other than attendance at Board or Committee meetings) at the request of the Chairman of the Board or the Chief Executive Officer. Annual fees are paid in four equal quarterly installments. All amounts are paid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315595</wp:posOffset>
            </wp:positionV>
            <wp:extent cx="7246620" cy="431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22"/>
          <w:szCs w:val="22"/>
          <w:b w:val="1"/>
          <w:bCs w:val="1"/>
          <w:color w:val="auto"/>
        </w:rPr>
        <w:t>Exhibit 10.2</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LIMITED LIABILITY COMPANY</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OPERATING AGREEMENT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ALBANY SAFRAN COMPOSITES, LLC</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Dated as of November 8,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20"/>
        <w:spacing w:after="0" w:line="277" w:lineRule="auto"/>
        <w:rPr>
          <w:sz w:val="20"/>
          <w:szCs w:val="20"/>
          <w:color w:val="auto"/>
        </w:rPr>
      </w:pPr>
      <w:r>
        <w:rPr>
          <w:rFonts w:ascii="Arial" w:cs="Arial" w:eastAsia="Arial" w:hAnsi="Arial"/>
          <w:sz w:val="19"/>
          <w:szCs w:val="19"/>
          <w:color w:val="auto"/>
        </w:rPr>
        <w:t>THE SECURITIES ISSUED PURSUANT TO THIS LIMITED LIABILITY COMPANYO PERATING AGREEMENT HAVE NOT BEEN REGISTERED UNDER THE U.S. SECURITIES ACT OF 1933, AS AMENDED, OR REGISTERED OR QUALIFIED UNDER ANY STATE SECURITIES LAWS AND, AS SUCH, THEY MAY NOT BE OFFERED FOR SALE, SOLD, TRANSFERRED, PLEDGED, OR HYPOTHECATED UNLESS THE SECURITIES HAVE BEEN QUALIFIED AND REGISTERED UNDER APPLICABLE STATE AND FEDERAL SECURITIES LAWS OR UNLESS SUCH QUALIFICATION AND REGISTRATION IS NOT LEGALLY REQUIRED. TRANSFER OF THE SECURITIES REPRESENTED BY THIS AGREEMENT MAY BE FURTHER SUBJECT TO THE RESTRICTIONS, TERMS AND CONDITIONS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325120</wp:posOffset>
            </wp:positionV>
            <wp:extent cx="7246620" cy="431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81"/>
        </w:trPr>
        <w:tc>
          <w:tcPr>
            <w:tcW w:w="1400" w:type="dxa"/>
            <w:vAlign w:val="bottom"/>
          </w:tcPr>
          <w:p>
            <w:pPr>
              <w:spacing w:after="0"/>
              <w:rPr>
                <w:sz w:val="24"/>
                <w:szCs w:val="24"/>
                <w:color w:val="auto"/>
              </w:rPr>
            </w:pPr>
          </w:p>
        </w:tc>
        <w:tc>
          <w:tcPr>
            <w:tcW w:w="8560" w:type="dxa"/>
            <w:vAlign w:val="bottom"/>
          </w:tcPr>
          <w:p>
            <w:pPr>
              <w:jc w:val="center"/>
              <w:spacing w:after="0"/>
              <w:rPr>
                <w:sz w:val="20"/>
                <w:szCs w:val="20"/>
                <w:color w:val="auto"/>
              </w:rPr>
            </w:pPr>
            <w:r>
              <w:rPr>
                <w:rFonts w:ascii="Arial" w:cs="Arial" w:eastAsia="Arial" w:hAnsi="Arial"/>
                <w:sz w:val="22"/>
                <w:szCs w:val="22"/>
                <w:b w:val="1"/>
                <w:bCs w:val="1"/>
                <w:color w:val="auto"/>
                <w:w w:val="97"/>
              </w:rPr>
              <w:t>TABLE OF CONTENTS</w:t>
            </w:r>
          </w:p>
        </w:tc>
        <w:tc>
          <w:tcPr>
            <w:tcW w:w="1460" w:type="dxa"/>
            <w:vAlign w:val="bottom"/>
          </w:tcPr>
          <w:p>
            <w:pPr>
              <w:spacing w:after="0"/>
              <w:rPr>
                <w:sz w:val="24"/>
                <w:szCs w:val="24"/>
                <w:color w:val="auto"/>
              </w:rPr>
            </w:pPr>
          </w:p>
        </w:tc>
      </w:tr>
      <w:tr>
        <w:trPr>
          <w:trHeight w:val="422"/>
        </w:trPr>
        <w:tc>
          <w:tcPr>
            <w:tcW w:w="140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418"/>
        </w:trPr>
        <w:tc>
          <w:tcPr>
            <w:tcW w:w="1400" w:type="dxa"/>
            <w:vAlign w:val="bottom"/>
          </w:tcPr>
          <w:p>
            <w:pPr>
              <w:spacing w:after="0"/>
              <w:rPr>
                <w:sz w:val="24"/>
                <w:szCs w:val="24"/>
                <w:color w:val="auto"/>
              </w:rPr>
            </w:pPr>
          </w:p>
        </w:tc>
        <w:tc>
          <w:tcPr>
            <w:tcW w:w="8560" w:type="dxa"/>
            <w:vAlign w:val="bottom"/>
          </w:tcPr>
          <w:p>
            <w:pPr>
              <w:jc w:val="center"/>
              <w:spacing w:after="0"/>
              <w:rPr>
                <w:sz w:val="20"/>
                <w:szCs w:val="20"/>
                <w:color w:val="auto"/>
              </w:rPr>
            </w:pPr>
            <w:r>
              <w:rPr>
                <w:rFonts w:ascii="Arial" w:cs="Arial" w:eastAsia="Arial" w:hAnsi="Arial"/>
                <w:sz w:val="18"/>
                <w:szCs w:val="18"/>
                <w:color w:val="auto"/>
                <w:w w:val="99"/>
              </w:rPr>
              <w:t>ARTICLE I</w:t>
            </w:r>
          </w:p>
        </w:tc>
        <w:tc>
          <w:tcPr>
            <w:tcW w:w="1460" w:type="dxa"/>
            <w:vAlign w:val="bottom"/>
          </w:tcPr>
          <w:p>
            <w:pPr>
              <w:spacing w:after="0"/>
              <w:rPr>
                <w:sz w:val="24"/>
                <w:szCs w:val="24"/>
                <w:color w:val="auto"/>
              </w:rPr>
            </w:pPr>
          </w:p>
        </w:tc>
      </w:tr>
      <w:tr>
        <w:trPr>
          <w:trHeight w:val="230"/>
        </w:trPr>
        <w:tc>
          <w:tcPr>
            <w:tcW w:w="1400" w:type="dxa"/>
            <w:vAlign w:val="bottom"/>
          </w:tcPr>
          <w:p>
            <w:pPr>
              <w:spacing w:after="0"/>
              <w:rPr>
                <w:sz w:val="20"/>
                <w:szCs w:val="20"/>
                <w:color w:val="auto"/>
              </w:rPr>
            </w:pPr>
          </w:p>
        </w:tc>
        <w:tc>
          <w:tcPr>
            <w:tcW w:w="8560" w:type="dxa"/>
            <w:vAlign w:val="bottom"/>
          </w:tcPr>
          <w:p>
            <w:pPr>
              <w:jc w:val="center"/>
              <w:spacing w:after="0"/>
              <w:rPr>
                <w:sz w:val="20"/>
                <w:szCs w:val="20"/>
                <w:color w:val="auto"/>
              </w:rPr>
            </w:pPr>
            <w:r>
              <w:rPr>
                <w:rFonts w:ascii="Arial" w:cs="Arial" w:eastAsia="Arial" w:hAnsi="Arial"/>
                <w:sz w:val="18"/>
                <w:szCs w:val="18"/>
                <w:color w:val="auto"/>
                <w:w w:val="98"/>
              </w:rPr>
              <w:t>DEFINITIONS</w:t>
            </w:r>
          </w:p>
        </w:tc>
        <w:tc>
          <w:tcPr>
            <w:tcW w:w="1460" w:type="dxa"/>
            <w:vAlign w:val="bottom"/>
          </w:tcPr>
          <w:p>
            <w:pPr>
              <w:spacing w:after="0"/>
              <w:rPr>
                <w:sz w:val="20"/>
                <w:szCs w:val="20"/>
                <w:color w:val="auto"/>
              </w:rPr>
            </w:pPr>
          </w:p>
        </w:tc>
      </w:tr>
      <w:tr>
        <w:trPr>
          <w:trHeight w:val="418"/>
        </w:trPr>
        <w:tc>
          <w:tcPr>
            <w:tcW w:w="1400" w:type="dxa"/>
            <w:vAlign w:val="bottom"/>
          </w:tcPr>
          <w:p>
            <w:pPr>
              <w:spacing w:after="0"/>
              <w:rPr>
                <w:sz w:val="20"/>
                <w:szCs w:val="20"/>
                <w:color w:val="auto"/>
              </w:rPr>
            </w:pPr>
            <w:r>
              <w:rPr>
                <w:rFonts w:ascii="Arial" w:cs="Arial" w:eastAsia="Arial" w:hAnsi="Arial"/>
                <w:sz w:val="18"/>
                <w:szCs w:val="18"/>
                <w:color w:val="auto"/>
              </w:rPr>
              <w:t>Section 1.01.</w:t>
            </w:r>
          </w:p>
        </w:tc>
        <w:tc>
          <w:tcPr>
            <w:tcW w:w="8560" w:type="dxa"/>
            <w:vAlign w:val="bottom"/>
          </w:tcPr>
          <w:p>
            <w:pPr>
              <w:ind w:left="460"/>
              <w:spacing w:after="0"/>
              <w:rPr>
                <w:sz w:val="20"/>
                <w:szCs w:val="20"/>
                <w:color w:val="auto"/>
              </w:rPr>
            </w:pPr>
            <w:r>
              <w:rPr>
                <w:rFonts w:ascii="Arial" w:cs="Arial" w:eastAsia="Arial" w:hAnsi="Arial"/>
                <w:sz w:val="18"/>
                <w:szCs w:val="18"/>
                <w:color w:val="auto"/>
              </w:rPr>
              <w:t>Certain Definitions</w:t>
            </w:r>
          </w:p>
        </w:tc>
        <w:tc>
          <w:tcPr>
            <w:tcW w:w="14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Section 1.02.</w:t>
            </w:r>
          </w:p>
        </w:tc>
        <w:tc>
          <w:tcPr>
            <w:tcW w:w="8560" w:type="dxa"/>
            <w:vAlign w:val="bottom"/>
          </w:tcPr>
          <w:p>
            <w:pPr>
              <w:ind w:left="460"/>
              <w:spacing w:after="0"/>
              <w:rPr>
                <w:sz w:val="20"/>
                <w:szCs w:val="20"/>
                <w:color w:val="auto"/>
              </w:rPr>
            </w:pPr>
            <w:r>
              <w:rPr>
                <w:rFonts w:ascii="Arial" w:cs="Arial" w:eastAsia="Arial" w:hAnsi="Arial"/>
                <w:sz w:val="18"/>
                <w:szCs w:val="18"/>
                <w:color w:val="auto"/>
              </w:rPr>
              <w:t>Other Interpretive Provisions</w:t>
            </w:r>
          </w:p>
        </w:tc>
        <w:tc>
          <w:tcPr>
            <w:tcW w:w="14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418"/>
        </w:trPr>
        <w:tc>
          <w:tcPr>
            <w:tcW w:w="1400" w:type="dxa"/>
            <w:vAlign w:val="bottom"/>
          </w:tcPr>
          <w:p>
            <w:pPr>
              <w:spacing w:after="0"/>
              <w:rPr>
                <w:sz w:val="24"/>
                <w:szCs w:val="24"/>
                <w:color w:val="auto"/>
              </w:rPr>
            </w:pPr>
          </w:p>
        </w:tc>
        <w:tc>
          <w:tcPr>
            <w:tcW w:w="8560" w:type="dxa"/>
            <w:vAlign w:val="bottom"/>
          </w:tcPr>
          <w:p>
            <w:pPr>
              <w:jc w:val="center"/>
              <w:spacing w:after="0"/>
              <w:rPr>
                <w:sz w:val="20"/>
                <w:szCs w:val="20"/>
                <w:color w:val="auto"/>
              </w:rPr>
            </w:pPr>
            <w:r>
              <w:rPr>
                <w:rFonts w:ascii="Arial" w:cs="Arial" w:eastAsia="Arial" w:hAnsi="Arial"/>
                <w:sz w:val="18"/>
                <w:szCs w:val="18"/>
                <w:color w:val="auto"/>
              </w:rPr>
              <w:t>ARTICLE II</w:t>
            </w:r>
          </w:p>
        </w:tc>
        <w:tc>
          <w:tcPr>
            <w:tcW w:w="1460" w:type="dxa"/>
            <w:vAlign w:val="bottom"/>
          </w:tcPr>
          <w:p>
            <w:pPr>
              <w:spacing w:after="0"/>
              <w:rPr>
                <w:sz w:val="24"/>
                <w:szCs w:val="24"/>
                <w:color w:val="auto"/>
              </w:rPr>
            </w:pPr>
          </w:p>
        </w:tc>
      </w:tr>
      <w:tr>
        <w:trPr>
          <w:trHeight w:val="230"/>
        </w:trPr>
        <w:tc>
          <w:tcPr>
            <w:tcW w:w="1400" w:type="dxa"/>
            <w:vAlign w:val="bottom"/>
          </w:tcPr>
          <w:p>
            <w:pPr>
              <w:spacing w:after="0"/>
              <w:rPr>
                <w:sz w:val="20"/>
                <w:szCs w:val="20"/>
                <w:color w:val="auto"/>
              </w:rPr>
            </w:pPr>
          </w:p>
        </w:tc>
        <w:tc>
          <w:tcPr>
            <w:tcW w:w="8560" w:type="dxa"/>
            <w:vAlign w:val="bottom"/>
          </w:tcPr>
          <w:p>
            <w:pPr>
              <w:jc w:val="center"/>
              <w:spacing w:after="0"/>
              <w:rPr>
                <w:sz w:val="20"/>
                <w:szCs w:val="20"/>
                <w:color w:val="auto"/>
              </w:rPr>
            </w:pPr>
            <w:r>
              <w:rPr>
                <w:rFonts w:ascii="Arial" w:cs="Arial" w:eastAsia="Arial" w:hAnsi="Arial"/>
                <w:sz w:val="18"/>
                <w:szCs w:val="18"/>
                <w:color w:val="auto"/>
                <w:w w:val="98"/>
              </w:rPr>
              <w:t>ORGANIZATIONAL MATTERS</w:t>
            </w:r>
          </w:p>
        </w:tc>
        <w:tc>
          <w:tcPr>
            <w:tcW w:w="1460" w:type="dxa"/>
            <w:vAlign w:val="bottom"/>
          </w:tcPr>
          <w:p>
            <w:pPr>
              <w:spacing w:after="0"/>
              <w:rPr>
                <w:sz w:val="20"/>
                <w:szCs w:val="20"/>
                <w:color w:val="auto"/>
              </w:rPr>
            </w:pPr>
          </w:p>
        </w:tc>
      </w:tr>
      <w:tr>
        <w:trPr>
          <w:trHeight w:val="418"/>
        </w:trPr>
        <w:tc>
          <w:tcPr>
            <w:tcW w:w="1400" w:type="dxa"/>
            <w:vAlign w:val="bottom"/>
          </w:tcPr>
          <w:p>
            <w:pPr>
              <w:spacing w:after="0"/>
              <w:rPr>
                <w:sz w:val="20"/>
                <w:szCs w:val="20"/>
                <w:color w:val="auto"/>
              </w:rPr>
            </w:pPr>
            <w:r>
              <w:rPr>
                <w:rFonts w:ascii="Arial" w:cs="Arial" w:eastAsia="Arial" w:hAnsi="Arial"/>
                <w:sz w:val="18"/>
                <w:szCs w:val="18"/>
                <w:color w:val="auto"/>
              </w:rPr>
              <w:t>Section 2.01.</w:t>
            </w:r>
          </w:p>
        </w:tc>
        <w:tc>
          <w:tcPr>
            <w:tcW w:w="8560" w:type="dxa"/>
            <w:vAlign w:val="bottom"/>
          </w:tcPr>
          <w:p>
            <w:pPr>
              <w:ind w:left="460"/>
              <w:spacing w:after="0"/>
              <w:rPr>
                <w:sz w:val="20"/>
                <w:szCs w:val="20"/>
                <w:color w:val="auto"/>
              </w:rPr>
            </w:pPr>
            <w:r>
              <w:rPr>
                <w:rFonts w:ascii="Arial" w:cs="Arial" w:eastAsia="Arial" w:hAnsi="Arial"/>
                <w:sz w:val="18"/>
                <w:szCs w:val="18"/>
                <w:color w:val="auto"/>
              </w:rPr>
              <w:t>Formation of the Company; Ratification</w:t>
            </w:r>
          </w:p>
        </w:tc>
        <w:tc>
          <w:tcPr>
            <w:tcW w:w="14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2.02.</w:t>
            </w:r>
          </w:p>
        </w:tc>
        <w:tc>
          <w:tcPr>
            <w:tcW w:w="8560" w:type="dxa"/>
            <w:vAlign w:val="bottom"/>
          </w:tcPr>
          <w:p>
            <w:pPr>
              <w:ind w:left="460"/>
              <w:spacing w:after="0"/>
              <w:rPr>
                <w:sz w:val="20"/>
                <w:szCs w:val="20"/>
                <w:color w:val="auto"/>
              </w:rPr>
            </w:pPr>
            <w:r>
              <w:rPr>
                <w:rFonts w:ascii="Arial" w:cs="Arial" w:eastAsia="Arial" w:hAnsi="Arial"/>
                <w:sz w:val="18"/>
                <w:szCs w:val="18"/>
                <w:color w:val="auto"/>
              </w:rPr>
              <w:t>Agreement; Members</w:t>
            </w:r>
          </w:p>
        </w:tc>
        <w:tc>
          <w:tcPr>
            <w:tcW w:w="14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2.03.</w:t>
            </w:r>
          </w:p>
        </w:tc>
        <w:tc>
          <w:tcPr>
            <w:tcW w:w="8560" w:type="dxa"/>
            <w:vAlign w:val="bottom"/>
          </w:tcPr>
          <w:p>
            <w:pPr>
              <w:ind w:left="460"/>
              <w:spacing w:after="0"/>
              <w:rPr>
                <w:sz w:val="20"/>
                <w:szCs w:val="20"/>
                <w:color w:val="auto"/>
              </w:rPr>
            </w:pPr>
            <w:r>
              <w:rPr>
                <w:rFonts w:ascii="Arial" w:cs="Arial" w:eastAsia="Arial" w:hAnsi="Arial"/>
                <w:sz w:val="18"/>
                <w:szCs w:val="18"/>
                <w:color w:val="auto"/>
              </w:rPr>
              <w:t>Name of the Company</w:t>
            </w:r>
          </w:p>
        </w:tc>
        <w:tc>
          <w:tcPr>
            <w:tcW w:w="14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2.04.</w:t>
            </w:r>
          </w:p>
        </w:tc>
        <w:tc>
          <w:tcPr>
            <w:tcW w:w="8560" w:type="dxa"/>
            <w:vAlign w:val="bottom"/>
          </w:tcPr>
          <w:p>
            <w:pPr>
              <w:ind w:left="460"/>
              <w:spacing w:after="0"/>
              <w:rPr>
                <w:sz w:val="20"/>
                <w:szCs w:val="20"/>
                <w:color w:val="auto"/>
              </w:rPr>
            </w:pPr>
            <w:r>
              <w:rPr>
                <w:rFonts w:ascii="Arial" w:cs="Arial" w:eastAsia="Arial" w:hAnsi="Arial"/>
                <w:sz w:val="18"/>
                <w:szCs w:val="18"/>
                <w:color w:val="auto"/>
              </w:rPr>
              <w:t>Place of Business</w:t>
            </w:r>
          </w:p>
        </w:tc>
        <w:tc>
          <w:tcPr>
            <w:tcW w:w="14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2.05.</w:t>
            </w:r>
          </w:p>
        </w:tc>
        <w:tc>
          <w:tcPr>
            <w:tcW w:w="8560" w:type="dxa"/>
            <w:vAlign w:val="bottom"/>
          </w:tcPr>
          <w:p>
            <w:pPr>
              <w:ind w:left="460"/>
              <w:spacing w:after="0"/>
              <w:rPr>
                <w:sz w:val="20"/>
                <w:szCs w:val="20"/>
                <w:color w:val="auto"/>
              </w:rPr>
            </w:pPr>
            <w:r>
              <w:rPr>
                <w:rFonts w:ascii="Arial" w:cs="Arial" w:eastAsia="Arial" w:hAnsi="Arial"/>
                <w:sz w:val="18"/>
                <w:szCs w:val="18"/>
                <w:color w:val="auto"/>
              </w:rPr>
              <w:t>Registered Office and Registered Agent</w:t>
            </w:r>
          </w:p>
        </w:tc>
        <w:tc>
          <w:tcPr>
            <w:tcW w:w="14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2.06.</w:t>
            </w:r>
          </w:p>
        </w:tc>
        <w:tc>
          <w:tcPr>
            <w:tcW w:w="8560" w:type="dxa"/>
            <w:vAlign w:val="bottom"/>
          </w:tcPr>
          <w:p>
            <w:pPr>
              <w:ind w:left="460"/>
              <w:spacing w:after="0"/>
              <w:rPr>
                <w:sz w:val="20"/>
                <w:szCs w:val="20"/>
                <w:color w:val="auto"/>
              </w:rPr>
            </w:pPr>
            <w:r>
              <w:rPr>
                <w:rFonts w:ascii="Arial" w:cs="Arial" w:eastAsia="Arial" w:hAnsi="Arial"/>
                <w:sz w:val="18"/>
                <w:szCs w:val="18"/>
                <w:color w:val="auto"/>
              </w:rPr>
              <w:t>Liability of Members</w:t>
            </w:r>
          </w:p>
        </w:tc>
        <w:tc>
          <w:tcPr>
            <w:tcW w:w="14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2.07.</w:t>
            </w:r>
          </w:p>
        </w:tc>
        <w:tc>
          <w:tcPr>
            <w:tcW w:w="8560" w:type="dxa"/>
            <w:vAlign w:val="bottom"/>
          </w:tcPr>
          <w:p>
            <w:pPr>
              <w:ind w:left="460"/>
              <w:spacing w:after="0"/>
              <w:rPr>
                <w:sz w:val="20"/>
                <w:szCs w:val="20"/>
                <w:color w:val="auto"/>
              </w:rPr>
            </w:pPr>
            <w:r>
              <w:rPr>
                <w:rFonts w:ascii="Arial" w:cs="Arial" w:eastAsia="Arial" w:hAnsi="Arial"/>
                <w:sz w:val="18"/>
                <w:szCs w:val="18"/>
                <w:color w:val="auto"/>
              </w:rPr>
              <w:t>Term of the Company</w:t>
            </w:r>
          </w:p>
        </w:tc>
        <w:tc>
          <w:tcPr>
            <w:tcW w:w="14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2.08.</w:t>
            </w:r>
          </w:p>
        </w:tc>
        <w:tc>
          <w:tcPr>
            <w:tcW w:w="8560" w:type="dxa"/>
            <w:vAlign w:val="bottom"/>
          </w:tcPr>
          <w:p>
            <w:pPr>
              <w:ind w:left="460"/>
              <w:spacing w:after="0"/>
              <w:rPr>
                <w:sz w:val="20"/>
                <w:szCs w:val="20"/>
                <w:color w:val="auto"/>
              </w:rPr>
            </w:pPr>
            <w:r>
              <w:rPr>
                <w:rFonts w:ascii="Arial" w:cs="Arial" w:eastAsia="Arial" w:hAnsi="Arial"/>
                <w:sz w:val="18"/>
                <w:szCs w:val="18"/>
                <w:color w:val="auto"/>
              </w:rPr>
              <w:t>Purpose of the Company</w:t>
            </w:r>
          </w:p>
        </w:tc>
        <w:tc>
          <w:tcPr>
            <w:tcW w:w="14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Section 2.09.</w:t>
            </w:r>
          </w:p>
        </w:tc>
        <w:tc>
          <w:tcPr>
            <w:tcW w:w="8560" w:type="dxa"/>
            <w:vAlign w:val="bottom"/>
          </w:tcPr>
          <w:p>
            <w:pPr>
              <w:ind w:left="460"/>
              <w:spacing w:after="0"/>
              <w:rPr>
                <w:sz w:val="20"/>
                <w:szCs w:val="20"/>
                <w:color w:val="auto"/>
              </w:rPr>
            </w:pPr>
            <w:r>
              <w:rPr>
                <w:rFonts w:ascii="Arial" w:cs="Arial" w:eastAsia="Arial" w:hAnsi="Arial"/>
                <w:sz w:val="18"/>
                <w:szCs w:val="18"/>
                <w:color w:val="auto"/>
              </w:rPr>
              <w:t>U.S. Tax Characterization of the Company</w:t>
            </w:r>
          </w:p>
        </w:tc>
        <w:tc>
          <w:tcPr>
            <w:tcW w:w="14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18"/>
        </w:trPr>
        <w:tc>
          <w:tcPr>
            <w:tcW w:w="1400" w:type="dxa"/>
            <w:vAlign w:val="bottom"/>
          </w:tcPr>
          <w:p>
            <w:pPr>
              <w:spacing w:after="0"/>
              <w:rPr>
                <w:sz w:val="24"/>
                <w:szCs w:val="24"/>
                <w:color w:val="auto"/>
              </w:rPr>
            </w:pPr>
          </w:p>
        </w:tc>
        <w:tc>
          <w:tcPr>
            <w:tcW w:w="8560" w:type="dxa"/>
            <w:vAlign w:val="bottom"/>
          </w:tcPr>
          <w:p>
            <w:pPr>
              <w:jc w:val="center"/>
              <w:spacing w:after="0"/>
              <w:rPr>
                <w:sz w:val="20"/>
                <w:szCs w:val="20"/>
                <w:color w:val="auto"/>
              </w:rPr>
            </w:pPr>
            <w:r>
              <w:rPr>
                <w:rFonts w:ascii="Arial" w:cs="Arial" w:eastAsia="Arial" w:hAnsi="Arial"/>
                <w:sz w:val="18"/>
                <w:szCs w:val="18"/>
                <w:color w:val="auto"/>
              </w:rPr>
              <w:t>ARTICLE III</w:t>
            </w:r>
          </w:p>
        </w:tc>
        <w:tc>
          <w:tcPr>
            <w:tcW w:w="1460" w:type="dxa"/>
            <w:vAlign w:val="bottom"/>
          </w:tcPr>
          <w:p>
            <w:pPr>
              <w:spacing w:after="0"/>
              <w:rPr>
                <w:sz w:val="24"/>
                <w:szCs w:val="24"/>
                <w:color w:val="auto"/>
              </w:rPr>
            </w:pPr>
          </w:p>
        </w:tc>
      </w:tr>
      <w:tr>
        <w:trPr>
          <w:trHeight w:val="230"/>
        </w:trPr>
        <w:tc>
          <w:tcPr>
            <w:tcW w:w="1400" w:type="dxa"/>
            <w:vAlign w:val="bottom"/>
          </w:tcPr>
          <w:p>
            <w:pPr>
              <w:spacing w:after="0"/>
              <w:rPr>
                <w:sz w:val="20"/>
                <w:szCs w:val="20"/>
                <w:color w:val="auto"/>
              </w:rPr>
            </w:pPr>
          </w:p>
        </w:tc>
        <w:tc>
          <w:tcPr>
            <w:tcW w:w="8560" w:type="dxa"/>
            <w:vAlign w:val="bottom"/>
          </w:tcPr>
          <w:p>
            <w:pPr>
              <w:jc w:val="center"/>
              <w:spacing w:after="0"/>
              <w:rPr>
                <w:sz w:val="20"/>
                <w:szCs w:val="20"/>
                <w:color w:val="auto"/>
              </w:rPr>
            </w:pPr>
            <w:r>
              <w:rPr>
                <w:rFonts w:ascii="Arial" w:cs="Arial" w:eastAsia="Arial" w:hAnsi="Arial"/>
                <w:sz w:val="18"/>
                <w:szCs w:val="18"/>
                <w:color w:val="auto"/>
                <w:w w:val="97"/>
              </w:rPr>
              <w:t>CAPITAL CONTRIBUTIONS, MEMBERSHIP UNITS AND CAPITAL ACCOUNTS</w:t>
            </w:r>
          </w:p>
        </w:tc>
        <w:tc>
          <w:tcPr>
            <w:tcW w:w="1460" w:type="dxa"/>
            <w:vAlign w:val="bottom"/>
          </w:tcPr>
          <w:p>
            <w:pPr>
              <w:spacing w:after="0"/>
              <w:rPr>
                <w:sz w:val="20"/>
                <w:szCs w:val="20"/>
                <w:color w:val="auto"/>
              </w:rPr>
            </w:pPr>
          </w:p>
        </w:tc>
      </w:tr>
      <w:tr>
        <w:trPr>
          <w:trHeight w:val="418"/>
        </w:trPr>
        <w:tc>
          <w:tcPr>
            <w:tcW w:w="1400" w:type="dxa"/>
            <w:vAlign w:val="bottom"/>
          </w:tcPr>
          <w:p>
            <w:pPr>
              <w:spacing w:after="0"/>
              <w:rPr>
                <w:sz w:val="20"/>
                <w:szCs w:val="20"/>
                <w:color w:val="auto"/>
              </w:rPr>
            </w:pPr>
            <w:r>
              <w:rPr>
                <w:rFonts w:ascii="Arial" w:cs="Arial" w:eastAsia="Arial" w:hAnsi="Arial"/>
                <w:sz w:val="18"/>
                <w:szCs w:val="18"/>
                <w:color w:val="auto"/>
              </w:rPr>
              <w:t>Section 3.01.</w:t>
            </w:r>
          </w:p>
        </w:tc>
        <w:tc>
          <w:tcPr>
            <w:tcW w:w="8560" w:type="dxa"/>
            <w:vAlign w:val="bottom"/>
          </w:tcPr>
          <w:p>
            <w:pPr>
              <w:ind w:left="460"/>
              <w:spacing w:after="0"/>
              <w:rPr>
                <w:sz w:val="20"/>
                <w:szCs w:val="20"/>
                <w:color w:val="auto"/>
              </w:rPr>
            </w:pPr>
            <w:r>
              <w:rPr>
                <w:rFonts w:ascii="Arial" w:cs="Arial" w:eastAsia="Arial" w:hAnsi="Arial"/>
                <w:sz w:val="18"/>
                <w:szCs w:val="18"/>
                <w:color w:val="auto"/>
              </w:rPr>
              <w:t>Initial Capital Contributions and Membership Units</w:t>
            </w:r>
          </w:p>
        </w:tc>
        <w:tc>
          <w:tcPr>
            <w:tcW w:w="14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3.02.</w:t>
            </w:r>
          </w:p>
        </w:tc>
        <w:tc>
          <w:tcPr>
            <w:tcW w:w="8560" w:type="dxa"/>
            <w:vAlign w:val="bottom"/>
          </w:tcPr>
          <w:p>
            <w:pPr>
              <w:ind w:left="460"/>
              <w:spacing w:after="0"/>
              <w:rPr>
                <w:sz w:val="20"/>
                <w:szCs w:val="20"/>
                <w:color w:val="auto"/>
              </w:rPr>
            </w:pPr>
            <w:r>
              <w:rPr>
                <w:rFonts w:ascii="Arial" w:cs="Arial" w:eastAsia="Arial" w:hAnsi="Arial"/>
                <w:sz w:val="18"/>
                <w:szCs w:val="18"/>
                <w:color w:val="auto"/>
              </w:rPr>
              <w:t>Additional Capital Contributions</w:t>
            </w:r>
          </w:p>
        </w:tc>
        <w:tc>
          <w:tcPr>
            <w:tcW w:w="14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3.03.</w:t>
            </w:r>
          </w:p>
        </w:tc>
        <w:tc>
          <w:tcPr>
            <w:tcW w:w="8560" w:type="dxa"/>
            <w:vAlign w:val="bottom"/>
          </w:tcPr>
          <w:p>
            <w:pPr>
              <w:ind w:left="460"/>
              <w:spacing w:after="0"/>
              <w:rPr>
                <w:sz w:val="20"/>
                <w:szCs w:val="20"/>
                <w:color w:val="auto"/>
              </w:rPr>
            </w:pPr>
            <w:r>
              <w:rPr>
                <w:rFonts w:ascii="Arial" w:cs="Arial" w:eastAsia="Arial" w:hAnsi="Arial"/>
                <w:sz w:val="18"/>
                <w:szCs w:val="18"/>
                <w:color w:val="auto"/>
              </w:rPr>
              <w:t>Additional Classes of Membership Units</w:t>
            </w:r>
          </w:p>
        </w:tc>
        <w:tc>
          <w:tcPr>
            <w:tcW w:w="14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3.04.</w:t>
            </w:r>
          </w:p>
        </w:tc>
        <w:tc>
          <w:tcPr>
            <w:tcW w:w="8560" w:type="dxa"/>
            <w:vAlign w:val="bottom"/>
          </w:tcPr>
          <w:p>
            <w:pPr>
              <w:ind w:left="460"/>
              <w:spacing w:after="0"/>
              <w:rPr>
                <w:sz w:val="20"/>
                <w:szCs w:val="20"/>
                <w:color w:val="auto"/>
              </w:rPr>
            </w:pPr>
            <w:r>
              <w:rPr>
                <w:rFonts w:ascii="Arial" w:cs="Arial" w:eastAsia="Arial" w:hAnsi="Arial"/>
                <w:sz w:val="18"/>
                <w:szCs w:val="18"/>
                <w:color w:val="auto"/>
              </w:rPr>
              <w:t>Additional Members</w:t>
            </w:r>
          </w:p>
        </w:tc>
        <w:tc>
          <w:tcPr>
            <w:tcW w:w="14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3.05.</w:t>
            </w:r>
          </w:p>
        </w:tc>
        <w:tc>
          <w:tcPr>
            <w:tcW w:w="8560" w:type="dxa"/>
            <w:vAlign w:val="bottom"/>
          </w:tcPr>
          <w:p>
            <w:pPr>
              <w:ind w:left="460"/>
              <w:spacing w:after="0"/>
              <w:rPr>
                <w:sz w:val="20"/>
                <w:szCs w:val="20"/>
                <w:color w:val="auto"/>
              </w:rPr>
            </w:pPr>
            <w:r>
              <w:rPr>
                <w:rFonts w:ascii="Arial" w:cs="Arial" w:eastAsia="Arial" w:hAnsi="Arial"/>
                <w:sz w:val="18"/>
                <w:szCs w:val="18"/>
                <w:color w:val="auto"/>
              </w:rPr>
              <w:t>Voting Rights</w:t>
            </w:r>
          </w:p>
        </w:tc>
        <w:tc>
          <w:tcPr>
            <w:tcW w:w="14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3.06.</w:t>
            </w:r>
          </w:p>
        </w:tc>
        <w:tc>
          <w:tcPr>
            <w:tcW w:w="8560" w:type="dxa"/>
            <w:vAlign w:val="bottom"/>
          </w:tcPr>
          <w:p>
            <w:pPr>
              <w:ind w:left="460"/>
              <w:spacing w:after="0"/>
              <w:rPr>
                <w:sz w:val="20"/>
                <w:szCs w:val="20"/>
                <w:color w:val="auto"/>
              </w:rPr>
            </w:pPr>
            <w:r>
              <w:rPr>
                <w:rFonts w:ascii="Arial" w:cs="Arial" w:eastAsia="Arial" w:hAnsi="Arial"/>
                <w:sz w:val="18"/>
                <w:szCs w:val="18"/>
                <w:color w:val="auto"/>
              </w:rPr>
              <w:t>Capital Accounts</w:t>
            </w:r>
          </w:p>
        </w:tc>
        <w:tc>
          <w:tcPr>
            <w:tcW w:w="14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3.07.</w:t>
            </w:r>
          </w:p>
        </w:tc>
        <w:tc>
          <w:tcPr>
            <w:tcW w:w="8560" w:type="dxa"/>
            <w:vAlign w:val="bottom"/>
          </w:tcPr>
          <w:p>
            <w:pPr>
              <w:ind w:left="460"/>
              <w:spacing w:after="0"/>
              <w:rPr>
                <w:sz w:val="20"/>
                <w:szCs w:val="20"/>
                <w:color w:val="auto"/>
              </w:rPr>
            </w:pPr>
            <w:r>
              <w:rPr>
                <w:rFonts w:ascii="Arial" w:cs="Arial" w:eastAsia="Arial" w:hAnsi="Arial"/>
                <w:sz w:val="18"/>
                <w:szCs w:val="18"/>
                <w:color w:val="auto"/>
              </w:rPr>
              <w:t>Withdrawals; Return of Capital</w:t>
            </w:r>
          </w:p>
        </w:tc>
        <w:tc>
          <w:tcPr>
            <w:tcW w:w="14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3.08.</w:t>
            </w:r>
          </w:p>
        </w:tc>
        <w:tc>
          <w:tcPr>
            <w:tcW w:w="8560" w:type="dxa"/>
            <w:vAlign w:val="bottom"/>
          </w:tcPr>
          <w:p>
            <w:pPr>
              <w:ind w:left="460"/>
              <w:spacing w:after="0"/>
              <w:rPr>
                <w:sz w:val="20"/>
                <w:szCs w:val="20"/>
                <w:color w:val="auto"/>
              </w:rPr>
            </w:pPr>
            <w:r>
              <w:rPr>
                <w:rFonts w:ascii="Arial" w:cs="Arial" w:eastAsia="Arial" w:hAnsi="Arial"/>
                <w:sz w:val="18"/>
                <w:szCs w:val="18"/>
                <w:color w:val="auto"/>
              </w:rPr>
              <w:t>No Deficit Restoration Obligation</w:t>
            </w:r>
          </w:p>
        </w:tc>
        <w:tc>
          <w:tcPr>
            <w:tcW w:w="14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Section 3.09.</w:t>
            </w:r>
          </w:p>
        </w:tc>
        <w:tc>
          <w:tcPr>
            <w:tcW w:w="8560" w:type="dxa"/>
            <w:vAlign w:val="bottom"/>
          </w:tcPr>
          <w:p>
            <w:pPr>
              <w:ind w:left="460"/>
              <w:spacing w:after="0"/>
              <w:rPr>
                <w:sz w:val="20"/>
                <w:szCs w:val="20"/>
                <w:color w:val="auto"/>
              </w:rPr>
            </w:pPr>
            <w:r>
              <w:rPr>
                <w:rFonts w:ascii="Arial" w:cs="Arial" w:eastAsia="Arial" w:hAnsi="Arial"/>
                <w:sz w:val="18"/>
                <w:szCs w:val="18"/>
                <w:color w:val="auto"/>
              </w:rPr>
              <w:t>Working Capital</w:t>
            </w:r>
          </w:p>
        </w:tc>
        <w:tc>
          <w:tcPr>
            <w:tcW w:w="14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18"/>
        </w:trPr>
        <w:tc>
          <w:tcPr>
            <w:tcW w:w="1400" w:type="dxa"/>
            <w:vAlign w:val="bottom"/>
          </w:tcPr>
          <w:p>
            <w:pPr>
              <w:spacing w:after="0"/>
              <w:rPr>
                <w:sz w:val="24"/>
                <w:szCs w:val="24"/>
                <w:color w:val="auto"/>
              </w:rPr>
            </w:pPr>
          </w:p>
        </w:tc>
        <w:tc>
          <w:tcPr>
            <w:tcW w:w="8560" w:type="dxa"/>
            <w:vAlign w:val="bottom"/>
          </w:tcPr>
          <w:p>
            <w:pPr>
              <w:jc w:val="center"/>
              <w:spacing w:after="0"/>
              <w:rPr>
                <w:sz w:val="20"/>
                <w:szCs w:val="20"/>
                <w:color w:val="auto"/>
              </w:rPr>
            </w:pPr>
            <w:r>
              <w:rPr>
                <w:rFonts w:ascii="Arial" w:cs="Arial" w:eastAsia="Arial" w:hAnsi="Arial"/>
                <w:sz w:val="18"/>
                <w:szCs w:val="18"/>
                <w:color w:val="auto"/>
                <w:w w:val="99"/>
              </w:rPr>
              <w:t>ARTICLE IV</w:t>
            </w:r>
          </w:p>
        </w:tc>
        <w:tc>
          <w:tcPr>
            <w:tcW w:w="1460" w:type="dxa"/>
            <w:vAlign w:val="bottom"/>
          </w:tcPr>
          <w:p>
            <w:pPr>
              <w:spacing w:after="0"/>
              <w:rPr>
                <w:sz w:val="24"/>
                <w:szCs w:val="24"/>
                <w:color w:val="auto"/>
              </w:rPr>
            </w:pPr>
          </w:p>
        </w:tc>
      </w:tr>
      <w:tr>
        <w:trPr>
          <w:trHeight w:val="230"/>
        </w:trPr>
        <w:tc>
          <w:tcPr>
            <w:tcW w:w="1400" w:type="dxa"/>
            <w:vAlign w:val="bottom"/>
          </w:tcPr>
          <w:p>
            <w:pPr>
              <w:spacing w:after="0"/>
              <w:rPr>
                <w:sz w:val="20"/>
                <w:szCs w:val="20"/>
                <w:color w:val="auto"/>
              </w:rPr>
            </w:pPr>
          </w:p>
        </w:tc>
        <w:tc>
          <w:tcPr>
            <w:tcW w:w="8560" w:type="dxa"/>
            <w:vAlign w:val="bottom"/>
          </w:tcPr>
          <w:p>
            <w:pPr>
              <w:jc w:val="center"/>
              <w:spacing w:after="0"/>
              <w:rPr>
                <w:sz w:val="20"/>
                <w:szCs w:val="20"/>
                <w:color w:val="auto"/>
              </w:rPr>
            </w:pPr>
            <w:r>
              <w:rPr>
                <w:rFonts w:ascii="Arial" w:cs="Arial" w:eastAsia="Arial" w:hAnsi="Arial"/>
                <w:sz w:val="18"/>
                <w:szCs w:val="18"/>
                <w:color w:val="auto"/>
                <w:w w:val="98"/>
              </w:rPr>
              <w:t>DISTRIBUTIONS AND ALLOCATIONS</w:t>
            </w:r>
          </w:p>
        </w:tc>
        <w:tc>
          <w:tcPr>
            <w:tcW w:w="1460" w:type="dxa"/>
            <w:vAlign w:val="bottom"/>
          </w:tcPr>
          <w:p>
            <w:pPr>
              <w:spacing w:after="0"/>
              <w:rPr>
                <w:sz w:val="20"/>
                <w:szCs w:val="20"/>
                <w:color w:val="auto"/>
              </w:rPr>
            </w:pPr>
          </w:p>
        </w:tc>
      </w:tr>
      <w:tr>
        <w:trPr>
          <w:trHeight w:val="418"/>
        </w:trPr>
        <w:tc>
          <w:tcPr>
            <w:tcW w:w="1400" w:type="dxa"/>
            <w:vAlign w:val="bottom"/>
          </w:tcPr>
          <w:p>
            <w:pPr>
              <w:spacing w:after="0"/>
              <w:rPr>
                <w:sz w:val="20"/>
                <w:szCs w:val="20"/>
                <w:color w:val="auto"/>
              </w:rPr>
            </w:pPr>
            <w:r>
              <w:rPr>
                <w:rFonts w:ascii="Arial" w:cs="Arial" w:eastAsia="Arial" w:hAnsi="Arial"/>
                <w:sz w:val="18"/>
                <w:szCs w:val="18"/>
                <w:color w:val="auto"/>
              </w:rPr>
              <w:t>Section 4.01.</w:t>
            </w:r>
          </w:p>
        </w:tc>
        <w:tc>
          <w:tcPr>
            <w:tcW w:w="8560" w:type="dxa"/>
            <w:vAlign w:val="bottom"/>
          </w:tcPr>
          <w:p>
            <w:pPr>
              <w:ind w:left="460"/>
              <w:spacing w:after="0"/>
              <w:rPr>
                <w:sz w:val="20"/>
                <w:szCs w:val="20"/>
                <w:color w:val="auto"/>
              </w:rPr>
            </w:pPr>
            <w:r>
              <w:rPr>
                <w:rFonts w:ascii="Arial" w:cs="Arial" w:eastAsia="Arial" w:hAnsi="Arial"/>
                <w:sz w:val="18"/>
                <w:szCs w:val="18"/>
                <w:color w:val="auto"/>
              </w:rPr>
              <w:t>Distributions</w:t>
            </w:r>
          </w:p>
        </w:tc>
        <w:tc>
          <w:tcPr>
            <w:tcW w:w="14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4.02.</w:t>
            </w:r>
          </w:p>
        </w:tc>
        <w:tc>
          <w:tcPr>
            <w:tcW w:w="8560" w:type="dxa"/>
            <w:vAlign w:val="bottom"/>
          </w:tcPr>
          <w:p>
            <w:pPr>
              <w:ind w:left="460"/>
              <w:spacing w:after="0"/>
              <w:rPr>
                <w:sz w:val="20"/>
                <w:szCs w:val="20"/>
                <w:color w:val="auto"/>
              </w:rPr>
            </w:pPr>
            <w:r>
              <w:rPr>
                <w:rFonts w:ascii="Arial" w:cs="Arial" w:eastAsia="Arial" w:hAnsi="Arial"/>
                <w:sz w:val="18"/>
                <w:szCs w:val="18"/>
                <w:color w:val="auto"/>
              </w:rPr>
              <w:t>Preferred Capital and Preferred Return</w:t>
            </w:r>
          </w:p>
        </w:tc>
        <w:tc>
          <w:tcPr>
            <w:tcW w:w="14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4.03.</w:t>
            </w:r>
          </w:p>
        </w:tc>
        <w:tc>
          <w:tcPr>
            <w:tcW w:w="8560" w:type="dxa"/>
            <w:vAlign w:val="bottom"/>
          </w:tcPr>
          <w:p>
            <w:pPr>
              <w:ind w:left="460"/>
              <w:spacing w:after="0"/>
              <w:rPr>
                <w:sz w:val="20"/>
                <w:szCs w:val="20"/>
                <w:color w:val="auto"/>
              </w:rPr>
            </w:pPr>
            <w:r>
              <w:rPr>
                <w:rFonts w:ascii="Arial" w:cs="Arial" w:eastAsia="Arial" w:hAnsi="Arial"/>
                <w:sz w:val="18"/>
                <w:szCs w:val="18"/>
                <w:color w:val="auto"/>
              </w:rPr>
              <w:t>Restricted Distributions</w:t>
            </w:r>
          </w:p>
        </w:tc>
        <w:tc>
          <w:tcPr>
            <w:tcW w:w="14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4.04.</w:t>
            </w:r>
          </w:p>
        </w:tc>
        <w:tc>
          <w:tcPr>
            <w:tcW w:w="8560" w:type="dxa"/>
            <w:vAlign w:val="bottom"/>
          </w:tcPr>
          <w:p>
            <w:pPr>
              <w:ind w:left="460"/>
              <w:spacing w:after="0"/>
              <w:rPr>
                <w:sz w:val="20"/>
                <w:szCs w:val="20"/>
                <w:color w:val="auto"/>
              </w:rPr>
            </w:pPr>
            <w:r>
              <w:rPr>
                <w:rFonts w:ascii="Arial" w:cs="Arial" w:eastAsia="Arial" w:hAnsi="Arial"/>
                <w:sz w:val="18"/>
                <w:szCs w:val="18"/>
                <w:color w:val="auto"/>
              </w:rPr>
              <w:t>Withholding and Payments on Behalf of a Member</w:t>
            </w:r>
          </w:p>
        </w:tc>
        <w:tc>
          <w:tcPr>
            <w:tcW w:w="14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4.05.</w:t>
            </w:r>
          </w:p>
        </w:tc>
        <w:tc>
          <w:tcPr>
            <w:tcW w:w="8560" w:type="dxa"/>
            <w:vAlign w:val="bottom"/>
          </w:tcPr>
          <w:p>
            <w:pPr>
              <w:ind w:left="460"/>
              <w:spacing w:after="0"/>
              <w:rPr>
                <w:sz w:val="20"/>
                <w:szCs w:val="20"/>
                <w:color w:val="auto"/>
              </w:rPr>
            </w:pPr>
            <w:r>
              <w:rPr>
                <w:rFonts w:ascii="Arial" w:cs="Arial" w:eastAsia="Arial" w:hAnsi="Arial"/>
                <w:sz w:val="18"/>
                <w:szCs w:val="18"/>
                <w:color w:val="auto"/>
              </w:rPr>
              <w:t>Offset</w:t>
            </w:r>
          </w:p>
        </w:tc>
        <w:tc>
          <w:tcPr>
            <w:tcW w:w="14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Section 4.06.</w:t>
            </w:r>
          </w:p>
        </w:tc>
        <w:tc>
          <w:tcPr>
            <w:tcW w:w="8560" w:type="dxa"/>
            <w:vAlign w:val="bottom"/>
          </w:tcPr>
          <w:p>
            <w:pPr>
              <w:ind w:left="460"/>
              <w:spacing w:after="0"/>
              <w:rPr>
                <w:sz w:val="20"/>
                <w:szCs w:val="20"/>
                <w:color w:val="auto"/>
              </w:rPr>
            </w:pPr>
            <w:r>
              <w:rPr>
                <w:rFonts w:ascii="Arial" w:cs="Arial" w:eastAsia="Arial" w:hAnsi="Arial"/>
                <w:sz w:val="18"/>
                <w:szCs w:val="18"/>
                <w:color w:val="auto"/>
              </w:rPr>
              <w:t>Allocation of Profits and Losses</w:t>
            </w:r>
          </w:p>
        </w:tc>
        <w:tc>
          <w:tcPr>
            <w:tcW w:w="14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18"/>
        </w:trPr>
        <w:tc>
          <w:tcPr>
            <w:tcW w:w="1400" w:type="dxa"/>
            <w:vAlign w:val="bottom"/>
          </w:tcPr>
          <w:p>
            <w:pPr>
              <w:spacing w:after="0"/>
              <w:rPr>
                <w:sz w:val="24"/>
                <w:szCs w:val="24"/>
                <w:color w:val="auto"/>
              </w:rPr>
            </w:pPr>
          </w:p>
        </w:tc>
        <w:tc>
          <w:tcPr>
            <w:tcW w:w="8560" w:type="dxa"/>
            <w:vAlign w:val="bottom"/>
          </w:tcPr>
          <w:p>
            <w:pPr>
              <w:jc w:val="center"/>
              <w:spacing w:after="0"/>
              <w:rPr>
                <w:sz w:val="20"/>
                <w:szCs w:val="20"/>
                <w:color w:val="auto"/>
              </w:rPr>
            </w:pPr>
            <w:r>
              <w:rPr>
                <w:rFonts w:ascii="Arial" w:cs="Arial" w:eastAsia="Arial" w:hAnsi="Arial"/>
                <w:sz w:val="18"/>
                <w:szCs w:val="18"/>
                <w:color w:val="auto"/>
                <w:w w:val="98"/>
              </w:rPr>
              <w:t>ARTICLE V</w:t>
            </w:r>
          </w:p>
        </w:tc>
        <w:tc>
          <w:tcPr>
            <w:tcW w:w="1460" w:type="dxa"/>
            <w:vAlign w:val="bottom"/>
          </w:tcPr>
          <w:p>
            <w:pPr>
              <w:spacing w:after="0"/>
              <w:rPr>
                <w:sz w:val="24"/>
                <w:szCs w:val="24"/>
                <w:color w:val="auto"/>
              </w:rPr>
            </w:pPr>
          </w:p>
        </w:tc>
      </w:tr>
      <w:tr>
        <w:trPr>
          <w:trHeight w:val="230"/>
        </w:trPr>
        <w:tc>
          <w:tcPr>
            <w:tcW w:w="1400" w:type="dxa"/>
            <w:vAlign w:val="bottom"/>
          </w:tcPr>
          <w:p>
            <w:pPr>
              <w:spacing w:after="0"/>
              <w:rPr>
                <w:sz w:val="20"/>
                <w:szCs w:val="20"/>
                <w:color w:val="auto"/>
              </w:rPr>
            </w:pPr>
          </w:p>
        </w:tc>
        <w:tc>
          <w:tcPr>
            <w:tcW w:w="8560" w:type="dxa"/>
            <w:vAlign w:val="bottom"/>
          </w:tcPr>
          <w:p>
            <w:pPr>
              <w:jc w:val="center"/>
              <w:spacing w:after="0"/>
              <w:rPr>
                <w:sz w:val="20"/>
                <w:szCs w:val="20"/>
                <w:color w:val="auto"/>
              </w:rPr>
            </w:pPr>
            <w:r>
              <w:rPr>
                <w:rFonts w:ascii="Arial" w:cs="Arial" w:eastAsia="Arial" w:hAnsi="Arial"/>
                <w:sz w:val="18"/>
                <w:szCs w:val="18"/>
                <w:color w:val="auto"/>
              </w:rPr>
              <w:t>MANAGEMENT</w:t>
            </w:r>
          </w:p>
        </w:tc>
        <w:tc>
          <w:tcPr>
            <w:tcW w:w="1460" w:type="dxa"/>
            <w:vAlign w:val="bottom"/>
          </w:tcPr>
          <w:p>
            <w:pPr>
              <w:spacing w:after="0"/>
              <w:rPr>
                <w:sz w:val="20"/>
                <w:szCs w:val="20"/>
                <w:color w:val="auto"/>
              </w:rPr>
            </w:pPr>
          </w:p>
        </w:tc>
      </w:tr>
      <w:tr>
        <w:trPr>
          <w:trHeight w:val="418"/>
        </w:trPr>
        <w:tc>
          <w:tcPr>
            <w:tcW w:w="1400" w:type="dxa"/>
            <w:vAlign w:val="bottom"/>
          </w:tcPr>
          <w:p>
            <w:pPr>
              <w:spacing w:after="0"/>
              <w:rPr>
                <w:sz w:val="20"/>
                <w:szCs w:val="20"/>
                <w:color w:val="auto"/>
              </w:rPr>
            </w:pPr>
            <w:r>
              <w:rPr>
                <w:rFonts w:ascii="Arial" w:cs="Arial" w:eastAsia="Arial" w:hAnsi="Arial"/>
                <w:sz w:val="18"/>
                <w:szCs w:val="18"/>
                <w:color w:val="auto"/>
              </w:rPr>
              <w:t>Section 5.01.</w:t>
            </w:r>
          </w:p>
        </w:tc>
        <w:tc>
          <w:tcPr>
            <w:tcW w:w="8560" w:type="dxa"/>
            <w:vAlign w:val="bottom"/>
          </w:tcPr>
          <w:p>
            <w:pPr>
              <w:ind w:left="460"/>
              <w:spacing w:after="0"/>
              <w:rPr>
                <w:sz w:val="20"/>
                <w:szCs w:val="20"/>
                <w:color w:val="auto"/>
              </w:rPr>
            </w:pPr>
            <w:r>
              <w:rPr>
                <w:rFonts w:ascii="Arial" w:cs="Arial" w:eastAsia="Arial" w:hAnsi="Arial"/>
                <w:sz w:val="18"/>
                <w:szCs w:val="18"/>
                <w:color w:val="auto"/>
              </w:rPr>
              <w:t>Board of Managers</w:t>
            </w:r>
          </w:p>
        </w:tc>
        <w:tc>
          <w:tcPr>
            <w:tcW w:w="14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5.02.</w:t>
            </w:r>
          </w:p>
        </w:tc>
        <w:tc>
          <w:tcPr>
            <w:tcW w:w="8560" w:type="dxa"/>
            <w:vAlign w:val="bottom"/>
          </w:tcPr>
          <w:p>
            <w:pPr>
              <w:ind w:left="460"/>
              <w:spacing w:after="0"/>
              <w:rPr>
                <w:sz w:val="20"/>
                <w:szCs w:val="20"/>
                <w:color w:val="auto"/>
              </w:rPr>
            </w:pPr>
            <w:r>
              <w:rPr>
                <w:rFonts w:ascii="Arial" w:cs="Arial" w:eastAsia="Arial" w:hAnsi="Arial"/>
                <w:sz w:val="18"/>
                <w:szCs w:val="18"/>
                <w:color w:val="auto"/>
              </w:rPr>
              <w:t>Certain Matters Requiring Safran Manager Approval</w:t>
            </w:r>
          </w:p>
        </w:tc>
        <w:tc>
          <w:tcPr>
            <w:tcW w:w="14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5.03.</w:t>
            </w:r>
          </w:p>
        </w:tc>
        <w:tc>
          <w:tcPr>
            <w:tcW w:w="8560" w:type="dxa"/>
            <w:vAlign w:val="bottom"/>
          </w:tcPr>
          <w:p>
            <w:pPr>
              <w:ind w:left="460"/>
              <w:spacing w:after="0"/>
              <w:rPr>
                <w:sz w:val="20"/>
                <w:szCs w:val="20"/>
                <w:color w:val="auto"/>
              </w:rPr>
            </w:pPr>
            <w:r>
              <w:rPr>
                <w:rFonts w:ascii="Arial" w:cs="Arial" w:eastAsia="Arial" w:hAnsi="Arial"/>
                <w:sz w:val="18"/>
                <w:szCs w:val="18"/>
                <w:color w:val="auto"/>
              </w:rPr>
              <w:t>Committees; Subsidiary Boards</w:t>
            </w:r>
          </w:p>
        </w:tc>
        <w:tc>
          <w:tcPr>
            <w:tcW w:w="14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5.04.</w:t>
            </w:r>
          </w:p>
        </w:tc>
        <w:tc>
          <w:tcPr>
            <w:tcW w:w="8560" w:type="dxa"/>
            <w:vAlign w:val="bottom"/>
          </w:tcPr>
          <w:p>
            <w:pPr>
              <w:ind w:left="460"/>
              <w:spacing w:after="0"/>
              <w:rPr>
                <w:sz w:val="20"/>
                <w:szCs w:val="20"/>
                <w:color w:val="auto"/>
              </w:rPr>
            </w:pPr>
            <w:r>
              <w:rPr>
                <w:rFonts w:ascii="Arial" w:cs="Arial" w:eastAsia="Arial" w:hAnsi="Arial"/>
                <w:sz w:val="18"/>
                <w:szCs w:val="18"/>
                <w:color w:val="auto"/>
              </w:rPr>
              <w:t>Additional Management Provisions</w:t>
            </w:r>
          </w:p>
        </w:tc>
        <w:tc>
          <w:tcPr>
            <w:tcW w:w="14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Section 5.05.</w:t>
            </w:r>
          </w:p>
        </w:tc>
        <w:tc>
          <w:tcPr>
            <w:tcW w:w="8560" w:type="dxa"/>
            <w:vAlign w:val="bottom"/>
          </w:tcPr>
          <w:p>
            <w:pPr>
              <w:ind w:left="460"/>
              <w:spacing w:after="0"/>
              <w:rPr>
                <w:sz w:val="20"/>
                <w:szCs w:val="20"/>
                <w:color w:val="auto"/>
              </w:rPr>
            </w:pPr>
            <w:r>
              <w:rPr>
                <w:rFonts w:ascii="Arial" w:cs="Arial" w:eastAsia="Arial" w:hAnsi="Arial"/>
                <w:sz w:val="18"/>
                <w:szCs w:val="18"/>
                <w:color w:val="auto"/>
              </w:rPr>
              <w:t>Meetings; Quorum; Notice; Written Consent</w:t>
            </w:r>
          </w:p>
        </w:tc>
        <w:tc>
          <w:tcPr>
            <w:tcW w:w="1460" w:type="dxa"/>
            <w:vAlign w:val="bottom"/>
          </w:tcPr>
          <w:p>
            <w:pPr>
              <w:jc w:val="right"/>
              <w:spacing w:after="0"/>
              <w:rPr>
                <w:sz w:val="20"/>
                <w:szCs w:val="20"/>
                <w:color w:val="auto"/>
              </w:rPr>
            </w:pPr>
            <w:r>
              <w:rPr>
                <w:rFonts w:ascii="Arial" w:cs="Arial" w:eastAsia="Arial" w:hAnsi="Arial"/>
                <w:sz w:val="18"/>
                <w:szCs w:val="18"/>
                <w:color w:val="auto"/>
              </w:rPr>
              <w:t>27</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53"/>
        </w:trPr>
        <w:tc>
          <w:tcPr>
            <w:tcW w:w="1460" w:type="dxa"/>
            <w:vAlign w:val="bottom"/>
          </w:tcPr>
          <w:p>
            <w:pPr>
              <w:spacing w:after="0"/>
              <w:rPr>
                <w:sz w:val="21"/>
                <w:szCs w:val="21"/>
                <w:color w:val="auto"/>
              </w:rPr>
            </w:pPr>
          </w:p>
        </w:tc>
        <w:tc>
          <w:tcPr>
            <w:tcW w:w="8200" w:type="dxa"/>
            <w:vAlign w:val="bottom"/>
          </w:tcPr>
          <w:p>
            <w:pPr>
              <w:jc w:val="center"/>
              <w:ind w:left="229"/>
              <w:spacing w:after="0"/>
              <w:rPr>
                <w:sz w:val="20"/>
                <w:szCs w:val="20"/>
                <w:color w:val="auto"/>
              </w:rPr>
            </w:pPr>
            <w:r>
              <w:rPr>
                <w:rFonts w:ascii="Arial" w:cs="Arial" w:eastAsia="Arial" w:hAnsi="Arial"/>
                <w:sz w:val="22"/>
                <w:szCs w:val="22"/>
                <w:b w:val="1"/>
                <w:bCs w:val="1"/>
                <w:color w:val="auto"/>
                <w:w w:val="97"/>
              </w:rPr>
              <w:t>TABLE OF CONTENTS</w:t>
            </w:r>
          </w:p>
        </w:tc>
        <w:tc>
          <w:tcPr>
            <w:tcW w:w="1760" w:type="dxa"/>
            <w:vAlign w:val="bottom"/>
          </w:tcPr>
          <w:p>
            <w:pPr>
              <w:spacing w:after="0"/>
              <w:rPr>
                <w:sz w:val="21"/>
                <w:szCs w:val="21"/>
                <w:color w:val="auto"/>
              </w:rPr>
            </w:pPr>
          </w:p>
        </w:tc>
      </w:tr>
      <w:tr>
        <w:trPr>
          <w:trHeight w:val="281"/>
        </w:trPr>
        <w:tc>
          <w:tcPr>
            <w:tcW w:w="1460" w:type="dxa"/>
            <w:vAlign w:val="bottom"/>
          </w:tcPr>
          <w:p>
            <w:pPr>
              <w:spacing w:after="0"/>
              <w:rPr>
                <w:sz w:val="24"/>
                <w:szCs w:val="24"/>
                <w:color w:val="auto"/>
              </w:rPr>
            </w:pPr>
          </w:p>
        </w:tc>
        <w:tc>
          <w:tcPr>
            <w:tcW w:w="8200" w:type="dxa"/>
            <w:vAlign w:val="bottom"/>
          </w:tcPr>
          <w:p>
            <w:pPr>
              <w:jc w:val="center"/>
              <w:ind w:left="209"/>
              <w:spacing w:after="0"/>
              <w:rPr>
                <w:sz w:val="20"/>
                <w:szCs w:val="20"/>
                <w:color w:val="auto"/>
              </w:rPr>
            </w:pPr>
            <w:r>
              <w:rPr>
                <w:rFonts w:ascii="Arial" w:cs="Arial" w:eastAsia="Arial" w:hAnsi="Arial"/>
                <w:sz w:val="22"/>
                <w:szCs w:val="22"/>
                <w:b w:val="1"/>
                <w:bCs w:val="1"/>
                <w:color w:val="auto"/>
                <w:w w:val="88"/>
              </w:rPr>
              <w:t>(continued)</w:t>
            </w:r>
          </w:p>
        </w:tc>
        <w:tc>
          <w:tcPr>
            <w:tcW w:w="1760" w:type="dxa"/>
            <w:vAlign w:val="bottom"/>
          </w:tcPr>
          <w:p>
            <w:pPr>
              <w:spacing w:after="0"/>
              <w:rPr>
                <w:sz w:val="24"/>
                <w:szCs w:val="24"/>
                <w:color w:val="auto"/>
              </w:rPr>
            </w:pPr>
          </w:p>
        </w:tc>
      </w:tr>
      <w:tr>
        <w:trPr>
          <w:trHeight w:val="422"/>
        </w:trPr>
        <w:tc>
          <w:tcPr>
            <w:tcW w:w="1460" w:type="dxa"/>
            <w:vAlign w:val="bottom"/>
          </w:tcPr>
          <w:p>
            <w:pPr>
              <w:spacing w:after="0"/>
              <w:rPr>
                <w:sz w:val="24"/>
                <w:szCs w:val="24"/>
                <w:color w:val="auto"/>
              </w:rPr>
            </w:pPr>
          </w:p>
        </w:tc>
        <w:tc>
          <w:tcPr>
            <w:tcW w:w="820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634"/>
        </w:trPr>
        <w:tc>
          <w:tcPr>
            <w:tcW w:w="1460" w:type="dxa"/>
            <w:vAlign w:val="bottom"/>
          </w:tcPr>
          <w:p>
            <w:pPr>
              <w:spacing w:after="0"/>
              <w:rPr>
                <w:sz w:val="20"/>
                <w:szCs w:val="20"/>
                <w:color w:val="auto"/>
              </w:rPr>
            </w:pPr>
            <w:r>
              <w:rPr>
                <w:rFonts w:ascii="Arial" w:cs="Arial" w:eastAsia="Arial" w:hAnsi="Arial"/>
                <w:sz w:val="18"/>
                <w:szCs w:val="18"/>
                <w:color w:val="auto"/>
              </w:rPr>
              <w:t>Section 5.06.</w:t>
            </w:r>
          </w:p>
        </w:tc>
        <w:tc>
          <w:tcPr>
            <w:tcW w:w="8200" w:type="dxa"/>
            <w:vAlign w:val="bottom"/>
          </w:tcPr>
          <w:p>
            <w:pPr>
              <w:ind w:left="400"/>
              <w:spacing w:after="0"/>
              <w:rPr>
                <w:sz w:val="20"/>
                <w:szCs w:val="20"/>
                <w:color w:val="auto"/>
              </w:rPr>
            </w:pPr>
            <w:r>
              <w:rPr>
                <w:rFonts w:ascii="Arial" w:cs="Arial" w:eastAsia="Arial" w:hAnsi="Arial"/>
                <w:sz w:val="18"/>
                <w:szCs w:val="18"/>
                <w:color w:val="auto"/>
              </w:rPr>
              <w:t>Deadlock Events</w:t>
            </w:r>
          </w:p>
        </w:tc>
        <w:tc>
          <w:tcPr>
            <w:tcW w:w="17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5.07.</w:t>
            </w:r>
          </w:p>
        </w:tc>
        <w:tc>
          <w:tcPr>
            <w:tcW w:w="8200" w:type="dxa"/>
            <w:vAlign w:val="bottom"/>
          </w:tcPr>
          <w:p>
            <w:pPr>
              <w:ind w:left="400"/>
              <w:spacing w:after="0"/>
              <w:rPr>
                <w:sz w:val="20"/>
                <w:szCs w:val="20"/>
                <w:color w:val="auto"/>
              </w:rPr>
            </w:pPr>
            <w:r>
              <w:rPr>
                <w:rFonts w:ascii="Arial" w:cs="Arial" w:eastAsia="Arial" w:hAnsi="Arial"/>
                <w:sz w:val="18"/>
                <w:szCs w:val="18"/>
                <w:color w:val="auto"/>
              </w:rPr>
              <w:t>Quarterly Reports and Review</w:t>
            </w:r>
          </w:p>
        </w:tc>
        <w:tc>
          <w:tcPr>
            <w:tcW w:w="17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5.08.</w:t>
            </w:r>
          </w:p>
        </w:tc>
        <w:tc>
          <w:tcPr>
            <w:tcW w:w="8200" w:type="dxa"/>
            <w:vAlign w:val="bottom"/>
          </w:tcPr>
          <w:p>
            <w:pPr>
              <w:ind w:left="400"/>
              <w:spacing w:after="0"/>
              <w:rPr>
                <w:sz w:val="20"/>
                <w:szCs w:val="20"/>
                <w:color w:val="auto"/>
              </w:rPr>
            </w:pPr>
            <w:r>
              <w:rPr>
                <w:rFonts w:ascii="Arial" w:cs="Arial" w:eastAsia="Arial" w:hAnsi="Arial"/>
                <w:sz w:val="18"/>
                <w:szCs w:val="18"/>
                <w:color w:val="auto"/>
              </w:rPr>
              <w:t>Review of Management Provisions</w:t>
            </w:r>
          </w:p>
        </w:tc>
        <w:tc>
          <w:tcPr>
            <w:tcW w:w="17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5.09.</w:t>
            </w:r>
          </w:p>
        </w:tc>
        <w:tc>
          <w:tcPr>
            <w:tcW w:w="8200" w:type="dxa"/>
            <w:vAlign w:val="bottom"/>
          </w:tcPr>
          <w:p>
            <w:pPr>
              <w:ind w:left="400"/>
              <w:spacing w:after="0"/>
              <w:rPr>
                <w:sz w:val="20"/>
                <w:szCs w:val="20"/>
                <w:color w:val="auto"/>
              </w:rPr>
            </w:pPr>
            <w:r>
              <w:rPr>
                <w:rFonts w:ascii="Arial" w:cs="Arial" w:eastAsia="Arial" w:hAnsi="Arial"/>
                <w:sz w:val="18"/>
                <w:szCs w:val="18"/>
                <w:color w:val="auto"/>
              </w:rPr>
              <w:t>Business Plans</w:t>
            </w:r>
          </w:p>
        </w:tc>
        <w:tc>
          <w:tcPr>
            <w:tcW w:w="17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1460" w:type="dxa"/>
            <w:vAlign w:val="bottom"/>
          </w:tcPr>
          <w:p>
            <w:pPr>
              <w:spacing w:after="0"/>
              <w:rPr>
                <w:sz w:val="20"/>
                <w:szCs w:val="20"/>
                <w:color w:val="auto"/>
              </w:rPr>
            </w:pPr>
            <w:r>
              <w:rPr>
                <w:rFonts w:ascii="Arial" w:cs="Arial" w:eastAsia="Arial" w:hAnsi="Arial"/>
                <w:sz w:val="18"/>
                <w:szCs w:val="18"/>
                <w:color w:val="auto"/>
              </w:rPr>
              <w:t>Section 5.10.</w:t>
            </w:r>
          </w:p>
        </w:tc>
        <w:tc>
          <w:tcPr>
            <w:tcW w:w="8200" w:type="dxa"/>
            <w:vAlign w:val="bottom"/>
          </w:tcPr>
          <w:p>
            <w:pPr>
              <w:ind w:left="400"/>
              <w:spacing w:after="0"/>
              <w:rPr>
                <w:sz w:val="20"/>
                <w:szCs w:val="20"/>
                <w:color w:val="auto"/>
              </w:rPr>
            </w:pPr>
            <w:r>
              <w:rPr>
                <w:rFonts w:ascii="Arial" w:cs="Arial" w:eastAsia="Arial" w:hAnsi="Arial"/>
                <w:sz w:val="18"/>
                <w:szCs w:val="18"/>
                <w:color w:val="auto"/>
              </w:rPr>
              <w:t>Employee Transfers</w:t>
            </w:r>
          </w:p>
        </w:tc>
        <w:tc>
          <w:tcPr>
            <w:tcW w:w="17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18"/>
        </w:trPr>
        <w:tc>
          <w:tcPr>
            <w:tcW w:w="1460" w:type="dxa"/>
            <w:vAlign w:val="bottom"/>
          </w:tcPr>
          <w:p>
            <w:pPr>
              <w:spacing w:after="0"/>
              <w:rPr>
                <w:sz w:val="24"/>
                <w:szCs w:val="24"/>
                <w:color w:val="auto"/>
              </w:rPr>
            </w:pPr>
          </w:p>
        </w:tc>
        <w:tc>
          <w:tcPr>
            <w:tcW w:w="8200" w:type="dxa"/>
            <w:vAlign w:val="bottom"/>
          </w:tcPr>
          <w:p>
            <w:pPr>
              <w:jc w:val="center"/>
              <w:ind w:left="209"/>
              <w:spacing w:after="0"/>
              <w:rPr>
                <w:sz w:val="20"/>
                <w:szCs w:val="20"/>
                <w:color w:val="auto"/>
              </w:rPr>
            </w:pPr>
            <w:r>
              <w:rPr>
                <w:rFonts w:ascii="Arial" w:cs="Arial" w:eastAsia="Arial" w:hAnsi="Arial"/>
                <w:sz w:val="18"/>
                <w:szCs w:val="18"/>
                <w:color w:val="auto"/>
                <w:w w:val="99"/>
              </w:rPr>
              <w:t>ARTICLE VI</w:t>
            </w:r>
          </w:p>
        </w:tc>
        <w:tc>
          <w:tcPr>
            <w:tcW w:w="1760" w:type="dxa"/>
            <w:vAlign w:val="bottom"/>
          </w:tcPr>
          <w:p>
            <w:pPr>
              <w:spacing w:after="0"/>
              <w:rPr>
                <w:sz w:val="24"/>
                <w:szCs w:val="24"/>
                <w:color w:val="auto"/>
              </w:rPr>
            </w:pPr>
          </w:p>
        </w:tc>
      </w:tr>
      <w:tr>
        <w:trPr>
          <w:trHeight w:val="230"/>
        </w:trPr>
        <w:tc>
          <w:tcPr>
            <w:tcW w:w="1460" w:type="dxa"/>
            <w:vAlign w:val="bottom"/>
          </w:tcPr>
          <w:p>
            <w:pPr>
              <w:spacing w:after="0"/>
              <w:rPr>
                <w:sz w:val="20"/>
                <w:szCs w:val="20"/>
                <w:color w:val="auto"/>
              </w:rPr>
            </w:pPr>
          </w:p>
        </w:tc>
        <w:tc>
          <w:tcPr>
            <w:tcW w:w="8200" w:type="dxa"/>
            <w:vAlign w:val="bottom"/>
          </w:tcPr>
          <w:p>
            <w:pPr>
              <w:jc w:val="center"/>
              <w:ind w:left="229"/>
              <w:spacing w:after="0"/>
              <w:rPr>
                <w:sz w:val="20"/>
                <w:szCs w:val="20"/>
                <w:color w:val="auto"/>
              </w:rPr>
            </w:pPr>
            <w:r>
              <w:rPr>
                <w:rFonts w:ascii="Arial" w:cs="Arial" w:eastAsia="Arial" w:hAnsi="Arial"/>
                <w:sz w:val="18"/>
                <w:szCs w:val="18"/>
                <w:color w:val="auto"/>
                <w:w w:val="92"/>
              </w:rPr>
              <w:t>OFFICERS</w:t>
            </w:r>
          </w:p>
        </w:tc>
        <w:tc>
          <w:tcPr>
            <w:tcW w:w="1760" w:type="dxa"/>
            <w:vAlign w:val="bottom"/>
          </w:tcPr>
          <w:p>
            <w:pPr>
              <w:spacing w:after="0"/>
              <w:rPr>
                <w:sz w:val="20"/>
                <w:szCs w:val="20"/>
                <w:color w:val="auto"/>
              </w:rPr>
            </w:pPr>
          </w:p>
        </w:tc>
      </w:tr>
      <w:tr>
        <w:trPr>
          <w:trHeight w:val="418"/>
        </w:trPr>
        <w:tc>
          <w:tcPr>
            <w:tcW w:w="1460" w:type="dxa"/>
            <w:vAlign w:val="bottom"/>
          </w:tcPr>
          <w:p>
            <w:pPr>
              <w:spacing w:after="0"/>
              <w:rPr>
                <w:sz w:val="20"/>
                <w:szCs w:val="20"/>
                <w:color w:val="auto"/>
              </w:rPr>
            </w:pPr>
            <w:r>
              <w:rPr>
                <w:rFonts w:ascii="Arial" w:cs="Arial" w:eastAsia="Arial" w:hAnsi="Arial"/>
                <w:sz w:val="18"/>
                <w:szCs w:val="18"/>
                <w:color w:val="auto"/>
              </w:rPr>
              <w:t>Section 6.01.</w:t>
            </w:r>
          </w:p>
        </w:tc>
        <w:tc>
          <w:tcPr>
            <w:tcW w:w="8200" w:type="dxa"/>
            <w:vAlign w:val="bottom"/>
          </w:tcPr>
          <w:p>
            <w:pPr>
              <w:ind w:left="400"/>
              <w:spacing w:after="0"/>
              <w:rPr>
                <w:sz w:val="20"/>
                <w:szCs w:val="20"/>
                <w:color w:val="auto"/>
              </w:rPr>
            </w:pPr>
            <w:r>
              <w:rPr>
                <w:rFonts w:ascii="Arial" w:cs="Arial" w:eastAsia="Arial" w:hAnsi="Arial"/>
                <w:sz w:val="18"/>
                <w:szCs w:val="18"/>
                <w:color w:val="auto"/>
              </w:rPr>
              <w:t>Designation; Term; Qualifications</w:t>
            </w:r>
          </w:p>
        </w:tc>
        <w:tc>
          <w:tcPr>
            <w:tcW w:w="17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6.02.</w:t>
            </w:r>
          </w:p>
        </w:tc>
        <w:tc>
          <w:tcPr>
            <w:tcW w:w="8200" w:type="dxa"/>
            <w:vAlign w:val="bottom"/>
          </w:tcPr>
          <w:p>
            <w:pPr>
              <w:ind w:left="400"/>
              <w:spacing w:after="0"/>
              <w:rPr>
                <w:sz w:val="20"/>
                <w:szCs w:val="20"/>
                <w:color w:val="auto"/>
              </w:rPr>
            </w:pPr>
            <w:r>
              <w:rPr>
                <w:rFonts w:ascii="Arial" w:cs="Arial" w:eastAsia="Arial" w:hAnsi="Arial"/>
                <w:sz w:val="18"/>
                <w:szCs w:val="18"/>
                <w:color w:val="auto"/>
              </w:rPr>
              <w:t>Officers</w:t>
            </w:r>
          </w:p>
        </w:tc>
        <w:tc>
          <w:tcPr>
            <w:tcW w:w="17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6.03.</w:t>
            </w:r>
          </w:p>
        </w:tc>
        <w:tc>
          <w:tcPr>
            <w:tcW w:w="8200" w:type="dxa"/>
            <w:vAlign w:val="bottom"/>
          </w:tcPr>
          <w:p>
            <w:pPr>
              <w:ind w:left="400"/>
              <w:spacing w:after="0"/>
              <w:rPr>
                <w:sz w:val="20"/>
                <w:szCs w:val="20"/>
                <w:color w:val="auto"/>
              </w:rPr>
            </w:pPr>
            <w:r>
              <w:rPr>
                <w:rFonts w:ascii="Arial" w:cs="Arial" w:eastAsia="Arial" w:hAnsi="Arial"/>
                <w:sz w:val="18"/>
                <w:szCs w:val="18"/>
                <w:color w:val="auto"/>
              </w:rPr>
              <w:t>Management Committee</w:t>
            </w:r>
          </w:p>
        </w:tc>
        <w:tc>
          <w:tcPr>
            <w:tcW w:w="17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6.04.</w:t>
            </w:r>
          </w:p>
        </w:tc>
        <w:tc>
          <w:tcPr>
            <w:tcW w:w="8200" w:type="dxa"/>
            <w:vAlign w:val="bottom"/>
          </w:tcPr>
          <w:p>
            <w:pPr>
              <w:ind w:left="400"/>
              <w:spacing w:after="0"/>
              <w:rPr>
                <w:sz w:val="20"/>
                <w:szCs w:val="20"/>
                <w:color w:val="auto"/>
              </w:rPr>
            </w:pPr>
            <w:r>
              <w:rPr>
                <w:rFonts w:ascii="Arial" w:cs="Arial" w:eastAsia="Arial" w:hAnsi="Arial"/>
                <w:sz w:val="18"/>
                <w:szCs w:val="18"/>
                <w:color w:val="auto"/>
              </w:rPr>
              <w:t>Removal and Resignation</w:t>
            </w:r>
          </w:p>
        </w:tc>
        <w:tc>
          <w:tcPr>
            <w:tcW w:w="17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1460" w:type="dxa"/>
            <w:vAlign w:val="bottom"/>
          </w:tcPr>
          <w:p>
            <w:pPr>
              <w:spacing w:after="0"/>
              <w:rPr>
                <w:sz w:val="20"/>
                <w:szCs w:val="20"/>
                <w:color w:val="auto"/>
              </w:rPr>
            </w:pPr>
            <w:r>
              <w:rPr>
                <w:rFonts w:ascii="Arial" w:cs="Arial" w:eastAsia="Arial" w:hAnsi="Arial"/>
                <w:sz w:val="18"/>
                <w:szCs w:val="18"/>
                <w:color w:val="auto"/>
              </w:rPr>
              <w:t>Section 6.05.</w:t>
            </w:r>
          </w:p>
        </w:tc>
        <w:tc>
          <w:tcPr>
            <w:tcW w:w="8200" w:type="dxa"/>
            <w:vAlign w:val="bottom"/>
          </w:tcPr>
          <w:p>
            <w:pPr>
              <w:ind w:left="400"/>
              <w:spacing w:after="0"/>
              <w:rPr>
                <w:sz w:val="20"/>
                <w:szCs w:val="20"/>
                <w:color w:val="auto"/>
              </w:rPr>
            </w:pPr>
            <w:r>
              <w:rPr>
                <w:rFonts w:ascii="Arial" w:cs="Arial" w:eastAsia="Arial" w:hAnsi="Arial"/>
                <w:sz w:val="18"/>
                <w:szCs w:val="18"/>
                <w:color w:val="auto"/>
              </w:rPr>
              <w:t>Vacancies</w:t>
            </w:r>
          </w:p>
        </w:tc>
        <w:tc>
          <w:tcPr>
            <w:tcW w:w="17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18"/>
        </w:trPr>
        <w:tc>
          <w:tcPr>
            <w:tcW w:w="1460" w:type="dxa"/>
            <w:vAlign w:val="bottom"/>
          </w:tcPr>
          <w:p>
            <w:pPr>
              <w:spacing w:after="0"/>
              <w:rPr>
                <w:sz w:val="24"/>
                <w:szCs w:val="24"/>
                <w:color w:val="auto"/>
              </w:rPr>
            </w:pPr>
          </w:p>
        </w:tc>
        <w:tc>
          <w:tcPr>
            <w:tcW w:w="8200" w:type="dxa"/>
            <w:vAlign w:val="bottom"/>
          </w:tcPr>
          <w:p>
            <w:pPr>
              <w:jc w:val="center"/>
              <w:ind w:left="229"/>
              <w:spacing w:after="0"/>
              <w:rPr>
                <w:sz w:val="20"/>
                <w:szCs w:val="20"/>
                <w:color w:val="auto"/>
              </w:rPr>
            </w:pPr>
            <w:r>
              <w:rPr>
                <w:rFonts w:ascii="Arial" w:cs="Arial" w:eastAsia="Arial" w:hAnsi="Arial"/>
                <w:sz w:val="18"/>
                <w:szCs w:val="18"/>
                <w:color w:val="auto"/>
              </w:rPr>
              <w:t>ARTICLE VII</w:t>
            </w:r>
          </w:p>
        </w:tc>
        <w:tc>
          <w:tcPr>
            <w:tcW w:w="1760" w:type="dxa"/>
            <w:vAlign w:val="bottom"/>
          </w:tcPr>
          <w:p>
            <w:pPr>
              <w:spacing w:after="0"/>
              <w:rPr>
                <w:sz w:val="24"/>
                <w:szCs w:val="24"/>
                <w:color w:val="auto"/>
              </w:rPr>
            </w:pPr>
          </w:p>
        </w:tc>
      </w:tr>
      <w:tr>
        <w:trPr>
          <w:trHeight w:val="230"/>
        </w:trPr>
        <w:tc>
          <w:tcPr>
            <w:tcW w:w="1460" w:type="dxa"/>
            <w:vAlign w:val="bottom"/>
          </w:tcPr>
          <w:p>
            <w:pPr>
              <w:spacing w:after="0"/>
              <w:rPr>
                <w:sz w:val="20"/>
                <w:szCs w:val="20"/>
                <w:color w:val="auto"/>
              </w:rPr>
            </w:pPr>
          </w:p>
        </w:tc>
        <w:tc>
          <w:tcPr>
            <w:tcW w:w="8200" w:type="dxa"/>
            <w:vAlign w:val="bottom"/>
          </w:tcPr>
          <w:p>
            <w:pPr>
              <w:jc w:val="center"/>
              <w:ind w:left="209"/>
              <w:spacing w:after="0"/>
              <w:rPr>
                <w:sz w:val="20"/>
                <w:szCs w:val="20"/>
                <w:color w:val="auto"/>
              </w:rPr>
            </w:pPr>
            <w:r>
              <w:rPr>
                <w:rFonts w:ascii="Arial" w:cs="Arial" w:eastAsia="Arial" w:hAnsi="Arial"/>
                <w:sz w:val="18"/>
                <w:szCs w:val="18"/>
                <w:color w:val="auto"/>
                <w:w w:val="95"/>
              </w:rPr>
              <w:t>TRANSFER OF MEMBERSHIP UNITS</w:t>
            </w:r>
          </w:p>
        </w:tc>
        <w:tc>
          <w:tcPr>
            <w:tcW w:w="1760" w:type="dxa"/>
            <w:vAlign w:val="bottom"/>
          </w:tcPr>
          <w:p>
            <w:pPr>
              <w:spacing w:after="0"/>
              <w:rPr>
                <w:sz w:val="20"/>
                <w:szCs w:val="20"/>
                <w:color w:val="auto"/>
              </w:rPr>
            </w:pPr>
          </w:p>
        </w:tc>
      </w:tr>
      <w:tr>
        <w:trPr>
          <w:trHeight w:val="418"/>
        </w:trPr>
        <w:tc>
          <w:tcPr>
            <w:tcW w:w="1460" w:type="dxa"/>
            <w:vAlign w:val="bottom"/>
          </w:tcPr>
          <w:p>
            <w:pPr>
              <w:spacing w:after="0"/>
              <w:rPr>
                <w:sz w:val="20"/>
                <w:szCs w:val="20"/>
                <w:color w:val="auto"/>
              </w:rPr>
            </w:pPr>
            <w:r>
              <w:rPr>
                <w:rFonts w:ascii="Arial" w:cs="Arial" w:eastAsia="Arial" w:hAnsi="Arial"/>
                <w:sz w:val="18"/>
                <w:szCs w:val="18"/>
                <w:color w:val="auto"/>
              </w:rPr>
              <w:t>Section 7.01.</w:t>
            </w:r>
          </w:p>
        </w:tc>
        <w:tc>
          <w:tcPr>
            <w:tcW w:w="8200" w:type="dxa"/>
            <w:vAlign w:val="bottom"/>
          </w:tcPr>
          <w:p>
            <w:pPr>
              <w:ind w:left="400"/>
              <w:spacing w:after="0"/>
              <w:rPr>
                <w:sz w:val="20"/>
                <w:szCs w:val="20"/>
                <w:color w:val="auto"/>
              </w:rPr>
            </w:pPr>
            <w:r>
              <w:rPr>
                <w:rFonts w:ascii="Arial" w:cs="Arial" w:eastAsia="Arial" w:hAnsi="Arial"/>
                <w:sz w:val="18"/>
                <w:szCs w:val="18"/>
                <w:color w:val="auto"/>
              </w:rPr>
              <w:t>Limitations on Transfer</w:t>
            </w:r>
          </w:p>
        </w:tc>
        <w:tc>
          <w:tcPr>
            <w:tcW w:w="17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7.02.</w:t>
            </w:r>
          </w:p>
        </w:tc>
        <w:tc>
          <w:tcPr>
            <w:tcW w:w="8200" w:type="dxa"/>
            <w:vAlign w:val="bottom"/>
          </w:tcPr>
          <w:p>
            <w:pPr>
              <w:ind w:left="400"/>
              <w:spacing w:after="0"/>
              <w:rPr>
                <w:sz w:val="20"/>
                <w:szCs w:val="20"/>
                <w:color w:val="auto"/>
              </w:rPr>
            </w:pPr>
            <w:r>
              <w:rPr>
                <w:rFonts w:ascii="Arial" w:cs="Arial" w:eastAsia="Arial" w:hAnsi="Arial"/>
                <w:sz w:val="18"/>
                <w:szCs w:val="18"/>
                <w:color w:val="auto"/>
              </w:rPr>
              <w:t>Conditions to Transfer</w:t>
            </w:r>
          </w:p>
        </w:tc>
        <w:tc>
          <w:tcPr>
            <w:tcW w:w="17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7.03.</w:t>
            </w:r>
          </w:p>
        </w:tc>
        <w:tc>
          <w:tcPr>
            <w:tcW w:w="8200" w:type="dxa"/>
            <w:vAlign w:val="bottom"/>
          </w:tcPr>
          <w:p>
            <w:pPr>
              <w:ind w:left="400"/>
              <w:spacing w:after="0"/>
              <w:rPr>
                <w:sz w:val="20"/>
                <w:szCs w:val="20"/>
                <w:color w:val="auto"/>
              </w:rPr>
            </w:pPr>
            <w:r>
              <w:rPr>
                <w:rFonts w:ascii="Arial" w:cs="Arial" w:eastAsia="Arial" w:hAnsi="Arial"/>
                <w:sz w:val="18"/>
                <w:szCs w:val="18"/>
                <w:color w:val="auto"/>
              </w:rPr>
              <w:t>Permitted Transfers</w:t>
            </w:r>
          </w:p>
        </w:tc>
        <w:tc>
          <w:tcPr>
            <w:tcW w:w="17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7.04.</w:t>
            </w:r>
          </w:p>
        </w:tc>
        <w:tc>
          <w:tcPr>
            <w:tcW w:w="8200" w:type="dxa"/>
            <w:vAlign w:val="bottom"/>
          </w:tcPr>
          <w:p>
            <w:pPr>
              <w:ind w:left="400"/>
              <w:spacing w:after="0"/>
              <w:rPr>
                <w:sz w:val="20"/>
                <w:szCs w:val="20"/>
                <w:color w:val="auto"/>
              </w:rPr>
            </w:pPr>
            <w:r>
              <w:rPr>
                <w:rFonts w:ascii="Arial" w:cs="Arial" w:eastAsia="Arial" w:hAnsi="Arial"/>
                <w:sz w:val="18"/>
                <w:szCs w:val="18"/>
                <w:color w:val="auto"/>
              </w:rPr>
              <w:t>Rights and Obligations of Transferees and Transferors</w:t>
            </w:r>
          </w:p>
        </w:tc>
        <w:tc>
          <w:tcPr>
            <w:tcW w:w="17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1460" w:type="dxa"/>
            <w:vAlign w:val="bottom"/>
          </w:tcPr>
          <w:p>
            <w:pPr>
              <w:spacing w:after="0"/>
              <w:rPr>
                <w:sz w:val="20"/>
                <w:szCs w:val="20"/>
                <w:color w:val="auto"/>
              </w:rPr>
            </w:pPr>
            <w:r>
              <w:rPr>
                <w:rFonts w:ascii="Arial" w:cs="Arial" w:eastAsia="Arial" w:hAnsi="Arial"/>
                <w:sz w:val="18"/>
                <w:szCs w:val="18"/>
                <w:color w:val="auto"/>
              </w:rPr>
              <w:t>Section 7.05.</w:t>
            </w:r>
          </w:p>
        </w:tc>
        <w:tc>
          <w:tcPr>
            <w:tcW w:w="8200" w:type="dxa"/>
            <w:vAlign w:val="bottom"/>
          </w:tcPr>
          <w:p>
            <w:pPr>
              <w:ind w:left="400"/>
              <w:spacing w:after="0"/>
              <w:rPr>
                <w:sz w:val="20"/>
                <w:szCs w:val="20"/>
                <w:color w:val="auto"/>
              </w:rPr>
            </w:pPr>
            <w:r>
              <w:rPr>
                <w:rFonts w:ascii="Arial" w:cs="Arial" w:eastAsia="Arial" w:hAnsi="Arial"/>
                <w:sz w:val="18"/>
                <w:szCs w:val="18"/>
                <w:color w:val="auto"/>
              </w:rPr>
              <w:t>Safran Option</w:t>
            </w:r>
          </w:p>
        </w:tc>
        <w:tc>
          <w:tcPr>
            <w:tcW w:w="17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18"/>
        </w:trPr>
        <w:tc>
          <w:tcPr>
            <w:tcW w:w="1460" w:type="dxa"/>
            <w:vAlign w:val="bottom"/>
          </w:tcPr>
          <w:p>
            <w:pPr>
              <w:spacing w:after="0"/>
              <w:rPr>
                <w:sz w:val="24"/>
                <w:szCs w:val="24"/>
                <w:color w:val="auto"/>
              </w:rPr>
            </w:pPr>
          </w:p>
        </w:tc>
        <w:tc>
          <w:tcPr>
            <w:tcW w:w="8200" w:type="dxa"/>
            <w:vAlign w:val="bottom"/>
          </w:tcPr>
          <w:p>
            <w:pPr>
              <w:jc w:val="center"/>
              <w:ind w:left="209"/>
              <w:spacing w:after="0"/>
              <w:rPr>
                <w:sz w:val="20"/>
                <w:szCs w:val="20"/>
                <w:color w:val="auto"/>
              </w:rPr>
            </w:pPr>
            <w:r>
              <w:rPr>
                <w:rFonts w:ascii="Arial" w:cs="Arial" w:eastAsia="Arial" w:hAnsi="Arial"/>
                <w:sz w:val="18"/>
                <w:szCs w:val="18"/>
                <w:color w:val="auto"/>
              </w:rPr>
              <w:t>ARTICLE VIII</w:t>
            </w:r>
          </w:p>
        </w:tc>
        <w:tc>
          <w:tcPr>
            <w:tcW w:w="1760" w:type="dxa"/>
            <w:vAlign w:val="bottom"/>
          </w:tcPr>
          <w:p>
            <w:pPr>
              <w:spacing w:after="0"/>
              <w:rPr>
                <w:sz w:val="24"/>
                <w:szCs w:val="24"/>
                <w:color w:val="auto"/>
              </w:rPr>
            </w:pPr>
          </w:p>
        </w:tc>
      </w:tr>
      <w:tr>
        <w:trPr>
          <w:trHeight w:val="230"/>
        </w:trPr>
        <w:tc>
          <w:tcPr>
            <w:tcW w:w="1460" w:type="dxa"/>
            <w:vAlign w:val="bottom"/>
          </w:tcPr>
          <w:p>
            <w:pPr>
              <w:spacing w:after="0"/>
              <w:rPr>
                <w:sz w:val="20"/>
                <w:szCs w:val="20"/>
                <w:color w:val="auto"/>
              </w:rPr>
            </w:pPr>
          </w:p>
        </w:tc>
        <w:tc>
          <w:tcPr>
            <w:tcW w:w="8200" w:type="dxa"/>
            <w:vAlign w:val="bottom"/>
          </w:tcPr>
          <w:p>
            <w:pPr>
              <w:jc w:val="center"/>
              <w:ind w:left="209"/>
              <w:spacing w:after="0"/>
              <w:rPr>
                <w:sz w:val="20"/>
                <w:szCs w:val="20"/>
                <w:color w:val="auto"/>
              </w:rPr>
            </w:pPr>
            <w:r>
              <w:rPr>
                <w:rFonts w:ascii="Arial" w:cs="Arial" w:eastAsia="Arial" w:hAnsi="Arial"/>
                <w:sz w:val="18"/>
                <w:szCs w:val="18"/>
                <w:color w:val="auto"/>
                <w:w w:val="94"/>
              </w:rPr>
              <w:t>COMPANY EXPENSES, BOOKS AND RECORDS, TAX MATTERS</w:t>
            </w:r>
          </w:p>
        </w:tc>
        <w:tc>
          <w:tcPr>
            <w:tcW w:w="1760" w:type="dxa"/>
            <w:vAlign w:val="bottom"/>
          </w:tcPr>
          <w:p>
            <w:pPr>
              <w:spacing w:after="0"/>
              <w:rPr>
                <w:sz w:val="20"/>
                <w:szCs w:val="20"/>
                <w:color w:val="auto"/>
              </w:rPr>
            </w:pPr>
          </w:p>
        </w:tc>
      </w:tr>
      <w:tr>
        <w:trPr>
          <w:trHeight w:val="418"/>
        </w:trPr>
        <w:tc>
          <w:tcPr>
            <w:tcW w:w="1460" w:type="dxa"/>
            <w:vAlign w:val="bottom"/>
          </w:tcPr>
          <w:p>
            <w:pPr>
              <w:spacing w:after="0"/>
              <w:rPr>
                <w:sz w:val="20"/>
                <w:szCs w:val="20"/>
                <w:color w:val="auto"/>
              </w:rPr>
            </w:pPr>
            <w:r>
              <w:rPr>
                <w:rFonts w:ascii="Arial" w:cs="Arial" w:eastAsia="Arial" w:hAnsi="Arial"/>
                <w:sz w:val="18"/>
                <w:szCs w:val="18"/>
                <w:color w:val="auto"/>
              </w:rPr>
              <w:t>Section 8.01.</w:t>
            </w:r>
          </w:p>
        </w:tc>
        <w:tc>
          <w:tcPr>
            <w:tcW w:w="8200" w:type="dxa"/>
            <w:vAlign w:val="bottom"/>
          </w:tcPr>
          <w:p>
            <w:pPr>
              <w:ind w:left="400"/>
              <w:spacing w:after="0"/>
              <w:rPr>
                <w:sz w:val="20"/>
                <w:szCs w:val="20"/>
                <w:color w:val="auto"/>
              </w:rPr>
            </w:pPr>
            <w:r>
              <w:rPr>
                <w:rFonts w:ascii="Arial" w:cs="Arial" w:eastAsia="Arial" w:hAnsi="Arial"/>
                <w:sz w:val="18"/>
                <w:szCs w:val="18"/>
                <w:color w:val="auto"/>
              </w:rPr>
              <w:t>Fees and Expenses</w:t>
            </w:r>
          </w:p>
        </w:tc>
        <w:tc>
          <w:tcPr>
            <w:tcW w:w="17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8.02.</w:t>
            </w:r>
          </w:p>
        </w:tc>
        <w:tc>
          <w:tcPr>
            <w:tcW w:w="8200" w:type="dxa"/>
            <w:vAlign w:val="bottom"/>
          </w:tcPr>
          <w:p>
            <w:pPr>
              <w:ind w:left="400"/>
              <w:spacing w:after="0"/>
              <w:rPr>
                <w:sz w:val="20"/>
                <w:szCs w:val="20"/>
                <w:color w:val="auto"/>
              </w:rPr>
            </w:pPr>
            <w:r>
              <w:rPr>
                <w:rFonts w:ascii="Arial" w:cs="Arial" w:eastAsia="Arial" w:hAnsi="Arial"/>
                <w:sz w:val="18"/>
                <w:szCs w:val="18"/>
                <w:color w:val="auto"/>
              </w:rPr>
              <w:t>Fiscal Year</w:t>
            </w:r>
          </w:p>
        </w:tc>
        <w:tc>
          <w:tcPr>
            <w:tcW w:w="17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8.03.</w:t>
            </w:r>
          </w:p>
        </w:tc>
        <w:tc>
          <w:tcPr>
            <w:tcW w:w="8200" w:type="dxa"/>
            <w:vAlign w:val="bottom"/>
          </w:tcPr>
          <w:p>
            <w:pPr>
              <w:ind w:left="400"/>
              <w:spacing w:after="0"/>
              <w:rPr>
                <w:sz w:val="20"/>
                <w:szCs w:val="20"/>
                <w:color w:val="auto"/>
              </w:rPr>
            </w:pPr>
            <w:r>
              <w:rPr>
                <w:rFonts w:ascii="Arial" w:cs="Arial" w:eastAsia="Arial" w:hAnsi="Arial"/>
                <w:sz w:val="18"/>
                <w:szCs w:val="18"/>
                <w:color w:val="auto"/>
              </w:rPr>
              <w:t>Inspection</w:t>
            </w:r>
          </w:p>
        </w:tc>
        <w:tc>
          <w:tcPr>
            <w:tcW w:w="17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8.04.</w:t>
            </w:r>
          </w:p>
        </w:tc>
        <w:tc>
          <w:tcPr>
            <w:tcW w:w="8200" w:type="dxa"/>
            <w:vAlign w:val="bottom"/>
          </w:tcPr>
          <w:p>
            <w:pPr>
              <w:ind w:left="400"/>
              <w:spacing w:after="0"/>
              <w:rPr>
                <w:sz w:val="20"/>
                <w:szCs w:val="20"/>
                <w:color w:val="auto"/>
              </w:rPr>
            </w:pPr>
            <w:r>
              <w:rPr>
                <w:rFonts w:ascii="Arial" w:cs="Arial" w:eastAsia="Arial" w:hAnsi="Arial"/>
                <w:sz w:val="18"/>
                <w:szCs w:val="18"/>
                <w:color w:val="auto"/>
              </w:rPr>
              <w:t>Financial Statements and Reports</w:t>
            </w:r>
          </w:p>
        </w:tc>
        <w:tc>
          <w:tcPr>
            <w:tcW w:w="17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8.05.</w:t>
            </w:r>
          </w:p>
        </w:tc>
        <w:tc>
          <w:tcPr>
            <w:tcW w:w="8200" w:type="dxa"/>
            <w:vAlign w:val="bottom"/>
          </w:tcPr>
          <w:p>
            <w:pPr>
              <w:ind w:left="400"/>
              <w:spacing w:after="0"/>
              <w:rPr>
                <w:sz w:val="20"/>
                <w:szCs w:val="20"/>
                <w:color w:val="auto"/>
              </w:rPr>
            </w:pPr>
            <w:r>
              <w:rPr>
                <w:rFonts w:ascii="Arial" w:cs="Arial" w:eastAsia="Arial" w:hAnsi="Arial"/>
                <w:sz w:val="18"/>
                <w:szCs w:val="18"/>
                <w:color w:val="auto"/>
              </w:rPr>
              <w:t>Tax Returns and Reports</w:t>
            </w:r>
          </w:p>
        </w:tc>
        <w:tc>
          <w:tcPr>
            <w:tcW w:w="17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1460" w:type="dxa"/>
            <w:vAlign w:val="bottom"/>
          </w:tcPr>
          <w:p>
            <w:pPr>
              <w:spacing w:after="0"/>
              <w:rPr>
                <w:sz w:val="20"/>
                <w:szCs w:val="20"/>
                <w:color w:val="auto"/>
              </w:rPr>
            </w:pPr>
            <w:r>
              <w:rPr>
                <w:rFonts w:ascii="Arial" w:cs="Arial" w:eastAsia="Arial" w:hAnsi="Arial"/>
                <w:sz w:val="18"/>
                <w:szCs w:val="18"/>
                <w:color w:val="auto"/>
              </w:rPr>
              <w:t>Section 8.06.</w:t>
            </w:r>
          </w:p>
        </w:tc>
        <w:tc>
          <w:tcPr>
            <w:tcW w:w="8200" w:type="dxa"/>
            <w:vAlign w:val="bottom"/>
          </w:tcPr>
          <w:p>
            <w:pPr>
              <w:ind w:left="400"/>
              <w:spacing w:after="0"/>
              <w:rPr>
                <w:sz w:val="20"/>
                <w:szCs w:val="20"/>
                <w:color w:val="auto"/>
              </w:rPr>
            </w:pPr>
            <w:r>
              <w:rPr>
                <w:rFonts w:ascii="Arial" w:cs="Arial" w:eastAsia="Arial" w:hAnsi="Arial"/>
                <w:sz w:val="18"/>
                <w:szCs w:val="18"/>
                <w:color w:val="auto"/>
              </w:rPr>
              <w:t>Tax Matters Partner</w:t>
            </w:r>
          </w:p>
        </w:tc>
        <w:tc>
          <w:tcPr>
            <w:tcW w:w="17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18"/>
        </w:trPr>
        <w:tc>
          <w:tcPr>
            <w:tcW w:w="1460" w:type="dxa"/>
            <w:vAlign w:val="bottom"/>
          </w:tcPr>
          <w:p>
            <w:pPr>
              <w:spacing w:after="0"/>
              <w:rPr>
                <w:sz w:val="24"/>
                <w:szCs w:val="24"/>
                <w:color w:val="auto"/>
              </w:rPr>
            </w:pPr>
          </w:p>
        </w:tc>
        <w:tc>
          <w:tcPr>
            <w:tcW w:w="8200" w:type="dxa"/>
            <w:vAlign w:val="bottom"/>
          </w:tcPr>
          <w:p>
            <w:pPr>
              <w:jc w:val="center"/>
              <w:ind w:left="209"/>
              <w:spacing w:after="0"/>
              <w:rPr>
                <w:sz w:val="20"/>
                <w:szCs w:val="20"/>
                <w:color w:val="auto"/>
              </w:rPr>
            </w:pPr>
            <w:r>
              <w:rPr>
                <w:rFonts w:ascii="Arial" w:cs="Arial" w:eastAsia="Arial" w:hAnsi="Arial"/>
                <w:sz w:val="18"/>
                <w:szCs w:val="18"/>
                <w:color w:val="auto"/>
                <w:w w:val="99"/>
              </w:rPr>
              <w:t>ARTICLE IX</w:t>
            </w:r>
          </w:p>
        </w:tc>
        <w:tc>
          <w:tcPr>
            <w:tcW w:w="1760" w:type="dxa"/>
            <w:vAlign w:val="bottom"/>
          </w:tcPr>
          <w:p>
            <w:pPr>
              <w:spacing w:after="0"/>
              <w:rPr>
                <w:sz w:val="24"/>
                <w:szCs w:val="24"/>
                <w:color w:val="auto"/>
              </w:rPr>
            </w:pPr>
          </w:p>
        </w:tc>
      </w:tr>
      <w:tr>
        <w:trPr>
          <w:trHeight w:val="230"/>
        </w:trPr>
        <w:tc>
          <w:tcPr>
            <w:tcW w:w="1460" w:type="dxa"/>
            <w:vAlign w:val="bottom"/>
          </w:tcPr>
          <w:p>
            <w:pPr>
              <w:spacing w:after="0"/>
              <w:rPr>
                <w:sz w:val="20"/>
                <w:szCs w:val="20"/>
                <w:color w:val="auto"/>
              </w:rPr>
            </w:pPr>
          </w:p>
        </w:tc>
        <w:tc>
          <w:tcPr>
            <w:tcW w:w="8200" w:type="dxa"/>
            <w:vAlign w:val="bottom"/>
          </w:tcPr>
          <w:p>
            <w:pPr>
              <w:jc w:val="center"/>
              <w:ind w:left="209"/>
              <w:spacing w:after="0"/>
              <w:rPr>
                <w:sz w:val="20"/>
                <w:szCs w:val="20"/>
                <w:color w:val="auto"/>
              </w:rPr>
            </w:pPr>
            <w:r>
              <w:rPr>
                <w:rFonts w:ascii="Arial" w:cs="Arial" w:eastAsia="Arial" w:hAnsi="Arial"/>
                <w:sz w:val="18"/>
                <w:szCs w:val="18"/>
                <w:color w:val="auto"/>
                <w:w w:val="98"/>
              </w:rPr>
              <w:t>EXCULPATION AND INDEMNIFICATION</w:t>
            </w:r>
          </w:p>
        </w:tc>
        <w:tc>
          <w:tcPr>
            <w:tcW w:w="1760" w:type="dxa"/>
            <w:vAlign w:val="bottom"/>
          </w:tcPr>
          <w:p>
            <w:pPr>
              <w:spacing w:after="0"/>
              <w:rPr>
                <w:sz w:val="20"/>
                <w:szCs w:val="20"/>
                <w:color w:val="auto"/>
              </w:rPr>
            </w:pPr>
          </w:p>
        </w:tc>
      </w:tr>
      <w:tr>
        <w:trPr>
          <w:trHeight w:val="418"/>
        </w:trPr>
        <w:tc>
          <w:tcPr>
            <w:tcW w:w="1460" w:type="dxa"/>
            <w:vAlign w:val="bottom"/>
          </w:tcPr>
          <w:p>
            <w:pPr>
              <w:spacing w:after="0"/>
              <w:rPr>
                <w:sz w:val="20"/>
                <w:szCs w:val="20"/>
                <w:color w:val="auto"/>
              </w:rPr>
            </w:pPr>
            <w:r>
              <w:rPr>
                <w:rFonts w:ascii="Arial" w:cs="Arial" w:eastAsia="Arial" w:hAnsi="Arial"/>
                <w:sz w:val="18"/>
                <w:szCs w:val="18"/>
                <w:color w:val="auto"/>
              </w:rPr>
              <w:t>Section 9.01.</w:t>
            </w:r>
          </w:p>
        </w:tc>
        <w:tc>
          <w:tcPr>
            <w:tcW w:w="8200" w:type="dxa"/>
            <w:vAlign w:val="bottom"/>
          </w:tcPr>
          <w:p>
            <w:pPr>
              <w:ind w:left="400"/>
              <w:spacing w:after="0"/>
              <w:rPr>
                <w:sz w:val="20"/>
                <w:szCs w:val="20"/>
                <w:color w:val="auto"/>
              </w:rPr>
            </w:pPr>
            <w:r>
              <w:rPr>
                <w:rFonts w:ascii="Arial" w:cs="Arial" w:eastAsia="Arial" w:hAnsi="Arial"/>
                <w:sz w:val="18"/>
                <w:szCs w:val="18"/>
                <w:color w:val="auto"/>
              </w:rPr>
              <w:t>Exculpation</w:t>
            </w:r>
          </w:p>
        </w:tc>
        <w:tc>
          <w:tcPr>
            <w:tcW w:w="17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9.02.</w:t>
            </w:r>
          </w:p>
        </w:tc>
        <w:tc>
          <w:tcPr>
            <w:tcW w:w="8200" w:type="dxa"/>
            <w:vAlign w:val="bottom"/>
          </w:tcPr>
          <w:p>
            <w:pPr>
              <w:ind w:left="400"/>
              <w:spacing w:after="0"/>
              <w:rPr>
                <w:sz w:val="20"/>
                <w:szCs w:val="20"/>
                <w:color w:val="auto"/>
              </w:rPr>
            </w:pPr>
            <w:r>
              <w:rPr>
                <w:rFonts w:ascii="Arial" w:cs="Arial" w:eastAsia="Arial" w:hAnsi="Arial"/>
                <w:sz w:val="18"/>
                <w:szCs w:val="18"/>
                <w:color w:val="auto"/>
              </w:rPr>
              <w:t>Indemnification and Expense Advancement</w:t>
            </w:r>
          </w:p>
        </w:tc>
        <w:tc>
          <w:tcPr>
            <w:tcW w:w="17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9.03.</w:t>
            </w:r>
          </w:p>
        </w:tc>
        <w:tc>
          <w:tcPr>
            <w:tcW w:w="8200" w:type="dxa"/>
            <w:vAlign w:val="bottom"/>
          </w:tcPr>
          <w:p>
            <w:pPr>
              <w:ind w:left="400"/>
              <w:spacing w:after="0"/>
              <w:rPr>
                <w:sz w:val="20"/>
                <w:szCs w:val="20"/>
                <w:color w:val="auto"/>
              </w:rPr>
            </w:pPr>
            <w:r>
              <w:rPr>
                <w:rFonts w:ascii="Arial" w:cs="Arial" w:eastAsia="Arial" w:hAnsi="Arial"/>
                <w:sz w:val="18"/>
                <w:szCs w:val="18"/>
                <w:color w:val="auto"/>
              </w:rPr>
              <w:t>Exclusivity</w:t>
            </w:r>
          </w:p>
        </w:tc>
        <w:tc>
          <w:tcPr>
            <w:tcW w:w="17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1460" w:type="dxa"/>
            <w:vAlign w:val="bottom"/>
          </w:tcPr>
          <w:p>
            <w:pPr>
              <w:spacing w:after="0"/>
              <w:rPr>
                <w:sz w:val="20"/>
                <w:szCs w:val="20"/>
                <w:color w:val="auto"/>
              </w:rPr>
            </w:pPr>
            <w:r>
              <w:rPr>
                <w:rFonts w:ascii="Arial" w:cs="Arial" w:eastAsia="Arial" w:hAnsi="Arial"/>
                <w:sz w:val="18"/>
                <w:szCs w:val="18"/>
                <w:color w:val="auto"/>
              </w:rPr>
              <w:t>Section 9.04.</w:t>
            </w:r>
          </w:p>
        </w:tc>
        <w:tc>
          <w:tcPr>
            <w:tcW w:w="8200" w:type="dxa"/>
            <w:vAlign w:val="bottom"/>
          </w:tcPr>
          <w:p>
            <w:pPr>
              <w:ind w:left="400"/>
              <w:spacing w:after="0"/>
              <w:rPr>
                <w:sz w:val="20"/>
                <w:szCs w:val="20"/>
                <w:color w:val="auto"/>
              </w:rPr>
            </w:pPr>
            <w:r>
              <w:rPr>
                <w:rFonts w:ascii="Arial" w:cs="Arial" w:eastAsia="Arial" w:hAnsi="Arial"/>
                <w:sz w:val="18"/>
                <w:szCs w:val="18"/>
                <w:color w:val="auto"/>
              </w:rPr>
              <w:t>Limitation on Implied Duties</w:t>
            </w:r>
          </w:p>
        </w:tc>
        <w:tc>
          <w:tcPr>
            <w:tcW w:w="17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18"/>
        </w:trPr>
        <w:tc>
          <w:tcPr>
            <w:tcW w:w="1460" w:type="dxa"/>
            <w:vAlign w:val="bottom"/>
          </w:tcPr>
          <w:p>
            <w:pPr>
              <w:spacing w:after="0"/>
              <w:rPr>
                <w:sz w:val="24"/>
                <w:szCs w:val="24"/>
                <w:color w:val="auto"/>
              </w:rPr>
            </w:pPr>
          </w:p>
        </w:tc>
        <w:tc>
          <w:tcPr>
            <w:tcW w:w="8200" w:type="dxa"/>
            <w:vAlign w:val="bottom"/>
          </w:tcPr>
          <w:p>
            <w:pPr>
              <w:jc w:val="center"/>
              <w:ind w:left="229"/>
              <w:spacing w:after="0"/>
              <w:rPr>
                <w:sz w:val="20"/>
                <w:szCs w:val="20"/>
                <w:color w:val="auto"/>
              </w:rPr>
            </w:pPr>
            <w:r>
              <w:rPr>
                <w:rFonts w:ascii="Arial" w:cs="Arial" w:eastAsia="Arial" w:hAnsi="Arial"/>
                <w:sz w:val="18"/>
                <w:szCs w:val="18"/>
                <w:color w:val="auto"/>
                <w:w w:val="98"/>
              </w:rPr>
              <w:t>ARTICLE X</w:t>
            </w:r>
          </w:p>
        </w:tc>
        <w:tc>
          <w:tcPr>
            <w:tcW w:w="1760" w:type="dxa"/>
            <w:vAlign w:val="bottom"/>
          </w:tcPr>
          <w:p>
            <w:pPr>
              <w:spacing w:after="0"/>
              <w:rPr>
                <w:sz w:val="24"/>
                <w:szCs w:val="24"/>
                <w:color w:val="auto"/>
              </w:rPr>
            </w:pPr>
          </w:p>
        </w:tc>
      </w:tr>
      <w:tr>
        <w:trPr>
          <w:trHeight w:val="230"/>
        </w:trPr>
        <w:tc>
          <w:tcPr>
            <w:tcW w:w="1460" w:type="dxa"/>
            <w:vAlign w:val="bottom"/>
          </w:tcPr>
          <w:p>
            <w:pPr>
              <w:spacing w:after="0"/>
              <w:rPr>
                <w:sz w:val="20"/>
                <w:szCs w:val="20"/>
                <w:color w:val="auto"/>
              </w:rPr>
            </w:pPr>
          </w:p>
        </w:tc>
        <w:tc>
          <w:tcPr>
            <w:tcW w:w="8200" w:type="dxa"/>
            <w:vAlign w:val="bottom"/>
          </w:tcPr>
          <w:p>
            <w:pPr>
              <w:jc w:val="center"/>
              <w:ind w:left="209"/>
              <w:spacing w:after="0"/>
              <w:rPr>
                <w:sz w:val="20"/>
                <w:szCs w:val="20"/>
                <w:color w:val="auto"/>
              </w:rPr>
            </w:pPr>
            <w:r>
              <w:rPr>
                <w:rFonts w:ascii="Arial" w:cs="Arial" w:eastAsia="Arial" w:hAnsi="Arial"/>
                <w:sz w:val="18"/>
                <w:szCs w:val="18"/>
                <w:color w:val="auto"/>
                <w:w w:val="98"/>
              </w:rPr>
              <w:t>DISSOLUTION, LIQUIDATION AND TERMINATION</w:t>
            </w:r>
          </w:p>
        </w:tc>
        <w:tc>
          <w:tcPr>
            <w:tcW w:w="1760" w:type="dxa"/>
            <w:vAlign w:val="bottom"/>
          </w:tcPr>
          <w:p>
            <w:pPr>
              <w:spacing w:after="0"/>
              <w:rPr>
                <w:sz w:val="20"/>
                <w:szCs w:val="20"/>
                <w:color w:val="auto"/>
              </w:rPr>
            </w:pPr>
          </w:p>
        </w:tc>
      </w:tr>
      <w:tr>
        <w:trPr>
          <w:trHeight w:val="418"/>
        </w:trPr>
        <w:tc>
          <w:tcPr>
            <w:tcW w:w="1460" w:type="dxa"/>
            <w:vAlign w:val="bottom"/>
          </w:tcPr>
          <w:p>
            <w:pPr>
              <w:spacing w:after="0"/>
              <w:rPr>
                <w:sz w:val="20"/>
                <w:szCs w:val="20"/>
                <w:color w:val="auto"/>
              </w:rPr>
            </w:pPr>
            <w:r>
              <w:rPr>
                <w:rFonts w:ascii="Arial" w:cs="Arial" w:eastAsia="Arial" w:hAnsi="Arial"/>
                <w:sz w:val="18"/>
                <w:szCs w:val="18"/>
                <w:color w:val="auto"/>
              </w:rPr>
              <w:t>Section 10.01.</w:t>
            </w:r>
          </w:p>
        </w:tc>
        <w:tc>
          <w:tcPr>
            <w:tcW w:w="8200" w:type="dxa"/>
            <w:vAlign w:val="bottom"/>
          </w:tcPr>
          <w:p>
            <w:pPr>
              <w:ind w:left="400"/>
              <w:spacing w:after="0"/>
              <w:rPr>
                <w:sz w:val="20"/>
                <w:szCs w:val="20"/>
                <w:color w:val="auto"/>
              </w:rPr>
            </w:pPr>
            <w:r>
              <w:rPr>
                <w:rFonts w:ascii="Arial" w:cs="Arial" w:eastAsia="Arial" w:hAnsi="Arial"/>
                <w:sz w:val="18"/>
                <w:szCs w:val="18"/>
                <w:color w:val="auto"/>
              </w:rPr>
              <w:t>Events Causing Dissolution</w:t>
            </w:r>
          </w:p>
        </w:tc>
        <w:tc>
          <w:tcPr>
            <w:tcW w:w="17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10.02.</w:t>
            </w:r>
          </w:p>
        </w:tc>
        <w:tc>
          <w:tcPr>
            <w:tcW w:w="8200" w:type="dxa"/>
            <w:vAlign w:val="bottom"/>
          </w:tcPr>
          <w:p>
            <w:pPr>
              <w:ind w:left="400"/>
              <w:spacing w:after="0"/>
              <w:rPr>
                <w:sz w:val="20"/>
                <w:szCs w:val="20"/>
                <w:color w:val="auto"/>
              </w:rPr>
            </w:pPr>
            <w:r>
              <w:rPr>
                <w:rFonts w:ascii="Arial" w:cs="Arial" w:eastAsia="Arial" w:hAnsi="Arial"/>
                <w:sz w:val="18"/>
                <w:szCs w:val="18"/>
                <w:color w:val="auto"/>
              </w:rPr>
              <w:t>Cancellation of Certificate</w:t>
            </w:r>
          </w:p>
        </w:tc>
        <w:tc>
          <w:tcPr>
            <w:tcW w:w="17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10.03.</w:t>
            </w:r>
          </w:p>
        </w:tc>
        <w:tc>
          <w:tcPr>
            <w:tcW w:w="8200" w:type="dxa"/>
            <w:vAlign w:val="bottom"/>
          </w:tcPr>
          <w:p>
            <w:pPr>
              <w:ind w:left="400"/>
              <w:spacing w:after="0"/>
              <w:rPr>
                <w:sz w:val="20"/>
                <w:szCs w:val="20"/>
                <w:color w:val="auto"/>
              </w:rPr>
            </w:pPr>
            <w:r>
              <w:rPr>
                <w:rFonts w:ascii="Arial" w:cs="Arial" w:eastAsia="Arial" w:hAnsi="Arial"/>
                <w:sz w:val="18"/>
                <w:szCs w:val="18"/>
                <w:color w:val="auto"/>
              </w:rPr>
              <w:t>Liquidation</w:t>
            </w:r>
          </w:p>
        </w:tc>
        <w:tc>
          <w:tcPr>
            <w:tcW w:w="17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10.04.</w:t>
            </w:r>
          </w:p>
        </w:tc>
        <w:tc>
          <w:tcPr>
            <w:tcW w:w="8200" w:type="dxa"/>
            <w:vAlign w:val="bottom"/>
          </w:tcPr>
          <w:p>
            <w:pPr>
              <w:ind w:left="400"/>
              <w:spacing w:after="0"/>
              <w:rPr>
                <w:sz w:val="20"/>
                <w:szCs w:val="20"/>
                <w:color w:val="auto"/>
              </w:rPr>
            </w:pPr>
            <w:r>
              <w:rPr>
                <w:rFonts w:ascii="Arial" w:cs="Arial" w:eastAsia="Arial" w:hAnsi="Arial"/>
                <w:sz w:val="18"/>
                <w:szCs w:val="18"/>
                <w:color w:val="auto"/>
              </w:rPr>
              <w:t>Accounting on Liquidation</w:t>
            </w:r>
          </w:p>
        </w:tc>
        <w:tc>
          <w:tcPr>
            <w:tcW w:w="17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1460" w:type="dxa"/>
            <w:vAlign w:val="bottom"/>
          </w:tcPr>
          <w:p>
            <w:pPr>
              <w:spacing w:after="0"/>
              <w:rPr>
                <w:sz w:val="20"/>
                <w:szCs w:val="20"/>
                <w:color w:val="auto"/>
              </w:rPr>
            </w:pPr>
            <w:r>
              <w:rPr>
                <w:rFonts w:ascii="Arial" w:cs="Arial" w:eastAsia="Arial" w:hAnsi="Arial"/>
                <w:sz w:val="18"/>
                <w:szCs w:val="18"/>
                <w:color w:val="auto"/>
              </w:rPr>
              <w:t>Section 10.05.</w:t>
            </w:r>
          </w:p>
        </w:tc>
        <w:tc>
          <w:tcPr>
            <w:tcW w:w="8200" w:type="dxa"/>
            <w:vAlign w:val="bottom"/>
          </w:tcPr>
          <w:p>
            <w:pPr>
              <w:ind w:left="400"/>
              <w:spacing w:after="0"/>
              <w:rPr>
                <w:sz w:val="20"/>
                <w:szCs w:val="20"/>
                <w:color w:val="auto"/>
              </w:rPr>
            </w:pPr>
            <w:r>
              <w:rPr>
                <w:rFonts w:ascii="Arial" w:cs="Arial" w:eastAsia="Arial" w:hAnsi="Arial"/>
                <w:sz w:val="18"/>
                <w:szCs w:val="18"/>
                <w:color w:val="auto"/>
              </w:rPr>
              <w:t>Return of Members’ Capital Contribution</w:t>
            </w:r>
          </w:p>
        </w:tc>
        <w:tc>
          <w:tcPr>
            <w:tcW w:w="1760" w:type="dxa"/>
            <w:vAlign w:val="bottom"/>
          </w:tcPr>
          <w:p>
            <w:pPr>
              <w:jc w:val="right"/>
              <w:spacing w:after="0"/>
              <w:rPr>
                <w:sz w:val="20"/>
                <w:szCs w:val="20"/>
                <w:color w:val="auto"/>
              </w:rPr>
            </w:pPr>
            <w:r>
              <w:rPr>
                <w:rFonts w:ascii="Arial" w:cs="Arial" w:eastAsia="Arial" w:hAnsi="Arial"/>
                <w:sz w:val="18"/>
                <w:szCs w:val="18"/>
                <w:color w:val="auto"/>
              </w:rPr>
              <w:t>44</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12" w:right="2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(continued)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60" w:type="dxa"/>
            <w:vAlign w:val="bottom"/>
          </w:tcPr>
          <w:p>
            <w:pPr>
              <w:spacing w:after="0"/>
              <w:rPr>
                <w:sz w:val="20"/>
                <w:szCs w:val="20"/>
                <w:color w:val="auto"/>
              </w:rPr>
            </w:pPr>
          </w:p>
        </w:tc>
        <w:tc>
          <w:tcPr>
            <w:tcW w:w="7860" w:type="dxa"/>
            <w:vAlign w:val="bottom"/>
          </w:tcPr>
          <w:p>
            <w:pPr>
              <w:spacing w:after="0"/>
              <w:rPr>
                <w:sz w:val="20"/>
                <w:szCs w:val="20"/>
                <w:color w:val="auto"/>
              </w:rPr>
            </w:pPr>
          </w:p>
        </w:tc>
        <w:tc>
          <w:tcPr>
            <w:tcW w:w="2100" w:type="dxa"/>
            <w:vAlign w:val="bottom"/>
          </w:tcPr>
          <w:p>
            <w:pPr>
              <w:jc w:val="right"/>
              <w:ind w:right="250"/>
              <w:spacing w:after="0"/>
              <w:rPr>
                <w:sz w:val="20"/>
                <w:szCs w:val="20"/>
                <w:color w:val="auto"/>
              </w:rPr>
            </w:pPr>
            <w:r>
              <w:rPr>
                <w:rFonts w:ascii="Arial" w:cs="Arial" w:eastAsia="Arial" w:hAnsi="Arial"/>
                <w:sz w:val="18"/>
                <w:szCs w:val="18"/>
                <w:b w:val="1"/>
                <w:bCs w:val="1"/>
                <w:color w:val="auto"/>
              </w:rPr>
              <w:t>Page</w:t>
            </w:r>
          </w:p>
        </w:tc>
      </w:tr>
      <w:tr>
        <w:trPr>
          <w:trHeight w:val="648"/>
        </w:trPr>
        <w:tc>
          <w:tcPr>
            <w:tcW w:w="1460" w:type="dxa"/>
            <w:vAlign w:val="bottom"/>
          </w:tcPr>
          <w:p>
            <w:pPr>
              <w:spacing w:after="0"/>
              <w:rPr>
                <w:sz w:val="20"/>
                <w:szCs w:val="20"/>
                <w:color w:val="auto"/>
              </w:rPr>
            </w:pPr>
            <w:r>
              <w:rPr>
                <w:rFonts w:ascii="Arial" w:cs="Arial" w:eastAsia="Arial" w:hAnsi="Arial"/>
                <w:sz w:val="18"/>
                <w:szCs w:val="18"/>
                <w:color w:val="auto"/>
              </w:rPr>
              <w:t>Section 10.06.</w:t>
            </w:r>
          </w:p>
        </w:tc>
        <w:tc>
          <w:tcPr>
            <w:tcW w:w="7860" w:type="dxa"/>
            <w:vAlign w:val="bottom"/>
          </w:tcPr>
          <w:p>
            <w:pPr>
              <w:ind w:left="400"/>
              <w:spacing w:after="0"/>
              <w:rPr>
                <w:sz w:val="20"/>
                <w:szCs w:val="20"/>
                <w:color w:val="auto"/>
              </w:rPr>
            </w:pPr>
            <w:r>
              <w:rPr>
                <w:rFonts w:ascii="Arial" w:cs="Arial" w:eastAsia="Arial" w:hAnsi="Arial"/>
                <w:sz w:val="18"/>
                <w:szCs w:val="18"/>
                <w:color w:val="auto"/>
              </w:rPr>
              <w:t>Termination</w:t>
            </w:r>
          </w:p>
        </w:tc>
        <w:tc>
          <w:tcPr>
            <w:tcW w:w="21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418"/>
        </w:trPr>
        <w:tc>
          <w:tcPr>
            <w:tcW w:w="1460" w:type="dxa"/>
            <w:vAlign w:val="bottom"/>
          </w:tcPr>
          <w:p>
            <w:pPr>
              <w:spacing w:after="0"/>
              <w:rPr>
                <w:sz w:val="24"/>
                <w:szCs w:val="24"/>
                <w:color w:val="auto"/>
              </w:rPr>
            </w:pPr>
          </w:p>
        </w:tc>
        <w:tc>
          <w:tcPr>
            <w:tcW w:w="7860" w:type="dxa"/>
            <w:vAlign w:val="bottom"/>
          </w:tcPr>
          <w:p>
            <w:pPr>
              <w:jc w:val="center"/>
              <w:ind w:left="550"/>
              <w:spacing w:after="0"/>
              <w:rPr>
                <w:sz w:val="20"/>
                <w:szCs w:val="20"/>
                <w:color w:val="auto"/>
              </w:rPr>
            </w:pPr>
            <w:r>
              <w:rPr>
                <w:rFonts w:ascii="Arial" w:cs="Arial" w:eastAsia="Arial" w:hAnsi="Arial"/>
                <w:sz w:val="18"/>
                <w:szCs w:val="18"/>
                <w:color w:val="auto"/>
                <w:w w:val="99"/>
              </w:rPr>
              <w:t>ARTICLE XI</w:t>
            </w:r>
          </w:p>
        </w:tc>
        <w:tc>
          <w:tcPr>
            <w:tcW w:w="2100" w:type="dxa"/>
            <w:vAlign w:val="bottom"/>
          </w:tcPr>
          <w:p>
            <w:pPr>
              <w:spacing w:after="0"/>
              <w:rPr>
                <w:sz w:val="24"/>
                <w:szCs w:val="24"/>
                <w:color w:val="auto"/>
              </w:rPr>
            </w:pPr>
          </w:p>
        </w:tc>
      </w:tr>
      <w:tr>
        <w:trPr>
          <w:trHeight w:val="230"/>
        </w:trPr>
        <w:tc>
          <w:tcPr>
            <w:tcW w:w="1460" w:type="dxa"/>
            <w:vAlign w:val="bottom"/>
          </w:tcPr>
          <w:p>
            <w:pPr>
              <w:spacing w:after="0"/>
              <w:rPr>
                <w:sz w:val="20"/>
                <w:szCs w:val="20"/>
                <w:color w:val="auto"/>
              </w:rPr>
            </w:pPr>
          </w:p>
        </w:tc>
        <w:tc>
          <w:tcPr>
            <w:tcW w:w="7860" w:type="dxa"/>
            <w:vAlign w:val="bottom"/>
          </w:tcPr>
          <w:p>
            <w:pPr>
              <w:jc w:val="center"/>
              <w:ind w:left="550"/>
              <w:spacing w:after="0"/>
              <w:rPr>
                <w:sz w:val="20"/>
                <w:szCs w:val="20"/>
                <w:color w:val="auto"/>
              </w:rPr>
            </w:pPr>
            <w:r>
              <w:rPr>
                <w:rFonts w:ascii="Arial" w:cs="Arial" w:eastAsia="Arial" w:hAnsi="Arial"/>
                <w:sz w:val="18"/>
                <w:szCs w:val="18"/>
                <w:color w:val="auto"/>
                <w:w w:val="95"/>
              </w:rPr>
              <w:t>REPRESENTATIONS, WARRANTIES AND COVENANTS</w:t>
            </w:r>
          </w:p>
        </w:tc>
        <w:tc>
          <w:tcPr>
            <w:tcW w:w="2100" w:type="dxa"/>
            <w:vAlign w:val="bottom"/>
          </w:tcPr>
          <w:p>
            <w:pPr>
              <w:spacing w:after="0"/>
              <w:rPr>
                <w:sz w:val="20"/>
                <w:szCs w:val="20"/>
                <w:color w:val="auto"/>
              </w:rPr>
            </w:pPr>
          </w:p>
        </w:tc>
      </w:tr>
      <w:tr>
        <w:trPr>
          <w:trHeight w:val="418"/>
        </w:trPr>
        <w:tc>
          <w:tcPr>
            <w:tcW w:w="1460" w:type="dxa"/>
            <w:vAlign w:val="bottom"/>
          </w:tcPr>
          <w:p>
            <w:pPr>
              <w:spacing w:after="0"/>
              <w:rPr>
                <w:sz w:val="20"/>
                <w:szCs w:val="20"/>
                <w:color w:val="auto"/>
              </w:rPr>
            </w:pPr>
            <w:r>
              <w:rPr>
                <w:rFonts w:ascii="Arial" w:cs="Arial" w:eastAsia="Arial" w:hAnsi="Arial"/>
                <w:sz w:val="18"/>
                <w:szCs w:val="18"/>
                <w:color w:val="auto"/>
              </w:rPr>
              <w:t>Section 11.01.</w:t>
            </w:r>
          </w:p>
        </w:tc>
        <w:tc>
          <w:tcPr>
            <w:tcW w:w="7860" w:type="dxa"/>
            <w:vAlign w:val="bottom"/>
          </w:tcPr>
          <w:p>
            <w:pPr>
              <w:ind w:left="400"/>
              <w:spacing w:after="0"/>
              <w:rPr>
                <w:sz w:val="20"/>
                <w:szCs w:val="20"/>
                <w:color w:val="auto"/>
              </w:rPr>
            </w:pPr>
            <w:r>
              <w:rPr>
                <w:rFonts w:ascii="Arial" w:cs="Arial" w:eastAsia="Arial" w:hAnsi="Arial"/>
                <w:sz w:val="18"/>
                <w:szCs w:val="18"/>
                <w:color w:val="auto"/>
              </w:rPr>
              <w:t>Representations and Warranties of the Members</w:t>
            </w:r>
          </w:p>
        </w:tc>
        <w:tc>
          <w:tcPr>
            <w:tcW w:w="21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11.02.</w:t>
            </w:r>
          </w:p>
        </w:tc>
        <w:tc>
          <w:tcPr>
            <w:tcW w:w="7860" w:type="dxa"/>
            <w:vAlign w:val="bottom"/>
          </w:tcPr>
          <w:p>
            <w:pPr>
              <w:ind w:left="400"/>
              <w:spacing w:after="0"/>
              <w:rPr>
                <w:sz w:val="20"/>
                <w:szCs w:val="20"/>
                <w:color w:val="auto"/>
              </w:rPr>
            </w:pPr>
            <w:r>
              <w:rPr>
                <w:rFonts w:ascii="Arial" w:cs="Arial" w:eastAsia="Arial" w:hAnsi="Arial"/>
                <w:sz w:val="18"/>
                <w:szCs w:val="18"/>
                <w:color w:val="auto"/>
              </w:rPr>
              <w:t>Representations and Warranties of the Company</w:t>
            </w:r>
          </w:p>
        </w:tc>
        <w:tc>
          <w:tcPr>
            <w:tcW w:w="21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11.03.</w:t>
            </w:r>
          </w:p>
        </w:tc>
        <w:tc>
          <w:tcPr>
            <w:tcW w:w="7860" w:type="dxa"/>
            <w:vAlign w:val="bottom"/>
          </w:tcPr>
          <w:p>
            <w:pPr>
              <w:ind w:left="400"/>
              <w:spacing w:after="0"/>
              <w:rPr>
                <w:sz w:val="20"/>
                <w:szCs w:val="20"/>
                <w:color w:val="auto"/>
              </w:rPr>
            </w:pPr>
            <w:r>
              <w:rPr>
                <w:rFonts w:ascii="Arial" w:cs="Arial" w:eastAsia="Arial" w:hAnsi="Arial"/>
                <w:sz w:val="18"/>
                <w:szCs w:val="18"/>
                <w:color w:val="auto"/>
              </w:rPr>
              <w:t>Entitlement of the Company and the Members to Rely on</w:t>
            </w:r>
          </w:p>
        </w:tc>
        <w:tc>
          <w:tcPr>
            <w:tcW w:w="210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7860" w:type="dxa"/>
            <w:vAlign w:val="bottom"/>
          </w:tcPr>
          <w:p>
            <w:pPr>
              <w:ind w:left="400"/>
              <w:spacing w:after="0"/>
              <w:rPr>
                <w:sz w:val="20"/>
                <w:szCs w:val="20"/>
                <w:color w:val="auto"/>
              </w:rPr>
            </w:pPr>
            <w:r>
              <w:rPr>
                <w:rFonts w:ascii="Arial" w:cs="Arial" w:eastAsia="Arial" w:hAnsi="Arial"/>
                <w:sz w:val="18"/>
                <w:szCs w:val="18"/>
                <w:color w:val="auto"/>
              </w:rPr>
              <w:t>Representations and Warranties</w:t>
            </w:r>
          </w:p>
        </w:tc>
        <w:tc>
          <w:tcPr>
            <w:tcW w:w="21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11.04.</w:t>
            </w:r>
          </w:p>
        </w:tc>
        <w:tc>
          <w:tcPr>
            <w:tcW w:w="7860" w:type="dxa"/>
            <w:vAlign w:val="bottom"/>
          </w:tcPr>
          <w:p>
            <w:pPr>
              <w:ind w:left="400"/>
              <w:spacing w:after="0"/>
              <w:rPr>
                <w:sz w:val="20"/>
                <w:szCs w:val="20"/>
                <w:color w:val="auto"/>
              </w:rPr>
            </w:pPr>
            <w:r>
              <w:rPr>
                <w:rFonts w:ascii="Arial" w:cs="Arial" w:eastAsia="Arial" w:hAnsi="Arial"/>
                <w:sz w:val="18"/>
                <w:szCs w:val="18"/>
                <w:color w:val="auto"/>
              </w:rPr>
              <w:t>Covenants of the Members</w:t>
            </w:r>
          </w:p>
        </w:tc>
        <w:tc>
          <w:tcPr>
            <w:tcW w:w="21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1460" w:type="dxa"/>
            <w:vAlign w:val="bottom"/>
          </w:tcPr>
          <w:p>
            <w:pPr>
              <w:spacing w:after="0"/>
              <w:rPr>
                <w:sz w:val="20"/>
                <w:szCs w:val="20"/>
                <w:color w:val="auto"/>
              </w:rPr>
            </w:pPr>
            <w:r>
              <w:rPr>
                <w:rFonts w:ascii="Arial" w:cs="Arial" w:eastAsia="Arial" w:hAnsi="Arial"/>
                <w:sz w:val="18"/>
                <w:szCs w:val="18"/>
                <w:color w:val="auto"/>
              </w:rPr>
              <w:t>Section 11.05.</w:t>
            </w:r>
          </w:p>
        </w:tc>
        <w:tc>
          <w:tcPr>
            <w:tcW w:w="7860" w:type="dxa"/>
            <w:vAlign w:val="bottom"/>
          </w:tcPr>
          <w:p>
            <w:pPr>
              <w:ind w:left="400"/>
              <w:spacing w:after="0"/>
              <w:rPr>
                <w:sz w:val="20"/>
                <w:szCs w:val="20"/>
                <w:color w:val="auto"/>
              </w:rPr>
            </w:pPr>
            <w:r>
              <w:rPr>
                <w:rFonts w:ascii="Arial" w:cs="Arial" w:eastAsia="Arial" w:hAnsi="Arial"/>
                <w:sz w:val="18"/>
                <w:szCs w:val="18"/>
                <w:color w:val="auto"/>
              </w:rPr>
              <w:t>Covenants of the Company</w:t>
            </w:r>
          </w:p>
        </w:tc>
        <w:tc>
          <w:tcPr>
            <w:tcW w:w="21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418"/>
        </w:trPr>
        <w:tc>
          <w:tcPr>
            <w:tcW w:w="1460" w:type="dxa"/>
            <w:vAlign w:val="bottom"/>
          </w:tcPr>
          <w:p>
            <w:pPr>
              <w:spacing w:after="0"/>
              <w:rPr>
                <w:sz w:val="24"/>
                <w:szCs w:val="24"/>
                <w:color w:val="auto"/>
              </w:rPr>
            </w:pPr>
          </w:p>
        </w:tc>
        <w:tc>
          <w:tcPr>
            <w:tcW w:w="7860" w:type="dxa"/>
            <w:vAlign w:val="bottom"/>
          </w:tcPr>
          <w:p>
            <w:pPr>
              <w:jc w:val="center"/>
              <w:ind w:left="570"/>
              <w:spacing w:after="0"/>
              <w:rPr>
                <w:sz w:val="20"/>
                <w:szCs w:val="20"/>
                <w:color w:val="auto"/>
              </w:rPr>
            </w:pPr>
            <w:r>
              <w:rPr>
                <w:rFonts w:ascii="Arial" w:cs="Arial" w:eastAsia="Arial" w:hAnsi="Arial"/>
                <w:sz w:val="18"/>
                <w:szCs w:val="18"/>
                <w:color w:val="auto"/>
              </w:rPr>
              <w:t>ARTICLE XII</w:t>
            </w:r>
          </w:p>
        </w:tc>
        <w:tc>
          <w:tcPr>
            <w:tcW w:w="2100" w:type="dxa"/>
            <w:vAlign w:val="bottom"/>
          </w:tcPr>
          <w:p>
            <w:pPr>
              <w:spacing w:after="0"/>
              <w:rPr>
                <w:sz w:val="24"/>
                <w:szCs w:val="24"/>
                <w:color w:val="auto"/>
              </w:rPr>
            </w:pPr>
          </w:p>
        </w:tc>
      </w:tr>
      <w:tr>
        <w:trPr>
          <w:trHeight w:val="230"/>
        </w:trPr>
        <w:tc>
          <w:tcPr>
            <w:tcW w:w="1460" w:type="dxa"/>
            <w:vAlign w:val="bottom"/>
          </w:tcPr>
          <w:p>
            <w:pPr>
              <w:spacing w:after="0"/>
              <w:rPr>
                <w:sz w:val="20"/>
                <w:szCs w:val="20"/>
                <w:color w:val="auto"/>
              </w:rPr>
            </w:pPr>
          </w:p>
        </w:tc>
        <w:tc>
          <w:tcPr>
            <w:tcW w:w="7860" w:type="dxa"/>
            <w:vAlign w:val="bottom"/>
          </w:tcPr>
          <w:p>
            <w:pPr>
              <w:jc w:val="center"/>
              <w:ind w:left="570"/>
              <w:spacing w:after="0"/>
              <w:rPr>
                <w:sz w:val="20"/>
                <w:szCs w:val="20"/>
                <w:color w:val="auto"/>
              </w:rPr>
            </w:pPr>
            <w:r>
              <w:rPr>
                <w:rFonts w:ascii="Arial" w:cs="Arial" w:eastAsia="Arial" w:hAnsi="Arial"/>
                <w:sz w:val="18"/>
                <w:szCs w:val="18"/>
                <w:color w:val="auto"/>
                <w:w w:val="96"/>
              </w:rPr>
              <w:t>RESTRICTIVE COVENANTS</w:t>
            </w:r>
          </w:p>
        </w:tc>
        <w:tc>
          <w:tcPr>
            <w:tcW w:w="2100" w:type="dxa"/>
            <w:vAlign w:val="bottom"/>
          </w:tcPr>
          <w:p>
            <w:pPr>
              <w:spacing w:after="0"/>
              <w:rPr>
                <w:sz w:val="20"/>
                <w:szCs w:val="20"/>
                <w:color w:val="auto"/>
              </w:rPr>
            </w:pPr>
          </w:p>
        </w:tc>
      </w:tr>
      <w:tr>
        <w:trPr>
          <w:trHeight w:val="418"/>
        </w:trPr>
        <w:tc>
          <w:tcPr>
            <w:tcW w:w="1460" w:type="dxa"/>
            <w:vAlign w:val="bottom"/>
          </w:tcPr>
          <w:p>
            <w:pPr>
              <w:spacing w:after="0"/>
              <w:rPr>
                <w:sz w:val="20"/>
                <w:szCs w:val="20"/>
                <w:color w:val="auto"/>
              </w:rPr>
            </w:pPr>
            <w:r>
              <w:rPr>
                <w:rFonts w:ascii="Arial" w:cs="Arial" w:eastAsia="Arial" w:hAnsi="Arial"/>
                <w:sz w:val="18"/>
                <w:szCs w:val="18"/>
                <w:color w:val="auto"/>
              </w:rPr>
              <w:t>Section 12.01.</w:t>
            </w:r>
          </w:p>
        </w:tc>
        <w:tc>
          <w:tcPr>
            <w:tcW w:w="7860" w:type="dxa"/>
            <w:vAlign w:val="bottom"/>
          </w:tcPr>
          <w:p>
            <w:pPr>
              <w:ind w:left="400"/>
              <w:spacing w:after="0"/>
              <w:rPr>
                <w:sz w:val="20"/>
                <w:szCs w:val="20"/>
                <w:color w:val="auto"/>
              </w:rPr>
            </w:pPr>
            <w:r>
              <w:rPr>
                <w:rFonts w:ascii="Arial" w:cs="Arial" w:eastAsia="Arial" w:hAnsi="Arial"/>
                <w:sz w:val="18"/>
                <w:szCs w:val="18"/>
                <w:color w:val="auto"/>
              </w:rPr>
              <w:t>Exclusive Supplier to Safran</w:t>
            </w:r>
          </w:p>
        </w:tc>
        <w:tc>
          <w:tcPr>
            <w:tcW w:w="21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1460" w:type="dxa"/>
            <w:vAlign w:val="bottom"/>
          </w:tcPr>
          <w:p>
            <w:pPr>
              <w:spacing w:after="0"/>
              <w:rPr>
                <w:sz w:val="20"/>
                <w:szCs w:val="20"/>
                <w:color w:val="auto"/>
              </w:rPr>
            </w:pPr>
            <w:r>
              <w:rPr>
                <w:rFonts w:ascii="Arial" w:cs="Arial" w:eastAsia="Arial" w:hAnsi="Arial"/>
                <w:sz w:val="18"/>
                <w:szCs w:val="18"/>
                <w:color w:val="auto"/>
              </w:rPr>
              <w:t>Section 12.02.</w:t>
            </w:r>
          </w:p>
        </w:tc>
        <w:tc>
          <w:tcPr>
            <w:tcW w:w="7860" w:type="dxa"/>
            <w:vAlign w:val="bottom"/>
          </w:tcPr>
          <w:p>
            <w:pPr>
              <w:ind w:left="400"/>
              <w:spacing w:after="0"/>
              <w:rPr>
                <w:sz w:val="20"/>
                <w:szCs w:val="20"/>
                <w:color w:val="auto"/>
              </w:rPr>
            </w:pPr>
            <w:r>
              <w:rPr>
                <w:rFonts w:ascii="Arial" w:cs="Arial" w:eastAsia="Arial" w:hAnsi="Arial"/>
                <w:sz w:val="18"/>
                <w:szCs w:val="18"/>
                <w:color w:val="auto"/>
              </w:rPr>
              <w:t>Non-Competition</w:t>
            </w:r>
          </w:p>
        </w:tc>
        <w:tc>
          <w:tcPr>
            <w:tcW w:w="21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418"/>
        </w:trPr>
        <w:tc>
          <w:tcPr>
            <w:tcW w:w="1460" w:type="dxa"/>
            <w:vAlign w:val="bottom"/>
          </w:tcPr>
          <w:p>
            <w:pPr>
              <w:spacing w:after="0"/>
              <w:rPr>
                <w:sz w:val="24"/>
                <w:szCs w:val="24"/>
                <w:color w:val="auto"/>
              </w:rPr>
            </w:pPr>
          </w:p>
        </w:tc>
        <w:tc>
          <w:tcPr>
            <w:tcW w:w="7860" w:type="dxa"/>
            <w:vAlign w:val="bottom"/>
          </w:tcPr>
          <w:p>
            <w:pPr>
              <w:jc w:val="center"/>
              <w:ind w:left="550"/>
              <w:spacing w:after="0"/>
              <w:rPr>
                <w:sz w:val="20"/>
                <w:szCs w:val="20"/>
                <w:color w:val="auto"/>
              </w:rPr>
            </w:pPr>
            <w:r>
              <w:rPr>
                <w:rFonts w:ascii="Arial" w:cs="Arial" w:eastAsia="Arial" w:hAnsi="Arial"/>
                <w:sz w:val="18"/>
                <w:szCs w:val="18"/>
                <w:color w:val="auto"/>
              </w:rPr>
              <w:t>ARTICLE XIII</w:t>
            </w:r>
          </w:p>
        </w:tc>
        <w:tc>
          <w:tcPr>
            <w:tcW w:w="2100" w:type="dxa"/>
            <w:vAlign w:val="bottom"/>
          </w:tcPr>
          <w:p>
            <w:pPr>
              <w:spacing w:after="0"/>
              <w:rPr>
                <w:sz w:val="24"/>
                <w:szCs w:val="24"/>
                <w:color w:val="auto"/>
              </w:rPr>
            </w:pPr>
          </w:p>
        </w:tc>
      </w:tr>
      <w:tr>
        <w:trPr>
          <w:trHeight w:val="230"/>
        </w:trPr>
        <w:tc>
          <w:tcPr>
            <w:tcW w:w="1460" w:type="dxa"/>
            <w:vAlign w:val="bottom"/>
          </w:tcPr>
          <w:p>
            <w:pPr>
              <w:spacing w:after="0"/>
              <w:rPr>
                <w:sz w:val="20"/>
                <w:szCs w:val="20"/>
                <w:color w:val="auto"/>
              </w:rPr>
            </w:pPr>
          </w:p>
        </w:tc>
        <w:tc>
          <w:tcPr>
            <w:tcW w:w="7860" w:type="dxa"/>
            <w:vAlign w:val="bottom"/>
          </w:tcPr>
          <w:p>
            <w:pPr>
              <w:jc w:val="center"/>
              <w:ind w:left="550"/>
              <w:spacing w:after="0"/>
              <w:rPr>
                <w:sz w:val="20"/>
                <w:szCs w:val="20"/>
                <w:color w:val="auto"/>
              </w:rPr>
            </w:pPr>
            <w:r>
              <w:rPr>
                <w:rFonts w:ascii="Arial" w:cs="Arial" w:eastAsia="Arial" w:hAnsi="Arial"/>
                <w:sz w:val="18"/>
                <w:szCs w:val="18"/>
                <w:color w:val="auto"/>
                <w:w w:val="97"/>
              </w:rPr>
              <w:t>MISCELLANEOUS</w:t>
            </w:r>
          </w:p>
        </w:tc>
        <w:tc>
          <w:tcPr>
            <w:tcW w:w="2100" w:type="dxa"/>
            <w:vAlign w:val="bottom"/>
          </w:tcPr>
          <w:p>
            <w:pPr>
              <w:spacing w:after="0"/>
              <w:rPr>
                <w:sz w:val="20"/>
                <w:szCs w:val="20"/>
                <w:color w:val="auto"/>
              </w:rPr>
            </w:pPr>
          </w:p>
        </w:tc>
      </w:tr>
      <w:tr>
        <w:trPr>
          <w:trHeight w:val="418"/>
        </w:trPr>
        <w:tc>
          <w:tcPr>
            <w:tcW w:w="1460" w:type="dxa"/>
            <w:vAlign w:val="bottom"/>
          </w:tcPr>
          <w:p>
            <w:pPr>
              <w:spacing w:after="0"/>
              <w:rPr>
                <w:sz w:val="20"/>
                <w:szCs w:val="20"/>
                <w:color w:val="auto"/>
              </w:rPr>
            </w:pPr>
            <w:r>
              <w:rPr>
                <w:rFonts w:ascii="Arial" w:cs="Arial" w:eastAsia="Arial" w:hAnsi="Arial"/>
                <w:sz w:val="18"/>
                <w:szCs w:val="18"/>
                <w:color w:val="auto"/>
              </w:rPr>
              <w:t>Section 13.01.</w:t>
            </w:r>
          </w:p>
        </w:tc>
        <w:tc>
          <w:tcPr>
            <w:tcW w:w="7860" w:type="dxa"/>
            <w:vAlign w:val="bottom"/>
          </w:tcPr>
          <w:p>
            <w:pPr>
              <w:ind w:left="400"/>
              <w:spacing w:after="0"/>
              <w:rPr>
                <w:sz w:val="20"/>
                <w:szCs w:val="20"/>
                <w:color w:val="auto"/>
              </w:rPr>
            </w:pPr>
            <w:r>
              <w:rPr>
                <w:rFonts w:ascii="Arial" w:cs="Arial" w:eastAsia="Arial" w:hAnsi="Arial"/>
                <w:sz w:val="18"/>
                <w:szCs w:val="18"/>
                <w:color w:val="auto"/>
              </w:rPr>
              <w:t>Notices</w:t>
            </w:r>
          </w:p>
        </w:tc>
        <w:tc>
          <w:tcPr>
            <w:tcW w:w="21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13.02.</w:t>
            </w:r>
          </w:p>
        </w:tc>
        <w:tc>
          <w:tcPr>
            <w:tcW w:w="7860" w:type="dxa"/>
            <w:vAlign w:val="bottom"/>
          </w:tcPr>
          <w:p>
            <w:pPr>
              <w:ind w:left="400"/>
              <w:spacing w:after="0"/>
              <w:rPr>
                <w:sz w:val="20"/>
                <w:szCs w:val="20"/>
                <w:color w:val="auto"/>
              </w:rPr>
            </w:pPr>
            <w:r>
              <w:rPr>
                <w:rFonts w:ascii="Arial" w:cs="Arial" w:eastAsia="Arial" w:hAnsi="Arial"/>
                <w:sz w:val="18"/>
                <w:szCs w:val="18"/>
                <w:color w:val="auto"/>
              </w:rPr>
              <w:t>Publicity and Confidentiality</w:t>
            </w:r>
          </w:p>
        </w:tc>
        <w:tc>
          <w:tcPr>
            <w:tcW w:w="21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13.03.</w:t>
            </w:r>
          </w:p>
        </w:tc>
        <w:tc>
          <w:tcPr>
            <w:tcW w:w="7860" w:type="dxa"/>
            <w:vAlign w:val="bottom"/>
          </w:tcPr>
          <w:p>
            <w:pPr>
              <w:ind w:left="400"/>
              <w:spacing w:after="0"/>
              <w:rPr>
                <w:sz w:val="20"/>
                <w:szCs w:val="20"/>
                <w:color w:val="auto"/>
              </w:rPr>
            </w:pPr>
            <w:r>
              <w:rPr>
                <w:rFonts w:ascii="Arial" w:cs="Arial" w:eastAsia="Arial" w:hAnsi="Arial"/>
                <w:sz w:val="18"/>
                <w:szCs w:val="18"/>
                <w:color w:val="auto"/>
              </w:rPr>
              <w:t>Amendments</w:t>
            </w:r>
          </w:p>
        </w:tc>
        <w:tc>
          <w:tcPr>
            <w:tcW w:w="21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13.04.</w:t>
            </w:r>
          </w:p>
        </w:tc>
        <w:tc>
          <w:tcPr>
            <w:tcW w:w="7860" w:type="dxa"/>
            <w:vAlign w:val="bottom"/>
          </w:tcPr>
          <w:p>
            <w:pPr>
              <w:ind w:left="400"/>
              <w:spacing w:after="0"/>
              <w:rPr>
                <w:sz w:val="20"/>
                <w:szCs w:val="20"/>
                <w:color w:val="auto"/>
              </w:rPr>
            </w:pPr>
            <w:r>
              <w:rPr>
                <w:rFonts w:ascii="Arial" w:cs="Arial" w:eastAsia="Arial" w:hAnsi="Arial"/>
                <w:sz w:val="18"/>
                <w:szCs w:val="18"/>
                <w:color w:val="auto"/>
              </w:rPr>
              <w:t>Governing Law; Jurisdiction</w:t>
            </w:r>
          </w:p>
        </w:tc>
        <w:tc>
          <w:tcPr>
            <w:tcW w:w="21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13.05.</w:t>
            </w:r>
          </w:p>
        </w:tc>
        <w:tc>
          <w:tcPr>
            <w:tcW w:w="7860" w:type="dxa"/>
            <w:vAlign w:val="bottom"/>
          </w:tcPr>
          <w:p>
            <w:pPr>
              <w:ind w:left="400"/>
              <w:spacing w:after="0"/>
              <w:rPr>
                <w:sz w:val="20"/>
                <w:szCs w:val="20"/>
                <w:color w:val="auto"/>
              </w:rPr>
            </w:pPr>
            <w:r>
              <w:rPr>
                <w:rFonts w:ascii="Arial" w:cs="Arial" w:eastAsia="Arial" w:hAnsi="Arial"/>
                <w:sz w:val="18"/>
                <w:szCs w:val="18"/>
                <w:color w:val="auto"/>
              </w:rPr>
              <w:t>Waiver of Jury Trial</w:t>
            </w:r>
          </w:p>
        </w:tc>
        <w:tc>
          <w:tcPr>
            <w:tcW w:w="21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13.06.</w:t>
            </w:r>
          </w:p>
        </w:tc>
        <w:tc>
          <w:tcPr>
            <w:tcW w:w="7860" w:type="dxa"/>
            <w:vAlign w:val="bottom"/>
          </w:tcPr>
          <w:p>
            <w:pPr>
              <w:ind w:left="400"/>
              <w:spacing w:after="0"/>
              <w:rPr>
                <w:sz w:val="20"/>
                <w:szCs w:val="20"/>
                <w:color w:val="auto"/>
              </w:rPr>
            </w:pPr>
            <w:r>
              <w:rPr>
                <w:rFonts w:ascii="Arial" w:cs="Arial" w:eastAsia="Arial" w:hAnsi="Arial"/>
                <w:sz w:val="18"/>
                <w:szCs w:val="18"/>
                <w:color w:val="auto"/>
              </w:rPr>
              <w:t>Entire Agreement</w:t>
            </w:r>
          </w:p>
        </w:tc>
        <w:tc>
          <w:tcPr>
            <w:tcW w:w="21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13.07.</w:t>
            </w:r>
          </w:p>
        </w:tc>
        <w:tc>
          <w:tcPr>
            <w:tcW w:w="7860" w:type="dxa"/>
            <w:vAlign w:val="bottom"/>
          </w:tcPr>
          <w:p>
            <w:pPr>
              <w:ind w:left="400"/>
              <w:spacing w:after="0"/>
              <w:rPr>
                <w:sz w:val="20"/>
                <w:szCs w:val="20"/>
                <w:color w:val="auto"/>
              </w:rPr>
            </w:pPr>
            <w:r>
              <w:rPr>
                <w:rFonts w:ascii="Arial" w:cs="Arial" w:eastAsia="Arial" w:hAnsi="Arial"/>
                <w:sz w:val="18"/>
                <w:szCs w:val="18"/>
                <w:color w:val="auto"/>
              </w:rPr>
              <w:t>Other Instruments and Acts</w:t>
            </w:r>
          </w:p>
        </w:tc>
        <w:tc>
          <w:tcPr>
            <w:tcW w:w="21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13.08.</w:t>
            </w:r>
          </w:p>
        </w:tc>
        <w:tc>
          <w:tcPr>
            <w:tcW w:w="7860" w:type="dxa"/>
            <w:vAlign w:val="bottom"/>
          </w:tcPr>
          <w:p>
            <w:pPr>
              <w:ind w:left="400"/>
              <w:spacing w:after="0"/>
              <w:rPr>
                <w:sz w:val="20"/>
                <w:szCs w:val="20"/>
                <w:color w:val="auto"/>
              </w:rPr>
            </w:pPr>
            <w:r>
              <w:rPr>
                <w:rFonts w:ascii="Arial" w:cs="Arial" w:eastAsia="Arial" w:hAnsi="Arial"/>
                <w:sz w:val="18"/>
                <w:szCs w:val="18"/>
                <w:color w:val="auto"/>
              </w:rPr>
              <w:t>Waivers</w:t>
            </w:r>
          </w:p>
        </w:tc>
        <w:tc>
          <w:tcPr>
            <w:tcW w:w="21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13.09.</w:t>
            </w:r>
          </w:p>
        </w:tc>
        <w:tc>
          <w:tcPr>
            <w:tcW w:w="7860" w:type="dxa"/>
            <w:vAlign w:val="bottom"/>
          </w:tcPr>
          <w:p>
            <w:pPr>
              <w:ind w:left="400"/>
              <w:spacing w:after="0"/>
              <w:rPr>
                <w:sz w:val="20"/>
                <w:szCs w:val="20"/>
                <w:color w:val="auto"/>
              </w:rPr>
            </w:pPr>
            <w:r>
              <w:rPr>
                <w:rFonts w:ascii="Arial" w:cs="Arial" w:eastAsia="Arial" w:hAnsi="Arial"/>
                <w:sz w:val="18"/>
                <w:szCs w:val="18"/>
                <w:color w:val="auto"/>
              </w:rPr>
              <w:t>Severability</w:t>
            </w:r>
          </w:p>
        </w:tc>
        <w:tc>
          <w:tcPr>
            <w:tcW w:w="21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13.10.</w:t>
            </w:r>
          </w:p>
        </w:tc>
        <w:tc>
          <w:tcPr>
            <w:tcW w:w="7860" w:type="dxa"/>
            <w:vAlign w:val="bottom"/>
          </w:tcPr>
          <w:p>
            <w:pPr>
              <w:ind w:left="400"/>
              <w:spacing w:after="0"/>
              <w:rPr>
                <w:sz w:val="20"/>
                <w:szCs w:val="20"/>
                <w:color w:val="auto"/>
              </w:rPr>
            </w:pPr>
            <w:r>
              <w:rPr>
                <w:rFonts w:ascii="Arial" w:cs="Arial" w:eastAsia="Arial" w:hAnsi="Arial"/>
                <w:sz w:val="18"/>
                <w:szCs w:val="18"/>
                <w:color w:val="auto"/>
              </w:rPr>
              <w:t>Further Assurances</w:t>
            </w:r>
          </w:p>
        </w:tc>
        <w:tc>
          <w:tcPr>
            <w:tcW w:w="21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13.11.</w:t>
            </w:r>
          </w:p>
        </w:tc>
        <w:tc>
          <w:tcPr>
            <w:tcW w:w="7860" w:type="dxa"/>
            <w:vAlign w:val="bottom"/>
          </w:tcPr>
          <w:p>
            <w:pPr>
              <w:ind w:left="400"/>
              <w:spacing w:after="0"/>
              <w:rPr>
                <w:sz w:val="20"/>
                <w:szCs w:val="20"/>
                <w:color w:val="auto"/>
              </w:rPr>
            </w:pPr>
            <w:r>
              <w:rPr>
                <w:rFonts w:ascii="Arial" w:cs="Arial" w:eastAsia="Arial" w:hAnsi="Arial"/>
                <w:sz w:val="18"/>
                <w:szCs w:val="18"/>
                <w:color w:val="auto"/>
              </w:rPr>
              <w:t>No Partnership</w:t>
            </w:r>
          </w:p>
        </w:tc>
        <w:tc>
          <w:tcPr>
            <w:tcW w:w="21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13.12.</w:t>
            </w:r>
          </w:p>
        </w:tc>
        <w:tc>
          <w:tcPr>
            <w:tcW w:w="7860" w:type="dxa"/>
            <w:vAlign w:val="bottom"/>
          </w:tcPr>
          <w:p>
            <w:pPr>
              <w:ind w:left="400"/>
              <w:spacing w:after="0"/>
              <w:rPr>
                <w:sz w:val="20"/>
                <w:szCs w:val="20"/>
                <w:color w:val="auto"/>
              </w:rPr>
            </w:pPr>
            <w:r>
              <w:rPr>
                <w:rFonts w:ascii="Arial" w:cs="Arial" w:eastAsia="Arial" w:hAnsi="Arial"/>
                <w:sz w:val="18"/>
                <w:szCs w:val="18"/>
                <w:color w:val="auto"/>
              </w:rPr>
              <w:t>Counterparts; Electronic Signatures</w:t>
            </w:r>
          </w:p>
        </w:tc>
        <w:tc>
          <w:tcPr>
            <w:tcW w:w="21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13.13.</w:t>
            </w:r>
          </w:p>
        </w:tc>
        <w:tc>
          <w:tcPr>
            <w:tcW w:w="7860" w:type="dxa"/>
            <w:vAlign w:val="bottom"/>
          </w:tcPr>
          <w:p>
            <w:pPr>
              <w:ind w:left="400"/>
              <w:spacing w:after="0"/>
              <w:rPr>
                <w:sz w:val="20"/>
                <w:szCs w:val="20"/>
                <w:color w:val="auto"/>
              </w:rPr>
            </w:pPr>
            <w:r>
              <w:rPr>
                <w:rFonts w:ascii="Arial" w:cs="Arial" w:eastAsia="Arial" w:hAnsi="Arial"/>
                <w:sz w:val="18"/>
                <w:szCs w:val="18"/>
                <w:color w:val="auto"/>
              </w:rPr>
              <w:t>Third Party Beneficiaries</w:t>
            </w:r>
          </w:p>
        </w:tc>
        <w:tc>
          <w:tcPr>
            <w:tcW w:w="21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13.14.</w:t>
            </w:r>
          </w:p>
        </w:tc>
        <w:tc>
          <w:tcPr>
            <w:tcW w:w="7860" w:type="dxa"/>
            <w:vAlign w:val="bottom"/>
          </w:tcPr>
          <w:p>
            <w:pPr>
              <w:ind w:left="400"/>
              <w:spacing w:after="0"/>
              <w:rPr>
                <w:sz w:val="20"/>
                <w:szCs w:val="20"/>
                <w:color w:val="auto"/>
              </w:rPr>
            </w:pPr>
            <w:r>
              <w:rPr>
                <w:rFonts w:ascii="Arial" w:cs="Arial" w:eastAsia="Arial" w:hAnsi="Arial"/>
                <w:sz w:val="18"/>
                <w:szCs w:val="18"/>
                <w:color w:val="auto"/>
              </w:rPr>
              <w:t>No Third Party Liability</w:t>
            </w:r>
          </w:p>
        </w:tc>
        <w:tc>
          <w:tcPr>
            <w:tcW w:w="21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13.15.</w:t>
            </w:r>
          </w:p>
        </w:tc>
        <w:tc>
          <w:tcPr>
            <w:tcW w:w="7860" w:type="dxa"/>
            <w:vAlign w:val="bottom"/>
          </w:tcPr>
          <w:p>
            <w:pPr>
              <w:ind w:left="400"/>
              <w:spacing w:after="0"/>
              <w:rPr>
                <w:sz w:val="20"/>
                <w:szCs w:val="20"/>
                <w:color w:val="auto"/>
              </w:rPr>
            </w:pPr>
            <w:r>
              <w:rPr>
                <w:rFonts w:ascii="Arial" w:cs="Arial" w:eastAsia="Arial" w:hAnsi="Arial"/>
                <w:sz w:val="18"/>
                <w:szCs w:val="18"/>
                <w:color w:val="auto"/>
              </w:rPr>
              <w:t>Binding Effect</w:t>
            </w:r>
          </w:p>
        </w:tc>
        <w:tc>
          <w:tcPr>
            <w:tcW w:w="21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13.16.</w:t>
            </w:r>
          </w:p>
        </w:tc>
        <w:tc>
          <w:tcPr>
            <w:tcW w:w="7860" w:type="dxa"/>
            <w:vAlign w:val="bottom"/>
          </w:tcPr>
          <w:p>
            <w:pPr>
              <w:ind w:left="400"/>
              <w:spacing w:after="0"/>
              <w:rPr>
                <w:sz w:val="20"/>
                <w:szCs w:val="20"/>
                <w:color w:val="auto"/>
              </w:rPr>
            </w:pPr>
            <w:r>
              <w:rPr>
                <w:rFonts w:ascii="Arial" w:cs="Arial" w:eastAsia="Arial" w:hAnsi="Arial"/>
                <w:sz w:val="18"/>
                <w:szCs w:val="18"/>
                <w:color w:val="auto"/>
              </w:rPr>
              <w:t>Specific Performance</w:t>
            </w:r>
          </w:p>
        </w:tc>
        <w:tc>
          <w:tcPr>
            <w:tcW w:w="21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13.17.</w:t>
            </w:r>
          </w:p>
        </w:tc>
        <w:tc>
          <w:tcPr>
            <w:tcW w:w="7860" w:type="dxa"/>
            <w:vAlign w:val="bottom"/>
          </w:tcPr>
          <w:p>
            <w:pPr>
              <w:ind w:left="400"/>
              <w:spacing w:after="0"/>
              <w:rPr>
                <w:sz w:val="20"/>
                <w:szCs w:val="20"/>
                <w:color w:val="auto"/>
              </w:rPr>
            </w:pPr>
            <w:r>
              <w:rPr>
                <w:rFonts w:ascii="Arial" w:cs="Arial" w:eastAsia="Arial" w:hAnsi="Arial"/>
                <w:sz w:val="18"/>
                <w:szCs w:val="18"/>
                <w:color w:val="auto"/>
              </w:rPr>
              <w:t>Time of the Essence</w:t>
            </w:r>
          </w:p>
        </w:tc>
        <w:tc>
          <w:tcPr>
            <w:tcW w:w="21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1460" w:type="dxa"/>
            <w:vAlign w:val="bottom"/>
          </w:tcPr>
          <w:p>
            <w:pPr>
              <w:spacing w:after="0"/>
              <w:rPr>
                <w:sz w:val="20"/>
                <w:szCs w:val="20"/>
                <w:color w:val="auto"/>
              </w:rPr>
            </w:pPr>
            <w:r>
              <w:rPr>
                <w:rFonts w:ascii="Arial" w:cs="Arial" w:eastAsia="Arial" w:hAnsi="Arial"/>
                <w:sz w:val="18"/>
                <w:szCs w:val="18"/>
                <w:color w:val="auto"/>
              </w:rPr>
              <w:t>Section 13.18.</w:t>
            </w:r>
          </w:p>
        </w:tc>
        <w:tc>
          <w:tcPr>
            <w:tcW w:w="7860" w:type="dxa"/>
            <w:vAlign w:val="bottom"/>
          </w:tcPr>
          <w:p>
            <w:pPr>
              <w:ind w:left="400"/>
              <w:spacing w:after="0"/>
              <w:rPr>
                <w:sz w:val="20"/>
                <w:szCs w:val="20"/>
                <w:color w:val="auto"/>
              </w:rPr>
            </w:pPr>
            <w:r>
              <w:rPr>
                <w:rFonts w:ascii="Arial" w:cs="Arial" w:eastAsia="Arial" w:hAnsi="Arial"/>
                <w:sz w:val="18"/>
                <w:szCs w:val="18"/>
                <w:color w:val="auto"/>
              </w:rPr>
              <w:t>Exculpation Among Members</w:t>
            </w:r>
          </w:p>
        </w:tc>
        <w:tc>
          <w:tcPr>
            <w:tcW w:w="2100" w:type="dxa"/>
            <w:vAlign w:val="bottom"/>
          </w:tcPr>
          <w:p>
            <w:pPr>
              <w:jc w:val="right"/>
              <w:spacing w:after="0"/>
              <w:rPr>
                <w:sz w:val="20"/>
                <w:szCs w:val="20"/>
                <w:color w:val="auto"/>
              </w:rPr>
            </w:pPr>
            <w:r>
              <w:rPr>
                <w:rFonts w:ascii="Arial" w:cs="Arial" w:eastAsia="Arial" w:hAnsi="Arial"/>
                <w:sz w:val="18"/>
                <w:szCs w:val="18"/>
                <w:color w:val="auto"/>
              </w:rPr>
              <w:t>56</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110" w:name="page111"/>
    <w:bookmarkEnd w:id="110"/>
    <w:p>
      <w:pPr>
        <w:jc w:val="center"/>
        <w:ind w:right="-39"/>
        <w:spacing w:after="0"/>
        <w:rPr>
          <w:sz w:val="20"/>
          <w:szCs w:val="20"/>
          <w:color w:val="auto"/>
        </w:rPr>
      </w:pPr>
      <w:r>
        <w:rPr>
          <w:rFonts w:ascii="Arial" w:cs="Arial" w:eastAsia="Arial" w:hAnsi="Arial"/>
          <w:sz w:val="22"/>
          <w:szCs w:val="22"/>
          <w:b w:val="1"/>
          <w:bCs w:val="1"/>
          <w:color w:val="auto"/>
        </w:rPr>
        <w:t>AMENDED AND RESTATED LIMITED LIABILITY COMPANY</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OPERATING AGREEMENT</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OF</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ALBANY SAFRAN COMPOSITES, LLC</w:t>
      </w:r>
    </w:p>
    <w:p>
      <w:pPr>
        <w:spacing w:after="0" w:line="212" w:lineRule="exact"/>
        <w:rPr>
          <w:sz w:val="20"/>
          <w:szCs w:val="20"/>
          <w:color w:val="auto"/>
        </w:rPr>
      </w:pPr>
    </w:p>
    <w:p>
      <w:pPr>
        <w:ind w:right="20" w:firstLine="396"/>
        <w:spacing w:after="0" w:line="246" w:lineRule="auto"/>
        <w:rPr>
          <w:sz w:val="20"/>
          <w:szCs w:val="20"/>
          <w:color w:val="auto"/>
        </w:rPr>
      </w:pPr>
      <w:r>
        <w:rPr>
          <w:rFonts w:ascii="Arial" w:cs="Arial" w:eastAsia="Arial" w:hAnsi="Arial"/>
          <w:sz w:val="21"/>
          <w:szCs w:val="21"/>
          <w:color w:val="auto"/>
        </w:rPr>
        <w:t>This AMENDED AND RESTATED LIMITED LIABILITY COMPANYO PERATING AGREEMENT (this “</w:t>
      </w:r>
      <w:r>
        <w:rPr>
          <w:rFonts w:ascii="Arial" w:cs="Arial" w:eastAsia="Arial" w:hAnsi="Arial"/>
          <w:sz w:val="21"/>
          <w:szCs w:val="21"/>
          <w:u w:val="single" w:color="auto"/>
          <w:color w:val="auto"/>
        </w:rPr>
        <w:t>Agreement</w:t>
      </w:r>
      <w:r>
        <w:rPr>
          <w:rFonts w:ascii="Arial" w:cs="Arial" w:eastAsia="Arial" w:hAnsi="Arial"/>
          <w:sz w:val="21"/>
          <w:szCs w:val="21"/>
          <w:color w:val="auto"/>
        </w:rPr>
        <w:t>”) of Albany Safran Composites, LLC, a Delaware limited liability company (the “</w:t>
      </w:r>
      <w:r>
        <w:rPr>
          <w:rFonts w:ascii="Arial" w:cs="Arial" w:eastAsia="Arial" w:hAnsi="Arial"/>
          <w:sz w:val="21"/>
          <w:szCs w:val="21"/>
          <w:u w:val="single" w:color="auto"/>
          <w:color w:val="auto"/>
        </w:rPr>
        <w:t>Company</w:t>
      </w:r>
      <w:r>
        <w:rPr>
          <w:rFonts w:ascii="Arial" w:cs="Arial" w:eastAsia="Arial" w:hAnsi="Arial"/>
          <w:sz w:val="21"/>
          <w:szCs w:val="21"/>
          <w:color w:val="auto"/>
        </w:rPr>
        <w:t>”), dated as of November 8, 2013, is entered into by and among the Company and Albany Engineered Composites, Inc., a New Hampshire corporation (“</w:t>
      </w:r>
      <w:r>
        <w:rPr>
          <w:rFonts w:ascii="Arial" w:cs="Arial" w:eastAsia="Arial" w:hAnsi="Arial"/>
          <w:sz w:val="21"/>
          <w:szCs w:val="21"/>
          <w:u w:val="single" w:color="auto"/>
          <w:color w:val="auto"/>
        </w:rPr>
        <w:t>Albany</w:t>
      </w:r>
      <w:r>
        <w:rPr>
          <w:rFonts w:ascii="Arial" w:cs="Arial" w:eastAsia="Arial" w:hAnsi="Arial"/>
          <w:sz w:val="21"/>
          <w:szCs w:val="21"/>
          <w:color w:val="auto"/>
        </w:rPr>
        <w:t>”), Safran Aerospace Composites, Inc., a Delaware corporation (“</w:t>
      </w:r>
      <w:r>
        <w:rPr>
          <w:rFonts w:ascii="Arial" w:cs="Arial" w:eastAsia="Arial" w:hAnsi="Arial"/>
          <w:sz w:val="21"/>
          <w:szCs w:val="21"/>
          <w:u w:val="single" w:color="auto"/>
          <w:color w:val="auto"/>
        </w:rPr>
        <w:t>Safran</w:t>
      </w:r>
      <w:r>
        <w:rPr>
          <w:rFonts w:ascii="Arial" w:cs="Arial" w:eastAsia="Arial" w:hAnsi="Arial"/>
          <w:sz w:val="21"/>
          <w:szCs w:val="21"/>
          <w:color w:val="auto"/>
        </w:rPr>
        <w:t xml:space="preserve">”), and such other Members as may be listed on </w:t>
      </w:r>
      <w:r>
        <w:rPr>
          <w:rFonts w:ascii="Arial" w:cs="Arial" w:eastAsia="Arial" w:hAnsi="Arial"/>
          <w:sz w:val="21"/>
          <w:szCs w:val="21"/>
          <w:u w:val="single" w:color="auto"/>
          <w:color w:val="auto"/>
        </w:rPr>
        <w:t>Schedule A</w:t>
      </w:r>
      <w:r>
        <w:rPr>
          <w:rFonts w:ascii="Arial" w:cs="Arial" w:eastAsia="Arial" w:hAnsi="Arial"/>
          <w:sz w:val="21"/>
          <w:szCs w:val="21"/>
          <w:color w:val="auto"/>
        </w:rPr>
        <w:t xml:space="preserve"> from time to time, as members of the Company (each, a “</w:t>
      </w:r>
      <w:r>
        <w:rPr>
          <w:rFonts w:ascii="Arial" w:cs="Arial" w:eastAsia="Arial" w:hAnsi="Arial"/>
          <w:sz w:val="21"/>
          <w:szCs w:val="21"/>
          <w:u w:val="single" w:color="auto"/>
          <w:color w:val="auto"/>
        </w:rPr>
        <w:t>Member</w:t>
      </w:r>
      <w:r>
        <w:rPr>
          <w:rFonts w:ascii="Arial" w:cs="Arial" w:eastAsia="Arial" w:hAnsi="Arial"/>
          <w:sz w:val="21"/>
          <w:szCs w:val="21"/>
          <w:color w:val="auto"/>
        </w:rPr>
        <w:t>” and collectively, the “</w:t>
      </w:r>
      <w:r>
        <w:rPr>
          <w:rFonts w:ascii="Arial" w:cs="Arial" w:eastAsia="Arial" w:hAnsi="Arial"/>
          <w:sz w:val="21"/>
          <w:szCs w:val="21"/>
          <w:u w:val="single" w:color="auto"/>
          <w:color w:val="auto"/>
        </w:rPr>
        <w:t>Members</w:t>
      </w:r>
      <w:r>
        <w:rPr>
          <w:rFonts w:ascii="Arial" w:cs="Arial" w:eastAsia="Arial" w:hAnsi="Arial"/>
          <w:sz w:val="21"/>
          <w:szCs w:val="21"/>
          <w:color w:val="auto"/>
        </w:rPr>
        <w:t xml:space="preserve">”), and, solely with respect to its obligations under </w:t>
      </w:r>
      <w:r>
        <w:rPr>
          <w:rFonts w:ascii="Arial" w:cs="Arial" w:eastAsia="Arial" w:hAnsi="Arial"/>
          <w:sz w:val="21"/>
          <w:szCs w:val="21"/>
          <w:u w:val="single" w:color="auto"/>
          <w:color w:val="auto"/>
        </w:rPr>
        <w:t>Section 3.09</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12.02</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Article XIII</w:t>
      </w:r>
      <w:r>
        <w:rPr>
          <w:rFonts w:ascii="Arial" w:cs="Arial" w:eastAsia="Arial" w:hAnsi="Arial"/>
          <w:sz w:val="21"/>
          <w:szCs w:val="21"/>
          <w:color w:val="auto"/>
        </w:rPr>
        <w:t>, Albany International Corp., a Delaware corporation (“</w:t>
      </w:r>
      <w:r>
        <w:rPr>
          <w:rFonts w:ascii="Arial" w:cs="Arial" w:eastAsia="Arial" w:hAnsi="Arial"/>
          <w:sz w:val="21"/>
          <w:szCs w:val="21"/>
          <w:u w:val="single" w:color="auto"/>
          <w:color w:val="auto"/>
        </w:rPr>
        <w:t>Albany</w:t>
      </w:r>
      <w:r>
        <w:rPr>
          <w:rFonts w:ascii="Arial" w:cs="Arial" w:eastAsia="Arial" w:hAnsi="Arial"/>
          <w:sz w:val="21"/>
          <w:szCs w:val="21"/>
          <w:color w:val="auto"/>
        </w:rPr>
        <w:t xml:space="preserve"> </w:t>
      </w:r>
      <w:r>
        <w:rPr>
          <w:rFonts w:ascii="Arial" w:cs="Arial" w:eastAsia="Arial" w:hAnsi="Arial"/>
          <w:sz w:val="21"/>
          <w:szCs w:val="21"/>
          <w:u w:val="single" w:color="auto"/>
          <w:color w:val="auto"/>
        </w:rPr>
        <w:t>International</w:t>
      </w:r>
      <w:r>
        <w:rPr>
          <w:rFonts w:ascii="Arial" w:cs="Arial" w:eastAsia="Arial" w:hAnsi="Arial"/>
          <w:sz w:val="21"/>
          <w:szCs w:val="21"/>
          <w:color w:val="auto"/>
        </w:rPr>
        <w:t xml:space="preserve">”), and, solely with respect to its obligations under </w:t>
      </w:r>
      <w:r>
        <w:rPr>
          <w:rFonts w:ascii="Arial" w:cs="Arial" w:eastAsia="Arial" w:hAnsi="Arial"/>
          <w:sz w:val="21"/>
          <w:szCs w:val="21"/>
          <w:u w:val="single" w:color="auto"/>
          <w:color w:val="auto"/>
        </w:rPr>
        <w:t>Section 7.05(h)</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7.05(i)</w:t>
      </w:r>
      <w:r>
        <w:rPr>
          <w:rFonts w:ascii="Arial" w:cs="Arial" w:eastAsia="Arial" w:hAnsi="Arial"/>
          <w:sz w:val="21"/>
          <w:szCs w:val="21"/>
          <w:color w:val="auto"/>
        </w:rPr>
        <w:t xml:space="preserve">, </w:t>
      </w:r>
      <w:r>
        <w:rPr>
          <w:rFonts w:ascii="Arial" w:cs="Arial" w:eastAsia="Arial" w:hAnsi="Arial"/>
          <w:sz w:val="21"/>
          <w:szCs w:val="21"/>
          <w:u w:val="single" w:color="auto"/>
          <w:color w:val="auto"/>
        </w:rPr>
        <w:t>Article XII</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Article XIII</w:t>
      </w:r>
      <w:r>
        <w:rPr>
          <w:rFonts w:ascii="Arial" w:cs="Arial" w:eastAsia="Arial" w:hAnsi="Arial"/>
          <w:sz w:val="21"/>
          <w:szCs w:val="21"/>
          <w:color w:val="auto"/>
        </w:rPr>
        <w:t xml:space="preserve">, Safran, S.A., a French </w:t>
      </w:r>
      <w:r>
        <w:rPr>
          <w:rFonts w:ascii="Arial" w:cs="Arial" w:eastAsia="Arial" w:hAnsi="Arial"/>
          <w:sz w:val="21"/>
          <w:szCs w:val="21"/>
          <w:i w:val="1"/>
          <w:iCs w:val="1"/>
          <w:color w:val="auto"/>
        </w:rPr>
        <w:t>société anonyme</w:t>
      </w:r>
      <w:r>
        <w:rPr>
          <w:rFonts w:ascii="Arial" w:cs="Arial" w:eastAsia="Arial" w:hAnsi="Arial"/>
          <w:sz w:val="21"/>
          <w:szCs w:val="21"/>
          <w:color w:val="auto"/>
        </w:rPr>
        <w:t xml:space="preserve"> (“</w:t>
      </w:r>
      <w:r>
        <w:rPr>
          <w:rFonts w:ascii="Arial" w:cs="Arial" w:eastAsia="Arial" w:hAnsi="Arial"/>
          <w:sz w:val="21"/>
          <w:szCs w:val="21"/>
          <w:u w:val="single" w:color="auto"/>
          <w:color w:val="auto"/>
        </w:rPr>
        <w:t>Safran S.A.</w:t>
      </w:r>
      <w:r>
        <w:rPr>
          <w:rFonts w:ascii="Arial" w:cs="Arial" w:eastAsia="Arial" w:hAnsi="Arial"/>
          <w:sz w:val="21"/>
          <w:szCs w:val="21"/>
          <w:color w:val="auto"/>
        </w:rPr>
        <w: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22"/>
          <w:szCs w:val="22"/>
          <w:u w:val="single" w:color="auto"/>
          <w:color w:val="auto"/>
        </w:rPr>
        <w:t>WITNESSETH</w:t>
      </w:r>
      <w:r>
        <w:rPr>
          <w:rFonts w:ascii="Arial" w:cs="Arial" w:eastAsia="Arial" w:hAnsi="Arial"/>
          <w:sz w:val="22"/>
          <w:szCs w:val="22"/>
          <w:color w:val="auto"/>
        </w:rPr>
        <w:t>:</w:t>
      </w:r>
    </w:p>
    <w:p>
      <w:pPr>
        <w:spacing w:after="0" w:line="206" w:lineRule="exact"/>
        <w:rPr>
          <w:sz w:val="20"/>
          <w:szCs w:val="20"/>
          <w:color w:val="auto"/>
        </w:rPr>
      </w:pPr>
    </w:p>
    <w:p>
      <w:pPr>
        <w:ind w:right="420" w:firstLine="396"/>
        <w:spacing w:after="0" w:line="238" w:lineRule="auto"/>
        <w:rPr>
          <w:sz w:val="20"/>
          <w:szCs w:val="20"/>
          <w:color w:val="auto"/>
        </w:rPr>
      </w:pPr>
      <w:r>
        <w:rPr>
          <w:rFonts w:ascii="Arial" w:cs="Arial" w:eastAsia="Arial" w:hAnsi="Arial"/>
          <w:sz w:val="22"/>
          <w:szCs w:val="22"/>
          <w:color w:val="auto"/>
        </w:rPr>
        <w:t>WHEREAS, an authorized person executed and caused to be filed with the Secretary of State of the State of Delaware the Certificate of Formation (as amended from time to time, the “</w:t>
      </w:r>
      <w:r>
        <w:rPr>
          <w:rFonts w:ascii="Arial" w:cs="Arial" w:eastAsia="Arial" w:hAnsi="Arial"/>
          <w:sz w:val="22"/>
          <w:szCs w:val="22"/>
          <w:u w:val="single" w:color="auto"/>
          <w:color w:val="auto"/>
        </w:rPr>
        <w:t>Certificate of Formation</w:t>
      </w:r>
      <w:r>
        <w:rPr>
          <w:rFonts w:ascii="Arial" w:cs="Arial" w:eastAsia="Arial" w:hAnsi="Arial"/>
          <w:sz w:val="22"/>
          <w:szCs w:val="22"/>
          <w:color w:val="auto"/>
        </w:rPr>
        <w:t>”) of the Company on May 22, 2013 (the “</w:t>
      </w:r>
      <w:r>
        <w:rPr>
          <w:rFonts w:ascii="Arial" w:cs="Arial" w:eastAsia="Arial" w:hAnsi="Arial"/>
          <w:sz w:val="22"/>
          <w:szCs w:val="22"/>
          <w:u w:val="single" w:color="auto"/>
          <w:color w:val="auto"/>
        </w:rPr>
        <w:t>Formation Date</w:t>
      </w:r>
      <w:r>
        <w:rPr>
          <w:rFonts w:ascii="Arial" w:cs="Arial" w:eastAsia="Arial" w:hAnsi="Arial"/>
          <w:sz w:val="22"/>
          <w:szCs w:val="22"/>
          <w:color w:val="auto"/>
        </w:rPr>
        <w:t>”) in order to form a limited liability company pursuant to the provisions of the Delaware Limited Liability Company Act, as amended from time to time (the “</w:t>
      </w:r>
      <w:r>
        <w:rPr>
          <w:rFonts w:ascii="Arial" w:cs="Arial" w:eastAsia="Arial" w:hAnsi="Arial"/>
          <w:sz w:val="22"/>
          <w:szCs w:val="22"/>
          <w:u w:val="single" w:color="auto"/>
          <w:color w:val="auto"/>
        </w:rPr>
        <w:t>Act</w:t>
      </w:r>
      <w:r>
        <w:rPr>
          <w:rFonts w:ascii="Arial" w:cs="Arial" w:eastAsia="Arial" w:hAnsi="Arial"/>
          <w:sz w:val="22"/>
          <w:szCs w:val="22"/>
          <w:color w:val="auto"/>
        </w:rPr>
        <w:t>”);</w:t>
      </w:r>
    </w:p>
    <w:p>
      <w:pPr>
        <w:spacing w:after="0" w:line="77" w:lineRule="exact"/>
        <w:rPr>
          <w:sz w:val="20"/>
          <w:szCs w:val="20"/>
          <w:color w:val="auto"/>
        </w:rPr>
      </w:pPr>
    </w:p>
    <w:p>
      <w:pPr>
        <w:ind w:right="40" w:firstLine="396"/>
        <w:spacing w:after="0" w:line="251" w:lineRule="auto"/>
        <w:rPr>
          <w:sz w:val="20"/>
          <w:szCs w:val="20"/>
          <w:color w:val="auto"/>
        </w:rPr>
      </w:pPr>
      <w:r>
        <w:rPr>
          <w:rFonts w:ascii="Arial" w:cs="Arial" w:eastAsia="Arial" w:hAnsi="Arial"/>
          <w:sz w:val="22"/>
          <w:szCs w:val="22"/>
          <w:color w:val="auto"/>
        </w:rPr>
        <w:t>WHEREAS, Albany, as the initial member of the Company, entered into the Limited Liability Company Operating Agreement of the Company, dated as of May 22, 2013 (the “</w:t>
      </w:r>
      <w:r>
        <w:rPr>
          <w:rFonts w:ascii="Arial" w:cs="Arial" w:eastAsia="Arial" w:hAnsi="Arial"/>
          <w:sz w:val="22"/>
          <w:szCs w:val="22"/>
          <w:u w:val="single" w:color="auto"/>
          <w:color w:val="auto"/>
        </w:rPr>
        <w:t>Existing Agreement</w:t>
      </w:r>
      <w:r>
        <w:rPr>
          <w:rFonts w:ascii="Arial" w:cs="Arial" w:eastAsia="Arial" w:hAnsi="Arial"/>
          <w:sz w:val="22"/>
          <w:szCs w:val="22"/>
          <w:color w:val="auto"/>
        </w:rPr>
        <w:t>”);</w:t>
      </w:r>
    </w:p>
    <w:p>
      <w:pPr>
        <w:spacing w:after="0" w:line="65" w:lineRule="exact"/>
        <w:rPr>
          <w:sz w:val="20"/>
          <w:szCs w:val="20"/>
          <w:color w:val="auto"/>
        </w:rPr>
      </w:pPr>
    </w:p>
    <w:p>
      <w:pPr>
        <w:ind w:left="400" w:right="800"/>
        <w:spacing w:after="0" w:line="333" w:lineRule="auto"/>
        <w:rPr>
          <w:sz w:val="20"/>
          <w:szCs w:val="20"/>
          <w:color w:val="auto"/>
        </w:rPr>
      </w:pPr>
      <w:r>
        <w:rPr>
          <w:rFonts w:ascii="Arial" w:cs="Arial" w:eastAsia="Arial" w:hAnsi="Arial"/>
          <w:sz w:val="22"/>
          <w:szCs w:val="22"/>
          <w:color w:val="auto"/>
        </w:rPr>
        <w:t>WHEREAS, prior to the date of this Agreement (the “</w:t>
      </w:r>
      <w:r>
        <w:rPr>
          <w:rFonts w:ascii="Arial" w:cs="Arial" w:eastAsia="Arial" w:hAnsi="Arial"/>
          <w:sz w:val="22"/>
          <w:szCs w:val="22"/>
          <w:u w:val="single" w:color="auto"/>
          <w:color w:val="auto"/>
        </w:rPr>
        <w:t>Agreement Date</w:t>
      </w:r>
      <w:r>
        <w:rPr>
          <w:rFonts w:ascii="Arial" w:cs="Arial" w:eastAsia="Arial" w:hAnsi="Arial"/>
          <w:sz w:val="22"/>
          <w:szCs w:val="22"/>
          <w:color w:val="auto"/>
        </w:rPr>
        <w:t>”), Albany owned all of the Membership Units; WHEREAS, the Members desire to cause the Company to engage in the Business;</w:t>
      </w:r>
    </w:p>
    <w:p>
      <w:pPr>
        <w:ind w:firstLine="396"/>
        <w:spacing w:after="0" w:line="287" w:lineRule="auto"/>
        <w:rPr>
          <w:sz w:val="20"/>
          <w:szCs w:val="20"/>
          <w:color w:val="auto"/>
        </w:rPr>
      </w:pPr>
      <w:r>
        <w:rPr>
          <w:rFonts w:ascii="Arial" w:cs="Arial" w:eastAsia="Arial" w:hAnsi="Arial"/>
          <w:sz w:val="19"/>
          <w:szCs w:val="19"/>
          <w:color w:val="auto"/>
        </w:rPr>
        <w:t>WHEREAS, on or promptly following the Agreement Date, and from time to time thereafter, Safran or one of its Affiliates, on the one hand, and the Company or a Subsidiary of the Company, on the other hand, shall enter into such leases or subleases, in such form as the parties thereto hereafter agree, as shall reasonably be necessary for Safran and its Affiliates to make available to the Company and its Subsidiaries such real property and facilities as shall reasonably be necessary for the operation of the Business;</w:t>
      </w:r>
    </w:p>
    <w:p>
      <w:pPr>
        <w:spacing w:after="0" w:line="35" w:lineRule="exact"/>
        <w:rPr>
          <w:sz w:val="20"/>
          <w:szCs w:val="20"/>
          <w:color w:val="auto"/>
        </w:rPr>
      </w:pPr>
    </w:p>
    <w:p>
      <w:pPr>
        <w:ind w:right="160" w:firstLine="396"/>
        <w:spacing w:after="0"/>
        <w:rPr>
          <w:sz w:val="20"/>
          <w:szCs w:val="20"/>
          <w:color w:val="auto"/>
        </w:rPr>
      </w:pPr>
      <w:r>
        <w:rPr>
          <w:rFonts w:ascii="Arial" w:cs="Arial" w:eastAsia="Arial" w:hAnsi="Arial"/>
          <w:sz w:val="22"/>
          <w:szCs w:val="22"/>
          <w:color w:val="auto"/>
        </w:rPr>
        <w:t>WHEREAS, pursuant to and in accordance with the Contribution Agreements, on or prior to the Agreement Date, and effective as of 11:59pm local time on October 31, 2013 (the “</w:t>
      </w:r>
      <w:r>
        <w:rPr>
          <w:rFonts w:ascii="Arial" w:cs="Arial" w:eastAsia="Arial" w:hAnsi="Arial"/>
          <w:sz w:val="22"/>
          <w:szCs w:val="22"/>
          <w:u w:val="single" w:color="auto"/>
          <w:color w:val="auto"/>
        </w:rPr>
        <w:t>Effective Time</w:t>
      </w:r>
      <w:r>
        <w:rPr>
          <w:rFonts w:ascii="Arial" w:cs="Arial" w:eastAsia="Arial" w:hAnsi="Arial"/>
          <w:sz w:val="22"/>
          <w:szCs w:val="22"/>
          <w:color w:val="auto"/>
        </w:rPr>
        <w:t>”), Safran S.A., on behalf of Safran, and Albany have made certain contributions</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922" w:right="259" w:bottom="1440" w:gutter="0" w:footer="0" w:header="0"/>
        </w:sectPr>
      </w:pPr>
    </w:p>
    <w:bookmarkStart w:id="111" w:name="page112"/>
    <w:bookmarkEnd w:id="111"/>
    <w:p>
      <w:pPr>
        <w:spacing w:after="0"/>
        <w:rPr>
          <w:sz w:val="20"/>
          <w:szCs w:val="20"/>
          <w:color w:val="auto"/>
        </w:rPr>
      </w:pPr>
      <w:r>
        <w:rPr>
          <w:rFonts w:ascii="Arial" w:cs="Arial" w:eastAsia="Arial" w:hAnsi="Arial"/>
          <w:sz w:val="22"/>
          <w:szCs w:val="22"/>
          <w:color w:val="auto"/>
        </w:rPr>
        <w:t>to the Company in exchange for Membership Units as set forth herein and in the Contribution Agreements;</w:t>
      </w:r>
    </w:p>
    <w:p>
      <w:pPr>
        <w:spacing w:after="0" w:line="206" w:lineRule="exact"/>
        <w:rPr>
          <w:sz w:val="20"/>
          <w:szCs w:val="20"/>
          <w:color w:val="auto"/>
        </w:rPr>
      </w:pPr>
    </w:p>
    <w:p>
      <w:pPr>
        <w:ind w:right="20" w:firstLine="396"/>
        <w:spacing w:after="0" w:line="258" w:lineRule="auto"/>
        <w:rPr>
          <w:sz w:val="20"/>
          <w:szCs w:val="20"/>
          <w:color w:val="auto"/>
        </w:rPr>
      </w:pPr>
      <w:r>
        <w:rPr>
          <w:rFonts w:ascii="Arial" w:cs="Arial" w:eastAsia="Arial" w:hAnsi="Arial"/>
          <w:sz w:val="21"/>
          <w:szCs w:val="21"/>
          <w:color w:val="auto"/>
        </w:rPr>
        <w:t xml:space="preserve">WHEREAS, pursuant to and in accordance with the Albany Contribution Agreement, Albany has contributed 100% of the equity interests in Albany Engineered Composites SAS, a </w:t>
      </w:r>
      <w:r>
        <w:rPr>
          <w:rFonts w:ascii="Arial" w:cs="Arial" w:eastAsia="Arial" w:hAnsi="Arial"/>
          <w:sz w:val="21"/>
          <w:szCs w:val="21"/>
          <w:i w:val="1"/>
          <w:iCs w:val="1"/>
          <w:color w:val="auto"/>
        </w:rPr>
        <w:t>société par actions simplifiée</w:t>
      </w:r>
      <w:r>
        <w:rPr>
          <w:rFonts w:ascii="Arial" w:cs="Arial" w:eastAsia="Arial" w:hAnsi="Arial"/>
          <w:sz w:val="21"/>
          <w:szCs w:val="21"/>
          <w:color w:val="auto"/>
        </w:rPr>
        <w:t xml:space="preserve"> organized in France (“</w:t>
      </w:r>
      <w:r>
        <w:rPr>
          <w:rFonts w:ascii="Arial" w:cs="Arial" w:eastAsia="Arial" w:hAnsi="Arial"/>
          <w:sz w:val="21"/>
          <w:szCs w:val="21"/>
          <w:u w:val="single" w:color="auto"/>
          <w:color w:val="auto"/>
        </w:rPr>
        <w:t>ASC France</w:t>
      </w:r>
      <w:r>
        <w:rPr>
          <w:rFonts w:ascii="Arial" w:cs="Arial" w:eastAsia="Arial" w:hAnsi="Arial"/>
          <w:sz w:val="21"/>
          <w:szCs w:val="21"/>
          <w:color w:val="auto"/>
        </w:rPr>
        <w:t>”), to the Company, and ASC France has become a direct wholly owned subsidiary of the Company;</w:t>
      </w:r>
    </w:p>
    <w:p>
      <w:pPr>
        <w:spacing w:after="0" w:line="59" w:lineRule="exact"/>
        <w:rPr>
          <w:sz w:val="20"/>
          <w:szCs w:val="20"/>
          <w:color w:val="auto"/>
        </w:rPr>
      </w:pPr>
    </w:p>
    <w:p>
      <w:pPr>
        <w:ind w:right="320" w:firstLine="396"/>
        <w:spacing w:after="0" w:line="326" w:lineRule="auto"/>
        <w:rPr>
          <w:sz w:val="20"/>
          <w:szCs w:val="20"/>
          <w:color w:val="auto"/>
        </w:rPr>
      </w:pPr>
      <w:r>
        <w:rPr>
          <w:rFonts w:ascii="Arial" w:cs="Arial" w:eastAsia="Arial" w:hAnsi="Arial"/>
          <w:sz w:val="19"/>
          <w:szCs w:val="19"/>
          <w:color w:val="auto"/>
        </w:rPr>
        <w:t>WHEREAS, pursuant to and in accordance with the Albany Contribution Agreement, Albany has assigned to the Company, and the Company has assumed and accepted, all of Albany’s rights and obligations under the Long Term Supply Agreement;</w:t>
      </w:r>
    </w:p>
    <w:p>
      <w:pPr>
        <w:spacing w:after="0" w:line="1" w:lineRule="exact"/>
        <w:rPr>
          <w:sz w:val="20"/>
          <w:szCs w:val="20"/>
          <w:color w:val="auto"/>
        </w:rPr>
      </w:pPr>
    </w:p>
    <w:p>
      <w:pPr>
        <w:ind w:right="300" w:firstLine="396"/>
        <w:spacing w:after="0" w:line="238" w:lineRule="auto"/>
        <w:rPr>
          <w:sz w:val="20"/>
          <w:szCs w:val="20"/>
          <w:color w:val="auto"/>
        </w:rPr>
      </w:pPr>
      <w:r>
        <w:rPr>
          <w:rFonts w:ascii="Arial" w:cs="Arial" w:eastAsia="Arial" w:hAnsi="Arial"/>
          <w:sz w:val="22"/>
          <w:szCs w:val="22"/>
          <w:color w:val="auto"/>
        </w:rPr>
        <w:t>WHEREAS, on or prior to the Agreement Date, and effective as of the Effective Time, Albany and Safran have entered into the Intellectual Property Agreements with the Company that provide for their respective rights and obligations regarding the Albany Technology, the Safran Technology and the Company IP that shall govern during and shall survive the term of this Agreement;</w:t>
      </w:r>
    </w:p>
    <w:p>
      <w:pPr>
        <w:spacing w:after="0" w:line="77" w:lineRule="exact"/>
        <w:rPr>
          <w:sz w:val="20"/>
          <w:szCs w:val="20"/>
          <w:color w:val="auto"/>
        </w:rPr>
      </w:pPr>
    </w:p>
    <w:p>
      <w:pPr>
        <w:ind w:right="100" w:firstLine="396"/>
        <w:spacing w:after="0"/>
        <w:rPr>
          <w:sz w:val="20"/>
          <w:szCs w:val="20"/>
          <w:color w:val="auto"/>
        </w:rPr>
      </w:pPr>
      <w:r>
        <w:rPr>
          <w:rFonts w:ascii="Arial" w:cs="Arial" w:eastAsia="Arial" w:hAnsi="Arial"/>
          <w:sz w:val="22"/>
          <w:szCs w:val="22"/>
          <w:color w:val="auto"/>
        </w:rPr>
        <w:t>WHEREAS, on or prior to the Agreement Date, and effective as of the Effective Time, Albany and the Company have entered into the Services Agreement, pursuant to which Albany and its Affiliates, on the one hand, and the Company and its Subsidiaries, on the other hand, shall provide certain services to each other;</w:t>
      </w:r>
    </w:p>
    <w:p>
      <w:pPr>
        <w:spacing w:after="0" w:line="78" w:lineRule="exact"/>
        <w:rPr>
          <w:sz w:val="20"/>
          <w:szCs w:val="20"/>
          <w:color w:val="auto"/>
        </w:rPr>
      </w:pPr>
    </w:p>
    <w:p>
      <w:pPr>
        <w:ind w:right="60" w:firstLine="396"/>
        <w:spacing w:after="0" w:line="238" w:lineRule="auto"/>
        <w:rPr>
          <w:sz w:val="20"/>
          <w:szCs w:val="20"/>
          <w:color w:val="auto"/>
        </w:rPr>
      </w:pPr>
      <w:r>
        <w:rPr>
          <w:rFonts w:ascii="Arial" w:cs="Arial" w:eastAsia="Arial" w:hAnsi="Arial"/>
          <w:sz w:val="22"/>
          <w:szCs w:val="22"/>
          <w:color w:val="auto"/>
        </w:rPr>
        <w:t>WHEREAS, the Company desires to manufacture for and supply to Safran S.A. and its Affiliates, and Safran S.A. and its Affiliates desire to procure from the Company, Advanced Composite 3D Parts, in each case pursuant to and in accordance with one or more present or future Industrial and Technical Agreements, Long Term Supply Agreements, or other agreements or arrangements; and</w:t>
      </w:r>
    </w:p>
    <w:p>
      <w:pPr>
        <w:spacing w:after="0" w:line="77" w:lineRule="exact"/>
        <w:rPr>
          <w:sz w:val="20"/>
          <w:szCs w:val="20"/>
          <w:color w:val="auto"/>
        </w:rPr>
      </w:pPr>
    </w:p>
    <w:p>
      <w:pPr>
        <w:jc w:val="both"/>
        <w:ind w:right="220" w:firstLine="396"/>
        <w:spacing w:after="0" w:line="297" w:lineRule="auto"/>
        <w:rPr>
          <w:sz w:val="20"/>
          <w:szCs w:val="20"/>
          <w:color w:val="auto"/>
        </w:rPr>
      </w:pPr>
      <w:r>
        <w:rPr>
          <w:rFonts w:ascii="Arial" w:cs="Arial" w:eastAsia="Arial" w:hAnsi="Arial"/>
          <w:sz w:val="19"/>
          <w:szCs w:val="19"/>
          <w:color w:val="auto"/>
        </w:rPr>
        <w:t>WHEREAS, the Member who is party to the Existing Agreement desires to amend and restate the Existing Agreement in its entirety in order to, among other things, (i) admit Safran as a new Member; (ii) provide for the management of the Company; and (iii) set forth the respective rights and obligations of Members of the Company generally.</w:t>
      </w:r>
    </w:p>
    <w:p>
      <w:pPr>
        <w:spacing w:after="0" w:line="26" w:lineRule="exact"/>
        <w:rPr>
          <w:sz w:val="20"/>
          <w:szCs w:val="20"/>
          <w:color w:val="auto"/>
        </w:rPr>
      </w:pPr>
    </w:p>
    <w:p>
      <w:pPr>
        <w:ind w:right="60" w:firstLine="396"/>
        <w:spacing w:after="0" w:line="328" w:lineRule="auto"/>
        <w:rPr>
          <w:sz w:val="20"/>
          <w:szCs w:val="20"/>
          <w:color w:val="auto"/>
        </w:rPr>
      </w:pPr>
      <w:r>
        <w:rPr>
          <w:rFonts w:ascii="Arial" w:cs="Arial" w:eastAsia="Arial" w:hAnsi="Arial"/>
          <w:sz w:val="19"/>
          <w:szCs w:val="19"/>
          <w:color w:val="auto"/>
        </w:rPr>
        <w:t>NOW, THEREFORE, in consideration of the mutual promises of the Parties, and of other good and valuable consideration, the receipt and sufficiency of which are hereby acknowledged, it is mutually agreed by and between the Parties as follows: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I</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DEFINITIONS</w:t>
      </w:r>
    </w:p>
    <w:p>
      <w:pPr>
        <w:spacing w:after="0" w:line="206" w:lineRule="exact"/>
        <w:rPr>
          <w:sz w:val="20"/>
          <w:szCs w:val="20"/>
          <w:color w:val="auto"/>
        </w:rPr>
      </w:pPr>
    </w:p>
    <w:p>
      <w:pPr>
        <w:ind w:left="400"/>
        <w:spacing w:after="0"/>
        <w:rPr>
          <w:sz w:val="20"/>
          <w:szCs w:val="20"/>
          <w:color w:val="auto"/>
        </w:rPr>
      </w:pPr>
      <w:r>
        <w:rPr>
          <w:rFonts w:ascii="Arial" w:cs="Arial" w:eastAsia="Arial" w:hAnsi="Arial"/>
          <w:sz w:val="22"/>
          <w:szCs w:val="22"/>
          <w:color w:val="auto"/>
        </w:rPr>
        <w:t xml:space="preserve">Section 1.01. </w:t>
      </w:r>
      <w:r>
        <w:rPr>
          <w:rFonts w:ascii="Arial" w:cs="Arial" w:eastAsia="Arial" w:hAnsi="Arial"/>
          <w:sz w:val="22"/>
          <w:szCs w:val="22"/>
          <w:u w:val="single" w:color="auto"/>
          <w:color w:val="auto"/>
        </w:rPr>
        <w:t>Certain Definitions</w:t>
      </w:r>
      <w:r>
        <w:rPr>
          <w:rFonts w:ascii="Arial" w:cs="Arial" w:eastAsia="Arial" w:hAnsi="Arial"/>
          <w:sz w:val="22"/>
          <w:szCs w:val="22"/>
          <w:color w:val="auto"/>
        </w:rPr>
        <w:t>. As used in this Agreement, the following terms have the following meanings:</w:t>
      </w:r>
    </w:p>
    <w:p>
      <w:pPr>
        <w:spacing w:after="0" w:line="98" w:lineRule="exact"/>
        <w:rPr>
          <w:sz w:val="20"/>
          <w:szCs w:val="20"/>
          <w:color w:val="auto"/>
        </w:rPr>
      </w:pPr>
    </w:p>
    <w:p>
      <w:pPr>
        <w:ind w:left="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Act</w:t>
      </w:r>
      <w:r>
        <w:rPr>
          <w:rFonts w:ascii="Arial" w:cs="Arial" w:eastAsia="Arial" w:hAnsi="Arial"/>
          <w:sz w:val="22"/>
          <w:szCs w:val="22"/>
          <w:color w:val="auto"/>
        </w:rPr>
        <w:t>” has the meaning set forth in the recitals.</w:t>
      </w:r>
    </w:p>
    <w:p>
      <w:pPr>
        <w:spacing w:after="0" w:line="98" w:lineRule="exact"/>
        <w:rPr>
          <w:sz w:val="20"/>
          <w:szCs w:val="20"/>
          <w:color w:val="auto"/>
        </w:rPr>
      </w:pPr>
    </w:p>
    <w:p>
      <w:pPr>
        <w:ind w:firstLine="396"/>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Additional Capital Contribution</w:t>
      </w:r>
      <w:r>
        <w:rPr>
          <w:rFonts w:ascii="Arial" w:cs="Arial" w:eastAsia="Arial" w:hAnsi="Arial"/>
          <w:sz w:val="22"/>
          <w:szCs w:val="22"/>
          <w:color w:val="auto"/>
        </w:rPr>
        <w:t>” means any Capital Contribution made by any Member on or after the Agreement Date, other than the Initial Capital Contributions.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112" w:name="page113"/>
    <w:bookmarkEnd w:id="112"/>
    <w:p>
      <w:pPr>
        <w:ind w:left="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Advance Amount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4.04</w:t>
      </w:r>
      <w:r>
        <w:rPr>
          <w:rFonts w:ascii="Arial" w:cs="Arial" w:eastAsia="Arial" w:hAnsi="Arial"/>
          <w:sz w:val="22"/>
          <w:szCs w:val="22"/>
          <w:color w:val="auto"/>
        </w:rPr>
        <w:t>.</w:t>
      </w:r>
    </w:p>
    <w:p>
      <w:pPr>
        <w:spacing w:after="0" w:line="98" w:lineRule="exact"/>
        <w:rPr>
          <w:sz w:val="20"/>
          <w:szCs w:val="20"/>
          <w:color w:val="auto"/>
        </w:rPr>
      </w:pPr>
    </w:p>
    <w:p>
      <w:pPr>
        <w:ind w:left="4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Advanced Composite 3D Parts</w:t>
      </w:r>
      <w:r>
        <w:rPr>
          <w:rFonts w:ascii="Arial" w:cs="Arial" w:eastAsia="Arial" w:hAnsi="Arial"/>
          <w:sz w:val="21"/>
          <w:szCs w:val="21"/>
          <w:color w:val="auto"/>
        </w:rPr>
        <w:t>” means 3D woven preforms and resin-injected parts made from 3D woven preforms.</w:t>
      </w:r>
    </w:p>
    <w:p>
      <w:pPr>
        <w:spacing w:after="0" w:line="110" w:lineRule="exact"/>
        <w:rPr>
          <w:sz w:val="20"/>
          <w:szCs w:val="20"/>
          <w:color w:val="auto"/>
        </w:rPr>
      </w:pPr>
    </w:p>
    <w:p>
      <w:pPr>
        <w:ind w:right="20" w:firstLine="396"/>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xml:space="preserve">” means, with respect to any Person, any other Person that directly or indirectly Controls, is Controlled by, or is under common Control with, such Person; </w:t>
      </w:r>
      <w:r>
        <w:rPr>
          <w:rFonts w:ascii="Arial" w:cs="Arial" w:eastAsia="Arial" w:hAnsi="Arial"/>
          <w:sz w:val="19"/>
          <w:szCs w:val="19"/>
          <w:u w:val="single" w:color="auto"/>
          <w:color w:val="auto"/>
        </w:rPr>
        <w:t>provided</w:t>
      </w:r>
      <w:r>
        <w:rPr>
          <w:rFonts w:ascii="Arial" w:cs="Arial" w:eastAsia="Arial" w:hAnsi="Arial"/>
          <w:sz w:val="19"/>
          <w:szCs w:val="19"/>
          <w:color w:val="auto"/>
        </w:rPr>
        <w:t>, that (a) no Member or any of its Affiliates (excluding the Company and its Subsidiaries) shall be deemed an Affiliate of the Company or any of its Subsidiaries, and (b) neither the Company nor any of its Subsidiaries shall be deemed an Affiliate of any Member or any of its Affiliates (excluding the Company and its Subsidiaries).</w:t>
      </w:r>
    </w:p>
    <w:p>
      <w:pPr>
        <w:spacing w:after="0" w:line="35" w:lineRule="exact"/>
        <w:rPr>
          <w:sz w:val="20"/>
          <w:szCs w:val="20"/>
          <w:color w:val="auto"/>
        </w:rPr>
      </w:pPr>
    </w:p>
    <w:p>
      <w:pPr>
        <w:ind w:left="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 Transferee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7.03(a)</w:t>
      </w:r>
      <w:r>
        <w:rPr>
          <w:rFonts w:ascii="Arial" w:cs="Arial" w:eastAsia="Arial" w:hAnsi="Arial"/>
          <w:sz w:val="22"/>
          <w:szCs w:val="22"/>
          <w:color w:val="auto"/>
        </w:rPr>
        <w:t>.</w:t>
      </w:r>
    </w:p>
    <w:p>
      <w:pPr>
        <w:spacing w:after="0" w:line="98" w:lineRule="exact"/>
        <w:rPr>
          <w:sz w:val="20"/>
          <w:szCs w:val="20"/>
          <w:color w:val="auto"/>
        </w:rPr>
      </w:pPr>
    </w:p>
    <w:p>
      <w:pPr>
        <w:ind w:firstLine="396"/>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Agreed Space</w:t>
      </w:r>
      <w:r>
        <w:rPr>
          <w:rFonts w:ascii="Arial" w:cs="Arial" w:eastAsia="Arial" w:hAnsi="Arial"/>
          <w:sz w:val="22"/>
          <w:szCs w:val="22"/>
          <w:color w:val="auto"/>
        </w:rPr>
        <w:t xml:space="preserve">” means Advanced Composite 3D Parts for use in the Core Perimeter and the Extended Perimeter, but excluding any military products of Safran S.A. or any of its Affiliates that may not be sourced from the Company pursuant to applicable Law; </w:t>
      </w:r>
      <w:r>
        <w:rPr>
          <w:rFonts w:ascii="Arial" w:cs="Arial" w:eastAsia="Arial" w:hAnsi="Arial"/>
          <w:sz w:val="22"/>
          <w:szCs w:val="22"/>
          <w:u w:val="single" w:color="auto"/>
          <w:color w:val="auto"/>
        </w:rPr>
        <w:t>provided</w:t>
      </w:r>
      <w:r>
        <w:rPr>
          <w:rFonts w:ascii="Arial" w:cs="Arial" w:eastAsia="Arial" w:hAnsi="Arial"/>
          <w:sz w:val="22"/>
          <w:szCs w:val="22"/>
          <w:color w:val="auto"/>
        </w:rPr>
        <w:t>, that the Parties shall use commercially reasonable efforts to obtain from the applicable Governmental Authority any consent, approval, order, permit, license or authorization required by applicable Law to allow such products to be sourced from the Company.</w:t>
      </w:r>
    </w:p>
    <w:p>
      <w:pPr>
        <w:spacing w:after="0" w:line="80" w:lineRule="exact"/>
        <w:rPr>
          <w:sz w:val="20"/>
          <w:szCs w:val="20"/>
          <w:color w:val="auto"/>
        </w:rPr>
      </w:pPr>
    </w:p>
    <w:p>
      <w:pPr>
        <w:ind w:left="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has the meaning set forth in the preamble.</w:t>
      </w:r>
    </w:p>
    <w:p>
      <w:pPr>
        <w:spacing w:after="0" w:line="98" w:lineRule="exact"/>
        <w:rPr>
          <w:sz w:val="20"/>
          <w:szCs w:val="20"/>
          <w:color w:val="auto"/>
        </w:rPr>
      </w:pPr>
    </w:p>
    <w:p>
      <w:pPr>
        <w:ind w:left="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 Date</w:t>
      </w:r>
      <w:r>
        <w:rPr>
          <w:rFonts w:ascii="Arial" w:cs="Arial" w:eastAsia="Arial" w:hAnsi="Arial"/>
          <w:sz w:val="22"/>
          <w:szCs w:val="22"/>
          <w:color w:val="auto"/>
        </w:rPr>
        <w:t>” has the meaning set forth in the recitals.</w:t>
      </w:r>
    </w:p>
    <w:p>
      <w:pPr>
        <w:spacing w:after="0" w:line="98" w:lineRule="exact"/>
        <w:rPr>
          <w:sz w:val="20"/>
          <w:szCs w:val="20"/>
          <w:color w:val="auto"/>
        </w:rPr>
      </w:pPr>
    </w:p>
    <w:p>
      <w:pPr>
        <w:ind w:left="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Albany</w:t>
      </w:r>
      <w:r>
        <w:rPr>
          <w:rFonts w:ascii="Arial" w:cs="Arial" w:eastAsia="Arial" w:hAnsi="Arial"/>
          <w:sz w:val="22"/>
          <w:szCs w:val="22"/>
          <w:color w:val="auto"/>
        </w:rPr>
        <w:t>” has the meaning set forth in the preamble.</w:t>
      </w:r>
    </w:p>
    <w:p>
      <w:pPr>
        <w:spacing w:after="0" w:line="98" w:lineRule="exact"/>
        <w:rPr>
          <w:sz w:val="20"/>
          <w:szCs w:val="20"/>
          <w:color w:val="auto"/>
        </w:rPr>
      </w:pPr>
    </w:p>
    <w:p>
      <w:pPr>
        <w:ind w:right="200" w:firstLine="396"/>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Albany Contribution Agreement</w:t>
      </w:r>
      <w:r>
        <w:rPr>
          <w:rFonts w:ascii="Arial" w:cs="Arial" w:eastAsia="Arial" w:hAnsi="Arial"/>
          <w:sz w:val="22"/>
          <w:szCs w:val="22"/>
          <w:color w:val="auto"/>
        </w:rPr>
        <w:t>” means that certain Contribution Agreement, of even date herewith, between the Company and Albany.</w:t>
      </w:r>
    </w:p>
    <w:p>
      <w:pPr>
        <w:spacing w:after="0" w:line="65" w:lineRule="exact"/>
        <w:rPr>
          <w:sz w:val="20"/>
          <w:szCs w:val="20"/>
          <w:color w:val="auto"/>
        </w:rPr>
      </w:pPr>
    </w:p>
    <w:p>
      <w:pPr>
        <w:ind w:left="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Albany Facility</w:t>
      </w:r>
      <w:r>
        <w:rPr>
          <w:rFonts w:ascii="Arial" w:cs="Arial" w:eastAsia="Arial" w:hAnsi="Arial"/>
          <w:sz w:val="22"/>
          <w:szCs w:val="22"/>
          <w:color w:val="auto"/>
        </w:rPr>
        <w:t>” has the meaning set forth in the definition of Preferred Return.</w:t>
      </w:r>
    </w:p>
    <w:p>
      <w:pPr>
        <w:spacing w:after="0" w:line="98" w:lineRule="exact"/>
        <w:rPr>
          <w:sz w:val="20"/>
          <w:szCs w:val="20"/>
          <w:color w:val="auto"/>
        </w:rPr>
      </w:pPr>
    </w:p>
    <w:p>
      <w:pPr>
        <w:ind w:left="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Albany International</w:t>
      </w:r>
      <w:r>
        <w:rPr>
          <w:rFonts w:ascii="Arial" w:cs="Arial" w:eastAsia="Arial" w:hAnsi="Arial"/>
          <w:sz w:val="22"/>
          <w:szCs w:val="22"/>
          <w:color w:val="auto"/>
        </w:rPr>
        <w:t>” has the meaning set forth in the preamble.</w:t>
      </w:r>
    </w:p>
    <w:p>
      <w:pPr>
        <w:spacing w:after="0" w:line="98" w:lineRule="exact"/>
        <w:rPr>
          <w:sz w:val="20"/>
          <w:szCs w:val="20"/>
          <w:color w:val="auto"/>
        </w:rPr>
      </w:pPr>
    </w:p>
    <w:p>
      <w:pPr>
        <w:ind w:left="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Albany International Board</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7.05(a)</w:t>
      </w:r>
      <w:r>
        <w:rPr>
          <w:rFonts w:ascii="Arial" w:cs="Arial" w:eastAsia="Arial" w:hAnsi="Arial"/>
          <w:sz w:val="22"/>
          <w:szCs w:val="22"/>
          <w:color w:val="auto"/>
        </w:rPr>
        <w:t>.</w:t>
      </w:r>
    </w:p>
    <w:p>
      <w:pPr>
        <w:spacing w:after="0" w:line="98" w:lineRule="exact"/>
        <w:rPr>
          <w:sz w:val="20"/>
          <w:szCs w:val="20"/>
          <w:color w:val="auto"/>
        </w:rPr>
      </w:pPr>
    </w:p>
    <w:p>
      <w:pPr>
        <w:ind w:right="140" w:firstLine="396"/>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Albany IPLA</w:t>
      </w:r>
      <w:r>
        <w:rPr>
          <w:rFonts w:ascii="Arial" w:cs="Arial" w:eastAsia="Arial" w:hAnsi="Arial"/>
          <w:sz w:val="22"/>
          <w:szCs w:val="22"/>
          <w:color w:val="auto"/>
        </w:rPr>
        <w:t>” means that certain Albany Intellectual Property License Agreement, of even date herewith, by and among the Company and Albany.</w:t>
      </w:r>
    </w:p>
    <w:p>
      <w:pPr>
        <w:spacing w:after="0" w:line="65" w:lineRule="exact"/>
        <w:rPr>
          <w:sz w:val="20"/>
          <w:szCs w:val="20"/>
          <w:color w:val="auto"/>
        </w:rPr>
      </w:pPr>
    </w:p>
    <w:p>
      <w:pPr>
        <w:ind w:left="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Albany Manager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5.01(b)</w:t>
      </w:r>
      <w:r>
        <w:rPr>
          <w:rFonts w:ascii="Arial" w:cs="Arial" w:eastAsia="Arial" w:hAnsi="Arial"/>
          <w:sz w:val="22"/>
          <w:szCs w:val="22"/>
          <w:color w:val="auto"/>
        </w:rPr>
        <w:t>.</w:t>
      </w:r>
    </w:p>
    <w:p>
      <w:pPr>
        <w:spacing w:after="0" w:line="98" w:lineRule="exact"/>
        <w:rPr>
          <w:sz w:val="20"/>
          <w:szCs w:val="20"/>
          <w:color w:val="auto"/>
        </w:rPr>
      </w:pPr>
    </w:p>
    <w:p>
      <w:pPr>
        <w:ind w:left="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Albany Officers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6.02(a)</w:t>
      </w:r>
      <w:r>
        <w:rPr>
          <w:rFonts w:ascii="Arial" w:cs="Arial" w:eastAsia="Arial" w:hAnsi="Arial"/>
          <w:sz w:val="22"/>
          <w:szCs w:val="22"/>
          <w:color w:val="auto"/>
        </w:rPr>
        <w:t>.</w:t>
      </w:r>
    </w:p>
    <w:p>
      <w:pPr>
        <w:spacing w:after="0" w:line="98" w:lineRule="exact"/>
        <w:rPr>
          <w:sz w:val="20"/>
          <w:szCs w:val="20"/>
          <w:color w:val="auto"/>
        </w:rPr>
      </w:pPr>
    </w:p>
    <w:p>
      <w:pPr>
        <w:ind w:left="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Albany Permitted Contract</w:t>
      </w:r>
      <w:r>
        <w:rPr>
          <w:rFonts w:ascii="Arial" w:cs="Arial" w:eastAsia="Arial" w:hAnsi="Arial"/>
          <w:sz w:val="22"/>
          <w:szCs w:val="22"/>
          <w:color w:val="auto"/>
        </w:rPr>
        <w:t>” has the meaning set forth in the Albany IPLA.</w:t>
      </w:r>
    </w:p>
    <w:p>
      <w:pPr>
        <w:spacing w:after="0" w:line="98" w:lineRule="exact"/>
        <w:rPr>
          <w:sz w:val="20"/>
          <w:szCs w:val="20"/>
          <w:color w:val="auto"/>
        </w:rPr>
      </w:pPr>
    </w:p>
    <w:p>
      <w:pPr>
        <w:ind w:left="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Albany Software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7.05(d)</w:t>
      </w:r>
      <w:r>
        <w:rPr>
          <w:rFonts w:ascii="Arial" w:cs="Arial" w:eastAsia="Arial" w:hAnsi="Arial"/>
          <w:sz w:val="22"/>
          <w:szCs w:val="22"/>
          <w:color w:val="auto"/>
        </w:rPr>
        <w:t>.</w:t>
      </w:r>
    </w:p>
    <w:p>
      <w:pPr>
        <w:spacing w:after="0" w:line="98" w:lineRule="exact"/>
        <w:rPr>
          <w:sz w:val="20"/>
          <w:szCs w:val="20"/>
          <w:color w:val="auto"/>
        </w:rPr>
      </w:pPr>
    </w:p>
    <w:p>
      <w:pPr>
        <w:ind w:left="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Albany Technology</w:t>
      </w:r>
      <w:r>
        <w:rPr>
          <w:rFonts w:ascii="Arial" w:cs="Arial" w:eastAsia="Arial" w:hAnsi="Arial"/>
          <w:sz w:val="22"/>
          <w:szCs w:val="22"/>
          <w:color w:val="auto"/>
        </w:rPr>
        <w:t>” has the meaning set forth in the Albany IPLA.</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712" w:right="239" w:bottom="1440" w:gutter="0" w:footer="0" w:header="0"/>
        </w:sectPr>
      </w:pPr>
    </w:p>
    <w:bookmarkStart w:id="113" w:name="page114"/>
    <w:bookmarkEnd w:id="113"/>
    <w:p>
      <w:pPr>
        <w:ind w:left="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Annual Business Plan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5.09(b)</w:t>
      </w:r>
      <w:r>
        <w:rPr>
          <w:rFonts w:ascii="Arial" w:cs="Arial" w:eastAsia="Arial" w:hAnsi="Arial"/>
          <w:sz w:val="22"/>
          <w:szCs w:val="22"/>
          <w:color w:val="auto"/>
        </w:rPr>
        <w:t>.</w:t>
      </w:r>
    </w:p>
    <w:p>
      <w:pPr>
        <w:spacing w:after="0" w:line="98" w:lineRule="exact"/>
        <w:rPr>
          <w:sz w:val="20"/>
          <w:szCs w:val="20"/>
          <w:color w:val="auto"/>
        </w:rPr>
      </w:pPr>
    </w:p>
    <w:p>
      <w:pPr>
        <w:ind w:left="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ASC France</w:t>
      </w:r>
      <w:r>
        <w:rPr>
          <w:rFonts w:ascii="Arial" w:cs="Arial" w:eastAsia="Arial" w:hAnsi="Arial"/>
          <w:sz w:val="22"/>
          <w:szCs w:val="22"/>
          <w:color w:val="auto"/>
        </w:rPr>
        <w:t>” has the meaning set forth in the recitals.</w:t>
      </w:r>
    </w:p>
    <w:p>
      <w:pPr>
        <w:spacing w:after="0" w:line="98" w:lineRule="exact"/>
        <w:rPr>
          <w:sz w:val="20"/>
          <w:szCs w:val="20"/>
          <w:color w:val="auto"/>
        </w:rPr>
      </w:pPr>
    </w:p>
    <w:p>
      <w:pPr>
        <w:ind w:left="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Bankruptcy</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10.01(c)</w:t>
      </w:r>
      <w:r>
        <w:rPr>
          <w:rFonts w:ascii="Arial" w:cs="Arial" w:eastAsia="Arial" w:hAnsi="Arial"/>
          <w:sz w:val="22"/>
          <w:szCs w:val="22"/>
          <w:color w:val="auto"/>
        </w:rPr>
        <w:t>.</w:t>
      </w:r>
    </w:p>
    <w:p>
      <w:pPr>
        <w:spacing w:after="0" w:line="98" w:lineRule="exact"/>
        <w:rPr>
          <w:sz w:val="20"/>
          <w:szCs w:val="20"/>
          <w:color w:val="auto"/>
        </w:rPr>
      </w:pPr>
    </w:p>
    <w:p>
      <w:pPr>
        <w:ind w:left="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5.01(a)</w:t>
      </w:r>
      <w:r>
        <w:rPr>
          <w:rFonts w:ascii="Arial" w:cs="Arial" w:eastAsia="Arial" w:hAnsi="Arial"/>
          <w:sz w:val="22"/>
          <w:szCs w:val="22"/>
          <w:color w:val="auto"/>
        </w:rPr>
        <w:t>.</w:t>
      </w:r>
    </w:p>
    <w:p>
      <w:pPr>
        <w:spacing w:after="0" w:line="98" w:lineRule="exact"/>
        <w:rPr>
          <w:sz w:val="20"/>
          <w:szCs w:val="20"/>
          <w:color w:val="auto"/>
        </w:rPr>
      </w:pPr>
    </w:p>
    <w:p>
      <w:pPr>
        <w:ind w:firstLine="396"/>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Business</w:t>
      </w:r>
      <w:r>
        <w:rPr>
          <w:rFonts w:ascii="Arial" w:cs="Arial" w:eastAsia="Arial" w:hAnsi="Arial"/>
          <w:sz w:val="19"/>
          <w:szCs w:val="19"/>
          <w:color w:val="auto"/>
        </w:rPr>
        <w:t>” means the design, development and manufacturing of Advanced Composite 3D Parts within the Agreed Space. For the avoidance of doubt, the Business does not include (a) any application derived from composite technologies other than 3D-weaving for Advanced Composite 3D Parts or (b) any 3D-woven applications outside of the Agreed Space.</w:t>
      </w:r>
    </w:p>
    <w:p>
      <w:pPr>
        <w:spacing w:after="0" w:line="26" w:lineRule="exact"/>
        <w:rPr>
          <w:sz w:val="20"/>
          <w:szCs w:val="20"/>
          <w:color w:val="auto"/>
        </w:rPr>
      </w:pPr>
    </w:p>
    <w:p>
      <w:pPr>
        <w:ind w:right="420" w:firstLine="396"/>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means any day of the year on which national banking institutions in New York, New York are open to the public for conducting business and are not required or authorized to close.</w:t>
      </w:r>
    </w:p>
    <w:p>
      <w:pPr>
        <w:spacing w:after="0" w:line="65" w:lineRule="exact"/>
        <w:rPr>
          <w:sz w:val="20"/>
          <w:szCs w:val="20"/>
          <w:color w:val="auto"/>
        </w:rPr>
      </w:pPr>
    </w:p>
    <w:p>
      <w:pPr>
        <w:ind w:right="380" w:firstLine="396"/>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Calculation Date</w:t>
      </w:r>
      <w:r>
        <w:rPr>
          <w:rFonts w:ascii="Arial" w:cs="Arial" w:eastAsia="Arial" w:hAnsi="Arial"/>
          <w:sz w:val="22"/>
          <w:szCs w:val="22"/>
          <w:color w:val="auto"/>
        </w:rPr>
        <w:t>” means, in respect of any allocation or distribution (including upon liquidation), the date on which such amounts are allocated or distributed, as the case may be, by the Company.</w:t>
      </w:r>
    </w:p>
    <w:p>
      <w:pPr>
        <w:spacing w:after="0" w:line="65" w:lineRule="exact"/>
        <w:rPr>
          <w:sz w:val="20"/>
          <w:szCs w:val="20"/>
          <w:color w:val="auto"/>
        </w:rPr>
      </w:pPr>
    </w:p>
    <w:p>
      <w:pPr>
        <w:ind w:left="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Capital Account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3.06(a)</w:t>
      </w:r>
      <w:r>
        <w:rPr>
          <w:rFonts w:ascii="Arial" w:cs="Arial" w:eastAsia="Arial" w:hAnsi="Arial"/>
          <w:sz w:val="22"/>
          <w:szCs w:val="22"/>
          <w:color w:val="auto"/>
        </w:rPr>
        <w:t>.</w:t>
      </w:r>
    </w:p>
    <w:p>
      <w:pPr>
        <w:spacing w:after="0" w:line="98" w:lineRule="exact"/>
        <w:rPr>
          <w:sz w:val="20"/>
          <w:szCs w:val="20"/>
          <w:color w:val="auto"/>
        </w:rPr>
      </w:pPr>
    </w:p>
    <w:p>
      <w:pPr>
        <w:ind w:right="460" w:firstLine="396"/>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Capital Contribution</w:t>
      </w:r>
      <w:r>
        <w:rPr>
          <w:rFonts w:ascii="Arial" w:cs="Arial" w:eastAsia="Arial" w:hAnsi="Arial"/>
          <w:sz w:val="22"/>
          <w:szCs w:val="22"/>
          <w:color w:val="auto"/>
        </w:rPr>
        <w:t>” means, with respect to any Member, an amount of cash or other consideration contributed by such Member to the Company.</w:t>
      </w:r>
    </w:p>
    <w:p>
      <w:pPr>
        <w:spacing w:after="0" w:line="65" w:lineRule="exact"/>
        <w:rPr>
          <w:sz w:val="20"/>
          <w:szCs w:val="20"/>
          <w:color w:val="auto"/>
        </w:rPr>
      </w:pPr>
    </w:p>
    <w:p>
      <w:pPr>
        <w:ind w:right="100" w:firstLine="396"/>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Cause</w:t>
      </w:r>
      <w:r>
        <w:rPr>
          <w:rFonts w:ascii="Arial" w:cs="Arial" w:eastAsia="Arial" w:hAnsi="Arial"/>
          <w:sz w:val="19"/>
          <w:szCs w:val="19"/>
          <w:color w:val="auto"/>
        </w:rPr>
        <w:t>” means, with respect to any employee or officer of the Company or any of its Subsidiaries or any Manager, (a) undertaking a position in competition with the Company, Albany or any of their respective Affiliates; (b) causing substantial harm to the Company, Albany, Safran or any of their respective Affiliates with intent to do so or as a result of gross negligence in the performance of his or her duties; (c) wrongfully and substantially enriching himself or herself at the expense of the Company, Safran, Albany or any of their respective Affiliates; (d) the indictment of such employee, officer or Manager, as applicable, or a plea of guilty or nolo contendere by such employee, officer or Manager, as applicable, to any felony or other serious crime; or (e) failing to perform the duties of such employee, officer or Manager, as applicable, in an adequate and proper manner in accordance with the instructions communicated to such individual by his or her direct supervisor, if any.</w:t>
      </w:r>
    </w:p>
    <w:p>
      <w:pPr>
        <w:spacing w:after="0" w:line="50" w:lineRule="exact"/>
        <w:rPr>
          <w:sz w:val="20"/>
          <w:szCs w:val="20"/>
          <w:color w:val="auto"/>
        </w:rPr>
      </w:pPr>
    </w:p>
    <w:p>
      <w:pPr>
        <w:ind w:left="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Certificate of Formation</w:t>
      </w:r>
      <w:r>
        <w:rPr>
          <w:rFonts w:ascii="Arial" w:cs="Arial" w:eastAsia="Arial" w:hAnsi="Arial"/>
          <w:sz w:val="22"/>
          <w:szCs w:val="22"/>
          <w:color w:val="auto"/>
        </w:rPr>
        <w:t>” has the meaning set forth in the recitals.</w:t>
      </w:r>
    </w:p>
    <w:p>
      <w:pPr>
        <w:spacing w:after="0" w:line="98" w:lineRule="exact"/>
        <w:rPr>
          <w:sz w:val="20"/>
          <w:szCs w:val="20"/>
          <w:color w:val="auto"/>
        </w:rPr>
      </w:pPr>
    </w:p>
    <w:p>
      <w:pPr>
        <w:jc w:val="both"/>
        <w:ind w:right="20" w:firstLine="3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CFO</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6.02(a)</w:t>
      </w:r>
      <w:r>
        <w:rPr>
          <w:rFonts w:ascii="Arial" w:cs="Arial" w:eastAsia="Arial" w:hAnsi="Arial"/>
          <w:sz w:val="22"/>
          <w:szCs w:val="22"/>
          <w:color w:val="auto"/>
        </w:rPr>
        <w:t>. “</w:t>
      </w:r>
      <w:r>
        <w:rPr>
          <w:rFonts w:ascii="Arial" w:cs="Arial" w:eastAsia="Arial" w:hAnsi="Arial"/>
          <w:sz w:val="22"/>
          <w:szCs w:val="22"/>
          <w:u w:val="single" w:color="auto"/>
          <w:color w:val="auto"/>
        </w:rPr>
        <w:t>Code</w:t>
      </w:r>
      <w:r>
        <w:rPr>
          <w:rFonts w:ascii="Arial" w:cs="Arial" w:eastAsia="Arial" w:hAnsi="Arial"/>
          <w:sz w:val="22"/>
          <w:szCs w:val="22"/>
          <w:color w:val="auto"/>
        </w:rPr>
        <w:t>” means the U.S. Internal Revenue Code of 1986, as amended, and the regulations promulgated thereunder. Any reference to a section of the Code shall include a reference to any successor provision thereto.</w:t>
      </w:r>
    </w:p>
    <w:p>
      <w:pPr>
        <w:spacing w:after="0" w:line="78" w:lineRule="exact"/>
        <w:rPr>
          <w:sz w:val="20"/>
          <w:szCs w:val="20"/>
          <w:color w:val="auto"/>
        </w:rPr>
      </w:pPr>
    </w:p>
    <w:p>
      <w:pPr>
        <w:ind w:right="160" w:firstLine="396"/>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Common Capital</w:t>
      </w:r>
      <w:r>
        <w:rPr>
          <w:rFonts w:ascii="Arial" w:cs="Arial" w:eastAsia="Arial" w:hAnsi="Arial"/>
          <w:sz w:val="22"/>
          <w:szCs w:val="22"/>
          <w:color w:val="auto"/>
        </w:rPr>
        <w:t>” means, with respect to any Common Member, the amount designated on Schedule B as Common Capital with respect to such Member.</w:t>
      </w:r>
    </w:p>
    <w:p>
      <w:pPr>
        <w:spacing w:after="0" w:line="65" w:lineRule="exact"/>
        <w:rPr>
          <w:sz w:val="20"/>
          <w:szCs w:val="20"/>
          <w:color w:val="auto"/>
        </w:rPr>
      </w:pPr>
    </w:p>
    <w:p>
      <w:pPr>
        <w:ind w:right="320" w:firstLine="396"/>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Common Member</w:t>
      </w:r>
      <w:r>
        <w:rPr>
          <w:rFonts w:ascii="Arial" w:cs="Arial" w:eastAsia="Arial" w:hAnsi="Arial"/>
          <w:sz w:val="22"/>
          <w:szCs w:val="22"/>
          <w:color w:val="auto"/>
        </w:rPr>
        <w:t>” means any Member that holds Common Membership Units, in such Member’s capacity as a holder of such Membership Units.</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60"/>
          </w:cols>
          <w:pgMar w:left="240" w:top="712" w:right="299" w:bottom="1440" w:gutter="0" w:footer="0" w:header="0"/>
        </w:sectPr>
      </w:pPr>
    </w:p>
    <w:bookmarkStart w:id="114" w:name="page115"/>
    <w:bookmarkEnd w:id="114"/>
    <w:p>
      <w:pPr>
        <w:ind w:left="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Common Membership Units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3.01(a)</w:t>
      </w:r>
      <w:r>
        <w:rPr>
          <w:rFonts w:ascii="Arial" w:cs="Arial" w:eastAsia="Arial" w:hAnsi="Arial"/>
          <w:sz w:val="22"/>
          <w:szCs w:val="22"/>
          <w:color w:val="auto"/>
        </w:rPr>
        <w:t>.</w:t>
      </w:r>
    </w:p>
    <w:p>
      <w:pPr>
        <w:spacing w:after="0" w:line="98" w:lineRule="exact"/>
        <w:rPr>
          <w:sz w:val="20"/>
          <w:szCs w:val="20"/>
          <w:color w:val="auto"/>
        </w:rPr>
      </w:pPr>
    </w:p>
    <w:p>
      <w:pPr>
        <w:ind w:left="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has the meaning set forth in the preamble.</w:t>
      </w:r>
    </w:p>
    <w:p>
      <w:pPr>
        <w:spacing w:after="0" w:line="98" w:lineRule="exact"/>
        <w:rPr>
          <w:sz w:val="20"/>
          <w:szCs w:val="20"/>
          <w:color w:val="auto"/>
        </w:rPr>
      </w:pPr>
    </w:p>
    <w:p>
      <w:pPr>
        <w:ind w:left="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Technology</w:t>
      </w:r>
      <w:r>
        <w:rPr>
          <w:rFonts w:ascii="Arial" w:cs="Arial" w:eastAsia="Arial" w:hAnsi="Arial"/>
          <w:sz w:val="22"/>
          <w:szCs w:val="22"/>
          <w:color w:val="auto"/>
        </w:rPr>
        <w:t>” has the meaning set forth in the Intellectual Property Agreements.</w:t>
      </w:r>
    </w:p>
    <w:p>
      <w:pPr>
        <w:spacing w:after="0" w:line="98" w:lineRule="exact"/>
        <w:rPr>
          <w:sz w:val="20"/>
          <w:szCs w:val="20"/>
          <w:color w:val="auto"/>
        </w:rPr>
      </w:pPr>
    </w:p>
    <w:p>
      <w:pPr>
        <w:ind w:left="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Competing Assets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12.02</w:t>
      </w:r>
      <w:r>
        <w:rPr>
          <w:rFonts w:ascii="Arial" w:cs="Arial" w:eastAsia="Arial" w:hAnsi="Arial"/>
          <w:sz w:val="22"/>
          <w:szCs w:val="22"/>
          <w:color w:val="auto"/>
        </w:rPr>
        <w:t>.</w:t>
      </w:r>
    </w:p>
    <w:p>
      <w:pPr>
        <w:spacing w:after="0" w:line="98" w:lineRule="exact"/>
        <w:rPr>
          <w:sz w:val="20"/>
          <w:szCs w:val="20"/>
          <w:color w:val="auto"/>
        </w:rPr>
      </w:pPr>
    </w:p>
    <w:p>
      <w:pPr>
        <w:ind w:left="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Competing Entity</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12.02</w:t>
      </w:r>
      <w:r>
        <w:rPr>
          <w:rFonts w:ascii="Arial" w:cs="Arial" w:eastAsia="Arial" w:hAnsi="Arial"/>
          <w:sz w:val="22"/>
          <w:szCs w:val="22"/>
          <w:color w:val="auto"/>
        </w:rPr>
        <w:t>.</w:t>
      </w:r>
    </w:p>
    <w:p>
      <w:pPr>
        <w:spacing w:after="0" w:line="98" w:lineRule="exact"/>
        <w:rPr>
          <w:sz w:val="20"/>
          <w:szCs w:val="20"/>
          <w:color w:val="auto"/>
        </w:rPr>
      </w:pPr>
    </w:p>
    <w:p>
      <w:pPr>
        <w:ind w:firstLine="396"/>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Competitor</w:t>
      </w:r>
      <w:r>
        <w:rPr>
          <w:rFonts w:ascii="Arial" w:cs="Arial" w:eastAsia="Arial" w:hAnsi="Arial"/>
          <w:sz w:val="21"/>
          <w:szCs w:val="21"/>
          <w:color w:val="auto"/>
        </w:rPr>
        <w:t>” means a Person that manufactures gas turbine engines, rocket engines or other products within the Agreed Space or significant systems or sub-systems used in (a) gas turbine engines and rocket engines, (b) thrust reversers and nacelle structures intended for use with gas turbine engines, (c) aircraft landing and braking systems, and (d) other parts used by Safran S.A. or any of its Affiliates to be agreed pursuant to the General Collaboration Agreement.</w:t>
      </w:r>
    </w:p>
    <w:p>
      <w:pPr>
        <w:spacing w:after="0" w:line="66" w:lineRule="exact"/>
        <w:rPr>
          <w:sz w:val="20"/>
          <w:szCs w:val="20"/>
          <w:color w:val="auto"/>
        </w:rPr>
      </w:pPr>
    </w:p>
    <w:p>
      <w:pPr>
        <w:ind w:left="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Contribution Agreements</w:t>
      </w:r>
      <w:r>
        <w:rPr>
          <w:rFonts w:ascii="Arial" w:cs="Arial" w:eastAsia="Arial" w:hAnsi="Arial"/>
          <w:sz w:val="22"/>
          <w:szCs w:val="22"/>
          <w:color w:val="auto"/>
        </w:rPr>
        <w:t>” means the Albany Contribution Agreement and the Safran Contribution Agreement.</w:t>
      </w:r>
    </w:p>
    <w:p>
      <w:pPr>
        <w:spacing w:after="0" w:line="98" w:lineRule="exact"/>
        <w:rPr>
          <w:sz w:val="20"/>
          <w:szCs w:val="20"/>
          <w:color w:val="auto"/>
        </w:rPr>
      </w:pPr>
    </w:p>
    <w:p>
      <w:pPr>
        <w:ind w:right="440" w:firstLine="3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Control</w:t>
      </w:r>
      <w:r>
        <w:rPr>
          <w:rFonts w:ascii="Arial" w:cs="Arial" w:eastAsia="Arial" w:hAnsi="Arial"/>
          <w:sz w:val="22"/>
          <w:szCs w:val="22"/>
          <w:color w:val="auto"/>
        </w:rPr>
        <w:t>” means the possession, directly or indirectly, of the power to direct or cause the direction of the management and policies of a Person, whether through the ownership of voting securities, by contract or otherwise, and “</w:t>
      </w:r>
      <w:r>
        <w:rPr>
          <w:rFonts w:ascii="Arial" w:cs="Arial" w:eastAsia="Arial" w:hAnsi="Arial"/>
          <w:sz w:val="22"/>
          <w:szCs w:val="22"/>
          <w:u w:val="single" w:color="auto"/>
          <w:color w:val="auto"/>
        </w:rPr>
        <w:t>Controlled</w:t>
      </w:r>
      <w:r>
        <w:rPr>
          <w:rFonts w:ascii="Arial" w:cs="Arial" w:eastAsia="Arial" w:hAnsi="Arial"/>
          <w:sz w:val="22"/>
          <w:szCs w:val="22"/>
          <w:color w:val="auto"/>
        </w:rPr>
        <w:t>” has a correlative meaning.</w:t>
      </w:r>
    </w:p>
    <w:p>
      <w:pPr>
        <w:spacing w:after="0" w:line="78" w:lineRule="exact"/>
        <w:rPr>
          <w:sz w:val="20"/>
          <w:szCs w:val="20"/>
          <w:color w:val="auto"/>
        </w:rPr>
      </w:pPr>
    </w:p>
    <w:p>
      <w:pPr>
        <w:ind w:right="20" w:firstLine="396"/>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Core Perimeter</w:t>
      </w:r>
      <w:r>
        <w:rPr>
          <w:rFonts w:ascii="Arial" w:cs="Arial" w:eastAsia="Arial" w:hAnsi="Arial"/>
          <w:sz w:val="22"/>
          <w:szCs w:val="22"/>
          <w:color w:val="auto"/>
        </w:rPr>
        <w:t>” means the specific 3D woven preform applications defined in any and all Industrial and Technical Agreements executed by Safran S.A. or any of its Affiliates and Albany International or any of its Affiliates pursuant to the General Collaboration Agreement and elected by Albany International or Safran S.A. pursuant to the exclusivity rules detailed in Article 4.1 of the General Collaboration Agreement.</w:t>
      </w:r>
    </w:p>
    <w:p>
      <w:pPr>
        <w:spacing w:after="0" w:line="77" w:lineRule="exact"/>
        <w:rPr>
          <w:sz w:val="20"/>
          <w:szCs w:val="20"/>
          <w:color w:val="auto"/>
        </w:rPr>
      </w:pPr>
    </w:p>
    <w:p>
      <w:pPr>
        <w:ind w:right="60" w:firstLine="396"/>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Cumulative EBITDA</w:t>
      </w:r>
      <w:r>
        <w:rPr>
          <w:rFonts w:ascii="Arial" w:cs="Arial" w:eastAsia="Arial" w:hAnsi="Arial"/>
          <w:sz w:val="22"/>
          <w:szCs w:val="22"/>
          <w:color w:val="auto"/>
        </w:rPr>
        <w:t>” means the cumulated consolidated EBITDA of the Company and its Subsidiaries realized over the last four (4) completed fiscal quarters immediately preceding the Exercise Date.</w:t>
      </w:r>
    </w:p>
    <w:p>
      <w:pPr>
        <w:spacing w:after="0" w:line="65" w:lineRule="exact"/>
        <w:rPr>
          <w:sz w:val="20"/>
          <w:szCs w:val="20"/>
          <w:color w:val="auto"/>
        </w:rPr>
      </w:pPr>
    </w:p>
    <w:p>
      <w:pPr>
        <w:ind w:right="180" w:firstLine="3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Deadlock Event</w:t>
      </w:r>
      <w:r>
        <w:rPr>
          <w:rFonts w:ascii="Arial" w:cs="Arial" w:eastAsia="Arial" w:hAnsi="Arial"/>
          <w:sz w:val="22"/>
          <w:szCs w:val="22"/>
          <w:color w:val="auto"/>
        </w:rPr>
        <w:t xml:space="preserve">” means (a) a failure to obtain the approval of the Board with respect to any action listed in </w:t>
      </w:r>
      <w:r>
        <w:rPr>
          <w:rFonts w:ascii="Arial" w:cs="Arial" w:eastAsia="Arial" w:hAnsi="Arial"/>
          <w:sz w:val="22"/>
          <w:szCs w:val="22"/>
          <w:u w:val="single" w:color="auto"/>
          <w:color w:val="auto"/>
        </w:rPr>
        <w:t>Section 5.02</w:t>
      </w:r>
      <w:r>
        <w:rPr>
          <w:rFonts w:ascii="Arial" w:cs="Arial" w:eastAsia="Arial" w:hAnsi="Arial"/>
          <w:sz w:val="22"/>
          <w:szCs w:val="22"/>
          <w:color w:val="auto"/>
        </w:rPr>
        <w:t>; (b) any dispute under the Albany IPLA or the Safran IPLA; or (c) a dispute between Albany and Safran with respect to any material business or management issue.</w:t>
      </w:r>
    </w:p>
    <w:p>
      <w:pPr>
        <w:spacing w:after="0" w:line="78" w:lineRule="exact"/>
        <w:rPr>
          <w:sz w:val="20"/>
          <w:szCs w:val="20"/>
          <w:color w:val="auto"/>
        </w:rPr>
      </w:pPr>
    </w:p>
    <w:p>
      <w:pPr>
        <w:ind w:right="120" w:firstLine="396"/>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Depreciation</w:t>
      </w:r>
      <w:r>
        <w:rPr>
          <w:rFonts w:ascii="Arial" w:cs="Arial" w:eastAsia="Arial" w:hAnsi="Arial"/>
          <w:sz w:val="21"/>
          <w:szCs w:val="21"/>
          <w:color w:val="auto"/>
        </w:rPr>
        <w:t>” means, for each Fiscal Year, an amount equal to the depreciation, amortization, or other cost recovery deduction allowable with respect to a depreciable or amortizable asset for such Fiscal Year for federal income tax purposes, except that (a) with respect to any depreciable or amortizable asset whose Gross Asset Value differs from its adjusted tax basis for federal income tax purposes and which difference is being eliminated by use of the “remedial allocation method” defined by Treasury Regulation Section 1.704-3(d), Depreciation for such Fiscal Year shall be the amount of book basis recovered for such Fiscal Year under the rules prescribed by Treasury Regulation Section 1.704-3(d)(2), and (b) with respect to any other depreciable or amortizable asset whose Gross Asset Value differs from its adjusted basis for federal income tax purposes at the beginning of such Fiscal Year, Depreciation shall be an</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712" w:right="239" w:bottom="1440" w:gutter="0" w:footer="0" w:header="0"/>
        </w:sectPr>
      </w:pPr>
    </w:p>
    <w:bookmarkStart w:id="115" w:name="page116"/>
    <w:bookmarkEnd w:id="115"/>
    <w:p>
      <w:pPr>
        <w:ind w:right="20"/>
        <w:spacing w:after="0" w:line="277" w:lineRule="auto"/>
        <w:rPr>
          <w:sz w:val="20"/>
          <w:szCs w:val="20"/>
          <w:color w:val="auto"/>
        </w:rPr>
      </w:pPr>
      <w:r>
        <w:rPr>
          <w:rFonts w:ascii="Arial" w:cs="Arial" w:eastAsia="Arial" w:hAnsi="Arial"/>
          <w:sz w:val="19"/>
          <w:szCs w:val="19"/>
          <w:color w:val="auto"/>
        </w:rPr>
        <w:t xml:space="preserve">amount that bears the same ratio to such beginning Gross Asset Value as the federal income tax depreciation, amortization, or other cost recovery deduction for such Fiscal Year bears to such beginning adjusted tax basis;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if the adjusted basis for federal income tax purposes of a depreciable or amortizable asset at the beginning of such Fiscal Year is zero (0), Depreciation shall be determined with reference to such beginning Gross Asset Value using any reasonable method selected by the Board;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notwithstanding anything to the contrary in this Agreement, with respect to any Quarterly Performance Report, any Five Year Business Plan, any Annual Business Plan, or any report to be provided by the Company pursuant to </w:t>
      </w:r>
      <w:r>
        <w:rPr>
          <w:rFonts w:ascii="Arial" w:cs="Arial" w:eastAsia="Arial" w:hAnsi="Arial"/>
          <w:sz w:val="19"/>
          <w:szCs w:val="19"/>
          <w:u w:val="single" w:color="auto"/>
          <w:color w:val="auto"/>
        </w:rPr>
        <w:t>Section 8.03</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8.04</w:t>
      </w:r>
      <w:r>
        <w:rPr>
          <w:rFonts w:ascii="Arial" w:cs="Arial" w:eastAsia="Arial" w:hAnsi="Arial"/>
          <w:sz w:val="19"/>
          <w:szCs w:val="19"/>
          <w:color w:val="auto"/>
        </w:rPr>
        <w:t xml:space="preserve"> of this Agreement, Depreciation shall be determined in accordance with GAAP.</w:t>
      </w:r>
    </w:p>
    <w:p>
      <w:pPr>
        <w:spacing w:after="0" w:line="153" w:lineRule="exact"/>
        <w:rPr>
          <w:sz w:val="20"/>
          <w:szCs w:val="20"/>
          <w:color w:val="auto"/>
        </w:rPr>
      </w:pPr>
    </w:p>
    <w:p>
      <w:pPr>
        <w:ind w:firstLine="396"/>
        <w:spacing w:after="0" w:line="245" w:lineRule="auto"/>
        <w:rPr>
          <w:sz w:val="20"/>
          <w:szCs w:val="20"/>
          <w:color w:val="auto"/>
        </w:rPr>
      </w:pPr>
      <w:r>
        <w:rPr>
          <w:rFonts w:ascii="Arial" w:cs="Arial" w:eastAsia="Arial" w:hAnsi="Arial"/>
          <w:sz w:val="21"/>
          <w:szCs w:val="21"/>
          <w:u w:val="single" w:color="auto"/>
          <w:color w:val="auto"/>
        </w:rPr>
        <w:t>“EBITDA</w:t>
      </w:r>
      <w:r>
        <w:rPr>
          <w:rFonts w:ascii="Arial" w:cs="Arial" w:eastAsia="Arial" w:hAnsi="Arial"/>
          <w:sz w:val="21"/>
          <w:szCs w:val="21"/>
          <w:color w:val="auto"/>
        </w:rPr>
        <w:t>” shall mean, for any period, (a) consolidated net income for such period of the Company and its Subsidiaries without giving effect to (i) any non-operating gain or loss, (ii) any gain or loss which results from currency revaluation, (iii) any gains or losses from sales of assets other than inventory sold in the ordinary course of business, (iv) any expenses related to restructuring initiatives, and (v) any post-retirement employee benefit expenses, plus (b) without duplication and in each case to the extent deducted in determining consolidated net income for such period, the sum of the following amounts for such period: (i) total interest expense of the Company and its Subsidiaries determined on a consolidated basis for such period, (ii) provision for Taxes based on income for the Company and its Subsidiaries determined on a consolidated basis for such period, and (iii) all depreciation and amortization expense related to tangible fixed assets and intangible assets of the Company and its Subsidiaries determined on a consolidated basis for such period.</w:t>
      </w:r>
    </w:p>
    <w:p>
      <w:pPr>
        <w:spacing w:after="0" w:line="77" w:lineRule="exact"/>
        <w:rPr>
          <w:sz w:val="20"/>
          <w:szCs w:val="20"/>
          <w:color w:val="auto"/>
        </w:rPr>
      </w:pPr>
    </w:p>
    <w:p>
      <w:pPr>
        <w:ind w:left="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Effective Time</w:t>
      </w:r>
      <w:r>
        <w:rPr>
          <w:rFonts w:ascii="Arial" w:cs="Arial" w:eastAsia="Arial" w:hAnsi="Arial"/>
          <w:sz w:val="22"/>
          <w:szCs w:val="22"/>
          <w:color w:val="auto"/>
        </w:rPr>
        <w:t>” has the meaning set forth in the recitals.</w:t>
      </w:r>
    </w:p>
    <w:p>
      <w:pPr>
        <w:spacing w:after="0" w:line="98" w:lineRule="exact"/>
        <w:rPr>
          <w:sz w:val="20"/>
          <w:szCs w:val="20"/>
          <w:color w:val="auto"/>
        </w:rPr>
      </w:pPr>
    </w:p>
    <w:p>
      <w:pPr>
        <w:ind w:left="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Enterprise Value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7.05(c)</w:t>
      </w:r>
      <w:r>
        <w:rPr>
          <w:rFonts w:ascii="Arial" w:cs="Arial" w:eastAsia="Arial" w:hAnsi="Arial"/>
          <w:sz w:val="22"/>
          <w:szCs w:val="22"/>
          <w:color w:val="auto"/>
        </w:rPr>
        <w:t>.</w:t>
      </w:r>
    </w:p>
    <w:p>
      <w:pPr>
        <w:spacing w:after="0" w:line="98" w:lineRule="exact"/>
        <w:rPr>
          <w:sz w:val="20"/>
          <w:szCs w:val="20"/>
          <w:color w:val="auto"/>
        </w:rPr>
      </w:pPr>
    </w:p>
    <w:p>
      <w:pPr>
        <w:ind w:right="460" w:firstLine="396"/>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w:t>
      </w:r>
      <w:r>
        <w:rPr>
          <w:rFonts w:ascii="Arial" w:cs="Arial" w:eastAsia="Arial" w:hAnsi="Arial"/>
          <w:sz w:val="22"/>
          <w:szCs w:val="22"/>
          <w:color w:val="auto"/>
        </w:rPr>
        <w:t>” means the Employee Retirement Income Security Act of 1974, as amended from time to time, and the rules and regulations promulgated thereunder.</w:t>
      </w:r>
    </w:p>
    <w:p>
      <w:pPr>
        <w:spacing w:after="0" w:line="65" w:lineRule="exact"/>
        <w:rPr>
          <w:sz w:val="20"/>
          <w:szCs w:val="20"/>
          <w:color w:val="auto"/>
        </w:rPr>
      </w:pPr>
    </w:p>
    <w:p>
      <w:pPr>
        <w:ind w:left="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Excess Cash Flow</w:t>
      </w:r>
      <w:r>
        <w:rPr>
          <w:rFonts w:ascii="Arial" w:cs="Arial" w:eastAsia="Arial" w:hAnsi="Arial"/>
          <w:sz w:val="22"/>
          <w:szCs w:val="22"/>
          <w:color w:val="auto"/>
        </w:rPr>
        <w:t>” means, for any period, an amount equal to:</w:t>
      </w:r>
    </w:p>
    <w:p>
      <w:pPr>
        <w:spacing w:after="0" w:line="98" w:lineRule="exact"/>
        <w:rPr>
          <w:sz w:val="20"/>
          <w:szCs w:val="20"/>
          <w:color w:val="auto"/>
        </w:rPr>
      </w:pPr>
    </w:p>
    <w:p>
      <w:pPr>
        <w:ind w:left="700" w:hanging="296"/>
        <w:spacing w:after="0"/>
        <w:tabs>
          <w:tab w:leader="none" w:pos="700" w:val="left"/>
        </w:tabs>
        <w:numPr>
          <w:ilvl w:val="0"/>
          <w:numId w:val="37"/>
        </w:numPr>
        <w:rPr>
          <w:rFonts w:ascii="Arial" w:cs="Arial" w:eastAsia="Arial" w:hAnsi="Arial"/>
          <w:sz w:val="22"/>
          <w:szCs w:val="22"/>
          <w:color w:val="auto"/>
        </w:rPr>
      </w:pPr>
      <w:r>
        <w:rPr>
          <w:rFonts w:ascii="Arial" w:cs="Arial" w:eastAsia="Arial" w:hAnsi="Arial"/>
          <w:sz w:val="22"/>
          <w:szCs w:val="22"/>
          <w:color w:val="auto"/>
        </w:rPr>
        <w:t>the sum, without duplication, of:</w:t>
      </w:r>
    </w:p>
    <w:p>
      <w:pPr>
        <w:spacing w:after="0" w:line="98" w:lineRule="exact"/>
        <w:rPr>
          <w:rFonts w:ascii="Arial" w:cs="Arial" w:eastAsia="Arial" w:hAnsi="Arial"/>
          <w:sz w:val="22"/>
          <w:szCs w:val="22"/>
          <w:color w:val="auto"/>
        </w:rPr>
      </w:pPr>
    </w:p>
    <w:p>
      <w:pPr>
        <w:ind w:left="1060" w:hanging="260"/>
        <w:spacing w:after="0"/>
        <w:tabs>
          <w:tab w:leader="none" w:pos="1060" w:val="left"/>
        </w:tabs>
        <w:numPr>
          <w:ilvl w:val="1"/>
          <w:numId w:val="37"/>
        </w:numPr>
        <w:rPr>
          <w:rFonts w:ascii="Arial" w:cs="Arial" w:eastAsia="Arial" w:hAnsi="Arial"/>
          <w:sz w:val="19"/>
          <w:szCs w:val="19"/>
          <w:color w:val="auto"/>
        </w:rPr>
      </w:pPr>
      <w:r>
        <w:rPr>
          <w:rFonts w:ascii="Arial" w:cs="Arial" w:eastAsia="Arial" w:hAnsi="Arial"/>
          <w:sz w:val="19"/>
          <w:szCs w:val="19"/>
          <w:color w:val="auto"/>
        </w:rPr>
        <w:t>the after-Tax net income (or loss) of the Company and its Subsidiaries on a consolidated basis during such period;</w:t>
      </w:r>
    </w:p>
    <w:p>
      <w:pPr>
        <w:spacing w:after="0" w:line="132" w:lineRule="exact"/>
        <w:rPr>
          <w:rFonts w:ascii="Arial" w:cs="Arial" w:eastAsia="Arial" w:hAnsi="Arial"/>
          <w:sz w:val="19"/>
          <w:szCs w:val="19"/>
          <w:color w:val="auto"/>
        </w:rPr>
      </w:pPr>
    </w:p>
    <w:p>
      <w:pPr>
        <w:ind w:left="1120" w:hanging="320"/>
        <w:spacing w:after="0"/>
        <w:tabs>
          <w:tab w:leader="none" w:pos="1120" w:val="left"/>
        </w:tabs>
        <w:numPr>
          <w:ilvl w:val="1"/>
          <w:numId w:val="37"/>
        </w:numPr>
        <w:rPr>
          <w:rFonts w:ascii="Arial" w:cs="Arial" w:eastAsia="Arial" w:hAnsi="Arial"/>
          <w:sz w:val="19"/>
          <w:szCs w:val="19"/>
          <w:color w:val="auto"/>
        </w:rPr>
      </w:pPr>
      <w:r>
        <w:rPr>
          <w:rFonts w:ascii="Arial" w:cs="Arial" w:eastAsia="Arial" w:hAnsi="Arial"/>
          <w:sz w:val="19"/>
          <w:szCs w:val="19"/>
          <w:color w:val="auto"/>
        </w:rPr>
        <w:t>non-cash charges due to depreciation and amortization of the assets of the Company or its Subsidiaries during such</w:t>
      </w:r>
    </w:p>
    <w:p>
      <w:pPr>
        <w:spacing w:after="0" w:line="42" w:lineRule="exact"/>
        <w:rPr>
          <w:rFonts w:ascii="Arial" w:cs="Arial" w:eastAsia="Arial" w:hAnsi="Arial"/>
          <w:sz w:val="19"/>
          <w:szCs w:val="19"/>
          <w:color w:val="auto"/>
        </w:rPr>
      </w:pPr>
    </w:p>
    <w:p>
      <w:pPr>
        <w:ind w:left="400"/>
        <w:spacing w:after="0"/>
        <w:rPr>
          <w:rFonts w:ascii="Arial" w:cs="Arial" w:eastAsia="Arial" w:hAnsi="Arial"/>
          <w:sz w:val="19"/>
          <w:szCs w:val="19"/>
          <w:color w:val="auto"/>
        </w:rPr>
      </w:pPr>
      <w:r>
        <w:rPr>
          <w:rFonts w:ascii="Arial" w:cs="Arial" w:eastAsia="Arial" w:hAnsi="Arial"/>
          <w:sz w:val="22"/>
          <w:szCs w:val="22"/>
          <w:color w:val="auto"/>
        </w:rPr>
        <w:t>period;</w:t>
      </w:r>
    </w:p>
    <w:p>
      <w:pPr>
        <w:spacing w:after="0" w:line="80" w:lineRule="exact"/>
        <w:rPr>
          <w:rFonts w:ascii="Arial" w:cs="Arial" w:eastAsia="Arial" w:hAnsi="Arial"/>
          <w:sz w:val="19"/>
          <w:szCs w:val="19"/>
          <w:color w:val="auto"/>
        </w:rPr>
      </w:pPr>
    </w:p>
    <w:p>
      <w:pPr>
        <w:ind w:left="400" w:right="840" w:firstLine="400"/>
        <w:spacing w:after="0" w:line="251" w:lineRule="auto"/>
        <w:tabs>
          <w:tab w:leader="none" w:pos="1174" w:val="left"/>
        </w:tabs>
        <w:numPr>
          <w:ilvl w:val="1"/>
          <w:numId w:val="37"/>
        </w:numPr>
        <w:rPr>
          <w:rFonts w:ascii="Arial" w:cs="Arial" w:eastAsia="Arial" w:hAnsi="Arial"/>
          <w:sz w:val="22"/>
          <w:szCs w:val="22"/>
          <w:color w:val="auto"/>
        </w:rPr>
      </w:pPr>
      <w:r>
        <w:rPr>
          <w:rFonts w:ascii="Arial" w:cs="Arial" w:eastAsia="Arial" w:hAnsi="Arial"/>
          <w:sz w:val="22"/>
          <w:szCs w:val="22"/>
          <w:color w:val="auto"/>
        </w:rPr>
        <w:t>the amount of any decreases in the amount of current assets (excluding cash, cash equivalents and Permitted Investments) of the Company and its Subsidiaries during such period; and</w:t>
      </w:r>
    </w:p>
    <w:p>
      <w:pPr>
        <w:spacing w:after="0" w:line="65" w:lineRule="exact"/>
        <w:rPr>
          <w:rFonts w:ascii="Arial" w:cs="Arial" w:eastAsia="Arial" w:hAnsi="Arial"/>
          <w:sz w:val="22"/>
          <w:szCs w:val="22"/>
          <w:color w:val="auto"/>
        </w:rPr>
      </w:pPr>
    </w:p>
    <w:p>
      <w:pPr>
        <w:ind w:left="1160" w:hanging="360"/>
        <w:spacing w:after="0"/>
        <w:tabs>
          <w:tab w:leader="none" w:pos="1160" w:val="left"/>
        </w:tabs>
        <w:numPr>
          <w:ilvl w:val="1"/>
          <w:numId w:val="37"/>
        </w:numPr>
        <w:rPr>
          <w:rFonts w:ascii="Arial" w:cs="Arial" w:eastAsia="Arial" w:hAnsi="Arial"/>
          <w:sz w:val="19"/>
          <w:szCs w:val="19"/>
          <w:color w:val="auto"/>
        </w:rPr>
      </w:pPr>
      <w:r>
        <w:rPr>
          <w:rFonts w:ascii="Arial" w:cs="Arial" w:eastAsia="Arial" w:hAnsi="Arial"/>
          <w:sz w:val="19"/>
          <w:szCs w:val="19"/>
          <w:color w:val="auto"/>
        </w:rPr>
        <w:t>the amount of any increases in the amount of current liabilities of the Company and its Subsidiaries during such</w:t>
      </w:r>
    </w:p>
    <w:p>
      <w:pPr>
        <w:spacing w:after="0" w:line="42" w:lineRule="exact"/>
        <w:rPr>
          <w:rFonts w:ascii="Arial" w:cs="Arial" w:eastAsia="Arial" w:hAnsi="Arial"/>
          <w:sz w:val="19"/>
          <w:szCs w:val="19"/>
          <w:color w:val="auto"/>
        </w:rPr>
      </w:pPr>
    </w:p>
    <w:p>
      <w:pPr>
        <w:ind w:left="400"/>
        <w:spacing w:after="0"/>
        <w:rPr>
          <w:rFonts w:ascii="Arial" w:cs="Arial" w:eastAsia="Arial" w:hAnsi="Arial"/>
          <w:sz w:val="19"/>
          <w:szCs w:val="19"/>
          <w:color w:val="auto"/>
        </w:rPr>
      </w:pPr>
      <w:r>
        <w:rPr>
          <w:rFonts w:ascii="Arial" w:cs="Arial" w:eastAsia="Arial" w:hAnsi="Arial"/>
          <w:sz w:val="22"/>
          <w:szCs w:val="22"/>
          <w:color w:val="auto"/>
        </w:rPr>
        <w:t>period;</w:t>
      </w:r>
    </w:p>
    <w:p>
      <w:pPr>
        <w:spacing w:after="0" w:line="80" w:lineRule="exact"/>
        <w:rPr>
          <w:sz w:val="20"/>
          <w:szCs w:val="20"/>
          <w:color w:val="auto"/>
        </w:rPr>
      </w:pPr>
    </w:p>
    <w:p>
      <w:pPr>
        <w:ind w:left="400"/>
        <w:spacing w:after="0"/>
        <w:rPr>
          <w:sz w:val="20"/>
          <w:szCs w:val="20"/>
          <w:color w:val="auto"/>
        </w:rPr>
      </w:pPr>
      <w:r>
        <w:rPr>
          <w:rFonts w:ascii="Arial" w:cs="Arial" w:eastAsia="Arial" w:hAnsi="Arial"/>
          <w:sz w:val="22"/>
          <w:szCs w:val="22"/>
          <w:u w:val="single" w:color="auto"/>
          <w:color w:val="auto"/>
        </w:rPr>
        <w:t>minus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928" w:right="279" w:bottom="1440" w:gutter="0" w:footer="0" w:header="0"/>
        </w:sectPr>
      </w:pPr>
    </w:p>
    <w:bookmarkStart w:id="116" w:name="page117"/>
    <w:bookmarkEnd w:id="116"/>
    <w:p>
      <w:pPr>
        <w:ind w:left="720" w:hanging="316"/>
        <w:spacing w:after="0"/>
        <w:tabs>
          <w:tab w:leader="none" w:pos="720" w:val="left"/>
        </w:tabs>
        <w:numPr>
          <w:ilvl w:val="0"/>
          <w:numId w:val="38"/>
        </w:numPr>
        <w:rPr>
          <w:rFonts w:ascii="Arial" w:cs="Arial" w:eastAsia="Arial" w:hAnsi="Arial"/>
          <w:sz w:val="22"/>
          <w:szCs w:val="22"/>
          <w:color w:val="auto"/>
        </w:rPr>
      </w:pPr>
      <w:r>
        <w:rPr>
          <w:rFonts w:ascii="Arial" w:cs="Arial" w:eastAsia="Arial" w:hAnsi="Arial"/>
          <w:sz w:val="22"/>
          <w:szCs w:val="22"/>
          <w:color w:val="auto"/>
        </w:rPr>
        <w:t>the sum, without duplication, of:</w:t>
      </w:r>
    </w:p>
    <w:p>
      <w:pPr>
        <w:spacing w:after="0" w:line="98" w:lineRule="exact"/>
        <w:rPr>
          <w:rFonts w:ascii="Arial" w:cs="Arial" w:eastAsia="Arial" w:hAnsi="Arial"/>
          <w:sz w:val="22"/>
          <w:szCs w:val="22"/>
          <w:color w:val="auto"/>
        </w:rPr>
      </w:pPr>
    </w:p>
    <w:p>
      <w:pPr>
        <w:ind w:left="1060" w:hanging="260"/>
        <w:spacing w:after="0"/>
        <w:tabs>
          <w:tab w:leader="none" w:pos="1060" w:val="left"/>
        </w:tabs>
        <w:numPr>
          <w:ilvl w:val="1"/>
          <w:numId w:val="38"/>
        </w:numPr>
        <w:rPr>
          <w:rFonts w:ascii="Arial" w:cs="Arial" w:eastAsia="Arial" w:hAnsi="Arial"/>
          <w:sz w:val="19"/>
          <w:szCs w:val="19"/>
          <w:color w:val="auto"/>
        </w:rPr>
      </w:pPr>
      <w:r>
        <w:rPr>
          <w:rFonts w:ascii="Arial" w:cs="Arial" w:eastAsia="Arial" w:hAnsi="Arial"/>
          <w:sz w:val="19"/>
          <w:szCs w:val="19"/>
          <w:color w:val="auto"/>
        </w:rPr>
        <w:t>the amount of capital expenditures made in cash or accrued by the Company or its Subsidiaries during such period;</w:t>
      </w:r>
    </w:p>
    <w:p>
      <w:pPr>
        <w:spacing w:after="0" w:line="132" w:lineRule="exact"/>
        <w:rPr>
          <w:rFonts w:ascii="Arial" w:cs="Arial" w:eastAsia="Arial" w:hAnsi="Arial"/>
          <w:sz w:val="19"/>
          <w:szCs w:val="19"/>
          <w:color w:val="auto"/>
        </w:rPr>
      </w:pPr>
    </w:p>
    <w:p>
      <w:pPr>
        <w:ind w:left="400" w:right="140" w:firstLine="400"/>
        <w:spacing w:after="0" w:line="297" w:lineRule="auto"/>
        <w:tabs>
          <w:tab w:leader="none" w:pos="1114" w:val="left"/>
        </w:tabs>
        <w:numPr>
          <w:ilvl w:val="1"/>
          <w:numId w:val="38"/>
        </w:numPr>
        <w:rPr>
          <w:rFonts w:ascii="Arial" w:cs="Arial" w:eastAsia="Arial" w:hAnsi="Arial"/>
          <w:sz w:val="19"/>
          <w:szCs w:val="19"/>
          <w:color w:val="auto"/>
        </w:rPr>
      </w:pPr>
      <w:r>
        <w:rPr>
          <w:rFonts w:ascii="Arial" w:cs="Arial" w:eastAsia="Arial" w:hAnsi="Arial"/>
          <w:sz w:val="19"/>
          <w:szCs w:val="19"/>
          <w:color w:val="auto"/>
        </w:rPr>
        <w:t>the aggregate amount of payments by the Company and its Subsidiaries during such period in respect of (A) any principal amount of Indebtedness (including Intercompany Loans) and (B) the Preferred Return(except to the extent financed with the proceeds of other Indebtedness of the Company or its Subsidiaries incurred during such period); and</w:t>
      </w:r>
    </w:p>
    <w:p>
      <w:pPr>
        <w:spacing w:after="0" w:line="26" w:lineRule="exact"/>
        <w:rPr>
          <w:rFonts w:ascii="Arial" w:cs="Arial" w:eastAsia="Arial" w:hAnsi="Arial"/>
          <w:sz w:val="19"/>
          <w:szCs w:val="19"/>
          <w:color w:val="auto"/>
        </w:rPr>
      </w:pPr>
    </w:p>
    <w:p>
      <w:pPr>
        <w:ind w:left="400" w:right="860" w:firstLine="400"/>
        <w:spacing w:after="0" w:line="251" w:lineRule="auto"/>
        <w:tabs>
          <w:tab w:leader="none" w:pos="1174" w:val="left"/>
        </w:tabs>
        <w:numPr>
          <w:ilvl w:val="1"/>
          <w:numId w:val="38"/>
        </w:numPr>
        <w:rPr>
          <w:rFonts w:ascii="Arial" w:cs="Arial" w:eastAsia="Arial" w:hAnsi="Arial"/>
          <w:sz w:val="22"/>
          <w:szCs w:val="22"/>
          <w:color w:val="auto"/>
        </w:rPr>
      </w:pPr>
      <w:r>
        <w:rPr>
          <w:rFonts w:ascii="Arial" w:cs="Arial" w:eastAsia="Arial" w:hAnsi="Arial"/>
          <w:sz w:val="22"/>
          <w:szCs w:val="22"/>
          <w:color w:val="auto"/>
        </w:rPr>
        <w:t>the amount of any increases in the amount of current assets (excluding cash, cash equivalents and Permitted Investments) of the Company and its Subsidiaries during such period; and</w:t>
      </w:r>
    </w:p>
    <w:p>
      <w:pPr>
        <w:spacing w:after="0" w:line="65" w:lineRule="exact"/>
        <w:rPr>
          <w:rFonts w:ascii="Arial" w:cs="Arial" w:eastAsia="Arial" w:hAnsi="Arial"/>
          <w:sz w:val="22"/>
          <w:szCs w:val="22"/>
          <w:color w:val="auto"/>
        </w:rPr>
      </w:pPr>
    </w:p>
    <w:p>
      <w:pPr>
        <w:ind w:left="1160" w:hanging="360"/>
        <w:spacing w:after="0"/>
        <w:tabs>
          <w:tab w:leader="none" w:pos="1160" w:val="left"/>
        </w:tabs>
        <w:numPr>
          <w:ilvl w:val="1"/>
          <w:numId w:val="38"/>
        </w:numPr>
        <w:rPr>
          <w:rFonts w:ascii="Arial" w:cs="Arial" w:eastAsia="Arial" w:hAnsi="Arial"/>
          <w:sz w:val="19"/>
          <w:szCs w:val="19"/>
          <w:color w:val="auto"/>
        </w:rPr>
      </w:pPr>
      <w:r>
        <w:rPr>
          <w:rFonts w:ascii="Arial" w:cs="Arial" w:eastAsia="Arial" w:hAnsi="Arial"/>
          <w:sz w:val="19"/>
          <w:szCs w:val="19"/>
          <w:color w:val="auto"/>
        </w:rPr>
        <w:t>the amount of any decreases in the amount of current liabilities of the Company and its Subsidiaries during such</w:t>
      </w:r>
    </w:p>
    <w:p>
      <w:pPr>
        <w:spacing w:after="0" w:line="42" w:lineRule="exact"/>
        <w:rPr>
          <w:rFonts w:ascii="Arial" w:cs="Arial" w:eastAsia="Arial" w:hAnsi="Arial"/>
          <w:sz w:val="19"/>
          <w:szCs w:val="19"/>
          <w:color w:val="auto"/>
        </w:rPr>
      </w:pPr>
    </w:p>
    <w:p>
      <w:pPr>
        <w:ind w:left="400"/>
        <w:spacing w:after="0"/>
        <w:rPr>
          <w:rFonts w:ascii="Arial" w:cs="Arial" w:eastAsia="Arial" w:hAnsi="Arial"/>
          <w:sz w:val="19"/>
          <w:szCs w:val="19"/>
          <w:color w:val="auto"/>
        </w:rPr>
      </w:pPr>
      <w:r>
        <w:rPr>
          <w:rFonts w:ascii="Arial" w:cs="Arial" w:eastAsia="Arial" w:hAnsi="Arial"/>
          <w:sz w:val="22"/>
          <w:szCs w:val="22"/>
          <w:color w:val="auto"/>
        </w:rPr>
        <w:t>period.</w:t>
      </w:r>
    </w:p>
    <w:p>
      <w:pPr>
        <w:spacing w:after="0" w:line="80" w:lineRule="exact"/>
        <w:rPr>
          <w:sz w:val="20"/>
          <w:szCs w:val="20"/>
          <w:color w:val="auto"/>
        </w:rPr>
      </w:pPr>
    </w:p>
    <w:p>
      <w:pPr>
        <w:ind w:firstLine="396"/>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means the U.S. Securities Exchange Act of 1934, as amended from time to time, and the rules and regulations promulgated thereunder.</w:t>
      </w:r>
    </w:p>
    <w:p>
      <w:pPr>
        <w:spacing w:after="0" w:line="65" w:lineRule="exact"/>
        <w:rPr>
          <w:sz w:val="20"/>
          <w:szCs w:val="20"/>
          <w:color w:val="auto"/>
        </w:rPr>
      </w:pPr>
    </w:p>
    <w:p>
      <w:pPr>
        <w:ind w:left="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Exercise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7.05(b)</w:t>
      </w:r>
      <w:r>
        <w:rPr>
          <w:rFonts w:ascii="Arial" w:cs="Arial" w:eastAsia="Arial" w:hAnsi="Arial"/>
          <w:sz w:val="22"/>
          <w:szCs w:val="22"/>
          <w:color w:val="auto"/>
        </w:rPr>
        <w:t>.</w:t>
      </w:r>
    </w:p>
    <w:p>
      <w:pPr>
        <w:spacing w:after="0" w:line="98" w:lineRule="exact"/>
        <w:rPr>
          <w:sz w:val="20"/>
          <w:szCs w:val="20"/>
          <w:color w:val="auto"/>
        </w:rPr>
      </w:pPr>
    </w:p>
    <w:p>
      <w:pPr>
        <w:ind w:left="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Agreement</w:t>
      </w:r>
      <w:r>
        <w:rPr>
          <w:rFonts w:ascii="Arial" w:cs="Arial" w:eastAsia="Arial" w:hAnsi="Arial"/>
          <w:sz w:val="22"/>
          <w:szCs w:val="22"/>
          <w:color w:val="auto"/>
        </w:rPr>
        <w:t>” has the meaning set forth in the recitals.</w:t>
      </w:r>
    </w:p>
    <w:p>
      <w:pPr>
        <w:spacing w:after="0" w:line="98" w:lineRule="exact"/>
        <w:rPr>
          <w:sz w:val="20"/>
          <w:szCs w:val="20"/>
          <w:color w:val="auto"/>
        </w:rPr>
      </w:pPr>
    </w:p>
    <w:p>
      <w:pPr>
        <w:ind w:left="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Supply Agreement</w:t>
      </w:r>
      <w:r>
        <w:rPr>
          <w:rFonts w:ascii="Arial" w:cs="Arial" w:eastAsia="Arial" w:hAnsi="Arial"/>
          <w:sz w:val="22"/>
          <w:szCs w:val="22"/>
          <w:color w:val="auto"/>
        </w:rPr>
        <w:t xml:space="preserve">” means the agreement listed on </w:t>
      </w:r>
      <w:r>
        <w:rPr>
          <w:rFonts w:ascii="Arial" w:cs="Arial" w:eastAsia="Arial" w:hAnsi="Arial"/>
          <w:sz w:val="22"/>
          <w:szCs w:val="22"/>
          <w:u w:val="single" w:color="auto"/>
          <w:color w:val="auto"/>
        </w:rPr>
        <w:t>Annex I</w:t>
      </w:r>
      <w:r>
        <w:rPr>
          <w:rFonts w:ascii="Arial" w:cs="Arial" w:eastAsia="Arial" w:hAnsi="Arial"/>
          <w:sz w:val="22"/>
          <w:szCs w:val="22"/>
          <w:color w:val="auto"/>
        </w:rPr>
        <w:t>.</w:t>
      </w:r>
    </w:p>
    <w:p>
      <w:pPr>
        <w:spacing w:after="0" w:line="98" w:lineRule="exact"/>
        <w:rPr>
          <w:sz w:val="20"/>
          <w:szCs w:val="20"/>
          <w:color w:val="auto"/>
        </w:rPr>
      </w:pPr>
    </w:p>
    <w:p>
      <w:pPr>
        <w:ind w:right="100" w:firstLine="396"/>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Extended Perimeter</w:t>
      </w:r>
      <w:r>
        <w:rPr>
          <w:rFonts w:ascii="Arial" w:cs="Arial" w:eastAsia="Arial" w:hAnsi="Arial"/>
          <w:sz w:val="22"/>
          <w:szCs w:val="22"/>
          <w:color w:val="auto"/>
        </w:rPr>
        <w:t>” means any Advanced Composite 3D Parts that employ the use of any know-how, software or hardware needed to design, develop, manufacture or repair a 3D woven preform and that are intended for use (a) within gas turbine engines and rocket engines, (b) on thrust reversers and nacelle structures intended for use with gas turbine engines, (c) on aircraft landing and braking systems, and (d) other Parts used by Safran S.A. or any of its Affiliates to be agreed pursuant to the General Collaboration Agreement.</w:t>
      </w:r>
    </w:p>
    <w:p>
      <w:pPr>
        <w:spacing w:after="0" w:line="80" w:lineRule="exact"/>
        <w:rPr>
          <w:sz w:val="20"/>
          <w:szCs w:val="20"/>
          <w:color w:val="auto"/>
        </w:rPr>
      </w:pPr>
    </w:p>
    <w:p>
      <w:pPr>
        <w:ind w:left="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Fiscal Year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8.02</w:t>
      </w:r>
      <w:r>
        <w:rPr>
          <w:rFonts w:ascii="Arial" w:cs="Arial" w:eastAsia="Arial" w:hAnsi="Arial"/>
          <w:sz w:val="22"/>
          <w:szCs w:val="22"/>
          <w:color w:val="auto"/>
        </w:rPr>
        <w:t>.</w:t>
      </w:r>
    </w:p>
    <w:p>
      <w:pPr>
        <w:spacing w:after="0" w:line="98" w:lineRule="exact"/>
        <w:rPr>
          <w:sz w:val="20"/>
          <w:szCs w:val="20"/>
          <w:color w:val="auto"/>
        </w:rPr>
      </w:pPr>
    </w:p>
    <w:p>
      <w:pPr>
        <w:ind w:left="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Five Year Business Plan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5.09(a)</w:t>
      </w:r>
      <w:r>
        <w:rPr>
          <w:rFonts w:ascii="Arial" w:cs="Arial" w:eastAsia="Arial" w:hAnsi="Arial"/>
          <w:sz w:val="22"/>
          <w:szCs w:val="22"/>
          <w:color w:val="auto"/>
        </w:rPr>
        <w:t>.</w:t>
      </w:r>
    </w:p>
    <w:p>
      <w:pPr>
        <w:spacing w:after="0" w:line="98" w:lineRule="exact"/>
        <w:rPr>
          <w:sz w:val="20"/>
          <w:szCs w:val="20"/>
          <w:color w:val="auto"/>
        </w:rPr>
      </w:pPr>
    </w:p>
    <w:p>
      <w:pPr>
        <w:ind w:left="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Formation Date</w:t>
      </w:r>
      <w:r>
        <w:rPr>
          <w:rFonts w:ascii="Arial" w:cs="Arial" w:eastAsia="Arial" w:hAnsi="Arial"/>
          <w:sz w:val="22"/>
          <w:szCs w:val="22"/>
          <w:color w:val="auto"/>
        </w:rPr>
        <w:t>” has the meaning set forth in the recitals.</w:t>
      </w:r>
    </w:p>
    <w:p>
      <w:pPr>
        <w:spacing w:after="0" w:line="98" w:lineRule="exact"/>
        <w:rPr>
          <w:sz w:val="20"/>
          <w:szCs w:val="20"/>
          <w:color w:val="auto"/>
        </w:rPr>
      </w:pPr>
    </w:p>
    <w:p>
      <w:pPr>
        <w:ind w:firstLine="396"/>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Formula B Enterprise Value</w:t>
      </w:r>
      <w:r>
        <w:rPr>
          <w:rFonts w:ascii="Arial" w:cs="Arial" w:eastAsia="Arial" w:hAnsi="Arial"/>
          <w:sz w:val="19"/>
          <w:szCs w:val="19"/>
          <w:color w:val="auto"/>
        </w:rPr>
        <w:t xml:space="preserve">” means (a) 9.5 multiplied by (b) (i) Cumulative EBITDA minus (ii) the amount (if a positive number) obtained by multiplying (A) 12.5% by (B) the aggregate number of shipsets sold during the four (4) completed fiscal quarters immediately preceding the Exercise Date by (C) (1) the actual weighted average shipset cost during the four (4) completed fiscal quarters immediately preceding the Exercise Date minus (2) an amount equal to the lowest unitary shipset cost that triggers a 12.5% margin pursuant to the Long Term Supply Agreement at the Target Price (as defined in the Long Term Supply Agreement) then in effect; </w:t>
      </w:r>
      <w:r>
        <w:rPr>
          <w:rFonts w:ascii="Arial" w:cs="Arial" w:eastAsia="Arial" w:hAnsi="Arial"/>
          <w:sz w:val="19"/>
          <w:szCs w:val="19"/>
          <w:u w:val="single" w:color="auto"/>
          <w:color w:val="auto"/>
        </w:rPr>
        <w:t>provided</w:t>
      </w:r>
      <w:r>
        <w:rPr>
          <w:rFonts w:ascii="Arial" w:cs="Arial" w:eastAsia="Arial" w:hAnsi="Arial"/>
          <w:sz w:val="19"/>
          <w:szCs w:val="19"/>
          <w:color w:val="auto"/>
        </w:rPr>
        <w:t>, that if the amount obtained from the calculation in clause (b)(ii) is not a positive number, then the amount to be subtracted from clause (b)(i) shall be zero (0). For purposes of</w:t>
      </w:r>
    </w:p>
    <w:p>
      <w:pPr>
        <w:spacing w:after="0" w:line="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60"/>
          </w:cols>
          <w:pgMar w:left="240" w:top="712" w:right="299" w:bottom="1440" w:gutter="0" w:footer="0" w:header="0"/>
        </w:sectPr>
      </w:pPr>
    </w:p>
    <w:bookmarkStart w:id="117" w:name="page118"/>
    <w:bookmarkEnd w:id="117"/>
    <w:p>
      <w:pPr>
        <w:spacing w:after="0"/>
        <w:rPr>
          <w:sz w:val="20"/>
          <w:szCs w:val="20"/>
          <w:color w:val="auto"/>
        </w:rPr>
      </w:pPr>
      <w:r>
        <w:rPr>
          <w:rFonts w:ascii="Arial" w:cs="Arial" w:eastAsia="Arial" w:hAnsi="Arial"/>
          <w:sz w:val="19"/>
          <w:szCs w:val="19"/>
          <w:color w:val="auto"/>
        </w:rPr>
        <w:t>illustration only, assuming a Target Price of $100,000 the amount referred to in clause (b)(ii)(C)(2) above would be $106,400.</w:t>
      </w:r>
    </w:p>
    <w:p>
      <w:pPr>
        <w:spacing w:after="0" w:line="241" w:lineRule="exact"/>
        <w:rPr>
          <w:sz w:val="20"/>
          <w:szCs w:val="20"/>
          <w:color w:val="auto"/>
        </w:rPr>
      </w:pPr>
    </w:p>
    <w:p>
      <w:pPr>
        <w:ind w:firstLine="396"/>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Formula Change Date</w:t>
      </w:r>
      <w:r>
        <w:rPr>
          <w:rFonts w:ascii="Arial" w:cs="Arial" w:eastAsia="Arial" w:hAnsi="Arial"/>
          <w:sz w:val="21"/>
          <w:szCs w:val="21"/>
          <w:color w:val="auto"/>
        </w:rPr>
        <w:t>” shall mean the earliest of (a) December 31, 2022, (b) the date on which the Company has attained an annual production rate of 1,200 LEAP shipsets, (c) the date on which the Company has produced a cumulative total of 4,800 LEAP shipsets, and (d) the date on which the Company has attained Cumulative EBITDA of $38,600,000.</w:t>
      </w:r>
    </w:p>
    <w:p>
      <w:pPr>
        <w:spacing w:after="0" w:line="59" w:lineRule="exact"/>
        <w:rPr>
          <w:sz w:val="20"/>
          <w:szCs w:val="20"/>
          <w:color w:val="auto"/>
        </w:rPr>
      </w:pPr>
    </w:p>
    <w:p>
      <w:pPr>
        <w:ind w:left="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GAAP</w:t>
      </w:r>
      <w:r>
        <w:rPr>
          <w:rFonts w:ascii="Arial" w:cs="Arial" w:eastAsia="Arial" w:hAnsi="Arial"/>
          <w:sz w:val="22"/>
          <w:szCs w:val="22"/>
          <w:color w:val="auto"/>
        </w:rPr>
        <w:t>” means generally accepted accounting principles in the United States, as in effect from time to time.</w:t>
      </w:r>
    </w:p>
    <w:p>
      <w:pPr>
        <w:spacing w:after="0" w:line="98" w:lineRule="exact"/>
        <w:rPr>
          <w:sz w:val="20"/>
          <w:szCs w:val="20"/>
          <w:color w:val="auto"/>
        </w:rPr>
      </w:pPr>
    </w:p>
    <w:p>
      <w:pPr>
        <w:jc w:val="both"/>
        <w:ind w:right="40" w:firstLine="3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General Collaboration Agreement</w:t>
      </w:r>
      <w:r>
        <w:rPr>
          <w:rFonts w:ascii="Arial" w:cs="Arial" w:eastAsia="Arial" w:hAnsi="Arial"/>
          <w:sz w:val="22"/>
          <w:szCs w:val="22"/>
          <w:color w:val="auto"/>
        </w:rPr>
        <w:t>” means that certain General Collaboration Agreement, dated June 8, 2006, between Safran S.A., Albany and Albany International, as it may be amended, modified or supplemented from time to time in accordance with its terms.</w:t>
      </w:r>
    </w:p>
    <w:p>
      <w:pPr>
        <w:spacing w:after="0" w:line="78" w:lineRule="exact"/>
        <w:rPr>
          <w:sz w:val="20"/>
          <w:szCs w:val="20"/>
          <w:color w:val="auto"/>
        </w:rPr>
      </w:pPr>
    </w:p>
    <w:p>
      <w:pPr>
        <w:ind w:left="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General Manager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6.02(a)</w:t>
      </w:r>
      <w:r>
        <w:rPr>
          <w:rFonts w:ascii="Arial" w:cs="Arial" w:eastAsia="Arial" w:hAnsi="Arial"/>
          <w:sz w:val="22"/>
          <w:szCs w:val="22"/>
          <w:color w:val="auto"/>
        </w:rPr>
        <w:t>.</w:t>
      </w:r>
    </w:p>
    <w:p>
      <w:pPr>
        <w:spacing w:after="0" w:line="98" w:lineRule="exact"/>
        <w:rPr>
          <w:sz w:val="20"/>
          <w:szCs w:val="20"/>
          <w:color w:val="auto"/>
        </w:rPr>
      </w:pPr>
    </w:p>
    <w:p>
      <w:pPr>
        <w:ind w:right="100" w:firstLine="3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Governmental Authority</w:t>
      </w:r>
      <w:r>
        <w:rPr>
          <w:rFonts w:ascii="Arial" w:cs="Arial" w:eastAsia="Arial" w:hAnsi="Arial"/>
          <w:sz w:val="22"/>
          <w:szCs w:val="22"/>
          <w:color w:val="auto"/>
        </w:rPr>
        <w:t>” means any government or political subdivision, whether federal, state, local or foreign, or any agency or instrumentality of any such government or political subdivision, or any federal, state, local or foreign court or arbitrator, or any quasi-governmental authority of any nature.</w:t>
      </w:r>
    </w:p>
    <w:p>
      <w:pPr>
        <w:spacing w:after="0" w:line="78" w:lineRule="exact"/>
        <w:rPr>
          <w:sz w:val="20"/>
          <w:szCs w:val="20"/>
          <w:color w:val="auto"/>
        </w:rPr>
      </w:pPr>
    </w:p>
    <w:p>
      <w:pPr>
        <w:ind w:right="20" w:firstLine="396"/>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Gross Asset Value</w:t>
      </w:r>
      <w:r>
        <w:rPr>
          <w:rFonts w:ascii="Arial" w:cs="Arial" w:eastAsia="Arial" w:hAnsi="Arial"/>
          <w:sz w:val="22"/>
          <w:szCs w:val="22"/>
          <w:color w:val="auto"/>
        </w:rPr>
        <w:t>” means, with respect to any Property, the Property’s adjusted basis for federal income tax purposes, except as follows:</w:t>
      </w:r>
    </w:p>
    <w:p>
      <w:pPr>
        <w:spacing w:after="0" w:line="65" w:lineRule="exact"/>
        <w:rPr>
          <w:sz w:val="20"/>
          <w:szCs w:val="20"/>
          <w:color w:val="auto"/>
        </w:rPr>
      </w:pPr>
    </w:p>
    <w:p>
      <w:pPr>
        <w:ind w:left="400" w:right="420" w:firstLine="400"/>
        <w:spacing w:after="0" w:line="251" w:lineRule="auto"/>
        <w:tabs>
          <w:tab w:leader="none" w:pos="1090" w:val="left"/>
        </w:tabs>
        <w:numPr>
          <w:ilvl w:val="0"/>
          <w:numId w:val="39"/>
        </w:numPr>
        <w:rPr>
          <w:rFonts w:ascii="Arial" w:cs="Arial" w:eastAsia="Arial" w:hAnsi="Arial"/>
          <w:sz w:val="22"/>
          <w:szCs w:val="22"/>
          <w:color w:val="auto"/>
        </w:rPr>
      </w:pPr>
      <w:r>
        <w:rPr>
          <w:rFonts w:ascii="Arial" w:cs="Arial" w:eastAsia="Arial" w:hAnsi="Arial"/>
          <w:sz w:val="22"/>
          <w:szCs w:val="22"/>
          <w:color w:val="auto"/>
        </w:rPr>
        <w:t>the initial Gross Asset Value of any Property contributed by a Member shall be the gross fair market value of such Property, as agreed to by the Members;</w:t>
      </w:r>
    </w:p>
    <w:p>
      <w:pPr>
        <w:spacing w:after="0" w:line="65" w:lineRule="exact"/>
        <w:rPr>
          <w:rFonts w:ascii="Arial" w:cs="Arial" w:eastAsia="Arial" w:hAnsi="Arial"/>
          <w:sz w:val="22"/>
          <w:szCs w:val="22"/>
          <w:color w:val="auto"/>
        </w:rPr>
      </w:pPr>
    </w:p>
    <w:p>
      <w:pPr>
        <w:ind w:left="400" w:firstLine="400"/>
        <w:spacing w:after="0" w:line="277" w:lineRule="auto"/>
        <w:tabs>
          <w:tab w:leader="none" w:pos="1102" w:val="left"/>
        </w:tabs>
        <w:numPr>
          <w:ilvl w:val="0"/>
          <w:numId w:val="39"/>
        </w:numPr>
        <w:rPr>
          <w:rFonts w:ascii="Arial" w:cs="Arial" w:eastAsia="Arial" w:hAnsi="Arial"/>
          <w:sz w:val="19"/>
          <w:szCs w:val="19"/>
          <w:color w:val="auto"/>
        </w:rPr>
      </w:pPr>
      <w:r>
        <w:rPr>
          <w:rFonts w:ascii="Arial" w:cs="Arial" w:eastAsia="Arial" w:hAnsi="Arial"/>
          <w:sz w:val="19"/>
          <w:szCs w:val="19"/>
          <w:color w:val="auto"/>
        </w:rPr>
        <w:t xml:space="preserve">the Gross Asset Value of every item of Property shall be adjusted to equal its respective gross fair market value (taking Section 7701(g) of the Code into account) immediately prior to either (i) the acquisition of additional Membership Units by any new or existing Member in exchange for more than a de minimis Capital Contribution, (ii) the distribution by the Company to a Member of more than a de minimis amount of Property as consideration for Membership Units, or (iii) the liquidation of the Company within the meaning of Treasury Regulation Section 1.704-1(b)(2)(ii)(g);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adjustments pursuant to clauses (i) and (ii) above shall be made only if the Board reasonably determines that such adjustments are necessary or appropriate to reflect the relative economic interests of the Members in the Company;</w:t>
      </w:r>
    </w:p>
    <w:p>
      <w:pPr>
        <w:spacing w:after="0" w:line="44" w:lineRule="exact"/>
        <w:rPr>
          <w:rFonts w:ascii="Arial" w:cs="Arial" w:eastAsia="Arial" w:hAnsi="Arial"/>
          <w:sz w:val="19"/>
          <w:szCs w:val="19"/>
          <w:color w:val="auto"/>
        </w:rPr>
      </w:pPr>
    </w:p>
    <w:p>
      <w:pPr>
        <w:ind w:left="400" w:right="60" w:firstLine="400"/>
        <w:spacing w:after="0"/>
        <w:tabs>
          <w:tab w:leader="none" w:pos="1090" w:val="left"/>
        </w:tabs>
        <w:numPr>
          <w:ilvl w:val="0"/>
          <w:numId w:val="39"/>
        </w:numPr>
        <w:rPr>
          <w:rFonts w:ascii="Arial" w:cs="Arial" w:eastAsia="Arial" w:hAnsi="Arial"/>
          <w:sz w:val="22"/>
          <w:szCs w:val="22"/>
          <w:color w:val="auto"/>
        </w:rPr>
      </w:pPr>
      <w:r>
        <w:rPr>
          <w:rFonts w:ascii="Arial" w:cs="Arial" w:eastAsia="Arial" w:hAnsi="Arial"/>
          <w:sz w:val="22"/>
          <w:szCs w:val="22"/>
          <w:color w:val="auto"/>
        </w:rPr>
        <w:t>the Gross Asset Value of any item of Property to be distributed to any Member shall be adjusted to equal the gross fair market value (taking Section 7701(g) of the Code into account) of such item immediately before the distribution of such Property; and</w:t>
      </w:r>
    </w:p>
    <w:p>
      <w:pPr>
        <w:spacing w:after="0" w:line="78" w:lineRule="exact"/>
        <w:rPr>
          <w:rFonts w:ascii="Arial" w:cs="Arial" w:eastAsia="Arial" w:hAnsi="Arial"/>
          <w:sz w:val="22"/>
          <w:szCs w:val="22"/>
          <w:color w:val="auto"/>
        </w:rPr>
      </w:pPr>
    </w:p>
    <w:p>
      <w:pPr>
        <w:ind w:left="400" w:right="440" w:firstLine="400"/>
        <w:spacing w:after="0" w:line="297" w:lineRule="auto"/>
        <w:tabs>
          <w:tab w:leader="none" w:pos="1102" w:val="left"/>
        </w:tabs>
        <w:numPr>
          <w:ilvl w:val="0"/>
          <w:numId w:val="39"/>
        </w:numPr>
        <w:rPr>
          <w:rFonts w:ascii="Arial" w:cs="Arial" w:eastAsia="Arial" w:hAnsi="Arial"/>
          <w:sz w:val="19"/>
          <w:szCs w:val="19"/>
          <w:color w:val="auto"/>
        </w:rPr>
      </w:pPr>
      <w:r>
        <w:rPr>
          <w:rFonts w:ascii="Arial" w:cs="Arial" w:eastAsia="Arial" w:hAnsi="Arial"/>
          <w:sz w:val="19"/>
          <w:szCs w:val="19"/>
          <w:color w:val="auto"/>
        </w:rPr>
        <w:t>the Gross Asset Values of each item of Property shall be increased (or decreased) to reflect any adjustments to the adjusted basis of such assets pursuant to Section 734(b) or Section 743(b) of the Code, but only to the extent that such adjustments are taken into account in determining Capital Accounts pursuant to Treasury Regulation</w:t>
      </w:r>
    </w:p>
    <w:p>
      <w:pPr>
        <w:spacing w:after="0" w:line="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928" w:right="279" w:bottom="1440" w:gutter="0" w:footer="0" w:header="0"/>
        </w:sectPr>
      </w:pPr>
    </w:p>
    <w:bookmarkStart w:id="118" w:name="page119"/>
    <w:bookmarkEnd w:id="118"/>
    <w:p>
      <w:pPr>
        <w:ind w:left="400" w:right="100"/>
        <w:spacing w:after="0" w:line="297" w:lineRule="auto"/>
        <w:rPr>
          <w:sz w:val="20"/>
          <w:szCs w:val="20"/>
          <w:color w:val="auto"/>
        </w:rPr>
      </w:pPr>
      <w:r>
        <w:rPr>
          <w:rFonts w:ascii="Arial" w:cs="Arial" w:eastAsia="Arial" w:hAnsi="Arial"/>
          <w:sz w:val="19"/>
          <w:szCs w:val="19"/>
          <w:color w:val="auto"/>
        </w:rPr>
        <w:t xml:space="preserve">Section 1.704-1(b)(2)(iv)(m) and subparagraph (f) of the definition of “Profits and Losses”;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Gross Asset Values shall not be adjusted pursuant to this subparagraph (d) to the extent that an adjustment pursuant to subparagraph (b) is required in connection with a transaction that would otherwise result in an adjustment pursuant to this subparagraph (d).</w:t>
      </w:r>
    </w:p>
    <w:p>
      <w:pPr>
        <w:spacing w:after="0" w:line="26" w:lineRule="exact"/>
        <w:rPr>
          <w:sz w:val="20"/>
          <w:szCs w:val="20"/>
          <w:color w:val="auto"/>
        </w:rPr>
      </w:pPr>
    </w:p>
    <w:p>
      <w:pPr>
        <w:ind w:right="80" w:firstLine="396"/>
        <w:spacing w:after="0"/>
        <w:rPr>
          <w:sz w:val="20"/>
          <w:szCs w:val="20"/>
          <w:color w:val="auto"/>
        </w:rPr>
      </w:pPr>
      <w:r>
        <w:rPr>
          <w:rFonts w:ascii="Arial" w:cs="Arial" w:eastAsia="Arial" w:hAnsi="Arial"/>
          <w:sz w:val="22"/>
          <w:szCs w:val="22"/>
          <w:color w:val="auto"/>
        </w:rPr>
        <w:t>If the Gross Asset Value of an item of Property has been determined or adjusted pursuant to subparagraphs (a), (b) or (d), such Gross Asset Value shall thereafter be adjusted by the Depreciation taken into account with respect to such asset for purposes of computing Profits and Losses.</w:t>
      </w:r>
    </w:p>
    <w:p>
      <w:pPr>
        <w:spacing w:after="0" w:line="78" w:lineRule="exact"/>
        <w:rPr>
          <w:sz w:val="20"/>
          <w:szCs w:val="20"/>
          <w:color w:val="auto"/>
        </w:rPr>
      </w:pPr>
    </w:p>
    <w:p>
      <w:pPr>
        <w:ind w:left="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Head of Engineering</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6.02(a)</w:t>
      </w:r>
      <w:r>
        <w:rPr>
          <w:rFonts w:ascii="Arial" w:cs="Arial" w:eastAsia="Arial" w:hAnsi="Arial"/>
          <w:sz w:val="22"/>
          <w:szCs w:val="22"/>
          <w:color w:val="auto"/>
        </w:rPr>
        <w:t>.</w:t>
      </w:r>
    </w:p>
    <w:p>
      <w:pPr>
        <w:spacing w:after="0" w:line="98" w:lineRule="exact"/>
        <w:rPr>
          <w:sz w:val="20"/>
          <w:szCs w:val="20"/>
          <w:color w:val="auto"/>
        </w:rPr>
      </w:pPr>
    </w:p>
    <w:p>
      <w:pPr>
        <w:ind w:left="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HR Director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6.02(b)</w:t>
      </w:r>
      <w:r>
        <w:rPr>
          <w:rFonts w:ascii="Arial" w:cs="Arial" w:eastAsia="Arial" w:hAnsi="Arial"/>
          <w:sz w:val="22"/>
          <w:szCs w:val="22"/>
          <w:color w:val="auto"/>
        </w:rPr>
        <w:t>.</w:t>
      </w:r>
    </w:p>
    <w:p>
      <w:pPr>
        <w:spacing w:after="0" w:line="98" w:lineRule="exact"/>
        <w:rPr>
          <w:sz w:val="20"/>
          <w:szCs w:val="20"/>
          <w:color w:val="auto"/>
        </w:rPr>
      </w:pPr>
    </w:p>
    <w:p>
      <w:pPr>
        <w:ind w:firstLine="396"/>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Indebtedness</w:t>
      </w:r>
      <w:r>
        <w:rPr>
          <w:rFonts w:ascii="Arial" w:cs="Arial" w:eastAsia="Arial" w:hAnsi="Arial"/>
          <w:sz w:val="19"/>
          <w:szCs w:val="19"/>
          <w:color w:val="auto"/>
        </w:rPr>
        <w:t xml:space="preserve">” means, with respect to any Person, the aggregate amount, without duplication, of (a) all obligations of such Person for borrowed money of any kind, including Intercompany Loans, overdraft, revolving line of credit, bank debt, structured financing, finance leases, short or long term asset-backed financing schemes (at carrying value) with the exception of operating leases, plus any accrued interest, capitalized interest, or arrears relating to any of such Indebtedness, (b) all obligations of such Person evidenced by ordinary or convertible bonds, debentures, notes or similar instruments, (c) all Indebtedness of others secured by (or for which the holder of such Indebtedness has an existing right, contingent or otherwise, to be secured by) any lien or encumbrance created over property owned or acquired by such Person, whether or not the Indebtedness secured thereby has been assumed, (d) all guarantees by such Person of Indebtedness of others, (e) dividends declared by such Person but not paid, (f) any payables, including trade payables and accrued expenses, overdue by more than 90 days less any unreserved for trade accounts receivable overdue by more than 90 days, (g) all non-operating expenses provided for on the balance sheet and that will materialize in cash outflows in the future, other than trade payables and accrued expenses incurred in the ordinary course of business, including any installment payment related to a litigation or other settlement of claims, and any other unpaid portion of non-operating expenses incurred by the Company and its Subsidiaries but excluded from EBITDA, and (h) the unfunded portion of all post-retirement employee benefit obligations; </w:t>
      </w:r>
      <w:r>
        <w:rPr>
          <w:rFonts w:ascii="Arial" w:cs="Arial" w:eastAsia="Arial" w:hAnsi="Arial"/>
          <w:sz w:val="19"/>
          <w:szCs w:val="19"/>
          <w:u w:val="single" w:color="auto"/>
          <w:color w:val="auto"/>
        </w:rPr>
        <w:t>provided</w:t>
      </w:r>
      <w:r>
        <w:rPr>
          <w:rFonts w:ascii="Arial" w:cs="Arial" w:eastAsia="Arial" w:hAnsi="Arial"/>
          <w:sz w:val="19"/>
          <w:szCs w:val="19"/>
          <w:color w:val="auto"/>
        </w:rPr>
        <w:t>, that the term “Indebtedness” shall not include (i) deferred or prepaid revenue,</w:t>
      </w:r>
    </w:p>
    <w:p>
      <w:pPr>
        <w:spacing w:after="0" w:line="6" w:lineRule="exact"/>
        <w:rPr>
          <w:sz w:val="20"/>
          <w:szCs w:val="20"/>
          <w:color w:val="auto"/>
        </w:rPr>
      </w:pPr>
    </w:p>
    <w:p>
      <w:pPr>
        <w:ind w:right="140" w:firstLine="8"/>
        <w:spacing w:after="0" w:line="275" w:lineRule="auto"/>
        <w:tabs>
          <w:tab w:leader="none" w:pos="318" w:val="left"/>
        </w:tabs>
        <w:numPr>
          <w:ilvl w:val="0"/>
          <w:numId w:val="40"/>
        </w:numPr>
        <w:rPr>
          <w:rFonts w:ascii="Arial" w:cs="Arial" w:eastAsia="Arial" w:hAnsi="Arial"/>
          <w:sz w:val="19"/>
          <w:szCs w:val="19"/>
          <w:color w:val="auto"/>
        </w:rPr>
      </w:pPr>
      <w:r>
        <w:rPr>
          <w:rFonts w:ascii="Arial" w:cs="Arial" w:eastAsia="Arial" w:hAnsi="Arial"/>
          <w:sz w:val="19"/>
          <w:szCs w:val="19"/>
          <w:color w:val="auto"/>
        </w:rPr>
        <w:t>purchase price holdbacks in respect of a portion of the purchase price of an asset to satisfy warranty or other unperformed obligations of the seller, (iii) obligations secured by a Permitted Lien or (iv) for the avoidance of doubt, any preferred equity interests issued by such Person (including, in the case of the Company, the Preferred Membership Units). The amount of Indebtedness of any Person for purposes of clause (c) above shall (unless such Indebtedness has been assumed by such Person) be deemed to be equal to the lesser of (A) the aggregate unpaid amount of such Indebtedness and (B) the fair market value of the property encumbered thereby as determined by such Person in good faith.</w:t>
      </w:r>
    </w:p>
    <w:p>
      <w:pPr>
        <w:spacing w:after="0" w:line="47" w:lineRule="exact"/>
        <w:rPr>
          <w:sz w:val="20"/>
          <w:szCs w:val="20"/>
          <w:color w:val="auto"/>
        </w:rPr>
      </w:pPr>
    </w:p>
    <w:p>
      <w:pPr>
        <w:ind w:left="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Indemnified Person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9.01(a)</w:t>
      </w:r>
      <w:r>
        <w:rPr>
          <w:rFonts w:ascii="Arial" w:cs="Arial" w:eastAsia="Arial" w:hAnsi="Arial"/>
          <w:sz w:val="22"/>
          <w:szCs w:val="22"/>
          <w:color w:val="auto"/>
        </w:rPr>
        <w:t>.</w:t>
      </w:r>
    </w:p>
    <w:p>
      <w:pPr>
        <w:spacing w:after="0" w:line="98" w:lineRule="exact"/>
        <w:rPr>
          <w:sz w:val="20"/>
          <w:szCs w:val="20"/>
          <w:color w:val="auto"/>
        </w:rPr>
      </w:pPr>
    </w:p>
    <w:p>
      <w:pPr>
        <w:ind w:left="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Capital Contribution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3.01(c)</w:t>
      </w:r>
      <w:r>
        <w:rPr>
          <w:rFonts w:ascii="Arial" w:cs="Arial" w:eastAsia="Arial" w:hAnsi="Arial"/>
          <w:sz w:val="22"/>
          <w:szCs w:val="22"/>
          <w:color w:val="auto"/>
        </w:rPr>
        <w:t>.</w:t>
      </w:r>
    </w:p>
    <w:p>
      <w:pPr>
        <w:spacing w:after="0" w:line="98" w:lineRule="exact"/>
        <w:rPr>
          <w:sz w:val="20"/>
          <w:szCs w:val="20"/>
          <w:color w:val="auto"/>
        </w:rPr>
      </w:pPr>
    </w:p>
    <w:p>
      <w:pPr>
        <w:ind w:left="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Intellectual Property Agreements</w:t>
      </w:r>
      <w:r>
        <w:rPr>
          <w:rFonts w:ascii="Arial" w:cs="Arial" w:eastAsia="Arial" w:hAnsi="Arial"/>
          <w:sz w:val="22"/>
          <w:szCs w:val="22"/>
          <w:color w:val="auto"/>
        </w:rPr>
        <w:t>” means the Albany IPLA and the Safran IPLA.</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712" w:right="259" w:bottom="1440" w:gutter="0" w:footer="0" w:header="0"/>
        </w:sectPr>
      </w:pPr>
    </w:p>
    <w:bookmarkStart w:id="119" w:name="page120"/>
    <w:bookmarkEnd w:id="119"/>
    <w:p>
      <w:pPr>
        <w:ind w:left="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Intercompany Loans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3.09</w:t>
      </w:r>
      <w:r>
        <w:rPr>
          <w:rFonts w:ascii="Arial" w:cs="Arial" w:eastAsia="Arial" w:hAnsi="Arial"/>
          <w:sz w:val="22"/>
          <w:szCs w:val="22"/>
          <w:color w:val="auto"/>
        </w:rPr>
        <w:t>.</w:t>
      </w:r>
    </w:p>
    <w:p>
      <w:pPr>
        <w:spacing w:after="0" w:line="98" w:lineRule="exact"/>
        <w:rPr>
          <w:sz w:val="20"/>
          <w:szCs w:val="20"/>
          <w:color w:val="auto"/>
        </w:rPr>
      </w:pPr>
    </w:p>
    <w:p>
      <w:pPr>
        <w:ind w:right="420" w:firstLine="396"/>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Investment Company Act</w:t>
      </w:r>
      <w:r>
        <w:rPr>
          <w:rFonts w:ascii="Arial" w:cs="Arial" w:eastAsia="Arial" w:hAnsi="Arial"/>
          <w:sz w:val="22"/>
          <w:szCs w:val="22"/>
          <w:color w:val="auto"/>
        </w:rPr>
        <w:t>” means the Investment Company Act of 1940, as amended from time to time, and the rules and regulations promulgated thereunder.</w:t>
      </w:r>
    </w:p>
    <w:p>
      <w:pPr>
        <w:spacing w:after="0" w:line="65" w:lineRule="exact"/>
        <w:rPr>
          <w:sz w:val="20"/>
          <w:szCs w:val="20"/>
          <w:color w:val="auto"/>
        </w:rPr>
      </w:pPr>
    </w:p>
    <w:p>
      <w:pPr>
        <w:ind w:left="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ITAR</w:t>
      </w:r>
      <w:r>
        <w:rPr>
          <w:rFonts w:ascii="Arial" w:cs="Arial" w:eastAsia="Arial" w:hAnsi="Arial"/>
          <w:sz w:val="22"/>
          <w:szCs w:val="22"/>
          <w:color w:val="auto"/>
        </w:rPr>
        <w:t>” means the International Traffic in Arms Regulations maintained by the U.S. Department of State.</w:t>
      </w:r>
    </w:p>
    <w:p>
      <w:pPr>
        <w:spacing w:after="0" w:line="98" w:lineRule="exact"/>
        <w:rPr>
          <w:sz w:val="20"/>
          <w:szCs w:val="20"/>
          <w:color w:val="auto"/>
        </w:rPr>
      </w:pPr>
    </w:p>
    <w:p>
      <w:pPr>
        <w:ind w:left="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Law</w:t>
      </w:r>
      <w:r>
        <w:rPr>
          <w:rFonts w:ascii="Arial" w:cs="Arial" w:eastAsia="Arial" w:hAnsi="Arial"/>
          <w:sz w:val="22"/>
          <w:szCs w:val="22"/>
          <w:color w:val="auto"/>
        </w:rPr>
        <w:t>” means any law, statute, code, ordinance, regulation or rule of any Governmental Authority.</w:t>
      </w:r>
    </w:p>
    <w:p>
      <w:pPr>
        <w:spacing w:after="0" w:line="98" w:lineRule="exact"/>
        <w:rPr>
          <w:sz w:val="20"/>
          <w:szCs w:val="20"/>
          <w:color w:val="auto"/>
        </w:rPr>
      </w:pPr>
    </w:p>
    <w:p>
      <w:pPr>
        <w:ind w:right="20" w:firstLine="396"/>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Long Term Supply Agreement</w:t>
      </w:r>
      <w:r>
        <w:rPr>
          <w:rFonts w:ascii="Arial" w:cs="Arial" w:eastAsia="Arial" w:hAnsi="Arial"/>
          <w:sz w:val="22"/>
          <w:szCs w:val="22"/>
          <w:color w:val="auto"/>
        </w:rPr>
        <w:t xml:space="preserve">” means that certain Long Term Supply Agreement, dated October 28, 2011, between Snecma, a French </w:t>
      </w:r>
      <w:r>
        <w:rPr>
          <w:rFonts w:ascii="Arial" w:cs="Arial" w:eastAsia="Arial" w:hAnsi="Arial"/>
          <w:sz w:val="22"/>
          <w:szCs w:val="22"/>
          <w:i w:val="1"/>
          <w:iCs w:val="1"/>
          <w:color w:val="auto"/>
        </w:rPr>
        <w:t>société anonyme</w:t>
      </w:r>
      <w:r>
        <w:rPr>
          <w:rFonts w:ascii="Arial" w:cs="Arial" w:eastAsia="Arial" w:hAnsi="Arial"/>
          <w:sz w:val="22"/>
          <w:szCs w:val="22"/>
          <w:color w:val="auto"/>
        </w:rPr>
        <w:t>, and Albany (which agreement has been assigned by Albany to the Company as of the Effective Time pursuant to the Albany Contribution Agreement), as it may be amended, modified or supplemented from time to time in accordance with its terms.</w:t>
      </w:r>
    </w:p>
    <w:p>
      <w:pPr>
        <w:spacing w:after="0" w:line="77" w:lineRule="exact"/>
        <w:rPr>
          <w:sz w:val="20"/>
          <w:szCs w:val="20"/>
          <w:color w:val="auto"/>
        </w:rPr>
      </w:pPr>
    </w:p>
    <w:p>
      <w:pPr>
        <w:ind w:left="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Management Committee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6.03</w:t>
      </w:r>
      <w:r>
        <w:rPr>
          <w:rFonts w:ascii="Arial" w:cs="Arial" w:eastAsia="Arial" w:hAnsi="Arial"/>
          <w:sz w:val="22"/>
          <w:szCs w:val="22"/>
          <w:color w:val="auto"/>
        </w:rPr>
        <w:t>.</w:t>
      </w:r>
    </w:p>
    <w:p>
      <w:pPr>
        <w:spacing w:after="0" w:line="98" w:lineRule="exact"/>
        <w:rPr>
          <w:sz w:val="20"/>
          <w:szCs w:val="20"/>
          <w:color w:val="auto"/>
        </w:rPr>
      </w:pPr>
    </w:p>
    <w:p>
      <w:pPr>
        <w:ind w:left="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Manager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5.01(b)</w:t>
      </w:r>
      <w:r>
        <w:rPr>
          <w:rFonts w:ascii="Arial" w:cs="Arial" w:eastAsia="Arial" w:hAnsi="Arial"/>
          <w:sz w:val="22"/>
          <w:szCs w:val="22"/>
          <w:color w:val="auto"/>
        </w:rPr>
        <w:t>.</w:t>
      </w:r>
    </w:p>
    <w:p>
      <w:pPr>
        <w:spacing w:after="0" w:line="98" w:lineRule="exact"/>
        <w:rPr>
          <w:sz w:val="20"/>
          <w:szCs w:val="20"/>
          <w:color w:val="auto"/>
        </w:rPr>
      </w:pPr>
    </w:p>
    <w:p>
      <w:pPr>
        <w:ind w:firstLine="396"/>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Material Indebtedness</w:t>
      </w:r>
      <w:r>
        <w:rPr>
          <w:rFonts w:ascii="Arial" w:cs="Arial" w:eastAsia="Arial" w:hAnsi="Arial"/>
          <w:sz w:val="21"/>
          <w:szCs w:val="21"/>
          <w:color w:val="auto"/>
        </w:rPr>
        <w:t xml:space="preserve">” means any indebtedness of the Company or its Subsidiaries for borrowed money from third parties in aggregate principal amount in excess of $1,000,000;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Material Indebtedness shall not include (a) any indebtedness of the Company or its Subsidiaries in respect of any Intercompany Loan or (b) any indebtedness contemplated by the Five Year Business Plan or by the Annual Business Plan for the then-current Fiscal Year;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that a series of related transactions structured to avoid meeting the definition of Material Indebtedness shall be deemed to be Material Indebtedness if such series of transactions would otherwise meet the definition of Material Indebtedness by considering such series of transactions in the aggregate as a single transaction.</w:t>
      </w:r>
    </w:p>
    <w:p>
      <w:pPr>
        <w:spacing w:after="0" w:line="70" w:lineRule="exact"/>
        <w:rPr>
          <w:sz w:val="20"/>
          <w:szCs w:val="20"/>
          <w:color w:val="auto"/>
        </w:rPr>
      </w:pPr>
    </w:p>
    <w:p>
      <w:pPr>
        <w:ind w:left="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Milestones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5.09(b)</w:t>
      </w:r>
      <w:r>
        <w:rPr>
          <w:rFonts w:ascii="Arial" w:cs="Arial" w:eastAsia="Arial" w:hAnsi="Arial"/>
          <w:sz w:val="22"/>
          <w:szCs w:val="22"/>
          <w:color w:val="auto"/>
        </w:rPr>
        <w:t>.</w:t>
      </w:r>
    </w:p>
    <w:p>
      <w:pPr>
        <w:spacing w:after="0" w:line="98" w:lineRule="exact"/>
        <w:rPr>
          <w:sz w:val="20"/>
          <w:szCs w:val="20"/>
          <w:color w:val="auto"/>
        </w:rPr>
      </w:pPr>
    </w:p>
    <w:p>
      <w:pPr>
        <w:ind w:firstLine="396"/>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Transaction</w:t>
      </w:r>
      <w:r>
        <w:rPr>
          <w:rFonts w:ascii="Arial" w:cs="Arial" w:eastAsia="Arial" w:hAnsi="Arial"/>
          <w:sz w:val="19"/>
          <w:szCs w:val="19"/>
          <w:color w:val="auto"/>
        </w:rPr>
        <w:t xml:space="preserve">” means any acquisition, sale, transfer, assignment, conveyance or other disposition (including in connection with the settlement of any lawsuit or administrative proceeding against the Company or any Subsidiary of the Company) of property or assets (including any corporation, partnership, limited liability company, other business organization or division thereof) for a purchase price or yielding gross proceeds in excess of $1,000,000, other than (a) any sale of products in the ordinary course of business and (b) any transaction pursuant to the Five Year Business Plan or the Annual Business Plan for the then-current Fiscal Year;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a series of related transactions structured to avoid meeting the definition of Material Transaction shall be deemed to be a Material Transaction if such series of transactions would otherwise meet the definition of Material Transaction by considering such series of transactions in the aggregate as a single transaction.</w:t>
      </w:r>
    </w:p>
    <w:p>
      <w:pPr>
        <w:spacing w:after="0" w:line="50" w:lineRule="exact"/>
        <w:rPr>
          <w:sz w:val="20"/>
          <w:szCs w:val="20"/>
          <w:color w:val="auto"/>
        </w:rPr>
      </w:pPr>
    </w:p>
    <w:p>
      <w:pPr>
        <w:ind w:left="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Member</w:t>
      </w:r>
      <w:r>
        <w:rPr>
          <w:rFonts w:ascii="Arial" w:cs="Arial" w:eastAsia="Arial" w:hAnsi="Arial"/>
          <w:sz w:val="22"/>
          <w:szCs w:val="22"/>
          <w:color w:val="auto"/>
        </w:rPr>
        <w:t>” has the meaning set forth in the preamble.</w:t>
      </w:r>
    </w:p>
    <w:p>
      <w:pPr>
        <w:spacing w:after="0" w:line="98" w:lineRule="exact"/>
        <w:rPr>
          <w:sz w:val="20"/>
          <w:szCs w:val="20"/>
          <w:color w:val="auto"/>
        </w:rPr>
      </w:pPr>
    </w:p>
    <w:p>
      <w:pPr>
        <w:ind w:right="620" w:firstLine="396"/>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Membership Units</w:t>
      </w:r>
      <w:r>
        <w:rPr>
          <w:rFonts w:ascii="Arial" w:cs="Arial" w:eastAsia="Arial" w:hAnsi="Arial"/>
          <w:sz w:val="22"/>
          <w:szCs w:val="22"/>
          <w:color w:val="auto"/>
        </w:rPr>
        <w:t>” means membership interests in the Company, including Common Membership Units and Preferred Membership Units. Each Membership Unit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712" w:right="239" w:bottom="1440" w:gutter="0" w:footer="0" w:header="0"/>
        </w:sectPr>
      </w:pPr>
    </w:p>
    <w:bookmarkStart w:id="120" w:name="page121"/>
    <w:bookmarkEnd w:id="120"/>
    <w:p>
      <w:pPr>
        <w:spacing w:after="0"/>
        <w:rPr>
          <w:sz w:val="20"/>
          <w:szCs w:val="20"/>
          <w:color w:val="auto"/>
        </w:rPr>
      </w:pPr>
      <w:r>
        <w:rPr>
          <w:rFonts w:ascii="Arial" w:cs="Arial" w:eastAsia="Arial" w:hAnsi="Arial"/>
          <w:sz w:val="19"/>
          <w:szCs w:val="19"/>
          <w:color w:val="auto"/>
        </w:rPr>
        <w:t>represents a limited liability company interest with the rights, powers and preferences provided in this Agreement and by the Act.</w:t>
      </w:r>
    </w:p>
    <w:p>
      <w:pPr>
        <w:spacing w:after="0" w:line="241" w:lineRule="exact"/>
        <w:rPr>
          <w:sz w:val="20"/>
          <w:szCs w:val="20"/>
          <w:color w:val="auto"/>
        </w:rPr>
      </w:pPr>
    </w:p>
    <w:p>
      <w:pPr>
        <w:ind w:left="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Moody’s</w:t>
      </w:r>
      <w:r>
        <w:rPr>
          <w:rFonts w:ascii="Arial" w:cs="Arial" w:eastAsia="Arial" w:hAnsi="Arial"/>
          <w:sz w:val="22"/>
          <w:szCs w:val="22"/>
          <w:color w:val="auto"/>
        </w:rPr>
        <w:t>” means Moody’s Investors Service, Inc. and any successors thereto.</w:t>
      </w:r>
    </w:p>
    <w:p>
      <w:pPr>
        <w:spacing w:after="0" w:line="98" w:lineRule="exact"/>
        <w:rPr>
          <w:sz w:val="20"/>
          <w:szCs w:val="20"/>
          <w:color w:val="auto"/>
        </w:rPr>
      </w:pPr>
    </w:p>
    <w:p>
      <w:pPr>
        <w:ind w:right="640" w:firstLine="396"/>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Net Indebtedness</w:t>
      </w:r>
      <w:r>
        <w:rPr>
          <w:rFonts w:ascii="Arial" w:cs="Arial" w:eastAsia="Arial" w:hAnsi="Arial"/>
          <w:sz w:val="21"/>
          <w:szCs w:val="21"/>
          <w:color w:val="auto"/>
        </w:rPr>
        <w:t>” means, as of any date, the Indebtedness of the Company and its Subsidiaries, minus cash (excluding Restricted Cash), cash equivalents and Permitted Investments of the Company and its Subsidiaries.</w:t>
      </w:r>
    </w:p>
    <w:p>
      <w:pPr>
        <w:spacing w:after="0" w:line="43" w:lineRule="exact"/>
        <w:rPr>
          <w:sz w:val="20"/>
          <w:szCs w:val="20"/>
          <w:color w:val="auto"/>
        </w:rPr>
      </w:pPr>
    </w:p>
    <w:p>
      <w:pPr>
        <w:ind w:left="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Non-U.S. Person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11.01(e)(i)</w:t>
      </w:r>
      <w:r>
        <w:rPr>
          <w:rFonts w:ascii="Arial" w:cs="Arial" w:eastAsia="Arial" w:hAnsi="Arial"/>
          <w:sz w:val="22"/>
          <w:szCs w:val="22"/>
          <w:color w:val="auto"/>
        </w:rPr>
        <w:t>.</w:t>
      </w:r>
    </w:p>
    <w:p>
      <w:pPr>
        <w:spacing w:after="0" w:line="98" w:lineRule="exact"/>
        <w:rPr>
          <w:sz w:val="20"/>
          <w:szCs w:val="20"/>
          <w:color w:val="auto"/>
        </w:rPr>
      </w:pPr>
    </w:p>
    <w:p>
      <w:pPr>
        <w:ind w:right="100" w:firstLine="396"/>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w:t>
      </w:r>
      <w:r>
        <w:rPr>
          <w:rFonts w:ascii="Arial" w:cs="Arial" w:eastAsia="Arial" w:hAnsi="Arial"/>
          <w:sz w:val="22"/>
          <w:szCs w:val="22"/>
          <w:color w:val="auto"/>
        </w:rPr>
        <w:t>” means any type of resin transfer molded part that employs the use of one or more 3D woven preforms and has the same end use as a part used by Safran S.A. or any of its Affiliates.</w:t>
      </w:r>
    </w:p>
    <w:p>
      <w:pPr>
        <w:spacing w:after="0" w:line="65" w:lineRule="exact"/>
        <w:rPr>
          <w:sz w:val="20"/>
          <w:szCs w:val="20"/>
          <w:color w:val="auto"/>
        </w:rPr>
      </w:pPr>
    </w:p>
    <w:p>
      <w:pPr>
        <w:ind w:left="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Party</w:t>
      </w:r>
      <w:r>
        <w:rPr>
          <w:rFonts w:ascii="Arial" w:cs="Arial" w:eastAsia="Arial" w:hAnsi="Arial"/>
          <w:sz w:val="22"/>
          <w:szCs w:val="22"/>
          <w:color w:val="auto"/>
        </w:rPr>
        <w:t>” means each of Albany, Albany International, Safran and Safran S.A. (collectively, the “</w:t>
      </w:r>
      <w:r>
        <w:rPr>
          <w:rFonts w:ascii="Arial" w:cs="Arial" w:eastAsia="Arial" w:hAnsi="Arial"/>
          <w:sz w:val="22"/>
          <w:szCs w:val="22"/>
          <w:u w:val="single" w:color="auto"/>
          <w:color w:val="auto"/>
        </w:rPr>
        <w:t>Parties</w:t>
      </w:r>
      <w:r>
        <w:rPr>
          <w:rFonts w:ascii="Arial" w:cs="Arial" w:eastAsia="Arial" w:hAnsi="Arial"/>
          <w:sz w:val="22"/>
          <w:szCs w:val="22"/>
          <w:color w:val="auto"/>
        </w:rPr>
        <w:t>”).</w:t>
      </w:r>
    </w:p>
    <w:p>
      <w:pPr>
        <w:spacing w:after="0" w:line="98" w:lineRule="exact"/>
        <w:rPr>
          <w:sz w:val="20"/>
          <w:szCs w:val="20"/>
          <w:color w:val="auto"/>
        </w:rPr>
      </w:pPr>
    </w:p>
    <w:p>
      <w:pPr>
        <w:jc w:val="both"/>
        <w:ind w:right="400" w:firstLine="3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Percentage Interest</w:t>
      </w:r>
      <w:r>
        <w:rPr>
          <w:rFonts w:ascii="Arial" w:cs="Arial" w:eastAsia="Arial" w:hAnsi="Arial"/>
          <w:sz w:val="22"/>
          <w:szCs w:val="22"/>
          <w:color w:val="auto"/>
        </w:rPr>
        <w:t>” means, with respect to any Common Member, the number of Common Membership Units owned by such Common Member and its Affiliates divided by the total number of outstanding Common Membership Units multiplied by 100%.</w:t>
      </w:r>
    </w:p>
    <w:p>
      <w:pPr>
        <w:spacing w:after="0" w:line="78" w:lineRule="exact"/>
        <w:rPr>
          <w:sz w:val="20"/>
          <w:szCs w:val="20"/>
          <w:color w:val="auto"/>
        </w:rPr>
      </w:pPr>
    </w:p>
    <w:p>
      <w:pPr>
        <w:ind w:left="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Investments</w:t>
      </w:r>
      <w:r>
        <w:rPr>
          <w:rFonts w:ascii="Arial" w:cs="Arial" w:eastAsia="Arial" w:hAnsi="Arial"/>
          <w:sz w:val="22"/>
          <w:szCs w:val="22"/>
          <w:color w:val="auto"/>
        </w:rPr>
        <w:t>” means:</w:t>
      </w:r>
    </w:p>
    <w:p>
      <w:pPr>
        <w:spacing w:after="0" w:line="98" w:lineRule="exact"/>
        <w:rPr>
          <w:sz w:val="20"/>
          <w:szCs w:val="20"/>
          <w:color w:val="auto"/>
        </w:rPr>
      </w:pPr>
    </w:p>
    <w:p>
      <w:pPr>
        <w:ind w:left="400" w:firstLine="400"/>
        <w:spacing w:after="0" w:line="258" w:lineRule="auto"/>
        <w:tabs>
          <w:tab w:leader="none" w:pos="1090" w:val="left"/>
        </w:tabs>
        <w:numPr>
          <w:ilvl w:val="1"/>
          <w:numId w:val="41"/>
        </w:numPr>
        <w:rPr>
          <w:rFonts w:ascii="Arial" w:cs="Arial" w:eastAsia="Arial" w:hAnsi="Arial"/>
          <w:sz w:val="21"/>
          <w:szCs w:val="21"/>
          <w:color w:val="auto"/>
        </w:rPr>
      </w:pPr>
      <w:r>
        <w:rPr>
          <w:rFonts w:ascii="Arial" w:cs="Arial" w:eastAsia="Arial" w:hAnsi="Arial"/>
          <w:sz w:val="21"/>
          <w:szCs w:val="21"/>
          <w:color w:val="auto"/>
        </w:rPr>
        <w:t>direct obligations of, or obligations the principal of and interest on which are unconditionally guaranteed by, the United States of America (or by any agency thereof to the extent such obligations are backed by the full faith and credit of the United States of America), in each case maturing within one (1) year from the date of acquisition thereof;</w:t>
      </w:r>
    </w:p>
    <w:p>
      <w:pPr>
        <w:spacing w:after="0" w:line="58" w:lineRule="exact"/>
        <w:rPr>
          <w:rFonts w:ascii="Arial" w:cs="Arial" w:eastAsia="Arial" w:hAnsi="Arial"/>
          <w:sz w:val="21"/>
          <w:szCs w:val="21"/>
          <w:color w:val="auto"/>
        </w:rPr>
      </w:pPr>
    </w:p>
    <w:p>
      <w:pPr>
        <w:ind w:left="400" w:right="360" w:firstLine="400"/>
        <w:spacing w:after="0" w:line="251" w:lineRule="auto"/>
        <w:tabs>
          <w:tab w:leader="none" w:pos="1102" w:val="left"/>
        </w:tabs>
        <w:numPr>
          <w:ilvl w:val="1"/>
          <w:numId w:val="41"/>
        </w:numPr>
        <w:rPr>
          <w:rFonts w:ascii="Arial" w:cs="Arial" w:eastAsia="Arial" w:hAnsi="Arial"/>
          <w:sz w:val="22"/>
          <w:szCs w:val="22"/>
          <w:color w:val="auto"/>
        </w:rPr>
      </w:pPr>
      <w:r>
        <w:rPr>
          <w:rFonts w:ascii="Arial" w:cs="Arial" w:eastAsia="Arial" w:hAnsi="Arial"/>
          <w:sz w:val="22"/>
          <w:szCs w:val="22"/>
          <w:color w:val="auto"/>
        </w:rPr>
        <w:t>investments in commercial paper maturing within 270 days from the date of acquisition thereof and having, at such date of acquisition, the highest credit rating obtainable from S&amp;P or from Moody’s;</w:t>
      </w:r>
    </w:p>
    <w:p>
      <w:pPr>
        <w:spacing w:after="0" w:line="65" w:lineRule="exact"/>
        <w:rPr>
          <w:rFonts w:ascii="Arial" w:cs="Arial" w:eastAsia="Arial" w:hAnsi="Arial"/>
          <w:sz w:val="22"/>
          <w:szCs w:val="22"/>
          <w:color w:val="auto"/>
        </w:rPr>
      </w:pPr>
    </w:p>
    <w:p>
      <w:pPr>
        <w:ind w:left="400" w:right="180" w:firstLine="400"/>
        <w:spacing w:after="0" w:line="252" w:lineRule="auto"/>
        <w:tabs>
          <w:tab w:leader="none" w:pos="1090" w:val="left"/>
        </w:tabs>
        <w:numPr>
          <w:ilvl w:val="1"/>
          <w:numId w:val="41"/>
        </w:numPr>
        <w:rPr>
          <w:rFonts w:ascii="Arial" w:cs="Arial" w:eastAsia="Arial" w:hAnsi="Arial"/>
          <w:sz w:val="21"/>
          <w:szCs w:val="21"/>
          <w:color w:val="auto"/>
        </w:rPr>
      </w:pPr>
      <w:r>
        <w:rPr>
          <w:rFonts w:ascii="Arial" w:cs="Arial" w:eastAsia="Arial" w:hAnsi="Arial"/>
          <w:sz w:val="21"/>
          <w:szCs w:val="21"/>
          <w:color w:val="auto"/>
        </w:rPr>
        <w:t>investments in certificates of deposit, bankers’ acceptances and time deposits maturing within 180 days from the date of acquisition thereof issued or guaranteed by or placed with, and money market deposit accounts issued or offered by, any domestic office of any commercial bank organized under the laws of the United States of America or any State thereof which has a combined capital and surplus and undivided profits of not less than $500,000,000; and</w:t>
      </w:r>
    </w:p>
    <w:p>
      <w:pPr>
        <w:spacing w:after="0" w:line="66" w:lineRule="exact"/>
        <w:rPr>
          <w:rFonts w:ascii="Arial" w:cs="Arial" w:eastAsia="Arial" w:hAnsi="Arial"/>
          <w:sz w:val="21"/>
          <w:szCs w:val="21"/>
          <w:color w:val="auto"/>
        </w:rPr>
      </w:pPr>
    </w:p>
    <w:p>
      <w:pPr>
        <w:ind w:left="1100" w:hanging="300"/>
        <w:spacing w:after="0"/>
        <w:tabs>
          <w:tab w:leader="none" w:pos="1100" w:val="left"/>
        </w:tabs>
        <w:numPr>
          <w:ilvl w:val="1"/>
          <w:numId w:val="41"/>
        </w:numPr>
        <w:rPr>
          <w:rFonts w:ascii="Arial" w:cs="Arial" w:eastAsia="Arial" w:hAnsi="Arial"/>
          <w:sz w:val="19"/>
          <w:szCs w:val="19"/>
          <w:color w:val="auto"/>
        </w:rPr>
      </w:pPr>
      <w:r>
        <w:rPr>
          <w:rFonts w:ascii="Arial" w:cs="Arial" w:eastAsia="Arial" w:hAnsi="Arial"/>
          <w:sz w:val="19"/>
          <w:szCs w:val="19"/>
          <w:color w:val="auto"/>
        </w:rPr>
        <w:t>shares of money market mutual or similar funds that invest exclusively in assets satisfying the requirements of clauses</w:t>
      </w:r>
    </w:p>
    <w:p>
      <w:pPr>
        <w:spacing w:after="0" w:line="42" w:lineRule="exact"/>
        <w:rPr>
          <w:rFonts w:ascii="Arial" w:cs="Arial" w:eastAsia="Arial" w:hAnsi="Arial"/>
          <w:sz w:val="19"/>
          <w:szCs w:val="19"/>
          <w:color w:val="auto"/>
        </w:rPr>
      </w:pPr>
    </w:p>
    <w:p>
      <w:pPr>
        <w:ind w:left="700" w:hanging="296"/>
        <w:spacing w:after="0"/>
        <w:tabs>
          <w:tab w:leader="none" w:pos="700" w:val="left"/>
        </w:tabs>
        <w:numPr>
          <w:ilvl w:val="0"/>
          <w:numId w:val="42"/>
        </w:numPr>
        <w:rPr>
          <w:rFonts w:ascii="Arial" w:cs="Arial" w:eastAsia="Arial" w:hAnsi="Arial"/>
          <w:sz w:val="22"/>
          <w:szCs w:val="22"/>
          <w:color w:val="auto"/>
        </w:rPr>
      </w:pPr>
      <w:r>
        <w:rPr>
          <w:rFonts w:ascii="Arial" w:cs="Arial" w:eastAsia="Arial" w:hAnsi="Arial"/>
          <w:sz w:val="22"/>
          <w:szCs w:val="22"/>
          <w:color w:val="auto"/>
        </w:rPr>
        <w:t>through (c) above.</w:t>
      </w:r>
    </w:p>
    <w:p>
      <w:pPr>
        <w:spacing w:after="0" w:line="80" w:lineRule="exact"/>
        <w:rPr>
          <w:sz w:val="20"/>
          <w:szCs w:val="20"/>
          <w:color w:val="auto"/>
        </w:rPr>
      </w:pPr>
    </w:p>
    <w:p>
      <w:pPr>
        <w:ind w:right="360" w:firstLine="396"/>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Liens</w:t>
      </w:r>
      <w:r>
        <w:rPr>
          <w:rFonts w:ascii="Arial" w:cs="Arial" w:eastAsia="Arial" w:hAnsi="Arial"/>
          <w:sz w:val="22"/>
          <w:szCs w:val="22"/>
          <w:color w:val="auto"/>
        </w:rPr>
        <w:t>” means (a) defects, easements, rights of way, restrictions, irregularities, encumbrances (other than for borrowed money) on title and statutory liens that do not materially impair the value or use by the Company or any of its Subsidiaries of the real property rights affected, (b) liens, deposits or pledges to secure statutory obligations relating to worker’s compensation and/or unemployment insurance or other social security legislation, (c) liens, deposits or pledges arising out of judgments or awards so long as enforcement of any such</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121" w:name="page122"/>
    <w:bookmarkEnd w:id="121"/>
    <w:p>
      <w:pPr>
        <w:ind w:right="20"/>
        <w:spacing w:after="0" w:line="272" w:lineRule="auto"/>
        <w:rPr>
          <w:sz w:val="20"/>
          <w:szCs w:val="20"/>
          <w:color w:val="auto"/>
        </w:rPr>
      </w:pPr>
      <w:r>
        <w:rPr>
          <w:rFonts w:ascii="Arial" w:cs="Arial" w:eastAsia="Arial" w:hAnsi="Arial"/>
          <w:sz w:val="19"/>
          <w:szCs w:val="19"/>
          <w:color w:val="auto"/>
        </w:rPr>
        <w:t>lien has been stayed and an appeal or proceeding for review is being prosecuted in good faith, or in connection with which security has been provided, (d) liens, deposits or pledges for taxes not yet due or that are being contested in good faith by appropriate proceedings or are bonded or reserved, (e) carriers’, warehousemen’s, mechanics’, materialmen’s, repairmen’s, supplier’s, construction, employees’, contractors’, operators’ or other similar liens or charges securing the payment of expenses not yet due and payable that were incurred by the Company or any of its Subsidiaries in the ordinary course of business or which are the subject of a good faith contest or for which security for such lien has otherwise been provided, (f) trade contracts or other obligations of a like nature incurred in the ordinary course of business, (g) obligations or duties to any Governmental Authority arising in the ordinary course of business (including under licenses and permits held and under all applicable laws, rules, regulations and orders of any Governmental Authority), (h) liens, deposits or pledges to secure statutory obligations or performance of bids, leases, tenders or contracts incurred in the ordinary course of business (other than for the repayment of borrowed money) and (i) all other encumbrances and exceptions that are incurred in the ordinary course of business, are not incurred for borrowed money, not to exceed $1,000,000 in the aggregate.</w:t>
      </w:r>
    </w:p>
    <w:p>
      <w:pPr>
        <w:spacing w:after="0" w:line="200" w:lineRule="exact"/>
        <w:rPr>
          <w:sz w:val="20"/>
          <w:szCs w:val="20"/>
          <w:color w:val="auto"/>
        </w:rPr>
      </w:pPr>
    </w:p>
    <w:p>
      <w:pPr>
        <w:spacing w:after="0" w:line="209" w:lineRule="exact"/>
        <w:rPr>
          <w:sz w:val="20"/>
          <w:szCs w:val="20"/>
          <w:color w:val="auto"/>
        </w:rPr>
      </w:pPr>
    </w:p>
    <w:p>
      <w:pPr>
        <w:ind w:left="4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Permitted Transfer</w:t>
      </w:r>
      <w:r>
        <w:rPr>
          <w:rFonts w:ascii="Arial" w:cs="Arial" w:eastAsia="Arial" w:hAnsi="Arial"/>
          <w:sz w:val="21"/>
          <w:szCs w:val="21"/>
          <w:color w:val="auto"/>
        </w:rPr>
        <w:t xml:space="preserve">” means a Transfer of Membership Units in accordance with </w:t>
      </w:r>
      <w:r>
        <w:rPr>
          <w:rFonts w:ascii="Arial" w:cs="Arial" w:eastAsia="Arial" w:hAnsi="Arial"/>
          <w:sz w:val="21"/>
          <w:szCs w:val="21"/>
          <w:u w:val="single" w:color="auto"/>
          <w:color w:val="auto"/>
        </w:rPr>
        <w:t>Section 7.03(a)</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7.03(b)</w:t>
      </w:r>
      <w:r>
        <w:rPr>
          <w:rFonts w:ascii="Arial" w:cs="Arial" w:eastAsia="Arial" w:hAnsi="Arial"/>
          <w:sz w:val="21"/>
          <w:szCs w:val="21"/>
          <w:color w:val="auto"/>
        </w:rPr>
        <w:t>.</w:t>
      </w:r>
    </w:p>
    <w:p>
      <w:pPr>
        <w:spacing w:after="0" w:line="110" w:lineRule="exact"/>
        <w:rPr>
          <w:sz w:val="20"/>
          <w:szCs w:val="20"/>
          <w:color w:val="auto"/>
        </w:rPr>
      </w:pPr>
    </w:p>
    <w:p>
      <w:pPr>
        <w:ind w:right="560" w:firstLine="396"/>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any individual, corporation, partnership, limited liability company, joint venture, association, joint-stock company, trust, unincorporated organization, governmental entity or any other entity.</w:t>
      </w:r>
    </w:p>
    <w:p>
      <w:pPr>
        <w:spacing w:after="0" w:line="65" w:lineRule="exact"/>
        <w:rPr>
          <w:sz w:val="20"/>
          <w:szCs w:val="20"/>
          <w:color w:val="auto"/>
        </w:rPr>
      </w:pPr>
    </w:p>
    <w:p>
      <w:pPr>
        <w:ind w:right="520" w:firstLine="396"/>
        <w:spacing w:after="0" w:line="32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Preferred Capital</w:t>
      </w:r>
      <w:r>
        <w:rPr>
          <w:rFonts w:ascii="Arial" w:cs="Arial" w:eastAsia="Arial" w:hAnsi="Arial"/>
          <w:sz w:val="19"/>
          <w:szCs w:val="19"/>
          <w:color w:val="auto"/>
        </w:rPr>
        <w:t>” means, with respect to any Preferred Member, the sum of (i) the amount designated on Schedule B as Preferred Capital with respect to such Preferred Member and (ii) any accrued and unpaid Preferred Return thereon.</w:t>
      </w:r>
    </w:p>
    <w:p>
      <w:pPr>
        <w:spacing w:after="0" w:line="1" w:lineRule="exact"/>
        <w:rPr>
          <w:sz w:val="20"/>
          <w:szCs w:val="20"/>
          <w:color w:val="auto"/>
        </w:rPr>
      </w:pPr>
    </w:p>
    <w:p>
      <w:pPr>
        <w:ind w:right="380" w:firstLine="396"/>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Preferred Member</w:t>
      </w:r>
      <w:r>
        <w:rPr>
          <w:rFonts w:ascii="Arial" w:cs="Arial" w:eastAsia="Arial" w:hAnsi="Arial"/>
          <w:sz w:val="22"/>
          <w:szCs w:val="22"/>
          <w:color w:val="auto"/>
        </w:rPr>
        <w:t>” means any Member that holds Preferred Membership Units, in such Member’s capacity as a holder of such Membership Units.</w:t>
      </w:r>
    </w:p>
    <w:p>
      <w:pPr>
        <w:spacing w:after="0" w:line="65" w:lineRule="exact"/>
        <w:rPr>
          <w:sz w:val="20"/>
          <w:szCs w:val="20"/>
          <w:color w:val="auto"/>
        </w:rPr>
      </w:pPr>
    </w:p>
    <w:p>
      <w:pPr>
        <w:ind w:right="80" w:firstLine="396"/>
        <w:spacing w:after="0" w:line="32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Preferred Membership Units</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3.01(a)</w:t>
      </w:r>
      <w:r>
        <w:rPr>
          <w:rFonts w:ascii="Arial" w:cs="Arial" w:eastAsia="Arial" w:hAnsi="Arial"/>
          <w:sz w:val="19"/>
          <w:szCs w:val="19"/>
          <w:color w:val="auto"/>
        </w:rPr>
        <w:t>. The Preferred Membership Units shall only have the economic rights designated herein and shall have no voting or other governance rights in the Company.</w:t>
      </w:r>
    </w:p>
    <w:p>
      <w:pPr>
        <w:spacing w:after="0" w:line="1" w:lineRule="exact"/>
        <w:rPr>
          <w:sz w:val="20"/>
          <w:szCs w:val="20"/>
          <w:color w:val="auto"/>
        </w:rPr>
      </w:pPr>
    </w:p>
    <w:p>
      <w:pPr>
        <w:ind w:firstLine="396"/>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Preferred Return</w:t>
      </w:r>
      <w:r>
        <w:rPr>
          <w:rFonts w:ascii="Arial" w:cs="Arial" w:eastAsia="Arial" w:hAnsi="Arial"/>
          <w:sz w:val="19"/>
          <w:szCs w:val="19"/>
          <w:color w:val="auto"/>
        </w:rPr>
        <w:t>” means, with respect to each Preferred Member, cumulative payments for each Fiscal Year or portion thereof during which such Preferred Member’s Preferred Membership Units are outstanding determined by multiplying (A) the Preferred Capital of the Preferred Member for such Fiscal Year times (B) a rate per annum equal to the average per annum rate paid by such Preferred Member under its primary U.S. revolving credit facility (“</w:t>
      </w:r>
      <w:r>
        <w:rPr>
          <w:rFonts w:ascii="Arial" w:cs="Arial" w:eastAsia="Arial" w:hAnsi="Arial"/>
          <w:sz w:val="19"/>
          <w:szCs w:val="19"/>
          <w:u w:val="single" w:color="auto"/>
          <w:color w:val="auto"/>
        </w:rPr>
        <w:t>Primary Facility</w:t>
      </w:r>
      <w:r>
        <w:rPr>
          <w:rFonts w:ascii="Arial" w:cs="Arial" w:eastAsia="Arial" w:hAnsi="Arial"/>
          <w:sz w:val="19"/>
          <w:szCs w:val="19"/>
          <w:color w:val="auto"/>
        </w:rPr>
        <w:t>”) plus 1.00%, computed on the basis of the actual number of days elapsed during the Fiscal Year or portion thereof over a three hundred sixty (360) day year. In the event that Albany is a Preferred Member, its Primary Facility shall mean that $330,000,000 Five-Year Revolving Credit Facility Agreement among Albany International Corp., the other Borrowers named therein, the Lenders party thereto, JPMorgan Chase Bank, N.A., as Administrative Agent, JPMorgan Chase Bank, N.A., Toronto Branch, as Canadian Agent and J.P.Morgan Europe Limited, as London Agent, dated as of March 26, 2013, or any successor or replacement facility,</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122" w:name="page123"/>
    <w:bookmarkEnd w:id="122"/>
    <w:p>
      <w:pPr>
        <w:spacing w:after="0"/>
        <w:rPr>
          <w:sz w:val="20"/>
          <w:szCs w:val="20"/>
          <w:color w:val="auto"/>
        </w:rPr>
      </w:pPr>
      <w:r>
        <w:rPr>
          <w:rFonts w:ascii="Arial" w:cs="Arial" w:eastAsia="Arial" w:hAnsi="Arial"/>
          <w:sz w:val="22"/>
          <w:szCs w:val="22"/>
          <w:color w:val="auto"/>
        </w:rPr>
        <w:t>in each case as the same may be amended from time to time (such facility, the “</w:t>
      </w:r>
      <w:r>
        <w:rPr>
          <w:rFonts w:ascii="Arial" w:cs="Arial" w:eastAsia="Arial" w:hAnsi="Arial"/>
          <w:sz w:val="22"/>
          <w:szCs w:val="22"/>
          <w:u w:val="single" w:color="auto"/>
          <w:color w:val="auto"/>
        </w:rPr>
        <w:t>Albany Facility</w:t>
      </w:r>
      <w:r>
        <w:rPr>
          <w:rFonts w:ascii="Arial" w:cs="Arial" w:eastAsia="Arial" w:hAnsi="Arial"/>
          <w:sz w:val="22"/>
          <w:szCs w:val="22"/>
          <w:color w:val="auto"/>
        </w:rPr>
        <w:t>”).</w:t>
      </w:r>
    </w:p>
    <w:p>
      <w:pPr>
        <w:spacing w:after="0" w:line="206" w:lineRule="exact"/>
        <w:rPr>
          <w:sz w:val="20"/>
          <w:szCs w:val="20"/>
          <w:color w:val="auto"/>
        </w:rPr>
      </w:pPr>
    </w:p>
    <w:p>
      <w:pPr>
        <w:ind w:left="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Primary Facility</w:t>
      </w:r>
      <w:r>
        <w:rPr>
          <w:rFonts w:ascii="Arial" w:cs="Arial" w:eastAsia="Arial" w:hAnsi="Arial"/>
          <w:sz w:val="22"/>
          <w:szCs w:val="22"/>
          <w:color w:val="auto"/>
        </w:rPr>
        <w:t>” has the meaning set forth in the definition of Preferred Return.</w:t>
      </w:r>
    </w:p>
    <w:p>
      <w:pPr>
        <w:spacing w:after="0" w:line="98" w:lineRule="exact"/>
        <w:rPr>
          <w:sz w:val="20"/>
          <w:szCs w:val="20"/>
          <w:color w:val="auto"/>
        </w:rPr>
      </w:pPr>
    </w:p>
    <w:p>
      <w:pPr>
        <w:ind w:right="280" w:firstLine="396"/>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Profits and Losses</w:t>
      </w:r>
      <w:r>
        <w:rPr>
          <w:rFonts w:ascii="Arial" w:cs="Arial" w:eastAsia="Arial" w:hAnsi="Arial"/>
          <w:sz w:val="21"/>
          <w:szCs w:val="21"/>
          <w:color w:val="auto"/>
        </w:rPr>
        <w:t>,” means, for each Fiscal Year, an amount equal to the Company’s taxable income or loss for such Fiscal Year, determined for federal income tax purposes, with the following adjustments (without duplication):</w:t>
      </w:r>
    </w:p>
    <w:p>
      <w:pPr>
        <w:spacing w:after="0" w:line="43" w:lineRule="exact"/>
        <w:rPr>
          <w:sz w:val="20"/>
          <w:szCs w:val="20"/>
          <w:color w:val="auto"/>
        </w:rPr>
      </w:pPr>
    </w:p>
    <w:p>
      <w:pPr>
        <w:ind w:left="400" w:firstLine="400"/>
        <w:spacing w:after="0" w:line="326" w:lineRule="auto"/>
        <w:tabs>
          <w:tab w:leader="none" w:pos="1090" w:val="left"/>
        </w:tabs>
        <w:numPr>
          <w:ilvl w:val="0"/>
          <w:numId w:val="43"/>
        </w:numPr>
        <w:rPr>
          <w:rFonts w:ascii="Arial" w:cs="Arial" w:eastAsia="Arial" w:hAnsi="Arial"/>
          <w:sz w:val="19"/>
          <w:szCs w:val="19"/>
          <w:color w:val="auto"/>
        </w:rPr>
      </w:pPr>
      <w:r>
        <w:rPr>
          <w:rFonts w:ascii="Arial" w:cs="Arial" w:eastAsia="Arial" w:hAnsi="Arial"/>
          <w:sz w:val="19"/>
          <w:szCs w:val="19"/>
          <w:color w:val="auto"/>
        </w:rPr>
        <w:t>any income of the Company that is exempt from federal income tax and not otherwise taken into account in computing Profits or Losses pursuant to this definition of “Profits” and “Losses” shall be added to such taxable income or loss;</w:t>
      </w:r>
    </w:p>
    <w:p>
      <w:pPr>
        <w:ind w:left="400" w:right="60" w:firstLine="400"/>
        <w:spacing w:after="0" w:line="238" w:lineRule="auto"/>
        <w:tabs>
          <w:tab w:leader="none" w:pos="1102" w:val="left"/>
        </w:tabs>
        <w:numPr>
          <w:ilvl w:val="0"/>
          <w:numId w:val="43"/>
        </w:numPr>
        <w:rPr>
          <w:rFonts w:ascii="Arial" w:cs="Arial" w:eastAsia="Arial" w:hAnsi="Arial"/>
          <w:sz w:val="22"/>
          <w:szCs w:val="22"/>
          <w:color w:val="auto"/>
        </w:rPr>
      </w:pPr>
      <w:r>
        <w:rPr>
          <w:rFonts w:ascii="Arial" w:cs="Arial" w:eastAsia="Arial" w:hAnsi="Arial"/>
          <w:sz w:val="22"/>
          <w:szCs w:val="22"/>
          <w:color w:val="auto"/>
        </w:rPr>
        <w:t>any expenditures of the Company described in Section 705(a)(2)(B) of the Code or treated as Section 705(a)(2)(B) of the Code expenditures pursuant to Treasury Regulation Section 1.704-1(b)(2)(iv)(i), and not otherwise taken into account in computing Profits or Losses pursuant to this definition of “Profits” and “Losses” shall be subtracted from such taxable income or loss;</w:t>
      </w:r>
    </w:p>
    <w:p>
      <w:pPr>
        <w:spacing w:after="0" w:line="76" w:lineRule="exact"/>
        <w:rPr>
          <w:rFonts w:ascii="Arial" w:cs="Arial" w:eastAsia="Arial" w:hAnsi="Arial"/>
          <w:sz w:val="22"/>
          <w:szCs w:val="22"/>
          <w:color w:val="auto"/>
        </w:rPr>
      </w:pPr>
    </w:p>
    <w:p>
      <w:pPr>
        <w:ind w:left="400" w:right="20" w:firstLine="400"/>
        <w:spacing w:after="0" w:line="236" w:lineRule="auto"/>
        <w:tabs>
          <w:tab w:leader="none" w:pos="1090" w:val="left"/>
        </w:tabs>
        <w:numPr>
          <w:ilvl w:val="0"/>
          <w:numId w:val="43"/>
        </w:numPr>
        <w:rPr>
          <w:rFonts w:ascii="Arial" w:cs="Arial" w:eastAsia="Arial" w:hAnsi="Arial"/>
          <w:sz w:val="22"/>
          <w:szCs w:val="22"/>
          <w:color w:val="auto"/>
        </w:rPr>
      </w:pPr>
      <w:r>
        <w:rPr>
          <w:rFonts w:ascii="Arial" w:cs="Arial" w:eastAsia="Arial" w:hAnsi="Arial"/>
          <w:sz w:val="22"/>
          <w:szCs w:val="22"/>
          <w:color w:val="auto"/>
        </w:rPr>
        <w:t>in the event the Gross Asset Value of any item of Property is adjusted pursuant to subparagraphs (b) or (c) of the definition of Gross Asset Value, the amount of such adjustment shall be treated as an item of gain (if the adjustment increases the Gross Asset Value of the item of Property) or an item of loss (if the adjustment decreases the Gross Asset Value of the item of Property) from the disposition of such item of Property and shall be taken into account for purposes of computing Profits or Losses;</w:t>
      </w:r>
    </w:p>
    <w:p>
      <w:pPr>
        <w:spacing w:after="0" w:line="79" w:lineRule="exact"/>
        <w:rPr>
          <w:rFonts w:ascii="Arial" w:cs="Arial" w:eastAsia="Arial" w:hAnsi="Arial"/>
          <w:sz w:val="22"/>
          <w:szCs w:val="22"/>
          <w:color w:val="auto"/>
        </w:rPr>
      </w:pPr>
    </w:p>
    <w:p>
      <w:pPr>
        <w:ind w:left="400" w:firstLine="400"/>
        <w:spacing w:after="0"/>
        <w:tabs>
          <w:tab w:leader="none" w:pos="1102" w:val="left"/>
        </w:tabs>
        <w:numPr>
          <w:ilvl w:val="0"/>
          <w:numId w:val="43"/>
        </w:numPr>
        <w:rPr>
          <w:rFonts w:ascii="Arial" w:cs="Arial" w:eastAsia="Arial" w:hAnsi="Arial"/>
          <w:sz w:val="22"/>
          <w:szCs w:val="22"/>
          <w:color w:val="auto"/>
        </w:rPr>
      </w:pPr>
      <w:r>
        <w:rPr>
          <w:rFonts w:ascii="Arial" w:cs="Arial" w:eastAsia="Arial" w:hAnsi="Arial"/>
          <w:sz w:val="22"/>
          <w:szCs w:val="22"/>
          <w:color w:val="auto"/>
        </w:rPr>
        <w:t>gain or loss resulting from any disposition of Property with respect to which gain or loss is recognized for federal income tax purposes shall be computed by reference to the Gross Asset Value of the Property disposed of, notwithstanding that the adjusted tax basis of such Property differs from its Gross Asset Value;</w:t>
      </w:r>
    </w:p>
    <w:p>
      <w:pPr>
        <w:spacing w:after="0" w:line="78" w:lineRule="exact"/>
        <w:rPr>
          <w:rFonts w:ascii="Arial" w:cs="Arial" w:eastAsia="Arial" w:hAnsi="Arial"/>
          <w:sz w:val="22"/>
          <w:szCs w:val="22"/>
          <w:color w:val="auto"/>
        </w:rPr>
      </w:pPr>
    </w:p>
    <w:p>
      <w:pPr>
        <w:ind w:left="400" w:right="240" w:firstLine="400"/>
        <w:spacing w:after="0"/>
        <w:tabs>
          <w:tab w:leader="none" w:pos="1090" w:val="left"/>
        </w:tabs>
        <w:numPr>
          <w:ilvl w:val="0"/>
          <w:numId w:val="43"/>
        </w:numPr>
        <w:rPr>
          <w:rFonts w:ascii="Arial" w:cs="Arial" w:eastAsia="Arial" w:hAnsi="Arial"/>
          <w:sz w:val="22"/>
          <w:szCs w:val="22"/>
          <w:color w:val="auto"/>
        </w:rPr>
      </w:pPr>
      <w:r>
        <w:rPr>
          <w:rFonts w:ascii="Arial" w:cs="Arial" w:eastAsia="Arial" w:hAnsi="Arial"/>
          <w:sz w:val="22"/>
          <w:szCs w:val="22"/>
          <w:color w:val="auto"/>
        </w:rPr>
        <w:t>in lieu of the depreciation, amortization, and other cost recovery deductions taken into account in computing such taxable income or loss, there shall be taken into account Depreciation for such Fiscal Year, computed in accordance with the definition of “Depreciation”;</w:t>
      </w:r>
    </w:p>
    <w:p>
      <w:pPr>
        <w:spacing w:after="0" w:line="78" w:lineRule="exact"/>
        <w:rPr>
          <w:rFonts w:ascii="Arial" w:cs="Arial" w:eastAsia="Arial" w:hAnsi="Arial"/>
          <w:sz w:val="22"/>
          <w:szCs w:val="22"/>
          <w:color w:val="auto"/>
        </w:rPr>
      </w:pPr>
    </w:p>
    <w:p>
      <w:pPr>
        <w:ind w:left="400" w:right="100" w:firstLine="400"/>
        <w:spacing w:after="0" w:line="235" w:lineRule="auto"/>
        <w:tabs>
          <w:tab w:leader="none" w:pos="1066" w:val="left"/>
        </w:tabs>
        <w:numPr>
          <w:ilvl w:val="0"/>
          <w:numId w:val="43"/>
        </w:numPr>
        <w:rPr>
          <w:rFonts w:ascii="Arial" w:cs="Arial" w:eastAsia="Arial" w:hAnsi="Arial"/>
          <w:sz w:val="22"/>
          <w:szCs w:val="22"/>
          <w:color w:val="auto"/>
        </w:rPr>
      </w:pPr>
      <w:r>
        <w:rPr>
          <w:rFonts w:ascii="Arial" w:cs="Arial" w:eastAsia="Arial" w:hAnsi="Arial"/>
          <w:sz w:val="22"/>
          <w:szCs w:val="22"/>
          <w:color w:val="auto"/>
        </w:rPr>
        <w:t>to the extent an adjustment to the adjusted tax basis of any item of Property pursuant to Section 734(b) of the Code is required, pursuant to Treasury Regulation Section 1.704-(b)(2)(iv)(</w:t>
      </w:r>
      <w:r>
        <w:rPr>
          <w:rFonts w:ascii="Arial" w:cs="Arial" w:eastAsia="Arial" w:hAnsi="Arial"/>
          <w:sz w:val="22"/>
          <w:szCs w:val="22"/>
          <w:i w:val="1"/>
          <w:iCs w:val="1"/>
          <w:color w:val="auto"/>
        </w:rPr>
        <w:t>m</w:t>
      </w:r>
      <w:r>
        <w:rPr>
          <w:rFonts w:ascii="Arial" w:cs="Arial" w:eastAsia="Arial" w:hAnsi="Arial"/>
          <w:sz w:val="22"/>
          <w:szCs w:val="22"/>
          <w:color w:val="auto"/>
        </w:rPr>
        <w:t>)(</w:t>
      </w:r>
      <w:r>
        <w:rPr>
          <w:rFonts w:ascii="Arial" w:cs="Arial" w:eastAsia="Arial" w:hAnsi="Arial"/>
          <w:sz w:val="22"/>
          <w:szCs w:val="22"/>
          <w:i w:val="1"/>
          <w:iCs w:val="1"/>
          <w:color w:val="auto"/>
        </w:rPr>
        <w:t>4</w:t>
      </w:r>
      <w:r>
        <w:rPr>
          <w:rFonts w:ascii="Arial" w:cs="Arial" w:eastAsia="Arial" w:hAnsi="Arial"/>
          <w:sz w:val="22"/>
          <w:szCs w:val="22"/>
          <w:color w:val="auto"/>
        </w:rPr>
        <w:t>), to be taken into account in determining Capital Accounts as a result of a distribution other than in liquidation of a Member’s Membership Units, the amount of such adjustment shall be treated as an item of gain (if the adjustment increases the basis of the item of Property) or loss (if the adjustment decreases such basis) from the disposition of such item of Property and shall be taken into account for purposes of computing Profits or Losses; and</w:t>
      </w:r>
    </w:p>
    <w:p>
      <w:pPr>
        <w:spacing w:after="0" w:line="80" w:lineRule="exact"/>
        <w:rPr>
          <w:rFonts w:ascii="Arial" w:cs="Arial" w:eastAsia="Arial" w:hAnsi="Arial"/>
          <w:sz w:val="22"/>
          <w:szCs w:val="22"/>
          <w:color w:val="auto"/>
        </w:rPr>
      </w:pPr>
    </w:p>
    <w:p>
      <w:pPr>
        <w:ind w:left="1100" w:hanging="300"/>
        <w:spacing w:after="0"/>
        <w:tabs>
          <w:tab w:leader="none" w:pos="1100" w:val="left"/>
        </w:tabs>
        <w:numPr>
          <w:ilvl w:val="0"/>
          <w:numId w:val="43"/>
        </w:numPr>
        <w:rPr>
          <w:rFonts w:ascii="Arial" w:cs="Arial" w:eastAsia="Arial" w:hAnsi="Arial"/>
          <w:sz w:val="21"/>
          <w:szCs w:val="21"/>
          <w:color w:val="auto"/>
        </w:rPr>
      </w:pPr>
      <w:r>
        <w:rPr>
          <w:rFonts w:ascii="Arial" w:cs="Arial" w:eastAsia="Arial" w:hAnsi="Arial"/>
          <w:sz w:val="21"/>
          <w:szCs w:val="21"/>
          <w:color w:val="auto"/>
        </w:rPr>
        <w:t xml:space="preserve">notwithstanding any other provision of this definition, any items that are specially allocated pursuant to </w:t>
      </w:r>
      <w:r>
        <w:rPr>
          <w:rFonts w:ascii="Arial" w:cs="Arial" w:eastAsia="Arial" w:hAnsi="Arial"/>
          <w:sz w:val="21"/>
          <w:szCs w:val="21"/>
          <w:u w:val="single" w:color="auto"/>
          <w:color w:val="auto"/>
        </w:rPr>
        <w:t>Section</w:t>
      </w:r>
    </w:p>
    <w:p>
      <w:pPr>
        <w:spacing w:after="0" w:line="20" w:lineRule="exact"/>
        <w:rPr>
          <w:sz w:val="20"/>
          <w:szCs w:val="20"/>
          <w:color w:val="auto"/>
        </w:rPr>
      </w:pPr>
    </w:p>
    <w:p>
      <w:pPr>
        <w:ind w:left="400"/>
        <w:spacing w:after="0"/>
        <w:rPr>
          <w:sz w:val="20"/>
          <w:szCs w:val="20"/>
          <w:color w:val="auto"/>
        </w:rPr>
      </w:pPr>
      <w:r>
        <w:rPr>
          <w:rFonts w:ascii="Arial" w:cs="Arial" w:eastAsia="Arial" w:hAnsi="Arial"/>
          <w:sz w:val="22"/>
          <w:szCs w:val="22"/>
          <w:u w:val="single" w:color="auto"/>
          <w:color w:val="auto"/>
        </w:rPr>
        <w:t>4.06(b)</w:t>
      </w:r>
      <w:r>
        <w:rPr>
          <w:rFonts w:ascii="Arial" w:cs="Arial" w:eastAsia="Arial" w:hAnsi="Arial"/>
          <w:sz w:val="22"/>
          <w:szCs w:val="22"/>
          <w:color w:val="auto"/>
        </w:rPr>
        <w:t xml:space="preserve"> shall not be taken into account in computing Profits or Losses.</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928" w:right="279" w:bottom="1440" w:gutter="0" w:footer="0" w:header="0"/>
        </w:sectPr>
      </w:pPr>
    </w:p>
    <w:bookmarkStart w:id="123" w:name="page124"/>
    <w:bookmarkEnd w:id="123"/>
    <w:p>
      <w:pPr>
        <w:ind w:left="4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Property</w:t>
      </w:r>
      <w:r>
        <w:rPr>
          <w:rFonts w:ascii="Arial" w:cs="Arial" w:eastAsia="Arial" w:hAnsi="Arial"/>
          <w:sz w:val="19"/>
          <w:szCs w:val="19"/>
          <w:color w:val="auto"/>
        </w:rPr>
        <w:t>” means all real and personal property (whether tangible or intangible) owned by the Company, including (a) cash,</w:t>
      </w:r>
    </w:p>
    <w:p>
      <w:pPr>
        <w:spacing w:after="0" w:line="43" w:lineRule="exact"/>
        <w:rPr>
          <w:sz w:val="20"/>
          <w:szCs w:val="20"/>
          <w:color w:val="auto"/>
        </w:rPr>
      </w:pPr>
    </w:p>
    <w:p>
      <w:pPr>
        <w:ind w:right="620" w:firstLine="8"/>
        <w:spacing w:after="0" w:line="234" w:lineRule="auto"/>
        <w:tabs>
          <w:tab w:leader="none" w:pos="306" w:val="left"/>
        </w:tabs>
        <w:numPr>
          <w:ilvl w:val="0"/>
          <w:numId w:val="44"/>
        </w:numPr>
        <w:rPr>
          <w:rFonts w:ascii="Arial" w:cs="Arial" w:eastAsia="Arial" w:hAnsi="Arial"/>
          <w:sz w:val="22"/>
          <w:szCs w:val="22"/>
          <w:color w:val="auto"/>
        </w:rPr>
      </w:pPr>
      <w:r>
        <w:rPr>
          <w:rFonts w:ascii="Arial" w:cs="Arial" w:eastAsia="Arial" w:hAnsi="Arial"/>
          <w:sz w:val="22"/>
          <w:szCs w:val="22"/>
          <w:color w:val="auto"/>
        </w:rPr>
        <w:t>current assets (such as accounts receivable) (c) contract rights, (d) investments (such as stocks, securities, notes, bonds, debentures, derivative financial instruments, and other similar financial assets), and (e) any improvements to real or personal property.</w:t>
      </w:r>
    </w:p>
    <w:p>
      <w:pPr>
        <w:spacing w:after="0" w:line="79" w:lineRule="exact"/>
        <w:rPr>
          <w:sz w:val="20"/>
          <w:szCs w:val="20"/>
          <w:color w:val="auto"/>
        </w:rPr>
      </w:pPr>
    </w:p>
    <w:p>
      <w:pPr>
        <w:ind w:left="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Quarterly Performance Report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5.07</w:t>
      </w:r>
      <w:r>
        <w:rPr>
          <w:rFonts w:ascii="Arial" w:cs="Arial" w:eastAsia="Arial" w:hAnsi="Arial"/>
          <w:sz w:val="22"/>
          <w:szCs w:val="22"/>
          <w:color w:val="auto"/>
        </w:rPr>
        <w:t>.</w:t>
      </w:r>
    </w:p>
    <w:p>
      <w:pPr>
        <w:spacing w:after="0" w:line="98" w:lineRule="exact"/>
        <w:rPr>
          <w:sz w:val="20"/>
          <w:szCs w:val="20"/>
          <w:color w:val="auto"/>
        </w:rPr>
      </w:pPr>
    </w:p>
    <w:p>
      <w:pPr>
        <w:ind w:left="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Quarterly Review</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5.07</w:t>
      </w:r>
      <w:r>
        <w:rPr>
          <w:rFonts w:ascii="Arial" w:cs="Arial" w:eastAsia="Arial" w:hAnsi="Arial"/>
          <w:sz w:val="22"/>
          <w:szCs w:val="22"/>
          <w:color w:val="auto"/>
        </w:rPr>
        <w:t>.</w:t>
      </w:r>
    </w:p>
    <w:p>
      <w:pPr>
        <w:spacing w:after="0" w:line="98" w:lineRule="exact"/>
        <w:rPr>
          <w:sz w:val="20"/>
          <w:szCs w:val="20"/>
          <w:color w:val="auto"/>
        </w:rPr>
      </w:pPr>
    </w:p>
    <w:p>
      <w:pPr>
        <w:ind w:firstLine="3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Cash</w:t>
      </w:r>
      <w:r>
        <w:rPr>
          <w:rFonts w:ascii="Arial" w:cs="Arial" w:eastAsia="Arial" w:hAnsi="Arial"/>
          <w:sz w:val="22"/>
          <w:szCs w:val="22"/>
          <w:color w:val="auto"/>
        </w:rPr>
        <w:t>” means cash of the Company and its Subsidiaries that the Company and its Subsidiaries are restricted from using, such as amounts deposited in escrow or for a specified purpose, for so long as such cash is subject to release only at the order of a person other than the Company and its Subsidiaries.</w:t>
      </w:r>
    </w:p>
    <w:p>
      <w:pPr>
        <w:spacing w:after="0" w:line="78" w:lineRule="exact"/>
        <w:rPr>
          <w:sz w:val="20"/>
          <w:szCs w:val="20"/>
          <w:color w:val="auto"/>
        </w:rPr>
      </w:pPr>
    </w:p>
    <w:p>
      <w:pPr>
        <w:ind w:left="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S&amp;P</w:t>
      </w:r>
      <w:r>
        <w:rPr>
          <w:rFonts w:ascii="Arial" w:cs="Arial" w:eastAsia="Arial" w:hAnsi="Arial"/>
          <w:sz w:val="22"/>
          <w:szCs w:val="22"/>
          <w:color w:val="auto"/>
        </w:rPr>
        <w:t>” means Standard &amp; Poor’s or any successor thereto.</w:t>
      </w:r>
    </w:p>
    <w:p>
      <w:pPr>
        <w:spacing w:after="0" w:line="98" w:lineRule="exact"/>
        <w:rPr>
          <w:sz w:val="20"/>
          <w:szCs w:val="20"/>
          <w:color w:val="auto"/>
        </w:rPr>
      </w:pPr>
    </w:p>
    <w:p>
      <w:pPr>
        <w:ind w:left="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Safran</w:t>
      </w:r>
      <w:r>
        <w:rPr>
          <w:rFonts w:ascii="Arial" w:cs="Arial" w:eastAsia="Arial" w:hAnsi="Arial"/>
          <w:sz w:val="22"/>
          <w:szCs w:val="22"/>
          <w:color w:val="auto"/>
        </w:rPr>
        <w:t>” has the meaning set forth in the preamble.</w:t>
      </w:r>
    </w:p>
    <w:p>
      <w:pPr>
        <w:spacing w:after="0" w:line="98" w:lineRule="exact"/>
        <w:rPr>
          <w:sz w:val="20"/>
          <w:szCs w:val="20"/>
          <w:color w:val="auto"/>
        </w:rPr>
      </w:pPr>
    </w:p>
    <w:p>
      <w:pPr>
        <w:ind w:left="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Safran Authorized Agent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13.04(b)</w:t>
      </w:r>
      <w:r>
        <w:rPr>
          <w:rFonts w:ascii="Arial" w:cs="Arial" w:eastAsia="Arial" w:hAnsi="Arial"/>
          <w:sz w:val="22"/>
          <w:szCs w:val="22"/>
          <w:color w:val="auto"/>
        </w:rPr>
        <w:t>.</w:t>
      </w:r>
    </w:p>
    <w:p>
      <w:pPr>
        <w:spacing w:after="0" w:line="98" w:lineRule="exact"/>
        <w:rPr>
          <w:sz w:val="20"/>
          <w:szCs w:val="20"/>
          <w:color w:val="auto"/>
        </w:rPr>
      </w:pPr>
    </w:p>
    <w:p>
      <w:pPr>
        <w:ind w:left="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Safran Call Right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7.05(a)</w:t>
      </w:r>
      <w:r>
        <w:rPr>
          <w:rFonts w:ascii="Arial" w:cs="Arial" w:eastAsia="Arial" w:hAnsi="Arial"/>
          <w:sz w:val="22"/>
          <w:szCs w:val="22"/>
          <w:color w:val="auto"/>
        </w:rPr>
        <w:t>.</w:t>
      </w:r>
    </w:p>
    <w:p>
      <w:pPr>
        <w:spacing w:after="0" w:line="98" w:lineRule="exact"/>
        <w:rPr>
          <w:sz w:val="20"/>
          <w:szCs w:val="20"/>
          <w:color w:val="auto"/>
        </w:rPr>
      </w:pPr>
    </w:p>
    <w:p>
      <w:pPr>
        <w:ind w:right="240" w:firstLine="396"/>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Safran Contribution Agreement</w:t>
      </w:r>
      <w:r>
        <w:rPr>
          <w:rFonts w:ascii="Arial" w:cs="Arial" w:eastAsia="Arial" w:hAnsi="Arial"/>
          <w:sz w:val="22"/>
          <w:szCs w:val="22"/>
          <w:color w:val="auto"/>
        </w:rPr>
        <w:t>” means that certain Contribution Agreement, of even date herewith, between the Company, Safran and Safran S.A.</w:t>
      </w:r>
    </w:p>
    <w:p>
      <w:pPr>
        <w:spacing w:after="0" w:line="65" w:lineRule="exact"/>
        <w:rPr>
          <w:sz w:val="20"/>
          <w:szCs w:val="20"/>
          <w:color w:val="auto"/>
        </w:rPr>
      </w:pPr>
    </w:p>
    <w:p>
      <w:pPr>
        <w:ind w:right="160" w:firstLine="396"/>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Safran IPLA</w:t>
      </w:r>
      <w:r>
        <w:rPr>
          <w:rFonts w:ascii="Arial" w:cs="Arial" w:eastAsia="Arial" w:hAnsi="Arial"/>
          <w:sz w:val="22"/>
          <w:szCs w:val="22"/>
          <w:color w:val="auto"/>
        </w:rPr>
        <w:t>” means that certain Intellectual Property License Agreement, of even date herewith, between the Company and Safran S.A.</w:t>
      </w:r>
    </w:p>
    <w:p>
      <w:pPr>
        <w:spacing w:after="0" w:line="65" w:lineRule="exact"/>
        <w:rPr>
          <w:sz w:val="20"/>
          <w:szCs w:val="20"/>
          <w:color w:val="auto"/>
        </w:rPr>
      </w:pPr>
    </w:p>
    <w:p>
      <w:pPr>
        <w:ind w:left="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Safran Put Right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7.05(a)</w:t>
      </w:r>
      <w:r>
        <w:rPr>
          <w:rFonts w:ascii="Arial" w:cs="Arial" w:eastAsia="Arial" w:hAnsi="Arial"/>
          <w:sz w:val="22"/>
          <w:szCs w:val="22"/>
          <w:color w:val="auto"/>
        </w:rPr>
        <w:t>.</w:t>
      </w:r>
    </w:p>
    <w:p>
      <w:pPr>
        <w:spacing w:after="0" w:line="98" w:lineRule="exact"/>
        <w:rPr>
          <w:sz w:val="20"/>
          <w:szCs w:val="20"/>
          <w:color w:val="auto"/>
        </w:rPr>
      </w:pPr>
    </w:p>
    <w:p>
      <w:pPr>
        <w:ind w:left="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Safran Option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7.05(a)</w:t>
      </w:r>
      <w:r>
        <w:rPr>
          <w:rFonts w:ascii="Arial" w:cs="Arial" w:eastAsia="Arial" w:hAnsi="Arial"/>
          <w:sz w:val="22"/>
          <w:szCs w:val="22"/>
          <w:color w:val="auto"/>
        </w:rPr>
        <w:t>.</w:t>
      </w:r>
    </w:p>
    <w:p>
      <w:pPr>
        <w:spacing w:after="0" w:line="98" w:lineRule="exact"/>
        <w:rPr>
          <w:sz w:val="20"/>
          <w:szCs w:val="20"/>
          <w:color w:val="auto"/>
        </w:rPr>
      </w:pPr>
    </w:p>
    <w:p>
      <w:pPr>
        <w:ind w:left="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Safran Manager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5.01(b)</w:t>
      </w:r>
      <w:r>
        <w:rPr>
          <w:rFonts w:ascii="Arial" w:cs="Arial" w:eastAsia="Arial" w:hAnsi="Arial"/>
          <w:sz w:val="22"/>
          <w:szCs w:val="22"/>
          <w:color w:val="auto"/>
        </w:rPr>
        <w:t>.</w:t>
      </w:r>
    </w:p>
    <w:p>
      <w:pPr>
        <w:spacing w:after="0" w:line="98" w:lineRule="exact"/>
        <w:rPr>
          <w:sz w:val="20"/>
          <w:szCs w:val="20"/>
          <w:color w:val="auto"/>
        </w:rPr>
      </w:pPr>
    </w:p>
    <w:p>
      <w:pPr>
        <w:ind w:left="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Safran Permitted Contract</w:t>
      </w:r>
      <w:r>
        <w:rPr>
          <w:rFonts w:ascii="Arial" w:cs="Arial" w:eastAsia="Arial" w:hAnsi="Arial"/>
          <w:sz w:val="22"/>
          <w:szCs w:val="22"/>
          <w:color w:val="auto"/>
        </w:rPr>
        <w:t>” has the meaning set forth in the Safran IPLA.</w:t>
      </w:r>
    </w:p>
    <w:p>
      <w:pPr>
        <w:spacing w:after="0" w:line="98" w:lineRule="exact"/>
        <w:rPr>
          <w:sz w:val="20"/>
          <w:szCs w:val="20"/>
          <w:color w:val="auto"/>
        </w:rPr>
      </w:pPr>
    </w:p>
    <w:p>
      <w:pPr>
        <w:ind w:left="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Safran S.A.</w:t>
      </w:r>
      <w:r>
        <w:rPr>
          <w:rFonts w:ascii="Arial" w:cs="Arial" w:eastAsia="Arial" w:hAnsi="Arial"/>
          <w:sz w:val="22"/>
          <w:szCs w:val="22"/>
          <w:color w:val="auto"/>
        </w:rPr>
        <w:t>” has the meaning set forth in the preamble.</w:t>
      </w:r>
    </w:p>
    <w:p>
      <w:pPr>
        <w:spacing w:after="0" w:line="98" w:lineRule="exact"/>
        <w:rPr>
          <w:sz w:val="20"/>
          <w:szCs w:val="20"/>
          <w:color w:val="auto"/>
        </w:rPr>
      </w:pPr>
    </w:p>
    <w:p>
      <w:pPr>
        <w:ind w:left="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Safran Technology</w:t>
      </w:r>
      <w:r>
        <w:rPr>
          <w:rFonts w:ascii="Arial" w:cs="Arial" w:eastAsia="Arial" w:hAnsi="Arial"/>
          <w:sz w:val="22"/>
          <w:szCs w:val="22"/>
          <w:color w:val="auto"/>
        </w:rPr>
        <w:t>” has the meaning set forth in the Safran IPLA.</w:t>
      </w:r>
    </w:p>
    <w:p>
      <w:pPr>
        <w:spacing w:after="0" w:line="98" w:lineRule="exact"/>
        <w:rPr>
          <w:sz w:val="20"/>
          <w:szCs w:val="20"/>
          <w:color w:val="auto"/>
        </w:rPr>
      </w:pPr>
    </w:p>
    <w:p>
      <w:pPr>
        <w:ind w:left="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Safran USA</w:t>
      </w:r>
      <w:r>
        <w:rPr>
          <w:rFonts w:ascii="Arial" w:cs="Arial" w:eastAsia="Arial" w:hAnsi="Arial"/>
          <w:sz w:val="22"/>
          <w:szCs w:val="22"/>
          <w:color w:val="auto"/>
        </w:rPr>
        <w:t>” means Safran USA, Inc.</w:t>
      </w:r>
    </w:p>
    <w:p>
      <w:pPr>
        <w:spacing w:after="0" w:line="98" w:lineRule="exact"/>
        <w:rPr>
          <w:sz w:val="20"/>
          <w:szCs w:val="20"/>
          <w:color w:val="auto"/>
        </w:rPr>
      </w:pPr>
    </w:p>
    <w:p>
      <w:pPr>
        <w:ind w:right="960" w:firstLine="396"/>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Securities Act</w:t>
      </w:r>
      <w:r>
        <w:rPr>
          <w:rFonts w:ascii="Arial" w:cs="Arial" w:eastAsia="Arial" w:hAnsi="Arial"/>
          <w:sz w:val="22"/>
          <w:szCs w:val="22"/>
          <w:color w:val="auto"/>
        </w:rPr>
        <w:t>” means the U.S. Securities Act of 1933, as amended from time to time, and the rules and regulations promulgated thereunder.</w:t>
      </w:r>
    </w:p>
    <w:p>
      <w:pPr>
        <w:spacing w:after="0" w:line="65" w:lineRule="exact"/>
        <w:rPr>
          <w:sz w:val="20"/>
          <w:szCs w:val="20"/>
          <w:color w:val="auto"/>
        </w:rPr>
      </w:pPr>
    </w:p>
    <w:p>
      <w:pPr>
        <w:ind w:left="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Senior Representative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5.06</w:t>
      </w:r>
      <w:r>
        <w:rPr>
          <w:rFonts w:ascii="Arial" w:cs="Arial" w:eastAsia="Arial" w:hAnsi="Arial"/>
          <w:sz w:val="22"/>
          <w:szCs w:val="22"/>
          <w:color w:val="auto"/>
        </w:rPr>
        <w:t>.</w:t>
      </w:r>
    </w:p>
    <w:p>
      <w:pPr>
        <w:spacing w:after="0" w:line="98" w:lineRule="exact"/>
        <w:rPr>
          <w:sz w:val="20"/>
          <w:szCs w:val="20"/>
          <w:color w:val="auto"/>
        </w:rPr>
      </w:pPr>
    </w:p>
    <w:p>
      <w:pPr>
        <w:ind w:right="840" w:firstLine="396"/>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Services Agreement</w:t>
      </w:r>
      <w:r>
        <w:rPr>
          <w:rFonts w:ascii="Arial" w:cs="Arial" w:eastAsia="Arial" w:hAnsi="Arial"/>
          <w:sz w:val="22"/>
          <w:szCs w:val="22"/>
          <w:color w:val="auto"/>
        </w:rPr>
        <w:t>” means that certain Services Agreement, of even date herewith, by and between Albany and the Company.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712" w:right="239" w:bottom="1440" w:gutter="0" w:footer="0" w:header="0"/>
        </w:sectPr>
      </w:pPr>
    </w:p>
    <w:bookmarkStart w:id="124" w:name="page125"/>
    <w:bookmarkEnd w:id="124"/>
    <w:p>
      <w:pPr>
        <w:ind w:right="560" w:firstLine="3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w:t>
      </w:r>
      <w:r>
        <w:rPr>
          <w:rFonts w:ascii="Arial" w:cs="Arial" w:eastAsia="Arial" w:hAnsi="Arial"/>
          <w:sz w:val="22"/>
          <w:szCs w:val="22"/>
          <w:color w:val="auto"/>
        </w:rPr>
        <w:t>” of any Person means any Person (a) of which a majority of the outstanding voting securities or other voting equity interests are owned, directly or indirectly, by such first Person or (b) with respect to which such Person or any of its Subsidiaries is a general partner or managing member.</w:t>
      </w:r>
    </w:p>
    <w:p>
      <w:pPr>
        <w:spacing w:after="0" w:line="78" w:lineRule="exact"/>
        <w:rPr>
          <w:sz w:val="20"/>
          <w:szCs w:val="20"/>
          <w:color w:val="auto"/>
        </w:rPr>
      </w:pPr>
    </w:p>
    <w:p>
      <w:pPr>
        <w:ind w:right="40" w:firstLine="396"/>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Tax</w:t>
      </w:r>
      <w:r>
        <w:rPr>
          <w:rFonts w:ascii="Arial" w:cs="Arial" w:eastAsia="Arial" w:hAnsi="Arial"/>
          <w:sz w:val="21"/>
          <w:szCs w:val="21"/>
          <w:color w:val="auto"/>
        </w:rPr>
        <w:t>” or “</w:t>
      </w:r>
      <w:r>
        <w:rPr>
          <w:rFonts w:ascii="Arial" w:cs="Arial" w:eastAsia="Arial" w:hAnsi="Arial"/>
          <w:sz w:val="21"/>
          <w:szCs w:val="21"/>
          <w:u w:val="single" w:color="auto"/>
          <w:color w:val="auto"/>
        </w:rPr>
        <w:t>Taxes</w:t>
      </w:r>
      <w:r>
        <w:rPr>
          <w:rFonts w:ascii="Arial" w:cs="Arial" w:eastAsia="Arial" w:hAnsi="Arial"/>
          <w:sz w:val="21"/>
          <w:szCs w:val="21"/>
          <w:color w:val="auto"/>
        </w:rPr>
        <w:t>” means any and all taxes, charges, fees, levies, assessments, duties or other amounts payable to any federal, state, local or foreign taxing authority or agency, including: (a) income, franchise, profits, gross receipts, minimum, alternative minimum, estimated, ad valorem, value added, sales, use, service, real or personal property, capital stock, license, payroll, withholding, disability, employment, social security, workers compensation, unemployment compensation, utility, severance, excise, stamp, windfall profits, transfer and gains taxes; (b) customs, duties, imposts, charges, levies or other similar assessments of any kind; and (c) interest, penalties and additions to tax imposed with respect thereto.</w:t>
      </w:r>
    </w:p>
    <w:p>
      <w:pPr>
        <w:spacing w:after="0" w:line="69" w:lineRule="exact"/>
        <w:rPr>
          <w:sz w:val="20"/>
          <w:szCs w:val="20"/>
          <w:color w:val="auto"/>
        </w:rPr>
      </w:pPr>
    </w:p>
    <w:p>
      <w:pPr>
        <w:ind w:left="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Matters Partner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8.06</w:t>
      </w:r>
      <w:r>
        <w:rPr>
          <w:rFonts w:ascii="Arial" w:cs="Arial" w:eastAsia="Arial" w:hAnsi="Arial"/>
          <w:sz w:val="22"/>
          <w:szCs w:val="22"/>
          <w:color w:val="auto"/>
        </w:rPr>
        <w:t>.</w:t>
      </w:r>
    </w:p>
    <w:p>
      <w:pPr>
        <w:spacing w:after="0" w:line="98" w:lineRule="exact"/>
        <w:rPr>
          <w:sz w:val="20"/>
          <w:szCs w:val="20"/>
          <w:color w:val="auto"/>
        </w:rPr>
      </w:pPr>
    </w:p>
    <w:p>
      <w:pPr>
        <w:ind w:right="500" w:firstLine="396"/>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Technology</w:t>
      </w:r>
      <w:r>
        <w:rPr>
          <w:rFonts w:ascii="Arial" w:cs="Arial" w:eastAsia="Arial" w:hAnsi="Arial"/>
          <w:sz w:val="22"/>
          <w:szCs w:val="22"/>
          <w:color w:val="auto"/>
        </w:rPr>
        <w:t>” means the Albany Technology and the Safran Technology. “</w:t>
      </w:r>
      <w:r>
        <w:rPr>
          <w:rFonts w:ascii="Arial" w:cs="Arial" w:eastAsia="Arial" w:hAnsi="Arial"/>
          <w:sz w:val="22"/>
          <w:szCs w:val="22"/>
          <w:u w:val="single" w:color="auto"/>
          <w:color w:val="auto"/>
        </w:rPr>
        <w:t>Termination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10.06(a)</w:t>
      </w:r>
      <w:r>
        <w:rPr>
          <w:rFonts w:ascii="Arial" w:cs="Arial" w:eastAsia="Arial" w:hAnsi="Arial"/>
          <w:sz w:val="22"/>
          <w:szCs w:val="22"/>
          <w:color w:val="auto"/>
        </w:rPr>
        <w:t>.</w:t>
      </w:r>
    </w:p>
    <w:p>
      <w:pPr>
        <w:spacing w:after="0" w:line="65" w:lineRule="exact"/>
        <w:rPr>
          <w:sz w:val="20"/>
          <w:szCs w:val="20"/>
          <w:color w:val="auto"/>
        </w:rPr>
      </w:pPr>
    </w:p>
    <w:p>
      <w:pPr>
        <w:ind w:left="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Transaction Documents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11.02(a)</w:t>
      </w:r>
      <w:r>
        <w:rPr>
          <w:rFonts w:ascii="Arial" w:cs="Arial" w:eastAsia="Arial" w:hAnsi="Arial"/>
          <w:sz w:val="22"/>
          <w:szCs w:val="22"/>
          <w:color w:val="auto"/>
        </w:rPr>
        <w:t>.</w:t>
      </w:r>
    </w:p>
    <w:p>
      <w:pPr>
        <w:spacing w:after="0" w:line="98" w:lineRule="exact"/>
        <w:rPr>
          <w:sz w:val="20"/>
          <w:szCs w:val="20"/>
          <w:color w:val="auto"/>
        </w:rPr>
      </w:pPr>
    </w:p>
    <w:p>
      <w:pPr>
        <w:ind w:firstLine="396"/>
        <w:spacing w:after="0" w:line="32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Transfer</w:t>
      </w:r>
      <w:r>
        <w:rPr>
          <w:rFonts w:ascii="Arial" w:cs="Arial" w:eastAsia="Arial" w:hAnsi="Arial"/>
          <w:sz w:val="19"/>
          <w:szCs w:val="19"/>
          <w:color w:val="auto"/>
        </w:rPr>
        <w:t>” means a direct or indirect transfer, sale, exchange, assignment, pledge, hypothecation or other encumbrance or other disposition of any Membership Units, whether directly or indirectly, whether voluntarily, involuntarily or by operation of law.</w:t>
      </w:r>
    </w:p>
    <w:p>
      <w:pPr>
        <w:spacing w:after="0" w:line="1" w:lineRule="exact"/>
        <w:rPr>
          <w:sz w:val="20"/>
          <w:szCs w:val="20"/>
          <w:color w:val="auto"/>
        </w:rPr>
      </w:pPr>
    </w:p>
    <w:p>
      <w:pPr>
        <w:ind w:left="4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Transferred</w:t>
      </w:r>
      <w:r>
        <w:rPr>
          <w:rFonts w:ascii="Arial" w:cs="Arial" w:eastAsia="Arial" w:hAnsi="Arial"/>
          <w:sz w:val="19"/>
          <w:szCs w:val="19"/>
          <w:color w:val="auto"/>
        </w:rPr>
        <w:t>”, “</w:t>
      </w:r>
      <w:r>
        <w:rPr>
          <w:rFonts w:ascii="Arial" w:cs="Arial" w:eastAsia="Arial" w:hAnsi="Arial"/>
          <w:sz w:val="19"/>
          <w:szCs w:val="19"/>
          <w:u w:val="single" w:color="auto"/>
          <w:color w:val="auto"/>
        </w:rPr>
        <w:t>Transferring</w:t>
      </w:r>
      <w:r>
        <w:rPr>
          <w:rFonts w:ascii="Arial" w:cs="Arial" w:eastAsia="Arial" w:hAnsi="Arial"/>
          <w:sz w:val="19"/>
          <w:szCs w:val="19"/>
          <w:color w:val="auto"/>
        </w:rPr>
        <w:t>”, “</w:t>
      </w:r>
      <w:r>
        <w:rPr>
          <w:rFonts w:ascii="Arial" w:cs="Arial" w:eastAsia="Arial" w:hAnsi="Arial"/>
          <w:sz w:val="19"/>
          <w:szCs w:val="19"/>
          <w:u w:val="single" w:color="auto"/>
          <w:color w:val="auto"/>
        </w:rPr>
        <w:t>Transferee</w:t>
      </w:r>
      <w:r>
        <w:rPr>
          <w:rFonts w:ascii="Arial" w:cs="Arial" w:eastAsia="Arial" w:hAnsi="Arial"/>
          <w:sz w:val="19"/>
          <w:szCs w:val="19"/>
          <w:color w:val="auto"/>
        </w:rPr>
        <w:t>” and “</w:t>
      </w:r>
      <w:r>
        <w:rPr>
          <w:rFonts w:ascii="Arial" w:cs="Arial" w:eastAsia="Arial" w:hAnsi="Arial"/>
          <w:sz w:val="19"/>
          <w:szCs w:val="19"/>
          <w:u w:val="single" w:color="auto"/>
          <w:color w:val="auto"/>
        </w:rPr>
        <w:t>Transferor</w:t>
      </w:r>
      <w:r>
        <w:rPr>
          <w:rFonts w:ascii="Arial" w:cs="Arial" w:eastAsia="Arial" w:hAnsi="Arial"/>
          <w:sz w:val="19"/>
          <w:szCs w:val="19"/>
          <w:color w:val="auto"/>
        </w:rPr>
        <w:t>” shall each have a correlative meaning to the term “</w:t>
      </w:r>
      <w:r>
        <w:rPr>
          <w:rFonts w:ascii="Arial" w:cs="Arial" w:eastAsia="Arial" w:hAnsi="Arial"/>
          <w:sz w:val="19"/>
          <w:szCs w:val="19"/>
          <w:u w:val="single" w:color="auto"/>
          <w:color w:val="auto"/>
        </w:rPr>
        <w:t>Transfer</w:t>
      </w:r>
      <w:r>
        <w:rPr>
          <w:rFonts w:ascii="Arial" w:cs="Arial" w:eastAsia="Arial" w:hAnsi="Arial"/>
          <w:sz w:val="19"/>
          <w:szCs w:val="19"/>
          <w:color w:val="auto"/>
        </w:rPr>
        <w:t>.”</w:t>
      </w:r>
    </w:p>
    <w:p>
      <w:pPr>
        <w:spacing w:after="0" w:line="133" w:lineRule="exact"/>
        <w:rPr>
          <w:sz w:val="20"/>
          <w:szCs w:val="20"/>
          <w:color w:val="auto"/>
        </w:rPr>
      </w:pPr>
    </w:p>
    <w:p>
      <w:pPr>
        <w:ind w:right="760" w:firstLine="396"/>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Treasury Regulations</w:t>
      </w:r>
      <w:r>
        <w:rPr>
          <w:rFonts w:ascii="Arial" w:cs="Arial" w:eastAsia="Arial" w:hAnsi="Arial"/>
          <w:sz w:val="22"/>
          <w:szCs w:val="22"/>
          <w:color w:val="auto"/>
        </w:rPr>
        <w:t>” means the regulations promulgated by the U.S. Department of the Treasury under the Code, as amended from time to time (including any successor regulations).</w:t>
      </w:r>
    </w:p>
    <w:p>
      <w:pPr>
        <w:spacing w:after="0" w:line="65" w:lineRule="exact"/>
        <w:rPr>
          <w:sz w:val="20"/>
          <w:szCs w:val="20"/>
          <w:color w:val="auto"/>
        </w:rPr>
      </w:pPr>
    </w:p>
    <w:p>
      <w:pPr>
        <w:ind w:left="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Triggering Event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7.05(a)</w:t>
      </w:r>
      <w:r>
        <w:rPr>
          <w:rFonts w:ascii="Arial" w:cs="Arial" w:eastAsia="Arial" w:hAnsi="Arial"/>
          <w:sz w:val="22"/>
          <w:szCs w:val="22"/>
          <w:color w:val="auto"/>
        </w:rPr>
        <w:t>.</w:t>
      </w:r>
    </w:p>
    <w:p>
      <w:pPr>
        <w:spacing w:after="0" w:line="98" w:lineRule="exact"/>
        <w:rPr>
          <w:sz w:val="20"/>
          <w:szCs w:val="20"/>
          <w:color w:val="auto"/>
        </w:rPr>
      </w:pPr>
    </w:p>
    <w:p>
      <w:pPr>
        <w:ind w:right="60" w:firstLine="396"/>
        <w:spacing w:after="0" w:line="251" w:lineRule="auto"/>
        <w:rPr>
          <w:sz w:val="20"/>
          <w:szCs w:val="20"/>
          <w:color w:val="auto"/>
        </w:rPr>
      </w:pPr>
      <w:r>
        <w:rPr>
          <w:rFonts w:ascii="Arial" w:cs="Arial" w:eastAsia="Arial" w:hAnsi="Arial"/>
          <w:sz w:val="22"/>
          <w:szCs w:val="22"/>
          <w:color w:val="auto"/>
        </w:rPr>
        <w:t xml:space="preserve">Section 1.02. </w:t>
      </w:r>
      <w:r>
        <w:rPr>
          <w:rFonts w:ascii="Arial" w:cs="Arial" w:eastAsia="Arial" w:hAnsi="Arial"/>
          <w:sz w:val="22"/>
          <w:szCs w:val="22"/>
          <w:u w:val="single" w:color="auto"/>
          <w:color w:val="auto"/>
        </w:rPr>
        <w:t>Other Interpretive Provisions</w:t>
      </w:r>
      <w:r>
        <w:rPr>
          <w:rFonts w:ascii="Arial" w:cs="Arial" w:eastAsia="Arial" w:hAnsi="Arial"/>
          <w:sz w:val="22"/>
          <w:szCs w:val="22"/>
          <w:color w:val="auto"/>
        </w:rPr>
        <w:t>. (a) The meanings of defined terms are equally applicable to the singular and plural forms of the defined terms.</w:t>
      </w:r>
    </w:p>
    <w:p>
      <w:pPr>
        <w:spacing w:after="0" w:line="65" w:lineRule="exact"/>
        <w:rPr>
          <w:sz w:val="20"/>
          <w:szCs w:val="20"/>
          <w:color w:val="auto"/>
        </w:rPr>
      </w:pPr>
    </w:p>
    <w:p>
      <w:pPr>
        <w:ind w:right="200" w:firstLine="404"/>
        <w:spacing w:after="0"/>
        <w:tabs>
          <w:tab w:leader="none" w:pos="702" w:val="left"/>
        </w:tabs>
        <w:numPr>
          <w:ilvl w:val="0"/>
          <w:numId w:val="45"/>
        </w:numPr>
        <w:rPr>
          <w:rFonts w:ascii="Arial" w:cs="Arial" w:eastAsia="Arial" w:hAnsi="Arial"/>
          <w:sz w:val="22"/>
          <w:szCs w:val="22"/>
          <w:color w:val="auto"/>
        </w:rPr>
      </w:pPr>
      <w:r>
        <w:rPr>
          <w:rFonts w:ascii="Arial" w:cs="Arial" w:eastAsia="Arial" w:hAnsi="Arial"/>
          <w:sz w:val="22"/>
          <w:szCs w:val="22"/>
          <w:color w:val="auto"/>
        </w:rPr>
        <w:t>The words “</w:t>
      </w:r>
      <w:r>
        <w:rPr>
          <w:rFonts w:ascii="Arial" w:cs="Arial" w:eastAsia="Arial" w:hAnsi="Arial"/>
          <w:sz w:val="22"/>
          <w:szCs w:val="22"/>
          <w:u w:val="single" w:color="auto"/>
          <w:color w:val="auto"/>
        </w:rPr>
        <w:t>hereof</w:t>
      </w:r>
      <w:r>
        <w:rPr>
          <w:rFonts w:ascii="Arial" w:cs="Arial" w:eastAsia="Arial" w:hAnsi="Arial"/>
          <w:sz w:val="22"/>
          <w:szCs w:val="22"/>
          <w:color w:val="auto"/>
        </w:rPr>
        <w:t>”, “</w:t>
      </w:r>
      <w:r>
        <w:rPr>
          <w:rFonts w:ascii="Arial" w:cs="Arial" w:eastAsia="Arial" w:hAnsi="Arial"/>
          <w:sz w:val="22"/>
          <w:szCs w:val="22"/>
          <w:u w:val="single" w:color="auto"/>
          <w:color w:val="auto"/>
        </w:rPr>
        <w:t>herein</w:t>
      </w:r>
      <w:r>
        <w:rPr>
          <w:rFonts w:ascii="Arial" w:cs="Arial" w:eastAsia="Arial" w:hAnsi="Arial"/>
          <w:sz w:val="22"/>
          <w:szCs w:val="22"/>
          <w:color w:val="auto"/>
        </w:rPr>
        <w:t>”, “</w:t>
      </w:r>
      <w:r>
        <w:rPr>
          <w:rFonts w:ascii="Arial" w:cs="Arial" w:eastAsia="Arial" w:hAnsi="Arial"/>
          <w:sz w:val="22"/>
          <w:szCs w:val="22"/>
          <w:u w:val="single" w:color="auto"/>
          <w:color w:val="auto"/>
        </w:rPr>
        <w:t>hereunder</w:t>
      </w:r>
      <w:r>
        <w:rPr>
          <w:rFonts w:ascii="Arial" w:cs="Arial" w:eastAsia="Arial" w:hAnsi="Arial"/>
          <w:sz w:val="22"/>
          <w:szCs w:val="22"/>
          <w:color w:val="auto"/>
        </w:rPr>
        <w:t>” and similar words refer to this Agreement as a whole and not to any particular provision of this Agreement; and subsection, Section, Exhibit, Schedule and Annex references are to this Agreement unless otherwise specified.</w:t>
      </w:r>
    </w:p>
    <w:p>
      <w:pPr>
        <w:spacing w:after="0" w:line="78" w:lineRule="exact"/>
        <w:rPr>
          <w:rFonts w:ascii="Arial" w:cs="Arial" w:eastAsia="Arial" w:hAnsi="Arial"/>
          <w:sz w:val="22"/>
          <w:szCs w:val="22"/>
          <w:color w:val="auto"/>
        </w:rPr>
      </w:pPr>
    </w:p>
    <w:p>
      <w:pPr>
        <w:ind w:left="700" w:hanging="296"/>
        <w:spacing w:after="0"/>
        <w:tabs>
          <w:tab w:leader="none" w:pos="700" w:val="left"/>
        </w:tabs>
        <w:numPr>
          <w:ilvl w:val="0"/>
          <w:numId w:val="45"/>
        </w:numPr>
        <w:rPr>
          <w:rFonts w:ascii="Arial" w:cs="Arial" w:eastAsia="Arial" w:hAnsi="Arial"/>
          <w:sz w:val="22"/>
          <w:szCs w:val="22"/>
          <w:color w:val="auto"/>
        </w:rPr>
      </w:pPr>
      <w:r>
        <w:rPr>
          <w:rFonts w:ascii="Arial" w:cs="Arial" w:eastAsia="Arial" w:hAnsi="Arial"/>
          <w:sz w:val="22"/>
          <w:szCs w:val="22"/>
          <w:color w:val="auto"/>
        </w:rPr>
        <w:t>The term “</w:t>
      </w:r>
      <w:r>
        <w:rPr>
          <w:rFonts w:ascii="Arial" w:cs="Arial" w:eastAsia="Arial" w:hAnsi="Arial"/>
          <w:sz w:val="22"/>
          <w:szCs w:val="22"/>
          <w:u w:val="single" w:color="auto"/>
          <w:color w:val="auto"/>
        </w:rPr>
        <w:t>including</w:t>
      </w:r>
      <w:r>
        <w:rPr>
          <w:rFonts w:ascii="Arial" w:cs="Arial" w:eastAsia="Arial" w:hAnsi="Arial"/>
          <w:sz w:val="22"/>
          <w:szCs w:val="22"/>
          <w:color w:val="auto"/>
        </w:rPr>
        <w:t>” is not limiting and means “</w:t>
      </w:r>
      <w:r>
        <w:rPr>
          <w:rFonts w:ascii="Arial" w:cs="Arial" w:eastAsia="Arial" w:hAnsi="Arial"/>
          <w:sz w:val="22"/>
          <w:szCs w:val="22"/>
          <w:u w:val="single" w:color="auto"/>
          <w:color w:val="auto"/>
        </w:rPr>
        <w:t>including without limitation</w:t>
      </w:r>
      <w:r>
        <w:rPr>
          <w:rFonts w:ascii="Arial" w:cs="Arial" w:eastAsia="Arial" w:hAnsi="Arial"/>
          <w:sz w:val="22"/>
          <w:szCs w:val="22"/>
          <w:color w:val="auto"/>
        </w:rPr>
        <w:t>.”</w:t>
      </w:r>
    </w:p>
    <w:p>
      <w:pPr>
        <w:spacing w:after="0" w:line="98" w:lineRule="exact"/>
        <w:rPr>
          <w:rFonts w:ascii="Arial" w:cs="Arial" w:eastAsia="Arial" w:hAnsi="Arial"/>
          <w:sz w:val="22"/>
          <w:szCs w:val="22"/>
          <w:color w:val="auto"/>
        </w:rPr>
      </w:pPr>
    </w:p>
    <w:p>
      <w:pPr>
        <w:ind w:left="720" w:hanging="316"/>
        <w:spacing w:after="0"/>
        <w:tabs>
          <w:tab w:leader="none" w:pos="720" w:val="left"/>
        </w:tabs>
        <w:numPr>
          <w:ilvl w:val="0"/>
          <w:numId w:val="45"/>
        </w:numPr>
        <w:rPr>
          <w:rFonts w:ascii="Arial" w:cs="Arial" w:eastAsia="Arial" w:hAnsi="Arial"/>
          <w:sz w:val="22"/>
          <w:szCs w:val="22"/>
          <w:color w:val="auto"/>
        </w:rPr>
      </w:pPr>
      <w:r>
        <w:rPr>
          <w:rFonts w:ascii="Arial" w:cs="Arial" w:eastAsia="Arial" w:hAnsi="Arial"/>
          <w:sz w:val="22"/>
          <w:szCs w:val="22"/>
          <w:color w:val="auto"/>
        </w:rPr>
        <w:t>The terms “</w:t>
      </w:r>
      <w:r>
        <w:rPr>
          <w:rFonts w:ascii="Arial" w:cs="Arial" w:eastAsia="Arial" w:hAnsi="Arial"/>
          <w:sz w:val="22"/>
          <w:szCs w:val="22"/>
          <w:u w:val="single" w:color="auto"/>
          <w:color w:val="auto"/>
        </w:rPr>
        <w:t>or</w:t>
      </w:r>
      <w:r>
        <w:rPr>
          <w:rFonts w:ascii="Arial" w:cs="Arial" w:eastAsia="Arial" w:hAnsi="Arial"/>
          <w:sz w:val="22"/>
          <w:szCs w:val="22"/>
          <w:color w:val="auto"/>
        </w:rPr>
        <w:t>”, “</w:t>
      </w:r>
      <w:r>
        <w:rPr>
          <w:rFonts w:ascii="Arial" w:cs="Arial" w:eastAsia="Arial" w:hAnsi="Arial"/>
          <w:sz w:val="22"/>
          <w:szCs w:val="22"/>
          <w:u w:val="single" w:color="auto"/>
          <w:color w:val="auto"/>
        </w:rPr>
        <w:t>either</w:t>
      </w:r>
      <w:r>
        <w:rPr>
          <w:rFonts w:ascii="Arial" w:cs="Arial" w:eastAsia="Arial" w:hAnsi="Arial"/>
          <w:sz w:val="22"/>
          <w:szCs w:val="22"/>
          <w:color w:val="auto"/>
        </w:rPr>
        <w:t>”, and “</w:t>
      </w:r>
      <w:r>
        <w:rPr>
          <w:rFonts w:ascii="Arial" w:cs="Arial" w:eastAsia="Arial" w:hAnsi="Arial"/>
          <w:sz w:val="22"/>
          <w:szCs w:val="22"/>
          <w:u w:val="single" w:color="auto"/>
          <w:color w:val="auto"/>
        </w:rPr>
        <w:t>any</w:t>
      </w:r>
      <w:r>
        <w:rPr>
          <w:rFonts w:ascii="Arial" w:cs="Arial" w:eastAsia="Arial" w:hAnsi="Arial"/>
          <w:sz w:val="22"/>
          <w:szCs w:val="22"/>
          <w:color w:val="auto"/>
        </w:rPr>
        <w:t>” shall not be exclusive.</w:t>
      </w:r>
    </w:p>
    <w:p>
      <w:pPr>
        <w:spacing w:after="0" w:line="98" w:lineRule="exact"/>
        <w:rPr>
          <w:rFonts w:ascii="Arial" w:cs="Arial" w:eastAsia="Arial" w:hAnsi="Arial"/>
          <w:sz w:val="22"/>
          <w:szCs w:val="22"/>
          <w:color w:val="auto"/>
        </w:rPr>
      </w:pPr>
    </w:p>
    <w:p>
      <w:pPr>
        <w:ind w:left="700" w:hanging="296"/>
        <w:spacing w:after="0"/>
        <w:tabs>
          <w:tab w:leader="none" w:pos="700" w:val="left"/>
        </w:tabs>
        <w:numPr>
          <w:ilvl w:val="0"/>
          <w:numId w:val="45"/>
        </w:numPr>
        <w:rPr>
          <w:rFonts w:ascii="Arial" w:cs="Arial" w:eastAsia="Arial" w:hAnsi="Arial"/>
          <w:sz w:val="22"/>
          <w:szCs w:val="22"/>
          <w:color w:val="auto"/>
        </w:rPr>
      </w:pPr>
      <w:r>
        <w:rPr>
          <w:rFonts w:ascii="Arial" w:cs="Arial" w:eastAsia="Arial" w:hAnsi="Arial"/>
          <w:sz w:val="22"/>
          <w:szCs w:val="22"/>
          <w:color w:val="auto"/>
        </w:rPr>
        <w:t>Any reference in this Agreement to dollars or $ shall mean U.S. dollars.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712" w:right="239" w:bottom="1440" w:gutter="0" w:footer="0" w:header="0"/>
        </w:sectPr>
      </w:pPr>
    </w:p>
    <w:bookmarkStart w:id="125" w:name="page126"/>
    <w:bookmarkEnd w:id="125"/>
    <w:p>
      <w:pPr>
        <w:ind w:right="60" w:firstLine="404"/>
        <w:spacing w:after="0" w:line="251" w:lineRule="auto"/>
        <w:tabs>
          <w:tab w:leader="none" w:pos="666" w:val="left"/>
        </w:tabs>
        <w:numPr>
          <w:ilvl w:val="0"/>
          <w:numId w:val="46"/>
        </w:numPr>
        <w:rPr>
          <w:rFonts w:ascii="Arial" w:cs="Arial" w:eastAsia="Arial" w:hAnsi="Arial"/>
          <w:sz w:val="22"/>
          <w:szCs w:val="22"/>
          <w:color w:val="auto"/>
        </w:rPr>
      </w:pPr>
      <w:r>
        <w:rPr>
          <w:rFonts w:ascii="Arial" w:cs="Arial" w:eastAsia="Arial" w:hAnsi="Arial"/>
          <w:sz w:val="22"/>
          <w:szCs w:val="22"/>
          <w:color w:val="auto"/>
        </w:rPr>
        <w:t>The captions and headings of this Agreement are for convenience of reference only and shall not affect the interpretation of this Agreement.</w:t>
      </w:r>
    </w:p>
    <w:p>
      <w:pPr>
        <w:spacing w:after="0" w:line="65" w:lineRule="exact"/>
        <w:rPr>
          <w:rFonts w:ascii="Arial" w:cs="Arial" w:eastAsia="Arial" w:hAnsi="Arial"/>
          <w:sz w:val="22"/>
          <w:szCs w:val="22"/>
          <w:color w:val="auto"/>
        </w:rPr>
      </w:pPr>
    </w:p>
    <w:p>
      <w:pPr>
        <w:ind w:right="40" w:firstLine="404"/>
        <w:spacing w:after="0"/>
        <w:tabs>
          <w:tab w:leader="none" w:pos="702" w:val="left"/>
        </w:tabs>
        <w:numPr>
          <w:ilvl w:val="0"/>
          <w:numId w:val="46"/>
        </w:numPr>
        <w:rPr>
          <w:rFonts w:ascii="Arial" w:cs="Arial" w:eastAsia="Arial" w:hAnsi="Arial"/>
          <w:sz w:val="22"/>
          <w:szCs w:val="22"/>
          <w:color w:val="auto"/>
        </w:rPr>
      </w:pPr>
      <w:r>
        <w:rPr>
          <w:rFonts w:ascii="Arial" w:cs="Arial" w:eastAsia="Arial" w:hAnsi="Arial"/>
          <w:sz w:val="22"/>
          <w:szCs w:val="22"/>
          <w:color w:val="auto"/>
        </w:rPr>
        <w:t xml:space="preserve">Any reference in this Agreement to </w:t>
      </w:r>
      <w:r>
        <w:rPr>
          <w:rFonts w:ascii="Arial" w:cs="Arial" w:eastAsia="Arial" w:hAnsi="Arial"/>
          <w:sz w:val="22"/>
          <w:szCs w:val="22"/>
          <w:u w:val="single" w:color="auto"/>
          <w:color w:val="auto"/>
        </w:rPr>
        <w:t>Schedule A</w:t>
      </w:r>
      <w:r>
        <w:rPr>
          <w:rFonts w:ascii="Arial" w:cs="Arial" w:eastAsia="Arial" w:hAnsi="Arial"/>
          <w:sz w:val="22"/>
          <w:szCs w:val="22"/>
          <w:color w:val="auto"/>
        </w:rPr>
        <w:t xml:space="preserve">, </w:t>
      </w:r>
      <w:r>
        <w:rPr>
          <w:rFonts w:ascii="Arial" w:cs="Arial" w:eastAsia="Arial" w:hAnsi="Arial"/>
          <w:sz w:val="22"/>
          <w:szCs w:val="22"/>
          <w:u w:val="single" w:color="auto"/>
          <w:color w:val="auto"/>
        </w:rPr>
        <w:t>Schedule B</w:t>
      </w:r>
      <w:r>
        <w:rPr>
          <w:rFonts w:ascii="Arial" w:cs="Arial" w:eastAsia="Arial" w:hAnsi="Arial"/>
          <w:sz w:val="22"/>
          <w:szCs w:val="22"/>
          <w:color w:val="auto"/>
        </w:rPr>
        <w:t xml:space="preserve">, </w:t>
      </w:r>
      <w:r>
        <w:rPr>
          <w:rFonts w:ascii="Arial" w:cs="Arial" w:eastAsia="Arial" w:hAnsi="Arial"/>
          <w:sz w:val="22"/>
          <w:szCs w:val="22"/>
          <w:u w:val="single" w:color="auto"/>
          <w:color w:val="auto"/>
        </w:rPr>
        <w:t>Annex I</w:t>
      </w:r>
      <w:r>
        <w:rPr>
          <w:rFonts w:ascii="Arial" w:cs="Arial" w:eastAsia="Arial" w:hAnsi="Arial"/>
          <w:sz w:val="22"/>
          <w:szCs w:val="22"/>
          <w:color w:val="auto"/>
        </w:rPr>
        <w:t xml:space="preserve">, </w:t>
      </w:r>
      <w:r>
        <w:rPr>
          <w:rFonts w:ascii="Arial" w:cs="Arial" w:eastAsia="Arial" w:hAnsi="Arial"/>
          <w:sz w:val="22"/>
          <w:szCs w:val="22"/>
          <w:u w:val="single" w:color="auto"/>
          <w:color w:val="auto"/>
        </w:rPr>
        <w:t>Annex II</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Annex III</w:t>
      </w:r>
      <w:r>
        <w:rPr>
          <w:rFonts w:ascii="Arial" w:cs="Arial" w:eastAsia="Arial" w:hAnsi="Arial"/>
          <w:sz w:val="22"/>
          <w:szCs w:val="22"/>
          <w:color w:val="auto"/>
        </w:rPr>
        <w:t xml:space="preserve"> shall be deemed to be a reference to </w:t>
      </w:r>
      <w:r>
        <w:rPr>
          <w:rFonts w:ascii="Arial" w:cs="Arial" w:eastAsia="Arial" w:hAnsi="Arial"/>
          <w:sz w:val="22"/>
          <w:szCs w:val="22"/>
          <w:u w:val="single" w:color="auto"/>
          <w:color w:val="auto"/>
        </w:rPr>
        <w:t>Schedule A</w:t>
      </w:r>
      <w:r>
        <w:rPr>
          <w:rFonts w:ascii="Arial" w:cs="Arial" w:eastAsia="Arial" w:hAnsi="Arial"/>
          <w:sz w:val="22"/>
          <w:szCs w:val="22"/>
          <w:color w:val="auto"/>
        </w:rPr>
        <w:t xml:space="preserve">, </w:t>
      </w:r>
      <w:r>
        <w:rPr>
          <w:rFonts w:ascii="Arial" w:cs="Arial" w:eastAsia="Arial" w:hAnsi="Arial"/>
          <w:sz w:val="22"/>
          <w:szCs w:val="22"/>
          <w:u w:val="single" w:color="auto"/>
          <w:color w:val="auto"/>
        </w:rPr>
        <w:t>Schedule B</w:t>
      </w:r>
      <w:r>
        <w:rPr>
          <w:rFonts w:ascii="Arial" w:cs="Arial" w:eastAsia="Arial" w:hAnsi="Arial"/>
          <w:sz w:val="22"/>
          <w:szCs w:val="22"/>
          <w:color w:val="auto"/>
        </w:rPr>
        <w:t xml:space="preserve">, </w:t>
      </w:r>
      <w:r>
        <w:rPr>
          <w:rFonts w:ascii="Arial" w:cs="Arial" w:eastAsia="Arial" w:hAnsi="Arial"/>
          <w:sz w:val="22"/>
          <w:szCs w:val="22"/>
          <w:u w:val="single" w:color="auto"/>
          <w:color w:val="auto"/>
        </w:rPr>
        <w:t>Annex I</w:t>
      </w:r>
      <w:r>
        <w:rPr>
          <w:rFonts w:ascii="Arial" w:cs="Arial" w:eastAsia="Arial" w:hAnsi="Arial"/>
          <w:sz w:val="22"/>
          <w:szCs w:val="22"/>
          <w:color w:val="auto"/>
        </w:rPr>
        <w:t xml:space="preserve">, </w:t>
      </w:r>
      <w:r>
        <w:rPr>
          <w:rFonts w:ascii="Arial" w:cs="Arial" w:eastAsia="Arial" w:hAnsi="Arial"/>
          <w:sz w:val="22"/>
          <w:szCs w:val="22"/>
          <w:u w:val="single" w:color="auto"/>
          <w:color w:val="auto"/>
        </w:rPr>
        <w:t>Annex II</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Annex III</w:t>
      </w:r>
      <w:r>
        <w:rPr>
          <w:rFonts w:ascii="Arial" w:cs="Arial" w:eastAsia="Arial" w:hAnsi="Arial"/>
          <w:sz w:val="22"/>
          <w:szCs w:val="22"/>
          <w:color w:val="auto"/>
        </w:rPr>
        <w:t>, as applicable, of this Agreement as such Schedule or Annex may be amended in accordance with this Agreement and is in effect from time to time.</w:t>
      </w:r>
    </w:p>
    <w:p>
      <w:pPr>
        <w:spacing w:after="0" w:line="78" w:lineRule="exact"/>
        <w:rPr>
          <w:rFonts w:ascii="Arial" w:cs="Arial" w:eastAsia="Arial" w:hAnsi="Arial"/>
          <w:sz w:val="22"/>
          <w:szCs w:val="22"/>
          <w:color w:val="auto"/>
        </w:rPr>
      </w:pPr>
    </w:p>
    <w:p>
      <w:pPr>
        <w:ind w:left="720" w:hanging="316"/>
        <w:spacing w:after="0"/>
        <w:tabs>
          <w:tab w:leader="none" w:pos="720" w:val="left"/>
        </w:tabs>
        <w:numPr>
          <w:ilvl w:val="0"/>
          <w:numId w:val="46"/>
        </w:numPr>
        <w:rPr>
          <w:rFonts w:ascii="Arial" w:cs="Arial" w:eastAsia="Arial" w:hAnsi="Arial"/>
          <w:sz w:val="19"/>
          <w:szCs w:val="19"/>
          <w:color w:val="auto"/>
        </w:rPr>
      </w:pPr>
      <w:r>
        <w:rPr>
          <w:rFonts w:ascii="Arial" w:cs="Arial" w:eastAsia="Arial" w:hAnsi="Arial"/>
          <w:sz w:val="19"/>
          <w:szCs w:val="19"/>
          <w:color w:val="auto"/>
        </w:rPr>
        <w:t>Whenever the context requires, any pronouns used herein shall include the corresponding masculine, feminine or neuter</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forms.</w:t>
      </w:r>
    </w:p>
    <w:p>
      <w:pPr>
        <w:spacing w:after="0" w:line="80" w:lineRule="exact"/>
        <w:rPr>
          <w:rFonts w:ascii="Arial" w:cs="Arial" w:eastAsia="Arial" w:hAnsi="Arial"/>
          <w:sz w:val="19"/>
          <w:szCs w:val="19"/>
          <w:color w:val="auto"/>
        </w:rPr>
      </w:pPr>
    </w:p>
    <w:p>
      <w:pPr>
        <w:ind w:right="620" w:firstLine="404"/>
        <w:spacing w:after="0" w:line="274" w:lineRule="auto"/>
        <w:tabs>
          <w:tab w:leader="none" w:pos="654" w:val="left"/>
        </w:tabs>
        <w:numPr>
          <w:ilvl w:val="0"/>
          <w:numId w:val="46"/>
        </w:numPr>
        <w:rPr>
          <w:rFonts w:ascii="Arial" w:cs="Arial" w:eastAsia="Arial" w:hAnsi="Arial"/>
          <w:sz w:val="21"/>
          <w:szCs w:val="21"/>
          <w:color w:val="auto"/>
        </w:rPr>
      </w:pPr>
      <w:r>
        <w:rPr>
          <w:rFonts w:ascii="Arial" w:cs="Arial" w:eastAsia="Arial" w:hAnsi="Arial"/>
          <w:sz w:val="21"/>
          <w:szCs w:val="21"/>
          <w:color w:val="auto"/>
        </w:rPr>
        <w:t>Except (A) as otherwise expressly provided herein, (B) to the extent not applicable or (C) as required for income Tax purposes, all terms of an accounting or financial nature shall be construed in accordance with GAAP.</w:t>
      </w:r>
    </w:p>
    <w:p>
      <w:pPr>
        <w:spacing w:after="0" w:line="151"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ARTICLE II</w:t>
      </w:r>
    </w:p>
    <w:p>
      <w:pPr>
        <w:spacing w:after="0" w:line="206" w:lineRule="exact"/>
        <w:rPr>
          <w:sz w:val="20"/>
          <w:szCs w:val="20"/>
          <w:color w:val="auto"/>
        </w:rPr>
      </w:pPr>
    </w:p>
    <w:p>
      <w:pPr>
        <w:ind w:left="4240"/>
        <w:spacing w:after="0"/>
        <w:rPr>
          <w:sz w:val="20"/>
          <w:szCs w:val="20"/>
          <w:color w:val="auto"/>
        </w:rPr>
      </w:pPr>
      <w:r>
        <w:rPr>
          <w:rFonts w:ascii="Arial" w:cs="Arial" w:eastAsia="Arial" w:hAnsi="Arial"/>
          <w:sz w:val="22"/>
          <w:szCs w:val="22"/>
          <w:u w:val="single" w:color="auto"/>
          <w:color w:val="auto"/>
        </w:rPr>
        <w:t>ORGANIZATIONAL MATTERS</w:t>
      </w:r>
    </w:p>
    <w:p>
      <w:pPr>
        <w:spacing w:after="0" w:line="206" w:lineRule="exact"/>
        <w:rPr>
          <w:sz w:val="20"/>
          <w:szCs w:val="20"/>
          <w:color w:val="auto"/>
        </w:rPr>
      </w:pPr>
    </w:p>
    <w:p>
      <w:pPr>
        <w:ind w:left="400"/>
        <w:spacing w:after="0"/>
        <w:rPr>
          <w:sz w:val="20"/>
          <w:szCs w:val="20"/>
          <w:color w:val="auto"/>
        </w:rPr>
      </w:pPr>
      <w:r>
        <w:rPr>
          <w:rFonts w:ascii="Arial" w:cs="Arial" w:eastAsia="Arial" w:hAnsi="Arial"/>
          <w:sz w:val="22"/>
          <w:szCs w:val="22"/>
          <w:color w:val="auto"/>
        </w:rPr>
        <w:t xml:space="preserve">Section 2.01. </w:t>
      </w:r>
      <w:r>
        <w:rPr>
          <w:rFonts w:ascii="Arial" w:cs="Arial" w:eastAsia="Arial" w:hAnsi="Arial"/>
          <w:sz w:val="22"/>
          <w:szCs w:val="22"/>
          <w:u w:val="single" w:color="auto"/>
          <w:color w:val="auto"/>
        </w:rPr>
        <w:t>Formation of the Company; Ratification</w:t>
      </w:r>
      <w:r>
        <w:rPr>
          <w:rFonts w:ascii="Arial" w:cs="Arial" w:eastAsia="Arial" w:hAnsi="Arial"/>
          <w:sz w:val="22"/>
          <w:szCs w:val="22"/>
          <w:color w:val="auto"/>
        </w:rPr>
        <w:t>. The Members hereby:</w:t>
      </w:r>
    </w:p>
    <w:p>
      <w:pPr>
        <w:spacing w:after="0" w:line="98" w:lineRule="exact"/>
        <w:rPr>
          <w:sz w:val="20"/>
          <w:szCs w:val="20"/>
          <w:color w:val="auto"/>
        </w:rPr>
      </w:pPr>
    </w:p>
    <w:p>
      <w:pPr>
        <w:ind w:right="40" w:firstLine="404"/>
        <w:spacing w:after="0"/>
        <w:tabs>
          <w:tab w:leader="none" w:pos="690" w:val="left"/>
        </w:tabs>
        <w:numPr>
          <w:ilvl w:val="0"/>
          <w:numId w:val="47"/>
        </w:numPr>
        <w:rPr>
          <w:rFonts w:ascii="Arial" w:cs="Arial" w:eastAsia="Arial" w:hAnsi="Arial"/>
          <w:sz w:val="22"/>
          <w:szCs w:val="22"/>
          <w:color w:val="auto"/>
        </w:rPr>
      </w:pPr>
      <w:r>
        <w:rPr>
          <w:rFonts w:ascii="Arial" w:cs="Arial" w:eastAsia="Arial" w:hAnsi="Arial"/>
          <w:sz w:val="22"/>
          <w:szCs w:val="22"/>
          <w:color w:val="auto"/>
        </w:rPr>
        <w:t>approve and ratify the filing of the Certificate of Formation with the Secretary of State of the State of Delaware on the Formation Date and all actions taken by or on behalf of the Company on or prior to the Agreement Date; and (b) confirm and agree to their status as Members of the Company as set forth herein.</w:t>
      </w:r>
    </w:p>
    <w:p>
      <w:pPr>
        <w:spacing w:after="0" w:line="78" w:lineRule="exact"/>
        <w:rPr>
          <w:sz w:val="20"/>
          <w:szCs w:val="20"/>
          <w:color w:val="auto"/>
        </w:rPr>
      </w:pPr>
    </w:p>
    <w:p>
      <w:pPr>
        <w:ind w:left="400"/>
        <w:spacing w:after="0"/>
        <w:rPr>
          <w:sz w:val="20"/>
          <w:szCs w:val="20"/>
          <w:color w:val="auto"/>
        </w:rPr>
      </w:pPr>
      <w:r>
        <w:rPr>
          <w:rFonts w:ascii="Arial" w:cs="Arial" w:eastAsia="Arial" w:hAnsi="Arial"/>
          <w:sz w:val="22"/>
          <w:szCs w:val="22"/>
          <w:color w:val="auto"/>
        </w:rPr>
        <w:t xml:space="preserve">Section 2.02. </w:t>
      </w:r>
      <w:r>
        <w:rPr>
          <w:rFonts w:ascii="Arial" w:cs="Arial" w:eastAsia="Arial" w:hAnsi="Arial"/>
          <w:sz w:val="22"/>
          <w:szCs w:val="22"/>
          <w:u w:val="single" w:color="auto"/>
          <w:color w:val="auto"/>
        </w:rPr>
        <w:t>Agreement; Members</w:t>
      </w:r>
      <w:r>
        <w:rPr>
          <w:rFonts w:ascii="Arial" w:cs="Arial" w:eastAsia="Arial" w:hAnsi="Arial"/>
          <w:sz w:val="22"/>
          <w:szCs w:val="22"/>
          <w:color w:val="auto"/>
        </w:rPr>
        <w:t>.</w:t>
      </w:r>
    </w:p>
    <w:p>
      <w:pPr>
        <w:spacing w:after="0" w:line="98" w:lineRule="exact"/>
        <w:rPr>
          <w:sz w:val="20"/>
          <w:szCs w:val="20"/>
          <w:color w:val="auto"/>
        </w:rPr>
      </w:pPr>
    </w:p>
    <w:p>
      <w:pPr>
        <w:ind w:right="100" w:firstLine="404"/>
        <w:spacing w:after="0" w:line="251" w:lineRule="auto"/>
        <w:tabs>
          <w:tab w:leader="none" w:pos="690" w:val="left"/>
        </w:tabs>
        <w:numPr>
          <w:ilvl w:val="0"/>
          <w:numId w:val="48"/>
        </w:numPr>
        <w:rPr>
          <w:rFonts w:ascii="Arial" w:cs="Arial" w:eastAsia="Arial" w:hAnsi="Arial"/>
          <w:sz w:val="22"/>
          <w:szCs w:val="22"/>
          <w:color w:val="auto"/>
        </w:rPr>
      </w:pPr>
      <w:r>
        <w:rPr>
          <w:rFonts w:ascii="Arial" w:cs="Arial" w:eastAsia="Arial" w:hAnsi="Arial"/>
          <w:sz w:val="22"/>
          <w:szCs w:val="22"/>
          <w:color w:val="auto"/>
        </w:rPr>
        <w:t>This Agreement is adopted by the Members and hereby amends and restates the Existing Agreement in its entirety, in each case effective as of the Effective Time.</w:t>
      </w:r>
    </w:p>
    <w:p>
      <w:pPr>
        <w:spacing w:after="0" w:line="65" w:lineRule="exact"/>
        <w:rPr>
          <w:rFonts w:ascii="Arial" w:cs="Arial" w:eastAsia="Arial" w:hAnsi="Arial"/>
          <w:sz w:val="22"/>
          <w:szCs w:val="22"/>
          <w:color w:val="auto"/>
        </w:rPr>
      </w:pPr>
    </w:p>
    <w:p>
      <w:pPr>
        <w:ind w:firstLine="404"/>
        <w:spacing w:after="0" w:line="238" w:lineRule="auto"/>
        <w:tabs>
          <w:tab w:leader="none" w:pos="702" w:val="left"/>
        </w:tabs>
        <w:numPr>
          <w:ilvl w:val="0"/>
          <w:numId w:val="48"/>
        </w:numPr>
        <w:rPr>
          <w:rFonts w:ascii="Arial" w:cs="Arial" w:eastAsia="Arial" w:hAnsi="Arial"/>
          <w:sz w:val="22"/>
          <w:szCs w:val="22"/>
          <w:color w:val="auto"/>
        </w:rPr>
      </w:pPr>
      <w:r>
        <w:rPr>
          <w:rFonts w:ascii="Arial" w:cs="Arial" w:eastAsia="Arial" w:hAnsi="Arial"/>
          <w:sz w:val="22"/>
          <w:szCs w:val="22"/>
          <w:color w:val="auto"/>
        </w:rPr>
        <w:t>The Members agree to continue the Company as a limited liability company under the Act, upon the terms and subject to the conditions set forth in this Agreement, as amended from time to time. The Members hereby agree that during the term of the Company, the rights, duties and obligations of the Members with respect to the Company will be determined in accordance with the terms and conditions of this Agreement and the Act.</w:t>
      </w:r>
    </w:p>
    <w:p>
      <w:pPr>
        <w:spacing w:after="0" w:line="76" w:lineRule="exact"/>
        <w:rPr>
          <w:rFonts w:ascii="Arial" w:cs="Arial" w:eastAsia="Arial" w:hAnsi="Arial"/>
          <w:sz w:val="22"/>
          <w:szCs w:val="22"/>
          <w:color w:val="auto"/>
        </w:rPr>
      </w:pPr>
    </w:p>
    <w:p>
      <w:pPr>
        <w:ind w:firstLine="404"/>
        <w:spacing w:after="0"/>
        <w:tabs>
          <w:tab w:leader="none" w:pos="690" w:val="left"/>
        </w:tabs>
        <w:numPr>
          <w:ilvl w:val="0"/>
          <w:numId w:val="48"/>
        </w:numPr>
        <w:rPr>
          <w:rFonts w:ascii="Arial" w:cs="Arial" w:eastAsia="Arial" w:hAnsi="Arial"/>
          <w:sz w:val="22"/>
          <w:szCs w:val="22"/>
          <w:color w:val="auto"/>
        </w:rPr>
      </w:pPr>
      <w:r>
        <w:rPr>
          <w:rFonts w:ascii="Arial" w:cs="Arial" w:eastAsia="Arial" w:hAnsi="Arial"/>
          <w:sz w:val="22"/>
          <w:szCs w:val="22"/>
          <w:color w:val="auto"/>
        </w:rPr>
        <w:t xml:space="preserve">The name and mailing address of each Member is set forth on </w:t>
      </w:r>
      <w:r>
        <w:rPr>
          <w:rFonts w:ascii="Arial" w:cs="Arial" w:eastAsia="Arial" w:hAnsi="Arial"/>
          <w:sz w:val="22"/>
          <w:szCs w:val="22"/>
          <w:u w:val="single" w:color="auto"/>
          <w:color w:val="auto"/>
        </w:rPr>
        <w:t>Schedule A</w:t>
      </w:r>
      <w:r>
        <w:rPr>
          <w:rFonts w:ascii="Arial" w:cs="Arial" w:eastAsia="Arial" w:hAnsi="Arial"/>
          <w:sz w:val="22"/>
          <w:szCs w:val="22"/>
          <w:color w:val="auto"/>
        </w:rPr>
        <w:t xml:space="preserve">. The Board or any officer of the Company shall amend </w:t>
      </w:r>
      <w:r>
        <w:rPr>
          <w:rFonts w:ascii="Arial" w:cs="Arial" w:eastAsia="Arial" w:hAnsi="Arial"/>
          <w:sz w:val="22"/>
          <w:szCs w:val="22"/>
          <w:u w:val="single" w:color="auto"/>
          <w:color w:val="auto"/>
        </w:rPr>
        <w:t>Schedule 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Schedule B</w:t>
      </w:r>
      <w:r>
        <w:rPr>
          <w:rFonts w:ascii="Arial" w:cs="Arial" w:eastAsia="Arial" w:hAnsi="Arial"/>
          <w:sz w:val="22"/>
          <w:szCs w:val="22"/>
          <w:color w:val="auto"/>
        </w:rPr>
        <w:t xml:space="preserve"> from time to time as necessary to ensure the accuracy of the information required to be included therein in accordance with the terms hereof.</w:t>
      </w:r>
    </w:p>
    <w:p>
      <w:pPr>
        <w:spacing w:after="0" w:line="78" w:lineRule="exact"/>
        <w:rPr>
          <w:sz w:val="20"/>
          <w:szCs w:val="20"/>
          <w:color w:val="auto"/>
        </w:rPr>
      </w:pPr>
    </w:p>
    <w:p>
      <w:pPr>
        <w:jc w:val="both"/>
        <w:ind w:right="340" w:firstLine="396"/>
        <w:spacing w:after="0"/>
        <w:rPr>
          <w:sz w:val="20"/>
          <w:szCs w:val="20"/>
          <w:color w:val="auto"/>
        </w:rPr>
      </w:pPr>
      <w:r>
        <w:rPr>
          <w:rFonts w:ascii="Arial" w:cs="Arial" w:eastAsia="Arial" w:hAnsi="Arial"/>
          <w:sz w:val="22"/>
          <w:szCs w:val="22"/>
          <w:color w:val="auto"/>
        </w:rPr>
        <w:t xml:space="preserve">Section 2.03. </w:t>
      </w:r>
      <w:r>
        <w:rPr>
          <w:rFonts w:ascii="Arial" w:cs="Arial" w:eastAsia="Arial" w:hAnsi="Arial"/>
          <w:sz w:val="22"/>
          <w:szCs w:val="22"/>
          <w:u w:val="single" w:color="auto"/>
          <w:color w:val="auto"/>
        </w:rPr>
        <w:t>Name of the Company</w:t>
      </w:r>
      <w:r>
        <w:rPr>
          <w:rFonts w:ascii="Arial" w:cs="Arial" w:eastAsia="Arial" w:hAnsi="Arial"/>
          <w:sz w:val="22"/>
          <w:szCs w:val="22"/>
          <w:color w:val="auto"/>
        </w:rPr>
        <w:t>. The name of the Company is “Albany Safran Composites, LLC”. The business of the Company may be conducted under such name or any other name permitted by the Act as the Board may determine from time to time.</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712" w:right="259" w:bottom="1440" w:gutter="0" w:footer="0" w:header="0"/>
        </w:sectPr>
      </w:pPr>
    </w:p>
    <w:bookmarkStart w:id="126" w:name="page127"/>
    <w:bookmarkEnd w:id="126"/>
    <w:p>
      <w:pPr>
        <w:ind w:right="160" w:firstLine="396"/>
        <w:spacing w:after="0"/>
        <w:rPr>
          <w:sz w:val="20"/>
          <w:szCs w:val="20"/>
          <w:color w:val="auto"/>
        </w:rPr>
      </w:pPr>
      <w:r>
        <w:rPr>
          <w:rFonts w:ascii="Arial" w:cs="Arial" w:eastAsia="Arial" w:hAnsi="Arial"/>
          <w:sz w:val="22"/>
          <w:szCs w:val="22"/>
          <w:color w:val="auto"/>
        </w:rPr>
        <w:t xml:space="preserve">Section 2.04. </w:t>
      </w:r>
      <w:r>
        <w:rPr>
          <w:rFonts w:ascii="Arial" w:cs="Arial" w:eastAsia="Arial" w:hAnsi="Arial"/>
          <w:sz w:val="22"/>
          <w:szCs w:val="22"/>
          <w:u w:val="single" w:color="auto"/>
          <w:color w:val="auto"/>
        </w:rPr>
        <w:t>Place of Business</w:t>
      </w:r>
      <w:r>
        <w:rPr>
          <w:rFonts w:ascii="Arial" w:cs="Arial" w:eastAsia="Arial" w:hAnsi="Arial"/>
          <w:sz w:val="22"/>
          <w:szCs w:val="22"/>
          <w:color w:val="auto"/>
        </w:rPr>
        <w:t>. The Company shall have its principal office at 85 Innovation Drive, Rochester, New Hampshire 03867 or such other place or places as the Board may deem appropriate, and may establish such other offices or places of business for the Company as the Board may deem appropriate.</w:t>
      </w:r>
    </w:p>
    <w:p>
      <w:pPr>
        <w:spacing w:after="0" w:line="78" w:lineRule="exact"/>
        <w:rPr>
          <w:sz w:val="20"/>
          <w:szCs w:val="20"/>
          <w:color w:val="auto"/>
        </w:rPr>
      </w:pPr>
    </w:p>
    <w:p>
      <w:pPr>
        <w:jc w:val="both"/>
        <w:ind w:right="640" w:firstLine="396"/>
        <w:spacing w:after="0" w:line="297" w:lineRule="auto"/>
        <w:rPr>
          <w:sz w:val="20"/>
          <w:szCs w:val="20"/>
          <w:color w:val="auto"/>
        </w:rPr>
      </w:pPr>
      <w:r>
        <w:rPr>
          <w:rFonts w:ascii="Arial" w:cs="Arial" w:eastAsia="Arial" w:hAnsi="Arial"/>
          <w:sz w:val="19"/>
          <w:szCs w:val="19"/>
          <w:color w:val="auto"/>
        </w:rPr>
        <w:t xml:space="preserve">Section 2.05. </w:t>
      </w:r>
      <w:r>
        <w:rPr>
          <w:rFonts w:ascii="Arial" w:cs="Arial" w:eastAsia="Arial" w:hAnsi="Arial"/>
          <w:sz w:val="19"/>
          <w:szCs w:val="19"/>
          <w:u w:val="single" w:color="auto"/>
          <w:color w:val="auto"/>
        </w:rPr>
        <w:t>Registered Office and Registered Agent</w:t>
      </w:r>
      <w:r>
        <w:rPr>
          <w:rFonts w:ascii="Arial" w:cs="Arial" w:eastAsia="Arial" w:hAnsi="Arial"/>
          <w:sz w:val="19"/>
          <w:szCs w:val="19"/>
          <w:color w:val="auto"/>
        </w:rPr>
        <w:t>. The registered office of the Company in the State of Delaware is Corporation Service Company, 2711 Centerville Road, Suite 400, Wilmington, County of New Castle, Delaware 19808. The registered agent for service of process of the Company at such address is Corporation Service Company.</w:t>
      </w:r>
    </w:p>
    <w:p>
      <w:pPr>
        <w:spacing w:after="0" w:line="26" w:lineRule="exact"/>
        <w:rPr>
          <w:sz w:val="20"/>
          <w:szCs w:val="20"/>
          <w:color w:val="auto"/>
        </w:rPr>
      </w:pPr>
    </w:p>
    <w:p>
      <w:pPr>
        <w:ind w:right="40" w:firstLine="396"/>
        <w:spacing w:after="0" w:line="248" w:lineRule="auto"/>
        <w:rPr>
          <w:sz w:val="20"/>
          <w:szCs w:val="20"/>
          <w:color w:val="auto"/>
        </w:rPr>
      </w:pPr>
      <w:r>
        <w:rPr>
          <w:rFonts w:ascii="Arial" w:cs="Arial" w:eastAsia="Arial" w:hAnsi="Arial"/>
          <w:sz w:val="21"/>
          <w:szCs w:val="21"/>
          <w:color w:val="auto"/>
        </w:rPr>
        <w:t xml:space="preserve">Section 2.06. </w:t>
      </w:r>
      <w:r>
        <w:rPr>
          <w:rFonts w:ascii="Arial" w:cs="Arial" w:eastAsia="Arial" w:hAnsi="Arial"/>
          <w:sz w:val="21"/>
          <w:szCs w:val="21"/>
          <w:u w:val="single" w:color="auto"/>
          <w:color w:val="auto"/>
        </w:rPr>
        <w:t>Liability of Members</w:t>
      </w:r>
      <w:r>
        <w:rPr>
          <w:rFonts w:ascii="Arial" w:cs="Arial" w:eastAsia="Arial" w:hAnsi="Arial"/>
          <w:sz w:val="21"/>
          <w:szCs w:val="21"/>
          <w:color w:val="auto"/>
        </w:rPr>
        <w:t>. Except as otherwise provided in this Agreement or the Act, the debts, obligations and liabilities of the Company, whether arising in contract, tort or otherwise, shall be solely the debts, obligations and liabilities of the Company, and the Members shall have no obligation whatsoever for any such debt, obligation or liability of the Company solely by reason of being a Member. The failure of the Company to observe any formalities or requirements relating to the exercise of its power or management of its business or affairs under the Act or this Agreement shall not be grounds for imposing personal liability on the Members for any debts, obligations or liabilities of the Company.</w:t>
      </w:r>
    </w:p>
    <w:p>
      <w:pPr>
        <w:spacing w:after="0" w:line="69" w:lineRule="exact"/>
        <w:rPr>
          <w:sz w:val="20"/>
          <w:szCs w:val="20"/>
          <w:color w:val="auto"/>
        </w:rPr>
      </w:pPr>
    </w:p>
    <w:p>
      <w:pPr>
        <w:ind w:firstLine="396"/>
        <w:spacing w:after="0" w:line="251" w:lineRule="auto"/>
        <w:rPr>
          <w:sz w:val="20"/>
          <w:szCs w:val="20"/>
          <w:color w:val="auto"/>
        </w:rPr>
      </w:pPr>
      <w:r>
        <w:rPr>
          <w:rFonts w:ascii="Arial" w:cs="Arial" w:eastAsia="Arial" w:hAnsi="Arial"/>
          <w:sz w:val="22"/>
          <w:szCs w:val="22"/>
          <w:color w:val="auto"/>
        </w:rPr>
        <w:t xml:space="preserve">Section 2.07. </w:t>
      </w:r>
      <w:r>
        <w:rPr>
          <w:rFonts w:ascii="Arial" w:cs="Arial" w:eastAsia="Arial" w:hAnsi="Arial"/>
          <w:sz w:val="22"/>
          <w:szCs w:val="22"/>
          <w:u w:val="single" w:color="auto"/>
          <w:color w:val="auto"/>
        </w:rPr>
        <w:t>Term of the Company</w:t>
      </w:r>
      <w:r>
        <w:rPr>
          <w:rFonts w:ascii="Arial" w:cs="Arial" w:eastAsia="Arial" w:hAnsi="Arial"/>
          <w:sz w:val="22"/>
          <w:szCs w:val="22"/>
          <w:color w:val="auto"/>
        </w:rPr>
        <w:t>. The existence of the Company commenced on the Formation Date and shall continue until dissolution thereof in accordance with the provisions of this Agreement.</w:t>
      </w:r>
    </w:p>
    <w:p>
      <w:pPr>
        <w:spacing w:after="0" w:line="65" w:lineRule="exact"/>
        <w:rPr>
          <w:sz w:val="20"/>
          <w:szCs w:val="20"/>
          <w:color w:val="auto"/>
        </w:rPr>
      </w:pPr>
    </w:p>
    <w:p>
      <w:pPr>
        <w:ind w:firstLine="396"/>
        <w:spacing w:after="0"/>
        <w:rPr>
          <w:sz w:val="20"/>
          <w:szCs w:val="20"/>
          <w:color w:val="auto"/>
        </w:rPr>
      </w:pPr>
      <w:r>
        <w:rPr>
          <w:rFonts w:ascii="Arial" w:cs="Arial" w:eastAsia="Arial" w:hAnsi="Arial"/>
          <w:sz w:val="22"/>
          <w:szCs w:val="22"/>
          <w:color w:val="auto"/>
        </w:rPr>
        <w:t xml:space="preserve">Section 2.08. </w:t>
      </w:r>
      <w:r>
        <w:rPr>
          <w:rFonts w:ascii="Arial" w:cs="Arial" w:eastAsia="Arial" w:hAnsi="Arial"/>
          <w:sz w:val="22"/>
          <w:szCs w:val="22"/>
          <w:u w:val="single" w:color="auto"/>
          <w:color w:val="auto"/>
        </w:rPr>
        <w:t>Purpose of the Company</w:t>
      </w:r>
      <w:r>
        <w:rPr>
          <w:rFonts w:ascii="Arial" w:cs="Arial" w:eastAsia="Arial" w:hAnsi="Arial"/>
          <w:sz w:val="22"/>
          <w:szCs w:val="22"/>
          <w:color w:val="auto"/>
        </w:rPr>
        <w:t xml:space="preserve">. The purpose of the Company is to engage in the Business and in any other lawful act or activity to which the Members may agree in accordance with </w:t>
      </w:r>
      <w:r>
        <w:rPr>
          <w:rFonts w:ascii="Arial" w:cs="Arial" w:eastAsia="Arial" w:hAnsi="Arial"/>
          <w:sz w:val="22"/>
          <w:szCs w:val="22"/>
          <w:u w:val="single" w:color="auto"/>
          <w:color w:val="auto"/>
        </w:rPr>
        <w:t>Section 5.02(k)</w:t>
      </w:r>
      <w:r>
        <w:rPr>
          <w:rFonts w:ascii="Arial" w:cs="Arial" w:eastAsia="Arial" w:hAnsi="Arial"/>
          <w:sz w:val="22"/>
          <w:szCs w:val="22"/>
          <w:color w:val="auto"/>
        </w:rPr>
        <w:t>, either directly or indirectly through one or more Subsidiaries or other entities in which it holds an equity interest.</w:t>
      </w:r>
    </w:p>
    <w:p>
      <w:pPr>
        <w:spacing w:after="0" w:line="78" w:lineRule="exact"/>
        <w:rPr>
          <w:sz w:val="20"/>
          <w:szCs w:val="20"/>
          <w:color w:val="auto"/>
        </w:rPr>
      </w:pPr>
    </w:p>
    <w:p>
      <w:pPr>
        <w:ind w:right="300" w:firstLine="396"/>
        <w:spacing w:after="0" w:line="297" w:lineRule="auto"/>
        <w:rPr>
          <w:sz w:val="20"/>
          <w:szCs w:val="20"/>
          <w:color w:val="auto"/>
        </w:rPr>
      </w:pPr>
      <w:r>
        <w:rPr>
          <w:rFonts w:ascii="Arial" w:cs="Arial" w:eastAsia="Arial" w:hAnsi="Arial"/>
          <w:sz w:val="19"/>
          <w:szCs w:val="19"/>
          <w:color w:val="auto"/>
        </w:rPr>
        <w:t xml:space="preserve">Section 2.09. </w:t>
      </w:r>
      <w:r>
        <w:rPr>
          <w:rFonts w:ascii="Arial" w:cs="Arial" w:eastAsia="Arial" w:hAnsi="Arial"/>
          <w:sz w:val="19"/>
          <w:szCs w:val="19"/>
          <w:u w:val="single" w:color="auto"/>
          <w:color w:val="auto"/>
        </w:rPr>
        <w:t>U.S. Tax Characterization of the Company</w:t>
      </w:r>
      <w:r>
        <w:rPr>
          <w:rFonts w:ascii="Arial" w:cs="Arial" w:eastAsia="Arial" w:hAnsi="Arial"/>
          <w:sz w:val="19"/>
          <w:szCs w:val="19"/>
          <w:color w:val="auto"/>
        </w:rPr>
        <w:t>. The Members intend that the Company is, and will continue to be, classified as a partnership for U.S. federal, state and local income tax purposes and neither the Company nor any Member shall make any election to the contrary. The Company shall file an election under Section 754 of the Code if requested by the Board.</w:t>
      </w:r>
    </w:p>
    <w:p>
      <w:pPr>
        <w:spacing w:after="0" w:line="134"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ARTICLE III</w:t>
      </w:r>
    </w:p>
    <w:p>
      <w:pPr>
        <w:spacing w:after="0" w:line="206" w:lineRule="exact"/>
        <w:rPr>
          <w:sz w:val="20"/>
          <w:szCs w:val="20"/>
          <w:color w:val="auto"/>
        </w:rPr>
      </w:pPr>
    </w:p>
    <w:p>
      <w:pPr>
        <w:ind w:left="4340"/>
        <w:spacing w:after="0"/>
        <w:rPr>
          <w:sz w:val="20"/>
          <w:szCs w:val="20"/>
          <w:color w:val="auto"/>
        </w:rPr>
      </w:pPr>
      <w:r>
        <w:rPr>
          <w:rFonts w:ascii="Arial" w:cs="Arial" w:eastAsia="Arial" w:hAnsi="Arial"/>
          <w:sz w:val="22"/>
          <w:szCs w:val="22"/>
          <w:u w:val="single" w:color="auto"/>
          <w:color w:val="auto"/>
        </w:rPr>
        <w:t>CAPITAL CONTRIBUTIONS,</w:t>
      </w:r>
    </w:p>
    <w:p>
      <w:pPr>
        <w:spacing w:after="0" w:line="8" w:lineRule="exact"/>
        <w:rPr>
          <w:sz w:val="20"/>
          <w:szCs w:val="20"/>
          <w:color w:val="auto"/>
        </w:rPr>
      </w:pPr>
    </w:p>
    <w:p>
      <w:pPr>
        <w:ind w:left="400" w:right="3320" w:firstLine="2917"/>
        <w:spacing w:after="0" w:line="375" w:lineRule="auto"/>
        <w:rPr>
          <w:sz w:val="20"/>
          <w:szCs w:val="20"/>
          <w:color w:val="auto"/>
        </w:rPr>
      </w:pPr>
      <w:r>
        <w:rPr>
          <w:rFonts w:ascii="Arial" w:cs="Arial" w:eastAsia="Arial" w:hAnsi="Arial"/>
          <w:sz w:val="22"/>
          <w:szCs w:val="22"/>
          <w:u w:val="single" w:color="auto"/>
          <w:color w:val="auto"/>
        </w:rPr>
        <w:t xml:space="preserve">MEMBERSHIP UNITS AND CAPITAL ACCOUNTS </w:t>
      </w:r>
      <w:r>
        <w:rPr>
          <w:rFonts w:ascii="Arial" w:cs="Arial" w:eastAsia="Arial" w:hAnsi="Arial"/>
          <w:sz w:val="22"/>
          <w:szCs w:val="22"/>
          <w:color w:val="auto"/>
        </w:rPr>
        <w:t xml:space="preserve">Section 3.01. </w:t>
      </w:r>
      <w:r>
        <w:rPr>
          <w:rFonts w:ascii="Arial" w:cs="Arial" w:eastAsia="Arial" w:hAnsi="Arial"/>
          <w:sz w:val="22"/>
          <w:szCs w:val="22"/>
          <w:u w:val="single" w:color="auto"/>
          <w:color w:val="auto"/>
        </w:rPr>
        <w:t>Initial Capital Contributions and Membership Units</w:t>
      </w:r>
      <w:r>
        <w:rPr>
          <w:rFonts w:ascii="Arial" w:cs="Arial" w:eastAsia="Arial" w:hAnsi="Arial"/>
          <w:sz w:val="22"/>
          <w:szCs w:val="22"/>
          <w:color w:val="auto"/>
        </w:rPr>
        <w:t>.</w:t>
      </w:r>
    </w:p>
    <w:p>
      <w:pPr>
        <w:spacing w:after="0" w:line="2" w:lineRule="exact"/>
        <w:rPr>
          <w:sz w:val="20"/>
          <w:szCs w:val="20"/>
          <w:color w:val="auto"/>
        </w:rPr>
      </w:pPr>
    </w:p>
    <w:p>
      <w:pPr>
        <w:ind w:right="60" w:firstLine="404"/>
        <w:spacing w:after="0"/>
        <w:tabs>
          <w:tab w:leader="none" w:pos="690" w:val="left"/>
        </w:tabs>
        <w:numPr>
          <w:ilvl w:val="0"/>
          <w:numId w:val="49"/>
        </w:numPr>
        <w:rPr>
          <w:rFonts w:ascii="Arial" w:cs="Arial" w:eastAsia="Arial" w:hAnsi="Arial"/>
          <w:sz w:val="22"/>
          <w:szCs w:val="22"/>
          <w:color w:val="auto"/>
        </w:rPr>
      </w:pPr>
      <w:r>
        <w:rPr>
          <w:rFonts w:ascii="Arial" w:cs="Arial" w:eastAsia="Arial" w:hAnsi="Arial"/>
          <w:sz w:val="22"/>
          <w:szCs w:val="22"/>
          <w:color w:val="auto"/>
        </w:rPr>
        <w:t>The Company shall have two (2) classes of Membership Units: (i) common interests with the rights and conditions as set forth in this Agreement (the “</w:t>
      </w:r>
      <w:r>
        <w:rPr>
          <w:rFonts w:ascii="Arial" w:cs="Arial" w:eastAsia="Arial" w:hAnsi="Arial"/>
          <w:sz w:val="22"/>
          <w:szCs w:val="22"/>
          <w:u w:val="single" w:color="auto"/>
          <w:color w:val="auto"/>
        </w:rPr>
        <w:t>Common Membership Units</w:t>
      </w:r>
      <w:r>
        <w:rPr>
          <w:rFonts w:ascii="Arial" w:cs="Arial" w:eastAsia="Arial" w:hAnsi="Arial"/>
          <w:sz w:val="22"/>
          <w:szCs w:val="22"/>
          <w:color w:val="auto"/>
        </w:rPr>
        <w:t>”) and (ii) preferred interests with the rights and conditions as set forth in this Agreement (the “</w:t>
      </w:r>
      <w:r>
        <w:rPr>
          <w:rFonts w:ascii="Arial" w:cs="Arial" w:eastAsia="Arial" w:hAnsi="Arial"/>
          <w:sz w:val="22"/>
          <w:szCs w:val="22"/>
          <w:u w:val="single" w:color="auto"/>
          <w:color w:val="auto"/>
        </w:rPr>
        <w:t>Preferred Membership Units</w:t>
      </w:r>
      <w:r>
        <w:rPr>
          <w:rFonts w:ascii="Arial" w:cs="Arial" w:eastAsia="Arial" w:hAnsi="Arial"/>
          <w:sz w:val="22"/>
          <w:szCs w:val="22"/>
          <w:color w:val="auto"/>
        </w:rPr>
        <w:t>”).</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712" w:right="239" w:bottom="1440" w:gutter="0" w:footer="0" w:header="0"/>
        </w:sectPr>
      </w:pPr>
    </w:p>
    <w:bookmarkStart w:id="127" w:name="page128"/>
    <w:bookmarkEnd w:id="127"/>
    <w:p>
      <w:pPr>
        <w:ind w:firstLine="404"/>
        <w:spacing w:after="0" w:line="282" w:lineRule="auto"/>
        <w:tabs>
          <w:tab w:leader="none" w:pos="702" w:val="left"/>
        </w:tabs>
        <w:numPr>
          <w:ilvl w:val="0"/>
          <w:numId w:val="50"/>
        </w:numPr>
        <w:rPr>
          <w:rFonts w:ascii="Arial" w:cs="Arial" w:eastAsia="Arial" w:hAnsi="Arial"/>
          <w:sz w:val="19"/>
          <w:szCs w:val="19"/>
          <w:color w:val="auto"/>
        </w:rPr>
      </w:pPr>
      <w:r>
        <w:rPr>
          <w:rFonts w:ascii="Arial" w:cs="Arial" w:eastAsia="Arial" w:hAnsi="Arial"/>
          <w:sz w:val="19"/>
          <w:szCs w:val="19"/>
          <w:color w:val="auto"/>
        </w:rPr>
        <w:t>On or prior to the Agreement Date, and effective as of the Effective Time, (i) Albany has (A) made a Capital Contribution of certain property to the Company and the Company has assumed certain liabilities of Albany, in each case pursuant to and in accordance with the Albany Contribution Agreement and (B) licensed the Albany Technology to the Company pursuant to the Albany IPLA; and (ii) Safran has (A) made a Capital Contribution, in cash, to the Company, pursuant to and in accordance with the Safran Contribution Agreement and (B) licensed the Safran Technology to the Company pursuant to the Safran IPLA.</w:t>
      </w:r>
    </w:p>
    <w:p>
      <w:pPr>
        <w:spacing w:after="0" w:line="39" w:lineRule="exact"/>
        <w:rPr>
          <w:rFonts w:ascii="Arial" w:cs="Arial" w:eastAsia="Arial" w:hAnsi="Arial"/>
          <w:sz w:val="19"/>
          <w:szCs w:val="19"/>
          <w:color w:val="auto"/>
        </w:rPr>
      </w:pPr>
    </w:p>
    <w:p>
      <w:pPr>
        <w:ind w:right="20" w:firstLine="404"/>
        <w:spacing w:after="0" w:line="277" w:lineRule="auto"/>
        <w:tabs>
          <w:tab w:leader="none" w:pos="690" w:val="left"/>
        </w:tabs>
        <w:numPr>
          <w:ilvl w:val="0"/>
          <w:numId w:val="50"/>
        </w:numPr>
        <w:rPr>
          <w:rFonts w:ascii="Arial" w:cs="Arial" w:eastAsia="Arial" w:hAnsi="Arial"/>
          <w:sz w:val="19"/>
          <w:szCs w:val="19"/>
          <w:color w:val="auto"/>
        </w:rPr>
      </w:pPr>
      <w:r>
        <w:rPr>
          <w:rFonts w:ascii="Arial" w:cs="Arial" w:eastAsia="Arial" w:hAnsi="Arial"/>
          <w:sz w:val="19"/>
          <w:szCs w:val="19"/>
          <w:color w:val="auto"/>
        </w:rPr>
        <w:t xml:space="preserve">The value and form of each Member’s initial Capital Contribution, as well as the amount of Preferred Capital and/or Common Capital it represents, is set forth opposite such Member’s name on </w:t>
      </w:r>
      <w:r>
        <w:rPr>
          <w:rFonts w:ascii="Arial" w:cs="Arial" w:eastAsia="Arial" w:hAnsi="Arial"/>
          <w:sz w:val="19"/>
          <w:szCs w:val="19"/>
          <w:u w:val="single" w:color="auto"/>
          <w:color w:val="auto"/>
        </w:rPr>
        <w:t>Schedule B</w:t>
      </w:r>
      <w:r>
        <w:rPr>
          <w:rFonts w:ascii="Arial" w:cs="Arial" w:eastAsia="Arial" w:hAnsi="Arial"/>
          <w:sz w:val="19"/>
          <w:szCs w:val="19"/>
          <w:color w:val="auto"/>
        </w:rPr>
        <w:t xml:space="preserve"> (such Capital Contribution, with respect to each Member (as applicable), being hereinafter referred to as the “</w:t>
      </w:r>
      <w:r>
        <w:rPr>
          <w:rFonts w:ascii="Arial" w:cs="Arial" w:eastAsia="Arial" w:hAnsi="Arial"/>
          <w:sz w:val="19"/>
          <w:szCs w:val="19"/>
          <w:u w:val="single" w:color="auto"/>
          <w:color w:val="auto"/>
        </w:rPr>
        <w:t>Initial Capital Contribution</w:t>
      </w:r>
      <w:r>
        <w:rPr>
          <w:rFonts w:ascii="Arial" w:cs="Arial" w:eastAsia="Arial" w:hAnsi="Arial"/>
          <w:sz w:val="19"/>
          <w:szCs w:val="19"/>
          <w:color w:val="auto"/>
        </w:rPr>
        <w:t xml:space="preserve">”) and, in consideration thereof, effective as of the Effective Time, the Company hereby issues to each such Member the number of Common Membership Units and/or Preferred Membership Units set forth opposite such Member’s name on </w:t>
      </w:r>
      <w:r>
        <w:rPr>
          <w:rFonts w:ascii="Arial" w:cs="Arial" w:eastAsia="Arial" w:hAnsi="Arial"/>
          <w:sz w:val="19"/>
          <w:szCs w:val="19"/>
          <w:u w:val="single" w:color="auto"/>
          <w:color w:val="auto"/>
        </w:rPr>
        <w:t>Schedule B</w:t>
      </w:r>
      <w:r>
        <w:rPr>
          <w:rFonts w:ascii="Arial" w:cs="Arial" w:eastAsia="Arial" w:hAnsi="Arial"/>
          <w:sz w:val="19"/>
          <w:szCs w:val="19"/>
          <w:color w:val="auto"/>
        </w:rPr>
        <w:t xml:space="preserve"> and hereby admits each such Person as a Member hereunder. </w:t>
      </w:r>
      <w:r>
        <w:rPr>
          <w:rFonts w:ascii="Arial" w:cs="Arial" w:eastAsia="Arial" w:hAnsi="Arial"/>
          <w:sz w:val="19"/>
          <w:szCs w:val="19"/>
          <w:u w:val="single" w:color="auto"/>
          <w:color w:val="auto"/>
        </w:rPr>
        <w:t>Schedule B</w:t>
      </w:r>
      <w:r>
        <w:rPr>
          <w:rFonts w:ascii="Arial" w:cs="Arial" w:eastAsia="Arial" w:hAnsi="Arial"/>
          <w:sz w:val="19"/>
          <w:szCs w:val="19"/>
          <w:color w:val="auto"/>
        </w:rPr>
        <w:t xml:space="preserve"> incorporates and supersedes any and all interests of Albany pursuant to the Existing Agreement and any Capital Contributions which may have been made pursuant to the Existing Agreement.</w:t>
      </w:r>
    </w:p>
    <w:p>
      <w:pPr>
        <w:spacing w:after="0" w:line="45" w:lineRule="exact"/>
        <w:rPr>
          <w:sz w:val="20"/>
          <w:szCs w:val="20"/>
          <w:color w:val="auto"/>
        </w:rPr>
      </w:pPr>
    </w:p>
    <w:p>
      <w:pPr>
        <w:ind w:left="400"/>
        <w:spacing w:after="0"/>
        <w:rPr>
          <w:sz w:val="20"/>
          <w:szCs w:val="20"/>
          <w:color w:val="auto"/>
        </w:rPr>
      </w:pPr>
      <w:r>
        <w:rPr>
          <w:rFonts w:ascii="Arial" w:cs="Arial" w:eastAsia="Arial" w:hAnsi="Arial"/>
          <w:sz w:val="22"/>
          <w:szCs w:val="22"/>
          <w:color w:val="auto"/>
        </w:rPr>
        <w:t xml:space="preserve">Section 3.02. </w:t>
      </w:r>
      <w:r>
        <w:rPr>
          <w:rFonts w:ascii="Arial" w:cs="Arial" w:eastAsia="Arial" w:hAnsi="Arial"/>
          <w:sz w:val="22"/>
          <w:szCs w:val="22"/>
          <w:u w:val="single" w:color="auto"/>
          <w:color w:val="auto"/>
        </w:rPr>
        <w:t>Additional Capital Contributions</w:t>
      </w:r>
      <w:r>
        <w:rPr>
          <w:rFonts w:ascii="Arial" w:cs="Arial" w:eastAsia="Arial" w:hAnsi="Arial"/>
          <w:sz w:val="22"/>
          <w:szCs w:val="22"/>
          <w:color w:val="auto"/>
        </w:rPr>
        <w:t>.</w:t>
      </w:r>
    </w:p>
    <w:p>
      <w:pPr>
        <w:spacing w:after="0" w:line="98" w:lineRule="exact"/>
        <w:rPr>
          <w:sz w:val="20"/>
          <w:szCs w:val="20"/>
          <w:color w:val="auto"/>
        </w:rPr>
      </w:pPr>
    </w:p>
    <w:p>
      <w:pPr>
        <w:jc w:val="both"/>
        <w:ind w:right="140" w:firstLine="404"/>
        <w:spacing w:after="0" w:line="238" w:lineRule="auto"/>
        <w:tabs>
          <w:tab w:leader="none" w:pos="690" w:val="left"/>
        </w:tabs>
        <w:numPr>
          <w:ilvl w:val="0"/>
          <w:numId w:val="51"/>
        </w:numPr>
        <w:rPr>
          <w:rFonts w:ascii="Arial" w:cs="Arial" w:eastAsia="Arial" w:hAnsi="Arial"/>
          <w:sz w:val="22"/>
          <w:szCs w:val="22"/>
          <w:color w:val="auto"/>
        </w:rPr>
      </w:pPr>
      <w:r>
        <w:rPr>
          <w:rFonts w:ascii="Arial" w:cs="Arial" w:eastAsia="Arial" w:hAnsi="Arial"/>
          <w:sz w:val="22"/>
          <w:szCs w:val="22"/>
          <w:color w:val="auto"/>
        </w:rPr>
        <w:t xml:space="preserve">No Member shall be obligated to make any Additional Capital Contribution to the Company;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foregoing sentence shall not limit (i) the obligations of Albany to make any Intercompany Loan pursuant to </w:t>
      </w:r>
      <w:r>
        <w:rPr>
          <w:rFonts w:ascii="Arial" w:cs="Arial" w:eastAsia="Arial" w:hAnsi="Arial"/>
          <w:sz w:val="22"/>
          <w:szCs w:val="22"/>
          <w:u w:val="single" w:color="auto"/>
          <w:color w:val="auto"/>
        </w:rPr>
        <w:t>Section 3.09</w:t>
      </w:r>
      <w:r>
        <w:rPr>
          <w:rFonts w:ascii="Arial" w:cs="Arial" w:eastAsia="Arial" w:hAnsi="Arial"/>
          <w:sz w:val="22"/>
          <w:szCs w:val="22"/>
          <w:color w:val="auto"/>
        </w:rPr>
        <w:t>, (ii) the obligations of Albany as provided in the Albany Contribution Agreement, and (iii) the obligations of Safran as provided in the Safran Contribution Agreement.</w:t>
      </w:r>
    </w:p>
    <w:p>
      <w:pPr>
        <w:spacing w:after="0" w:line="76" w:lineRule="exact"/>
        <w:rPr>
          <w:rFonts w:ascii="Arial" w:cs="Arial" w:eastAsia="Arial" w:hAnsi="Arial"/>
          <w:sz w:val="22"/>
          <w:szCs w:val="22"/>
          <w:color w:val="auto"/>
        </w:rPr>
      </w:pPr>
    </w:p>
    <w:p>
      <w:pPr>
        <w:ind w:right="40" w:firstLine="404"/>
        <w:spacing w:after="0" w:line="236" w:lineRule="auto"/>
        <w:tabs>
          <w:tab w:leader="none" w:pos="702" w:val="left"/>
        </w:tabs>
        <w:numPr>
          <w:ilvl w:val="0"/>
          <w:numId w:val="51"/>
        </w:numPr>
        <w:rPr>
          <w:rFonts w:ascii="Arial" w:cs="Arial" w:eastAsia="Arial" w:hAnsi="Arial"/>
          <w:sz w:val="22"/>
          <w:szCs w:val="22"/>
          <w:color w:val="auto"/>
        </w:rPr>
      </w:pPr>
      <w:r>
        <w:rPr>
          <w:rFonts w:ascii="Arial" w:cs="Arial" w:eastAsia="Arial" w:hAnsi="Arial"/>
          <w:sz w:val="22"/>
          <w:szCs w:val="22"/>
          <w:color w:val="auto"/>
        </w:rPr>
        <w:t xml:space="preserve">Any Member may make Additional Capital Contributions to the Company and the Company shall issue in exchange therefor a number of Membership Units determined by the Board; </w:t>
      </w:r>
      <w:r>
        <w:rPr>
          <w:rFonts w:ascii="Arial" w:cs="Arial" w:eastAsia="Arial" w:hAnsi="Arial"/>
          <w:sz w:val="22"/>
          <w:szCs w:val="22"/>
          <w:u w:val="single" w:color="auto"/>
          <w:color w:val="auto"/>
        </w:rPr>
        <w:t>provided</w:t>
      </w:r>
      <w:r>
        <w:rPr>
          <w:rFonts w:ascii="Arial" w:cs="Arial" w:eastAsia="Arial" w:hAnsi="Arial"/>
          <w:sz w:val="22"/>
          <w:szCs w:val="22"/>
          <w:color w:val="auto"/>
        </w:rPr>
        <w:t>, that prior to any such Additional Capital Contribution, issuance of Membership Units or any action by a Member that would change any other Member’s Percentage Interest, the Company shall have received the written consent of each such other Member (such consent to be delivered or withheld in such other Member’s sole discretion).</w:t>
      </w:r>
    </w:p>
    <w:p>
      <w:pPr>
        <w:spacing w:after="0" w:line="79" w:lineRule="exact"/>
        <w:rPr>
          <w:rFonts w:ascii="Arial" w:cs="Arial" w:eastAsia="Arial" w:hAnsi="Arial"/>
          <w:sz w:val="22"/>
          <w:szCs w:val="22"/>
          <w:color w:val="auto"/>
        </w:rPr>
      </w:pPr>
    </w:p>
    <w:p>
      <w:pPr>
        <w:ind w:right="420" w:firstLine="404"/>
        <w:spacing w:after="0" w:line="251" w:lineRule="auto"/>
        <w:tabs>
          <w:tab w:leader="none" w:pos="690" w:val="left"/>
        </w:tabs>
        <w:numPr>
          <w:ilvl w:val="0"/>
          <w:numId w:val="51"/>
        </w:numPr>
        <w:rPr>
          <w:rFonts w:ascii="Arial" w:cs="Arial" w:eastAsia="Arial" w:hAnsi="Arial"/>
          <w:sz w:val="22"/>
          <w:szCs w:val="22"/>
          <w:color w:val="auto"/>
        </w:rPr>
      </w:pPr>
      <w:r>
        <w:rPr>
          <w:rFonts w:ascii="Arial" w:cs="Arial" w:eastAsia="Arial" w:hAnsi="Arial"/>
          <w:sz w:val="22"/>
          <w:szCs w:val="22"/>
          <w:color w:val="auto"/>
        </w:rPr>
        <w:t xml:space="preserve">The Board or any officer of the Company shall amend </w:t>
      </w:r>
      <w:r>
        <w:rPr>
          <w:rFonts w:ascii="Arial" w:cs="Arial" w:eastAsia="Arial" w:hAnsi="Arial"/>
          <w:sz w:val="22"/>
          <w:szCs w:val="22"/>
          <w:u w:val="single" w:color="auto"/>
          <w:color w:val="auto"/>
        </w:rPr>
        <w:t>Schedule B</w:t>
      </w:r>
      <w:r>
        <w:rPr>
          <w:rFonts w:ascii="Arial" w:cs="Arial" w:eastAsia="Arial" w:hAnsi="Arial"/>
          <w:sz w:val="22"/>
          <w:szCs w:val="22"/>
          <w:color w:val="auto"/>
        </w:rPr>
        <w:t xml:space="preserve">, from time to time, to reflect any Additional Capital Contributions made in accordance with this </w:t>
      </w:r>
      <w:r>
        <w:rPr>
          <w:rFonts w:ascii="Arial" w:cs="Arial" w:eastAsia="Arial" w:hAnsi="Arial"/>
          <w:sz w:val="22"/>
          <w:szCs w:val="22"/>
          <w:u w:val="single" w:color="auto"/>
          <w:color w:val="auto"/>
        </w:rPr>
        <w:t>Section 3.02</w:t>
      </w:r>
      <w:r>
        <w:rPr>
          <w:rFonts w:ascii="Arial" w:cs="Arial" w:eastAsia="Arial" w:hAnsi="Arial"/>
          <w:sz w:val="22"/>
          <w:szCs w:val="22"/>
          <w:color w:val="auto"/>
        </w:rPr>
        <w:t>.</w:t>
      </w:r>
    </w:p>
    <w:p>
      <w:pPr>
        <w:spacing w:after="0" w:line="65" w:lineRule="exact"/>
        <w:rPr>
          <w:sz w:val="20"/>
          <w:szCs w:val="20"/>
          <w:color w:val="auto"/>
        </w:rPr>
      </w:pPr>
    </w:p>
    <w:p>
      <w:pPr>
        <w:ind w:right="80" w:firstLine="396"/>
        <w:spacing w:after="0" w:line="238" w:lineRule="auto"/>
        <w:rPr>
          <w:sz w:val="20"/>
          <w:szCs w:val="20"/>
          <w:color w:val="auto"/>
        </w:rPr>
      </w:pPr>
      <w:r>
        <w:rPr>
          <w:rFonts w:ascii="Arial" w:cs="Arial" w:eastAsia="Arial" w:hAnsi="Arial"/>
          <w:sz w:val="22"/>
          <w:szCs w:val="22"/>
          <w:color w:val="auto"/>
        </w:rPr>
        <w:t xml:space="preserve">Section 3.03. </w:t>
      </w:r>
      <w:r>
        <w:rPr>
          <w:rFonts w:ascii="Arial" w:cs="Arial" w:eastAsia="Arial" w:hAnsi="Arial"/>
          <w:sz w:val="22"/>
          <w:szCs w:val="22"/>
          <w:u w:val="single" w:color="auto"/>
          <w:color w:val="auto"/>
        </w:rPr>
        <w:t>Additional Classes of Membership Units</w:t>
      </w:r>
      <w:r>
        <w:rPr>
          <w:rFonts w:ascii="Arial" w:cs="Arial" w:eastAsia="Arial" w:hAnsi="Arial"/>
          <w:sz w:val="22"/>
          <w:szCs w:val="22"/>
          <w:color w:val="auto"/>
        </w:rPr>
        <w:t xml:space="preserve">. Subject to </w:t>
      </w:r>
      <w:r>
        <w:rPr>
          <w:rFonts w:ascii="Arial" w:cs="Arial" w:eastAsia="Arial" w:hAnsi="Arial"/>
          <w:sz w:val="22"/>
          <w:szCs w:val="22"/>
          <w:u w:val="single" w:color="auto"/>
          <w:color w:val="auto"/>
        </w:rPr>
        <w:t>Section 5.02(c)</w:t>
      </w:r>
      <w:r>
        <w:rPr>
          <w:rFonts w:ascii="Arial" w:cs="Arial" w:eastAsia="Arial" w:hAnsi="Arial"/>
          <w:sz w:val="22"/>
          <w:szCs w:val="22"/>
          <w:color w:val="auto"/>
        </w:rPr>
        <w:t xml:space="preserve">, the Company may issue one or more additional classes of Membership Units. The Board shall determine the terms and conditions applicable to such new Membership Units and, subject to </w:t>
      </w:r>
      <w:r>
        <w:rPr>
          <w:rFonts w:ascii="Arial" w:cs="Arial" w:eastAsia="Arial" w:hAnsi="Arial"/>
          <w:sz w:val="22"/>
          <w:szCs w:val="22"/>
          <w:u w:val="single" w:color="auto"/>
          <w:color w:val="auto"/>
        </w:rPr>
        <w:t>Section 13.03</w:t>
      </w:r>
      <w:r>
        <w:rPr>
          <w:rFonts w:ascii="Arial" w:cs="Arial" w:eastAsia="Arial" w:hAnsi="Arial"/>
          <w:sz w:val="22"/>
          <w:szCs w:val="22"/>
          <w:color w:val="auto"/>
        </w:rPr>
        <w:t>, shall be permitted to amend this Agreement to reflect the issuance of such new class or classes of Membership Units and the terms and conditions applicable thereto.</w:t>
      </w:r>
    </w:p>
    <w:p>
      <w:pPr>
        <w:spacing w:after="0" w:line="77" w:lineRule="exact"/>
        <w:rPr>
          <w:sz w:val="20"/>
          <w:szCs w:val="20"/>
          <w:color w:val="auto"/>
        </w:rPr>
      </w:pPr>
    </w:p>
    <w:p>
      <w:pPr>
        <w:jc w:val="both"/>
        <w:ind w:right="40" w:firstLine="396"/>
        <w:spacing w:after="0" w:line="258" w:lineRule="auto"/>
        <w:rPr>
          <w:sz w:val="20"/>
          <w:szCs w:val="20"/>
          <w:color w:val="auto"/>
        </w:rPr>
      </w:pPr>
      <w:r>
        <w:rPr>
          <w:rFonts w:ascii="Arial" w:cs="Arial" w:eastAsia="Arial" w:hAnsi="Arial"/>
          <w:sz w:val="21"/>
          <w:szCs w:val="21"/>
          <w:color w:val="auto"/>
        </w:rPr>
        <w:t xml:space="preserve">Section 3.04. </w:t>
      </w:r>
      <w:r>
        <w:rPr>
          <w:rFonts w:ascii="Arial" w:cs="Arial" w:eastAsia="Arial" w:hAnsi="Arial"/>
          <w:sz w:val="21"/>
          <w:szCs w:val="21"/>
          <w:u w:val="single" w:color="auto"/>
          <w:color w:val="auto"/>
        </w:rPr>
        <w:t>Additional Members</w:t>
      </w:r>
      <w:r>
        <w:rPr>
          <w:rFonts w:ascii="Arial" w:cs="Arial" w:eastAsia="Arial" w:hAnsi="Arial"/>
          <w:sz w:val="21"/>
          <w:szCs w:val="21"/>
          <w:color w:val="auto"/>
        </w:rPr>
        <w:t xml:space="preserve">. Subject to </w:t>
      </w:r>
      <w:r>
        <w:rPr>
          <w:rFonts w:ascii="Arial" w:cs="Arial" w:eastAsia="Arial" w:hAnsi="Arial"/>
          <w:sz w:val="21"/>
          <w:szCs w:val="21"/>
          <w:u w:val="single" w:color="auto"/>
          <w:color w:val="auto"/>
        </w:rPr>
        <w:t>Section 3.02</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5.02(c)</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Article VII</w:t>
      </w:r>
      <w:r>
        <w:rPr>
          <w:rFonts w:ascii="Arial" w:cs="Arial" w:eastAsia="Arial" w:hAnsi="Arial"/>
          <w:sz w:val="21"/>
          <w:szCs w:val="21"/>
          <w:color w:val="auto"/>
        </w:rPr>
        <w:t xml:space="preserve">, the Board may admit one or more additional Members to the Company on such terms and conditions as the Board may determine. An additional Member admitted to the Company pursuant to this </w:t>
      </w:r>
      <w:r>
        <w:rPr>
          <w:rFonts w:ascii="Arial" w:cs="Arial" w:eastAsia="Arial" w:hAnsi="Arial"/>
          <w:sz w:val="21"/>
          <w:szCs w:val="21"/>
          <w:u w:val="single" w:color="auto"/>
          <w:color w:val="auto"/>
        </w:rPr>
        <w:t>Section 3.04</w:t>
      </w:r>
      <w:r>
        <w:rPr>
          <w:rFonts w:ascii="Arial" w:cs="Arial" w:eastAsia="Arial" w:hAnsi="Arial"/>
          <w:sz w:val="21"/>
          <w:szCs w:val="21"/>
          <w:color w:val="auto"/>
        </w:rPr>
        <w:t xml:space="preserve"> shall (a) execute a counterpart to this Agreement and</w:t>
      </w:r>
    </w:p>
    <w:p>
      <w:pPr>
        <w:spacing w:after="0" w:line="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712" w:right="279" w:bottom="1440" w:gutter="0" w:footer="0" w:header="0"/>
        </w:sectPr>
      </w:pPr>
    </w:p>
    <w:bookmarkStart w:id="128" w:name="page129"/>
    <w:bookmarkEnd w:id="128"/>
    <w:p>
      <w:pPr>
        <w:ind w:right="20"/>
        <w:spacing w:after="0" w:line="297" w:lineRule="auto"/>
        <w:rPr>
          <w:sz w:val="20"/>
          <w:szCs w:val="20"/>
          <w:color w:val="auto"/>
        </w:rPr>
      </w:pPr>
      <w:r>
        <w:rPr>
          <w:rFonts w:ascii="Arial" w:cs="Arial" w:eastAsia="Arial" w:hAnsi="Arial"/>
          <w:sz w:val="19"/>
          <w:szCs w:val="19"/>
          <w:color w:val="auto"/>
        </w:rPr>
        <w:t xml:space="preserve">deliver such documents as may be necessary, in the reasonable opinion of the Board, to make such Person a party hereto and (b) if so required by the Board, make a Capital Contribution to the Company in an amount determined by the Board. The Board or any officer of the Company shall amend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Schedule B</w:t>
      </w:r>
      <w:r>
        <w:rPr>
          <w:rFonts w:ascii="Arial" w:cs="Arial" w:eastAsia="Arial" w:hAnsi="Arial"/>
          <w:sz w:val="19"/>
          <w:szCs w:val="19"/>
          <w:color w:val="auto"/>
        </w:rPr>
        <w:t>, as applicable, to reflect the admission of any additional Members.</w:t>
      </w:r>
    </w:p>
    <w:p>
      <w:pPr>
        <w:spacing w:after="0" w:line="134" w:lineRule="exact"/>
        <w:rPr>
          <w:sz w:val="20"/>
          <w:szCs w:val="20"/>
          <w:color w:val="auto"/>
        </w:rPr>
      </w:pPr>
    </w:p>
    <w:p>
      <w:pPr>
        <w:ind w:right="120" w:firstLine="396"/>
        <w:spacing w:after="0" w:line="297" w:lineRule="auto"/>
        <w:rPr>
          <w:sz w:val="20"/>
          <w:szCs w:val="20"/>
          <w:color w:val="auto"/>
        </w:rPr>
      </w:pPr>
      <w:r>
        <w:rPr>
          <w:rFonts w:ascii="Arial" w:cs="Arial" w:eastAsia="Arial" w:hAnsi="Arial"/>
          <w:sz w:val="19"/>
          <w:szCs w:val="19"/>
          <w:color w:val="auto"/>
        </w:rPr>
        <w:t xml:space="preserve">Section 3.05. </w:t>
      </w:r>
      <w:r>
        <w:rPr>
          <w:rFonts w:ascii="Arial" w:cs="Arial" w:eastAsia="Arial" w:hAnsi="Arial"/>
          <w:sz w:val="19"/>
          <w:szCs w:val="19"/>
          <w:u w:val="single" w:color="auto"/>
          <w:color w:val="auto"/>
        </w:rPr>
        <w:t>Voting Rights</w:t>
      </w:r>
      <w:r>
        <w:rPr>
          <w:rFonts w:ascii="Arial" w:cs="Arial" w:eastAsia="Arial" w:hAnsi="Arial"/>
          <w:sz w:val="19"/>
          <w:szCs w:val="19"/>
          <w:color w:val="auto"/>
        </w:rPr>
        <w:t xml:space="preserve">. Subject to the terms of any other class of Membership Units, the Company may issue pursuant to </w:t>
      </w:r>
      <w:r>
        <w:rPr>
          <w:rFonts w:ascii="Arial" w:cs="Arial" w:eastAsia="Arial" w:hAnsi="Arial"/>
          <w:sz w:val="19"/>
          <w:szCs w:val="19"/>
          <w:u w:val="single" w:color="auto"/>
          <w:color w:val="auto"/>
        </w:rPr>
        <w:t>Section 3.03</w:t>
      </w:r>
      <w:r>
        <w:rPr>
          <w:rFonts w:ascii="Arial" w:cs="Arial" w:eastAsia="Arial" w:hAnsi="Arial"/>
          <w:sz w:val="19"/>
          <w:szCs w:val="19"/>
          <w:color w:val="auto"/>
        </w:rPr>
        <w:t xml:space="preserve">, each Member shall be entitled to one (1) vote per Common Membership Unit held by such Member in all matters submitted to the Members for a vote, except as required by the Act or this Agreement (including </w:t>
      </w:r>
      <w:r>
        <w:rPr>
          <w:rFonts w:ascii="Arial" w:cs="Arial" w:eastAsia="Arial" w:hAnsi="Arial"/>
          <w:sz w:val="19"/>
          <w:szCs w:val="19"/>
          <w:u w:val="single" w:color="auto"/>
          <w:color w:val="auto"/>
        </w:rPr>
        <w:t>Section 5.02</w:t>
      </w:r>
      <w:r>
        <w:rPr>
          <w:rFonts w:ascii="Arial" w:cs="Arial" w:eastAsia="Arial" w:hAnsi="Arial"/>
          <w:sz w:val="19"/>
          <w:szCs w:val="19"/>
          <w:color w:val="auto"/>
        </w:rPr>
        <w:t>).</w:t>
      </w:r>
    </w:p>
    <w:p>
      <w:pPr>
        <w:spacing w:after="0" w:line="26" w:lineRule="exact"/>
        <w:rPr>
          <w:sz w:val="20"/>
          <w:szCs w:val="20"/>
          <w:color w:val="auto"/>
        </w:rPr>
      </w:pPr>
    </w:p>
    <w:p>
      <w:pPr>
        <w:ind w:right="380" w:firstLine="396"/>
        <w:spacing w:after="0" w:line="251" w:lineRule="auto"/>
        <w:rPr>
          <w:sz w:val="20"/>
          <w:szCs w:val="20"/>
          <w:color w:val="auto"/>
        </w:rPr>
      </w:pPr>
      <w:r>
        <w:rPr>
          <w:rFonts w:ascii="Arial" w:cs="Arial" w:eastAsia="Arial" w:hAnsi="Arial"/>
          <w:sz w:val="22"/>
          <w:szCs w:val="22"/>
          <w:color w:val="auto"/>
        </w:rPr>
        <w:t xml:space="preserve">Section 3.06. </w:t>
      </w:r>
      <w:r>
        <w:rPr>
          <w:rFonts w:ascii="Arial" w:cs="Arial" w:eastAsia="Arial" w:hAnsi="Arial"/>
          <w:sz w:val="22"/>
          <w:szCs w:val="22"/>
          <w:u w:val="single" w:color="auto"/>
          <w:color w:val="auto"/>
        </w:rPr>
        <w:t>Capital Accounts</w:t>
      </w:r>
      <w:r>
        <w:rPr>
          <w:rFonts w:ascii="Arial" w:cs="Arial" w:eastAsia="Arial" w:hAnsi="Arial"/>
          <w:sz w:val="22"/>
          <w:szCs w:val="22"/>
          <w:color w:val="auto"/>
        </w:rPr>
        <w:t>. (a) The Company shall maintain a separate capital account (each, a “</w:t>
      </w:r>
      <w:r>
        <w:rPr>
          <w:rFonts w:ascii="Arial" w:cs="Arial" w:eastAsia="Arial" w:hAnsi="Arial"/>
          <w:sz w:val="22"/>
          <w:szCs w:val="22"/>
          <w:u w:val="single" w:color="auto"/>
          <w:color w:val="auto"/>
        </w:rPr>
        <w:t>Capital Account</w:t>
      </w:r>
      <w:r>
        <w:rPr>
          <w:rFonts w:ascii="Arial" w:cs="Arial" w:eastAsia="Arial" w:hAnsi="Arial"/>
          <w:sz w:val="22"/>
          <w:szCs w:val="22"/>
          <w:color w:val="auto"/>
        </w:rPr>
        <w:t>”) for each Member in accordance with the following provisions:</w:t>
      </w:r>
    </w:p>
    <w:p>
      <w:pPr>
        <w:spacing w:after="0" w:line="65" w:lineRule="exact"/>
        <w:rPr>
          <w:sz w:val="20"/>
          <w:szCs w:val="20"/>
          <w:color w:val="auto"/>
        </w:rPr>
      </w:pPr>
    </w:p>
    <w:p>
      <w:pPr>
        <w:ind w:left="800" w:firstLine="396"/>
        <w:spacing w:after="0" w:line="235" w:lineRule="auto"/>
        <w:tabs>
          <w:tab w:leader="none" w:pos="1454" w:val="left"/>
        </w:tabs>
        <w:numPr>
          <w:ilvl w:val="1"/>
          <w:numId w:val="52"/>
        </w:numPr>
        <w:rPr>
          <w:rFonts w:ascii="Arial" w:cs="Arial" w:eastAsia="Arial" w:hAnsi="Arial"/>
          <w:sz w:val="22"/>
          <w:szCs w:val="22"/>
          <w:color w:val="auto"/>
        </w:rPr>
      </w:pPr>
      <w:r>
        <w:rPr>
          <w:rFonts w:ascii="Arial" w:cs="Arial" w:eastAsia="Arial" w:hAnsi="Arial"/>
          <w:sz w:val="22"/>
          <w:szCs w:val="22"/>
          <w:color w:val="auto"/>
        </w:rPr>
        <w:t xml:space="preserve">Each Member’s Capital Account shall be increased by the amount of any cash and the Gross Asset Value of any other Property contributed to the Company by such Member (net of liabilities secured by contributed Property that the Company is considered to assume or take subject to under Section 752 of the Code), any Company Profits allocated to such Member pursuant to </w:t>
      </w:r>
      <w:r>
        <w:rPr>
          <w:rFonts w:ascii="Arial" w:cs="Arial" w:eastAsia="Arial" w:hAnsi="Arial"/>
          <w:sz w:val="22"/>
          <w:szCs w:val="22"/>
          <w:u w:val="single" w:color="auto"/>
          <w:color w:val="auto"/>
        </w:rPr>
        <w:t>Section 4.06(a)(i)</w:t>
      </w:r>
      <w:r>
        <w:rPr>
          <w:rFonts w:ascii="Arial" w:cs="Arial" w:eastAsia="Arial" w:hAnsi="Arial"/>
          <w:sz w:val="22"/>
          <w:szCs w:val="22"/>
          <w:color w:val="auto"/>
        </w:rPr>
        <w:t xml:space="preserve">, any Company income and gain allocated to such Member pursuant to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4.06(b)</w:t>
      </w:r>
      <w:r>
        <w:rPr>
          <w:rFonts w:ascii="Arial" w:cs="Arial" w:eastAsia="Arial" w:hAnsi="Arial"/>
          <w:sz w:val="22"/>
          <w:szCs w:val="22"/>
          <w:color w:val="auto"/>
        </w:rPr>
        <w:t>, and the amount of any Company liabilities assumed by such Member or secured by any Company assets distributed to such Member.</w:t>
      </w:r>
    </w:p>
    <w:p>
      <w:pPr>
        <w:spacing w:after="0" w:line="80" w:lineRule="exact"/>
        <w:rPr>
          <w:rFonts w:ascii="Arial" w:cs="Arial" w:eastAsia="Arial" w:hAnsi="Arial"/>
          <w:sz w:val="22"/>
          <w:szCs w:val="22"/>
          <w:color w:val="auto"/>
        </w:rPr>
      </w:pPr>
    </w:p>
    <w:p>
      <w:pPr>
        <w:ind w:left="800" w:right="200" w:firstLine="396"/>
        <w:spacing w:after="0" w:line="248" w:lineRule="auto"/>
        <w:tabs>
          <w:tab w:leader="none" w:pos="1514" w:val="left"/>
        </w:tabs>
        <w:numPr>
          <w:ilvl w:val="1"/>
          <w:numId w:val="52"/>
        </w:numPr>
        <w:rPr>
          <w:rFonts w:ascii="Arial" w:cs="Arial" w:eastAsia="Arial" w:hAnsi="Arial"/>
          <w:sz w:val="21"/>
          <w:szCs w:val="21"/>
          <w:color w:val="auto"/>
        </w:rPr>
      </w:pPr>
      <w:r>
        <w:rPr>
          <w:rFonts w:ascii="Arial" w:cs="Arial" w:eastAsia="Arial" w:hAnsi="Arial"/>
          <w:sz w:val="21"/>
          <w:szCs w:val="21"/>
          <w:color w:val="auto"/>
        </w:rPr>
        <w:t xml:space="preserve">Each Member’s Capital Account shall be decreased by the amount of cash and the gross fair market value (as determined by the Board) of any other Company Property distributed to such Member pursuant to any provision of this Agreement, any Losses allocated to such Member pursuant to </w:t>
      </w:r>
      <w:r>
        <w:rPr>
          <w:rFonts w:ascii="Arial" w:cs="Arial" w:eastAsia="Arial" w:hAnsi="Arial"/>
          <w:sz w:val="21"/>
          <w:szCs w:val="21"/>
          <w:u w:val="single" w:color="auto"/>
          <w:color w:val="auto"/>
        </w:rPr>
        <w:t>Section 4.06(a)(ii)</w:t>
      </w:r>
      <w:r>
        <w:rPr>
          <w:rFonts w:ascii="Arial" w:cs="Arial" w:eastAsia="Arial" w:hAnsi="Arial"/>
          <w:sz w:val="21"/>
          <w:szCs w:val="21"/>
          <w:color w:val="auto"/>
        </w:rPr>
        <w:t xml:space="preserve">, (including the Member’s share of expenditures described in Treasury Regulation Section 1.704-1(b)(2)(iv)(i)), any deductions and losses allocated to such Member pursuant to </w:t>
      </w:r>
      <w:r>
        <w:rPr>
          <w:rFonts w:ascii="Arial" w:cs="Arial" w:eastAsia="Arial" w:hAnsi="Arial"/>
          <w:sz w:val="21"/>
          <w:szCs w:val="21"/>
          <w:u w:val="single" w:color="auto"/>
          <w:color w:val="auto"/>
        </w:rPr>
        <w:t>Section 4.06(b)</w:t>
      </w:r>
      <w:r>
        <w:rPr>
          <w:rFonts w:ascii="Arial" w:cs="Arial" w:eastAsia="Arial" w:hAnsi="Arial"/>
          <w:sz w:val="21"/>
          <w:szCs w:val="21"/>
          <w:color w:val="auto"/>
        </w:rPr>
        <w:t xml:space="preserve"> and the amount of any liabilities of such Member assumed by the Company or secured by any Member assets contributed by such Member.</w:t>
      </w:r>
    </w:p>
    <w:p>
      <w:pPr>
        <w:spacing w:after="0" w:line="69" w:lineRule="exact"/>
        <w:rPr>
          <w:rFonts w:ascii="Arial" w:cs="Arial" w:eastAsia="Arial" w:hAnsi="Arial"/>
          <w:sz w:val="21"/>
          <w:szCs w:val="21"/>
          <w:color w:val="auto"/>
        </w:rPr>
      </w:pPr>
    </w:p>
    <w:p>
      <w:pPr>
        <w:ind w:left="800" w:right="120" w:firstLine="396"/>
        <w:spacing w:after="0"/>
        <w:tabs>
          <w:tab w:leader="none" w:pos="1574" w:val="left"/>
        </w:tabs>
        <w:numPr>
          <w:ilvl w:val="1"/>
          <w:numId w:val="52"/>
        </w:numPr>
        <w:rPr>
          <w:rFonts w:ascii="Arial" w:cs="Arial" w:eastAsia="Arial" w:hAnsi="Arial"/>
          <w:sz w:val="22"/>
          <w:szCs w:val="22"/>
          <w:color w:val="auto"/>
        </w:rPr>
      </w:pPr>
      <w:r>
        <w:rPr>
          <w:rFonts w:ascii="Arial" w:cs="Arial" w:eastAsia="Arial" w:hAnsi="Arial"/>
          <w:sz w:val="22"/>
          <w:szCs w:val="22"/>
          <w:color w:val="auto"/>
        </w:rPr>
        <w:t>In the event all or any portion of a Member’s Membership Units are Transferred in accordance with the terms of this Agreement, the Transferee shall succeed to the Capital Account of such Member to the extent such Capital Account relates to the Transferred Membership Units.</w:t>
      </w:r>
    </w:p>
    <w:p>
      <w:pPr>
        <w:spacing w:after="0" w:line="78" w:lineRule="exact"/>
        <w:rPr>
          <w:rFonts w:ascii="Arial" w:cs="Arial" w:eastAsia="Arial" w:hAnsi="Arial"/>
          <w:sz w:val="22"/>
          <w:szCs w:val="22"/>
          <w:color w:val="auto"/>
        </w:rPr>
      </w:pPr>
    </w:p>
    <w:p>
      <w:pPr>
        <w:ind w:right="260" w:firstLine="404"/>
        <w:spacing w:after="0" w:line="248" w:lineRule="auto"/>
        <w:tabs>
          <w:tab w:leader="none" w:pos="702" w:val="left"/>
        </w:tabs>
        <w:numPr>
          <w:ilvl w:val="0"/>
          <w:numId w:val="53"/>
        </w:numPr>
        <w:rPr>
          <w:rFonts w:ascii="Arial" w:cs="Arial" w:eastAsia="Arial" w:hAnsi="Arial"/>
          <w:sz w:val="21"/>
          <w:szCs w:val="21"/>
          <w:color w:val="auto"/>
        </w:rPr>
      </w:pPr>
      <w:r>
        <w:rPr>
          <w:rFonts w:ascii="Arial" w:cs="Arial" w:eastAsia="Arial" w:hAnsi="Arial"/>
          <w:sz w:val="21"/>
          <w:szCs w:val="21"/>
          <w:color w:val="auto"/>
        </w:rPr>
        <w:t xml:space="preserve">The foregoing provisions and the other provisions of this Agreement relating to the maintenance of Capital Accounts are intended to comply with Treasury Regulations issued under Section 704(b) of the Code and shall be interpreted and applied in a manner consistent with such Treasury Regulations. The Board shall be authorized to make appropriate amendments to the allocations of items pursuant to this </w:t>
      </w:r>
      <w:r>
        <w:rPr>
          <w:rFonts w:ascii="Arial" w:cs="Arial" w:eastAsia="Arial" w:hAnsi="Arial"/>
          <w:sz w:val="21"/>
          <w:szCs w:val="21"/>
          <w:u w:val="single" w:color="auto"/>
          <w:color w:val="auto"/>
        </w:rPr>
        <w:t>Section 3.06</w:t>
      </w:r>
      <w:r>
        <w:rPr>
          <w:rFonts w:ascii="Arial" w:cs="Arial" w:eastAsia="Arial" w:hAnsi="Arial"/>
          <w:sz w:val="21"/>
          <w:szCs w:val="21"/>
          <w:color w:val="auto"/>
        </w:rPr>
        <w:t xml:space="preserve"> if necessary in order to comply with Section 704 of the Code or applicable Treasury Regulations thereunder;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such change shall have an adverse effect upon amounts distributable to any Member pursuant to </w:t>
      </w:r>
      <w:r>
        <w:rPr>
          <w:rFonts w:ascii="Arial" w:cs="Arial" w:eastAsia="Arial" w:hAnsi="Arial"/>
          <w:sz w:val="21"/>
          <w:szCs w:val="21"/>
          <w:u w:val="single" w:color="auto"/>
          <w:color w:val="auto"/>
        </w:rPr>
        <w:t>Section 4.01</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10.03</w:t>
      </w:r>
      <w:r>
        <w:rPr>
          <w:rFonts w:ascii="Arial" w:cs="Arial" w:eastAsia="Arial" w:hAnsi="Arial"/>
          <w:sz w:val="21"/>
          <w:szCs w:val="21"/>
          <w:color w:val="auto"/>
        </w:rPr>
        <w:t>.</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928" w:right="259" w:bottom="1440" w:gutter="0" w:footer="0" w:header="0"/>
        </w:sectPr>
      </w:pPr>
    </w:p>
    <w:bookmarkStart w:id="129" w:name="page130"/>
    <w:bookmarkEnd w:id="129"/>
    <w:p>
      <w:pPr>
        <w:ind w:right="20" w:firstLine="396"/>
        <w:spacing w:after="0" w:line="287" w:lineRule="auto"/>
        <w:rPr>
          <w:sz w:val="20"/>
          <w:szCs w:val="20"/>
          <w:color w:val="auto"/>
        </w:rPr>
      </w:pPr>
      <w:r>
        <w:rPr>
          <w:rFonts w:ascii="Arial" w:cs="Arial" w:eastAsia="Arial" w:hAnsi="Arial"/>
          <w:sz w:val="19"/>
          <w:szCs w:val="19"/>
          <w:color w:val="auto"/>
        </w:rPr>
        <w:t xml:space="preserve">Section 3.07. </w:t>
      </w:r>
      <w:r>
        <w:rPr>
          <w:rFonts w:ascii="Arial" w:cs="Arial" w:eastAsia="Arial" w:hAnsi="Arial"/>
          <w:sz w:val="19"/>
          <w:szCs w:val="19"/>
          <w:u w:val="single" w:color="auto"/>
          <w:color w:val="auto"/>
        </w:rPr>
        <w:t>Withdrawals; Return of Capital</w:t>
      </w:r>
      <w:r>
        <w:rPr>
          <w:rFonts w:ascii="Arial" w:cs="Arial" w:eastAsia="Arial" w:hAnsi="Arial"/>
          <w:sz w:val="19"/>
          <w:szCs w:val="19"/>
          <w:color w:val="auto"/>
        </w:rPr>
        <w:t xml:space="preserve">. Except as expressly provided in this Agreement, including in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X</w:t>
      </w:r>
      <w:r>
        <w:rPr>
          <w:rFonts w:ascii="Arial" w:cs="Arial" w:eastAsia="Arial" w:hAnsi="Arial"/>
          <w:sz w:val="19"/>
          <w:szCs w:val="19"/>
          <w:color w:val="auto"/>
        </w:rPr>
        <w:t>, no Member shall have any right to (a) withdraw as a Member from the Company, (b) withdraw from the Company all or any part of such Member’s Capital Account or its Capital Contributions, (c) a return of its Capital Contributions or Capital Account or the payment of interest thereon from the Company or from another Member or (d) receive any distribution from the Company.</w:t>
      </w:r>
    </w:p>
    <w:p>
      <w:pPr>
        <w:spacing w:after="0" w:line="35" w:lineRule="exact"/>
        <w:rPr>
          <w:sz w:val="20"/>
          <w:szCs w:val="20"/>
          <w:color w:val="auto"/>
        </w:rPr>
      </w:pPr>
    </w:p>
    <w:p>
      <w:pPr>
        <w:jc w:val="both"/>
        <w:ind w:right="20" w:firstLine="396"/>
        <w:spacing w:after="0" w:line="297" w:lineRule="auto"/>
        <w:rPr>
          <w:sz w:val="20"/>
          <w:szCs w:val="20"/>
          <w:color w:val="auto"/>
        </w:rPr>
      </w:pPr>
      <w:r>
        <w:rPr>
          <w:rFonts w:ascii="Arial" w:cs="Arial" w:eastAsia="Arial" w:hAnsi="Arial"/>
          <w:sz w:val="19"/>
          <w:szCs w:val="19"/>
          <w:color w:val="auto"/>
        </w:rPr>
        <w:t xml:space="preserve">Section 3.08. </w:t>
      </w:r>
      <w:r>
        <w:rPr>
          <w:rFonts w:ascii="Arial" w:cs="Arial" w:eastAsia="Arial" w:hAnsi="Arial"/>
          <w:sz w:val="19"/>
          <w:szCs w:val="19"/>
          <w:u w:val="single" w:color="auto"/>
          <w:color w:val="auto"/>
        </w:rPr>
        <w:t>No Deficit Restoration Obligation</w:t>
      </w:r>
      <w:r>
        <w:rPr>
          <w:rFonts w:ascii="Arial" w:cs="Arial" w:eastAsia="Arial" w:hAnsi="Arial"/>
          <w:sz w:val="19"/>
          <w:szCs w:val="19"/>
          <w:color w:val="auto"/>
        </w:rPr>
        <w:t>. At no time during the term of the Company or upon dissolution or liquidation thereof shall a Member with a negative balance in its Capital Account have any obligation to the Company or the other Members to restore such negative balance, except as may be required by non-waivable provisions of applicable Law.</w:t>
      </w:r>
    </w:p>
    <w:p>
      <w:pPr>
        <w:spacing w:after="0" w:line="26" w:lineRule="exact"/>
        <w:rPr>
          <w:sz w:val="20"/>
          <w:szCs w:val="20"/>
          <w:color w:val="auto"/>
        </w:rPr>
      </w:pPr>
    </w:p>
    <w:p>
      <w:pPr>
        <w:ind w:right="20" w:firstLine="396"/>
        <w:spacing w:after="0" w:line="268" w:lineRule="auto"/>
        <w:rPr>
          <w:sz w:val="20"/>
          <w:szCs w:val="20"/>
          <w:color w:val="auto"/>
        </w:rPr>
      </w:pPr>
      <w:r>
        <w:rPr>
          <w:rFonts w:ascii="Arial" w:cs="Arial" w:eastAsia="Arial" w:hAnsi="Arial"/>
          <w:sz w:val="19"/>
          <w:szCs w:val="19"/>
          <w:color w:val="auto"/>
        </w:rPr>
        <w:t xml:space="preserve">Section 3.09. </w:t>
      </w:r>
      <w:r>
        <w:rPr>
          <w:rFonts w:ascii="Arial" w:cs="Arial" w:eastAsia="Arial" w:hAnsi="Arial"/>
          <w:sz w:val="19"/>
          <w:szCs w:val="19"/>
          <w:u w:val="single" w:color="auto"/>
          <w:color w:val="auto"/>
        </w:rPr>
        <w:t>Working Capital</w:t>
      </w:r>
      <w:r>
        <w:rPr>
          <w:rFonts w:ascii="Arial" w:cs="Arial" w:eastAsia="Arial" w:hAnsi="Arial"/>
          <w:sz w:val="19"/>
          <w:szCs w:val="19"/>
          <w:color w:val="auto"/>
        </w:rPr>
        <w:t>. So long as Albany International or any of its Affiliates shall be a Member of the Company, Albany International shall be responsible for providing, or causing Albany or its Affiliate Transferees or any of their respective Affiliates to provide, the Company and its Subsidiaries with operating cash in amounts reasonably required by the Company and its Subsidiaries for the operation of the Business by the Company and its Subsidiaries as determined by the Board. The Members acknowledge and agree that Albany International shall provide, or cause one of its Affiliates to provide, such operating cash by means of interest-bearing intercompany loans in exchange for a demand note from the Company (such loans, the “</w:t>
      </w:r>
      <w:r>
        <w:rPr>
          <w:rFonts w:ascii="Arial" w:cs="Arial" w:eastAsia="Arial" w:hAnsi="Arial"/>
          <w:sz w:val="19"/>
          <w:szCs w:val="19"/>
          <w:u w:val="single" w:color="auto"/>
          <w:color w:val="auto"/>
        </w:rPr>
        <w:t>Intercompany</w:t>
      </w:r>
      <w:r>
        <w:rPr>
          <w:rFonts w:ascii="Arial" w:cs="Arial" w:eastAsia="Arial" w:hAnsi="Arial"/>
          <w:sz w:val="19"/>
          <w:szCs w:val="19"/>
          <w:color w:val="auto"/>
        </w:rPr>
        <w:t xml:space="preserve"> </w:t>
      </w:r>
      <w:r>
        <w:rPr>
          <w:rFonts w:ascii="Arial" w:cs="Arial" w:eastAsia="Arial" w:hAnsi="Arial"/>
          <w:sz w:val="19"/>
          <w:szCs w:val="19"/>
          <w:u w:val="single" w:color="auto"/>
          <w:color w:val="auto"/>
        </w:rPr>
        <w:t>Loans</w:t>
      </w:r>
      <w:r>
        <w:rPr>
          <w:rFonts w:ascii="Arial" w:cs="Arial" w:eastAsia="Arial" w:hAnsi="Arial"/>
          <w:sz w:val="19"/>
          <w:szCs w:val="19"/>
          <w:color w:val="auto"/>
        </w:rPr>
        <w:t xml:space="preserve">”). Such Intercompany Loans shall bear interest at a rate per annum not to exceed the average per annum rate paid under the Albany Facility plus 1.00%, computed on the basis of the actual number of days elapsed during the Fiscal Year or portion thereof over a three hundred sixty (360) day year. All obligations under the Intercompany Loans shall become immediately due and payable upon the exercise of the Safran Call Right and as otherwise set forth in the note issued in respect of the applicable Intercompany Loan;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event that the Safran Call Right is exercised pursuant to </w:t>
      </w:r>
      <w:r>
        <w:rPr>
          <w:rFonts w:ascii="Arial" w:cs="Arial" w:eastAsia="Arial" w:hAnsi="Arial"/>
          <w:sz w:val="19"/>
          <w:szCs w:val="19"/>
          <w:u w:val="single" w:color="auto"/>
          <w:color w:val="auto"/>
        </w:rPr>
        <w:t>Section 7.05(a)(ii)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w:t>
      </w:r>
    </w:p>
    <w:p>
      <w:pPr>
        <w:spacing w:after="0" w:line="8" w:lineRule="exact"/>
        <w:rPr>
          <w:sz w:val="20"/>
          <w:szCs w:val="20"/>
          <w:color w:val="auto"/>
        </w:rPr>
      </w:pPr>
    </w:p>
    <w:p>
      <w:pPr>
        <w:ind w:right="80"/>
        <w:spacing w:after="0" w:line="280" w:lineRule="auto"/>
        <w:rPr>
          <w:sz w:val="20"/>
          <w:szCs w:val="20"/>
          <w:color w:val="auto"/>
        </w:rPr>
      </w:pPr>
      <w:r>
        <w:rPr>
          <w:rFonts w:ascii="Arial" w:cs="Arial" w:eastAsia="Arial" w:hAnsi="Arial"/>
          <w:sz w:val="19"/>
          <w:szCs w:val="19"/>
          <w:u w:val="single" w:color="auto"/>
          <w:color w:val="auto"/>
        </w:rPr>
        <w:t>7.05(a)(vi)</w:t>
      </w:r>
      <w:r>
        <w:rPr>
          <w:rFonts w:ascii="Arial" w:cs="Arial" w:eastAsia="Arial" w:hAnsi="Arial"/>
          <w:sz w:val="19"/>
          <w:szCs w:val="19"/>
          <w:color w:val="auto"/>
        </w:rPr>
        <w:t>, all obligations under the Intercompany Loans shall become due and payable thirty (30) days after the exercise of the Safran Call Right. So long as Albany International or any of its Affiliates shall be a Member of the Company, Albany International shall ensure and guarantee that Albany or its Affiliate Transferees shall have sufficient capitalization at all times during the Term necessary to perform their respective duties and satisfy their respective obligations under this Agreement.</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ARTICLE IV</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22"/>
          <w:szCs w:val="22"/>
          <w:u w:val="single" w:color="auto"/>
          <w:color w:val="auto"/>
        </w:rPr>
        <w:t>DISTRIBUTIONS AND ALLOCATIONS</w:t>
      </w:r>
    </w:p>
    <w:p>
      <w:pPr>
        <w:spacing w:after="0" w:line="206" w:lineRule="exact"/>
        <w:rPr>
          <w:sz w:val="20"/>
          <w:szCs w:val="20"/>
          <w:color w:val="auto"/>
        </w:rPr>
      </w:pPr>
    </w:p>
    <w:p>
      <w:pPr>
        <w:ind w:right="160" w:firstLine="396"/>
        <w:spacing w:after="0"/>
        <w:rPr>
          <w:sz w:val="20"/>
          <w:szCs w:val="20"/>
          <w:color w:val="auto"/>
        </w:rPr>
      </w:pPr>
      <w:r>
        <w:rPr>
          <w:rFonts w:ascii="Arial" w:cs="Arial" w:eastAsia="Arial" w:hAnsi="Arial"/>
          <w:sz w:val="22"/>
          <w:szCs w:val="22"/>
          <w:color w:val="auto"/>
        </w:rPr>
        <w:t xml:space="preserve">Section 4.01. </w:t>
      </w:r>
      <w:r>
        <w:rPr>
          <w:rFonts w:ascii="Arial" w:cs="Arial" w:eastAsia="Arial" w:hAnsi="Arial"/>
          <w:sz w:val="22"/>
          <w:szCs w:val="22"/>
          <w:u w:val="single" w:color="auto"/>
          <w:color w:val="auto"/>
        </w:rPr>
        <w:t>Distributions</w:t>
      </w:r>
      <w:r>
        <w:rPr>
          <w:rFonts w:ascii="Arial" w:cs="Arial" w:eastAsia="Arial" w:hAnsi="Arial"/>
          <w:sz w:val="22"/>
          <w:szCs w:val="22"/>
          <w:color w:val="auto"/>
        </w:rPr>
        <w:t>. (a) Notwithstanding anything to the contrary in this Agreement, the Company shall not make any distributions until all obligations under all outstanding Intercompany Loans have been satisfied in full (including payment of all accrued interest thereon).</w:t>
      </w:r>
    </w:p>
    <w:p>
      <w:pPr>
        <w:spacing w:after="0" w:line="78" w:lineRule="exact"/>
        <w:rPr>
          <w:sz w:val="20"/>
          <w:szCs w:val="20"/>
          <w:color w:val="auto"/>
        </w:rPr>
      </w:pPr>
    </w:p>
    <w:p>
      <w:pPr>
        <w:ind w:firstLine="404"/>
        <w:spacing w:after="0" w:line="297" w:lineRule="auto"/>
        <w:tabs>
          <w:tab w:leader="none" w:pos="702" w:val="left"/>
        </w:tabs>
        <w:numPr>
          <w:ilvl w:val="0"/>
          <w:numId w:val="54"/>
        </w:numPr>
        <w:rPr>
          <w:rFonts w:ascii="Arial" w:cs="Arial" w:eastAsia="Arial" w:hAnsi="Arial"/>
          <w:sz w:val="19"/>
          <w:szCs w:val="19"/>
          <w:color w:val="auto"/>
        </w:rPr>
      </w:pPr>
      <w:r>
        <w:rPr>
          <w:rFonts w:ascii="Arial" w:cs="Arial" w:eastAsia="Arial" w:hAnsi="Arial"/>
          <w:sz w:val="19"/>
          <w:szCs w:val="19"/>
          <w:color w:val="auto"/>
        </w:rPr>
        <w:t xml:space="preserve">The Board shall determine on an annual basis the Excess Cash Flow, if any, available for distributions. Subject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4.01(a)</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5.02(i)</w:t>
      </w:r>
      <w:r>
        <w:rPr>
          <w:rFonts w:ascii="Arial" w:cs="Arial" w:eastAsia="Arial" w:hAnsi="Arial"/>
          <w:sz w:val="19"/>
          <w:szCs w:val="19"/>
          <w:color w:val="auto"/>
        </w:rPr>
        <w:t xml:space="preserve">, the rights of any Membership Units issued pursuant to </w:t>
      </w:r>
      <w:r>
        <w:rPr>
          <w:rFonts w:ascii="Arial" w:cs="Arial" w:eastAsia="Arial" w:hAnsi="Arial"/>
          <w:sz w:val="19"/>
          <w:szCs w:val="19"/>
          <w:u w:val="single" w:color="auto"/>
          <w:color w:val="auto"/>
        </w:rPr>
        <w:t>Section 3.03</w:t>
      </w:r>
      <w:r>
        <w:rPr>
          <w:rFonts w:ascii="Arial" w:cs="Arial" w:eastAsia="Arial" w:hAnsi="Arial"/>
          <w:sz w:val="19"/>
          <w:szCs w:val="19"/>
          <w:color w:val="auto"/>
        </w:rPr>
        <w:t>, and the maintenance by the Company of appropriate reserves (as determined by the Board), the Company may make cash</w:t>
      </w:r>
    </w:p>
    <w:p>
      <w:pPr>
        <w:spacing w:after="0" w:line="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712" w:right="259" w:bottom="1440" w:gutter="0" w:footer="0" w:header="0"/>
        </w:sectPr>
      </w:pPr>
    </w:p>
    <w:bookmarkStart w:id="130" w:name="page131"/>
    <w:bookmarkEnd w:id="130"/>
    <w:p>
      <w:pPr>
        <w:ind w:right="80"/>
        <w:spacing w:after="0" w:line="248" w:lineRule="auto"/>
        <w:rPr>
          <w:sz w:val="20"/>
          <w:szCs w:val="20"/>
          <w:color w:val="auto"/>
        </w:rPr>
      </w:pPr>
      <w:r>
        <w:rPr>
          <w:rFonts w:ascii="Arial" w:cs="Arial" w:eastAsia="Arial" w:hAnsi="Arial"/>
          <w:sz w:val="21"/>
          <w:szCs w:val="21"/>
          <w:color w:val="auto"/>
        </w:rPr>
        <w:t xml:space="preserve">distributions to the Members, in such aggregate amount, if any, as the Board shall determine; </w:t>
      </w:r>
      <w:r>
        <w:rPr>
          <w:rFonts w:ascii="Arial" w:cs="Arial" w:eastAsia="Arial" w:hAnsi="Arial"/>
          <w:sz w:val="21"/>
          <w:szCs w:val="21"/>
          <w:u w:val="single" w:color="auto"/>
          <w:color w:val="auto"/>
        </w:rPr>
        <w:t>provided</w:t>
      </w:r>
      <w:r>
        <w:rPr>
          <w:rFonts w:ascii="Arial" w:cs="Arial" w:eastAsia="Arial" w:hAnsi="Arial"/>
          <w:sz w:val="21"/>
          <w:szCs w:val="21"/>
          <w:color w:val="auto"/>
        </w:rPr>
        <w:t>, that in no event shall the aggregate amount of distributions made by the Company in any Fiscal Year exceed the Excess Cash Flow as determined by the Board for the applicable Fiscal Year. Any such cash distributions shall be made in the following order of priority: (i) first, to the Preferred Members, pro rata in accordance with their respective ownership of the Preferred Membership Units, until Preferred Capital for all Preferred Membership Units has been repaid in full; (ii) thereafter, to the Common Members, pro rata in accordance with their respective Percentage Interests.</w:t>
      </w:r>
    </w:p>
    <w:p>
      <w:pPr>
        <w:spacing w:after="0" w:line="177" w:lineRule="exact"/>
        <w:rPr>
          <w:sz w:val="20"/>
          <w:szCs w:val="20"/>
          <w:color w:val="auto"/>
        </w:rPr>
      </w:pPr>
    </w:p>
    <w:p>
      <w:pPr>
        <w:ind w:left="400"/>
        <w:spacing w:after="0"/>
        <w:rPr>
          <w:sz w:val="20"/>
          <w:szCs w:val="20"/>
          <w:color w:val="auto"/>
        </w:rPr>
      </w:pPr>
      <w:r>
        <w:rPr>
          <w:rFonts w:ascii="Arial" w:cs="Arial" w:eastAsia="Arial" w:hAnsi="Arial"/>
          <w:sz w:val="22"/>
          <w:szCs w:val="22"/>
          <w:color w:val="auto"/>
        </w:rPr>
        <w:t xml:space="preserve">Section 4.02. </w:t>
      </w:r>
      <w:r>
        <w:rPr>
          <w:rFonts w:ascii="Arial" w:cs="Arial" w:eastAsia="Arial" w:hAnsi="Arial"/>
          <w:sz w:val="22"/>
          <w:szCs w:val="22"/>
          <w:u w:val="single" w:color="auto"/>
          <w:color w:val="auto"/>
        </w:rPr>
        <w:t>Preferred Capital and Preferred Return</w:t>
      </w:r>
      <w:r>
        <w:rPr>
          <w:rFonts w:ascii="Arial" w:cs="Arial" w:eastAsia="Arial" w:hAnsi="Arial"/>
          <w:sz w:val="22"/>
          <w:szCs w:val="22"/>
          <w:color w:val="auto"/>
        </w:rPr>
        <w:t>.</w:t>
      </w:r>
    </w:p>
    <w:p>
      <w:pPr>
        <w:spacing w:after="0" w:line="98" w:lineRule="exact"/>
        <w:rPr>
          <w:sz w:val="20"/>
          <w:szCs w:val="20"/>
          <w:color w:val="auto"/>
        </w:rPr>
      </w:pPr>
    </w:p>
    <w:p>
      <w:pPr>
        <w:ind w:right="80" w:firstLine="404"/>
        <w:spacing w:after="0" w:line="236" w:lineRule="auto"/>
        <w:tabs>
          <w:tab w:leader="none" w:pos="690" w:val="left"/>
        </w:tabs>
        <w:numPr>
          <w:ilvl w:val="0"/>
          <w:numId w:val="55"/>
        </w:numPr>
        <w:rPr>
          <w:rFonts w:ascii="Arial" w:cs="Arial" w:eastAsia="Arial" w:hAnsi="Arial"/>
          <w:sz w:val="22"/>
          <w:szCs w:val="22"/>
          <w:color w:val="auto"/>
        </w:rPr>
      </w:pPr>
      <w:r>
        <w:rPr>
          <w:rFonts w:ascii="Arial" w:cs="Arial" w:eastAsia="Arial" w:hAnsi="Arial"/>
          <w:sz w:val="22"/>
          <w:szCs w:val="22"/>
          <w:color w:val="auto"/>
        </w:rPr>
        <w:t xml:space="preserve">The Preferred Capital shall become immediately due and payable upon the exercise of the Safran Call Right, and in any event no later than ten (10) years after the issuance of the Preferred Membership Units to which such Preferred Capital relates (or such later date as agreed by the Company and the Preferred Members);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in the event that the Safran Call Right is exercised pursuant to </w:t>
      </w:r>
      <w:r>
        <w:rPr>
          <w:rFonts w:ascii="Arial" w:cs="Arial" w:eastAsia="Arial" w:hAnsi="Arial"/>
          <w:sz w:val="22"/>
          <w:szCs w:val="22"/>
          <w:u w:val="single" w:color="auto"/>
          <w:color w:val="auto"/>
        </w:rPr>
        <w:t>Section 7.05(a)(ii)</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7.05(a)(vi)</w:t>
      </w:r>
      <w:r>
        <w:rPr>
          <w:rFonts w:ascii="Arial" w:cs="Arial" w:eastAsia="Arial" w:hAnsi="Arial"/>
          <w:sz w:val="22"/>
          <w:szCs w:val="22"/>
          <w:color w:val="auto"/>
        </w:rPr>
        <w:t>, all Preferred Capital shall become due and payable thirty (30) days after the exercise of the Safran Call Right.</w:t>
      </w:r>
    </w:p>
    <w:p>
      <w:pPr>
        <w:spacing w:after="0" w:line="79" w:lineRule="exact"/>
        <w:rPr>
          <w:rFonts w:ascii="Arial" w:cs="Arial" w:eastAsia="Arial" w:hAnsi="Arial"/>
          <w:sz w:val="22"/>
          <w:szCs w:val="22"/>
          <w:color w:val="auto"/>
        </w:rPr>
      </w:pPr>
    </w:p>
    <w:p>
      <w:pPr>
        <w:ind w:right="60" w:firstLine="404"/>
        <w:spacing w:after="0" w:line="236" w:lineRule="auto"/>
        <w:tabs>
          <w:tab w:leader="none" w:pos="702" w:val="left"/>
        </w:tabs>
        <w:numPr>
          <w:ilvl w:val="0"/>
          <w:numId w:val="55"/>
        </w:numPr>
        <w:rPr>
          <w:rFonts w:ascii="Arial" w:cs="Arial" w:eastAsia="Arial" w:hAnsi="Arial"/>
          <w:sz w:val="22"/>
          <w:szCs w:val="22"/>
          <w:color w:val="auto"/>
        </w:rPr>
      </w:pPr>
      <w:r>
        <w:rPr>
          <w:rFonts w:ascii="Arial" w:cs="Arial" w:eastAsia="Arial" w:hAnsi="Arial"/>
          <w:sz w:val="22"/>
          <w:szCs w:val="22"/>
          <w:color w:val="auto"/>
        </w:rPr>
        <w:t xml:space="preserve">Upon the indefeasible payment in full pursuant to this </w:t>
      </w:r>
      <w:r>
        <w:rPr>
          <w:rFonts w:ascii="Arial" w:cs="Arial" w:eastAsia="Arial" w:hAnsi="Arial"/>
          <w:sz w:val="22"/>
          <w:szCs w:val="22"/>
          <w:u w:val="single" w:color="auto"/>
          <w:color w:val="auto"/>
        </w:rPr>
        <w:t>Article IV</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7.05(d)</w:t>
      </w:r>
      <w:r>
        <w:rPr>
          <w:rFonts w:ascii="Arial" w:cs="Arial" w:eastAsia="Arial" w:hAnsi="Arial"/>
          <w:sz w:val="22"/>
          <w:szCs w:val="22"/>
          <w:color w:val="auto"/>
        </w:rPr>
        <w:t xml:space="preserve"> of all Preferred Capital with respect to any Preferred Membership Unit, such Preferred Membership Unit shall immediately terminate and be cancelled and the Preferred Member holding such Preferred Membership Unit shall have no further rights or obligations hereunder in respect of such Preferred Membership Unit, except for any rights of indemnification or other claims accruing prior to such date or which by their terms survive such termination and cancellation.</w:t>
      </w:r>
    </w:p>
    <w:p>
      <w:pPr>
        <w:spacing w:after="0" w:line="80" w:lineRule="exact"/>
        <w:rPr>
          <w:sz w:val="20"/>
          <w:szCs w:val="20"/>
          <w:color w:val="auto"/>
        </w:rPr>
      </w:pPr>
    </w:p>
    <w:p>
      <w:pPr>
        <w:ind w:firstLine="396"/>
        <w:spacing w:after="0"/>
        <w:rPr>
          <w:sz w:val="20"/>
          <w:szCs w:val="20"/>
          <w:color w:val="auto"/>
        </w:rPr>
      </w:pPr>
      <w:r>
        <w:rPr>
          <w:rFonts w:ascii="Arial" w:cs="Arial" w:eastAsia="Arial" w:hAnsi="Arial"/>
          <w:sz w:val="22"/>
          <w:szCs w:val="22"/>
          <w:color w:val="auto"/>
        </w:rPr>
        <w:t xml:space="preserve">Section 4.03. </w:t>
      </w:r>
      <w:r>
        <w:rPr>
          <w:rFonts w:ascii="Arial" w:cs="Arial" w:eastAsia="Arial" w:hAnsi="Arial"/>
          <w:sz w:val="22"/>
          <w:szCs w:val="22"/>
          <w:u w:val="single" w:color="auto"/>
          <w:color w:val="auto"/>
        </w:rPr>
        <w:t>Restricted Distributions</w:t>
      </w:r>
      <w:r>
        <w:rPr>
          <w:rFonts w:ascii="Arial" w:cs="Arial" w:eastAsia="Arial" w:hAnsi="Arial"/>
          <w:sz w:val="22"/>
          <w:szCs w:val="22"/>
          <w:color w:val="auto"/>
        </w:rPr>
        <w:t>. Notwithstanding anything to the contrary contained herein, the Company, and the Board on behalf of the Company, shall not make a distribution to any Member on account of its Membership Units if such distribution would violate the Act or other applicable Law.</w:t>
      </w:r>
    </w:p>
    <w:p>
      <w:pPr>
        <w:spacing w:after="0" w:line="78" w:lineRule="exact"/>
        <w:rPr>
          <w:sz w:val="20"/>
          <w:szCs w:val="20"/>
          <w:color w:val="auto"/>
        </w:rPr>
      </w:pPr>
    </w:p>
    <w:p>
      <w:pPr>
        <w:ind w:right="20" w:firstLine="396"/>
        <w:spacing w:after="0" w:line="244" w:lineRule="auto"/>
        <w:rPr>
          <w:sz w:val="20"/>
          <w:szCs w:val="20"/>
          <w:color w:val="auto"/>
        </w:rPr>
      </w:pPr>
      <w:r>
        <w:rPr>
          <w:rFonts w:ascii="Arial" w:cs="Arial" w:eastAsia="Arial" w:hAnsi="Arial"/>
          <w:sz w:val="21"/>
          <w:szCs w:val="21"/>
          <w:color w:val="auto"/>
        </w:rPr>
        <w:t xml:space="preserve">Section 4.04. </w:t>
      </w:r>
      <w:r>
        <w:rPr>
          <w:rFonts w:ascii="Arial" w:cs="Arial" w:eastAsia="Arial" w:hAnsi="Arial"/>
          <w:sz w:val="21"/>
          <w:szCs w:val="21"/>
          <w:u w:val="single" w:color="auto"/>
          <w:color w:val="auto"/>
        </w:rPr>
        <w:t>Withholding and Payments on Behalf of a Member</w:t>
      </w:r>
      <w:r>
        <w:rPr>
          <w:rFonts w:ascii="Arial" w:cs="Arial" w:eastAsia="Arial" w:hAnsi="Arial"/>
          <w:sz w:val="21"/>
          <w:szCs w:val="21"/>
          <w:color w:val="auto"/>
        </w:rPr>
        <w:t xml:space="preserve">. The Company is hereby authorized to withhold from distributions, and to make payments on behalf of a Member, in its capacity as such, of all amounts that the Company is required by Law to withhold or pay on behalf of such Member (including for the purposes of federal, state and local income tax withholding, state and local personal property taxes and state and local unincorporated business taxes, or any similar Taxes imposed by any non-U.S. Taxing authority with respect to amounts distributable to a Member). All amounts withheld by the Company from distributions or paid by the Company on behalf of a Member pursuant to this </w:t>
      </w:r>
      <w:r>
        <w:rPr>
          <w:rFonts w:ascii="Arial" w:cs="Arial" w:eastAsia="Arial" w:hAnsi="Arial"/>
          <w:sz w:val="21"/>
          <w:szCs w:val="21"/>
          <w:u w:val="single" w:color="auto"/>
          <w:color w:val="auto"/>
        </w:rPr>
        <w:t>Section 4.04</w:t>
      </w:r>
      <w:r>
        <w:rPr>
          <w:rFonts w:ascii="Arial" w:cs="Arial" w:eastAsia="Arial" w:hAnsi="Arial"/>
          <w:sz w:val="21"/>
          <w:szCs w:val="21"/>
          <w:color w:val="auto"/>
        </w:rPr>
        <w:t xml:space="preserve"> shall be deemed to have been distributed to the Member otherwise entitled to receive the amount so withheld or on whose behalf the amount was paid. In the event the Board reasonably determines that the Company is required to withhold an amount from distributions to any Member, the Company shall notify such Member of such withholding obligation and cooperate with such Member in reducing the amount to be withheld or eliminating the requirement to withhold such amounts, to the extent the Board or the Company can do so without unreasonable efforts or expense (including any potential liability to a Taxing authority for any such claimed withholding or interest and penalties related thereto). Each Member hereby agrees, to the extent permitted by applicable state and federal Law, to reimburse the Company for any liability with respect to</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928" w:right="279" w:bottom="1440" w:gutter="0" w:footer="0" w:header="0"/>
        </w:sectPr>
      </w:pPr>
    </w:p>
    <w:bookmarkStart w:id="131" w:name="page132"/>
    <w:bookmarkEnd w:id="131"/>
    <w:p>
      <w:pPr>
        <w:spacing w:after="0" w:line="274" w:lineRule="auto"/>
        <w:rPr>
          <w:sz w:val="20"/>
          <w:szCs w:val="20"/>
          <w:color w:val="auto"/>
        </w:rPr>
      </w:pPr>
      <w:r>
        <w:rPr>
          <w:rFonts w:ascii="Arial" w:cs="Arial" w:eastAsia="Arial" w:hAnsi="Arial"/>
          <w:sz w:val="19"/>
          <w:szCs w:val="19"/>
          <w:color w:val="auto"/>
        </w:rPr>
        <w:t xml:space="preserve">withholdings required on behalf of or with respect to such Member. If, pursuant to this </w:t>
      </w:r>
      <w:r>
        <w:rPr>
          <w:rFonts w:ascii="Arial" w:cs="Arial" w:eastAsia="Arial" w:hAnsi="Arial"/>
          <w:sz w:val="19"/>
          <w:szCs w:val="19"/>
          <w:u w:val="single" w:color="auto"/>
          <w:color w:val="auto"/>
        </w:rPr>
        <w:t>Section 4.04</w:t>
      </w:r>
      <w:r>
        <w:rPr>
          <w:rFonts w:ascii="Arial" w:cs="Arial" w:eastAsia="Arial" w:hAnsi="Arial"/>
          <w:sz w:val="19"/>
          <w:szCs w:val="19"/>
          <w:color w:val="auto"/>
        </w:rPr>
        <w:t xml:space="preserve">, the Company makes a payment on behalf of a Member or otherwise withholds from distributions to a Member an amount in excess of the amount available for distribution to such Member pursuant to </w:t>
      </w:r>
      <w:r>
        <w:rPr>
          <w:rFonts w:ascii="Arial" w:cs="Arial" w:eastAsia="Arial" w:hAnsi="Arial"/>
          <w:sz w:val="19"/>
          <w:szCs w:val="19"/>
          <w:u w:val="single" w:color="auto"/>
          <w:color w:val="auto"/>
        </w:rPr>
        <w:t>Section 4.01</w:t>
      </w:r>
      <w:r>
        <w:rPr>
          <w:rFonts w:ascii="Arial" w:cs="Arial" w:eastAsia="Arial" w:hAnsi="Arial"/>
          <w:sz w:val="19"/>
          <w:szCs w:val="19"/>
          <w:color w:val="auto"/>
        </w:rPr>
        <w:t xml:space="preserve"> (the amount of any such payment or such shortfall with respect to each Member being hereinafter referred to as the “</w:t>
      </w:r>
      <w:r>
        <w:rPr>
          <w:rFonts w:ascii="Arial" w:cs="Arial" w:eastAsia="Arial" w:hAnsi="Arial"/>
          <w:sz w:val="19"/>
          <w:szCs w:val="19"/>
          <w:u w:val="single" w:color="auto"/>
          <w:color w:val="auto"/>
        </w:rPr>
        <w:t>Advance Amount</w:t>
      </w:r>
      <w:r>
        <w:rPr>
          <w:rFonts w:ascii="Arial" w:cs="Arial" w:eastAsia="Arial" w:hAnsi="Arial"/>
          <w:sz w:val="19"/>
          <w:szCs w:val="19"/>
          <w:color w:val="auto"/>
        </w:rPr>
        <w:t xml:space="preserve">”), the Company may take any of the following actions upon obtaining approval of the Board thereto (excluding, for purposes thereof, the vote of any such Member subject to such determination): (a) require that each such Member contribute an amount in cash to the Company equal to such Member’s Advance Amount plus a commercially reasonable rate of interest thereon (such payment not to constitute a Capital Contribution hereunder) or (b) reduce the amount of any subsequent distributions (or any proceeds such Member may receive under </w:t>
      </w:r>
      <w:r>
        <w:rPr>
          <w:rFonts w:ascii="Arial" w:cs="Arial" w:eastAsia="Arial" w:hAnsi="Arial"/>
          <w:sz w:val="19"/>
          <w:szCs w:val="19"/>
          <w:u w:val="single" w:color="auto"/>
          <w:color w:val="auto"/>
        </w:rPr>
        <w:t>Section 10.03</w:t>
      </w:r>
      <w:r>
        <w:rPr>
          <w:rFonts w:ascii="Arial" w:cs="Arial" w:eastAsia="Arial" w:hAnsi="Arial"/>
          <w:sz w:val="19"/>
          <w:szCs w:val="19"/>
          <w:color w:val="auto"/>
        </w:rPr>
        <w:t>) which would otherwise have been made to such Member by the Advance Amount plus a commercially reasonable rate of interest thereon.</w:t>
      </w:r>
    </w:p>
    <w:p>
      <w:pPr>
        <w:spacing w:after="0" w:line="159" w:lineRule="exact"/>
        <w:rPr>
          <w:sz w:val="20"/>
          <w:szCs w:val="20"/>
          <w:color w:val="auto"/>
        </w:rPr>
      </w:pPr>
    </w:p>
    <w:p>
      <w:pPr>
        <w:ind w:right="60" w:firstLine="396"/>
        <w:spacing w:after="0" w:line="247" w:lineRule="auto"/>
        <w:rPr>
          <w:sz w:val="20"/>
          <w:szCs w:val="20"/>
          <w:color w:val="auto"/>
        </w:rPr>
      </w:pPr>
      <w:r>
        <w:rPr>
          <w:rFonts w:ascii="Arial" w:cs="Arial" w:eastAsia="Arial" w:hAnsi="Arial"/>
          <w:sz w:val="21"/>
          <w:szCs w:val="21"/>
          <w:color w:val="auto"/>
        </w:rPr>
        <w:t xml:space="preserve">Section 4.05. </w:t>
      </w:r>
      <w:r>
        <w:rPr>
          <w:rFonts w:ascii="Arial" w:cs="Arial" w:eastAsia="Arial" w:hAnsi="Arial"/>
          <w:sz w:val="21"/>
          <w:szCs w:val="21"/>
          <w:u w:val="single" w:color="auto"/>
          <w:color w:val="auto"/>
        </w:rPr>
        <w:t>Offset</w:t>
      </w:r>
      <w:r>
        <w:rPr>
          <w:rFonts w:ascii="Arial" w:cs="Arial" w:eastAsia="Arial" w:hAnsi="Arial"/>
          <w:sz w:val="21"/>
          <w:szCs w:val="21"/>
          <w:color w:val="auto"/>
        </w:rPr>
        <w:t>. Whenever the Company is to distribute or pay any sum to any Member pursuant to any provision of this Agreement, any amounts such Member owes the Company or any of its Subsidiaries or Affiliates (whether pursuant to this Agreement or otherwise), as determined by the Board, may be deducted from such sum before distribution or payment, to the extent permitted by applicable Law. All amounts deducted by the Company from amounts distributed or paid by the Company to a Member pursuant to the foregoing sentence shall (a) be deemed to have been distributed or paid to such Member and (b) reduce any amounts such Member owes the Company or its Subsidiaries or Affiliates (as applicable) under the applicable arrangement between such entity and such Member.</w:t>
      </w:r>
    </w:p>
    <w:p>
      <w:pPr>
        <w:spacing w:after="0" w:line="70" w:lineRule="exact"/>
        <w:rPr>
          <w:sz w:val="20"/>
          <w:szCs w:val="20"/>
          <w:color w:val="auto"/>
        </w:rPr>
      </w:pPr>
    </w:p>
    <w:p>
      <w:pPr>
        <w:ind w:left="400"/>
        <w:spacing w:after="0"/>
        <w:rPr>
          <w:sz w:val="20"/>
          <w:szCs w:val="20"/>
          <w:color w:val="auto"/>
        </w:rPr>
      </w:pPr>
      <w:r>
        <w:rPr>
          <w:rFonts w:ascii="Arial" w:cs="Arial" w:eastAsia="Arial" w:hAnsi="Arial"/>
          <w:sz w:val="22"/>
          <w:szCs w:val="22"/>
          <w:color w:val="auto"/>
        </w:rPr>
        <w:t xml:space="preserve">Section 4.06. </w:t>
      </w:r>
      <w:r>
        <w:rPr>
          <w:rFonts w:ascii="Arial" w:cs="Arial" w:eastAsia="Arial" w:hAnsi="Arial"/>
          <w:sz w:val="22"/>
          <w:szCs w:val="22"/>
          <w:u w:val="single" w:color="auto"/>
          <w:color w:val="auto"/>
        </w:rPr>
        <w:t>Allocation of Profits and Losses</w:t>
      </w:r>
      <w:r>
        <w:rPr>
          <w:rFonts w:ascii="Arial" w:cs="Arial" w:eastAsia="Arial" w:hAnsi="Arial"/>
          <w:sz w:val="22"/>
          <w:szCs w:val="22"/>
          <w:color w:val="auto"/>
        </w:rPr>
        <w:t>.</w:t>
      </w:r>
    </w:p>
    <w:p>
      <w:pPr>
        <w:spacing w:after="0" w:line="98" w:lineRule="exact"/>
        <w:rPr>
          <w:sz w:val="20"/>
          <w:szCs w:val="20"/>
          <w:color w:val="auto"/>
        </w:rPr>
      </w:pPr>
    </w:p>
    <w:p>
      <w:pPr>
        <w:ind w:right="420" w:firstLine="404"/>
        <w:spacing w:after="0" w:line="274" w:lineRule="auto"/>
        <w:tabs>
          <w:tab w:leader="none" w:pos="690" w:val="left"/>
        </w:tabs>
        <w:numPr>
          <w:ilvl w:val="0"/>
          <w:numId w:val="56"/>
        </w:numPr>
        <w:rPr>
          <w:rFonts w:ascii="Arial" w:cs="Arial" w:eastAsia="Arial" w:hAnsi="Arial"/>
          <w:sz w:val="21"/>
          <w:szCs w:val="21"/>
          <w:color w:val="auto"/>
        </w:rPr>
      </w:pPr>
      <w:r>
        <w:rPr>
          <w:rFonts w:ascii="Arial" w:cs="Arial" w:eastAsia="Arial" w:hAnsi="Arial"/>
          <w:sz w:val="21"/>
          <w:szCs w:val="21"/>
          <w:u w:val="single" w:color="auto"/>
          <w:color w:val="auto"/>
        </w:rPr>
        <w:t>Generally</w:t>
      </w:r>
      <w:r>
        <w:rPr>
          <w:rFonts w:ascii="Arial" w:cs="Arial" w:eastAsia="Arial" w:hAnsi="Arial"/>
          <w:sz w:val="21"/>
          <w:szCs w:val="21"/>
          <w:color w:val="auto"/>
        </w:rPr>
        <w:t xml:space="preserve">. Except as otherwise set forth in this Agreement, and after giving effect to the special allocations set forth in </w:t>
      </w:r>
      <w:r>
        <w:rPr>
          <w:rFonts w:ascii="Arial" w:cs="Arial" w:eastAsia="Arial" w:hAnsi="Arial"/>
          <w:sz w:val="21"/>
          <w:szCs w:val="21"/>
          <w:u w:val="single" w:color="auto"/>
          <w:color w:val="auto"/>
        </w:rPr>
        <w:t>Section 4.06(b)</w:t>
      </w:r>
      <w:r>
        <w:rPr>
          <w:rFonts w:ascii="Arial" w:cs="Arial" w:eastAsia="Arial" w:hAnsi="Arial"/>
          <w:sz w:val="21"/>
          <w:szCs w:val="21"/>
          <w:color w:val="auto"/>
        </w:rPr>
        <w:t>, Profits and Losses shall be allocated among the Capital Accounts of the Members as follows:</w:t>
      </w:r>
    </w:p>
    <w:p>
      <w:pPr>
        <w:spacing w:after="0" w:line="42" w:lineRule="exact"/>
        <w:rPr>
          <w:rFonts w:ascii="Arial" w:cs="Arial" w:eastAsia="Arial" w:hAnsi="Arial"/>
          <w:sz w:val="21"/>
          <w:szCs w:val="21"/>
          <w:color w:val="auto"/>
        </w:rPr>
      </w:pPr>
    </w:p>
    <w:p>
      <w:pPr>
        <w:jc w:val="both"/>
        <w:ind w:left="400" w:right="460" w:firstLine="400"/>
        <w:spacing w:after="0" w:line="287" w:lineRule="auto"/>
        <w:tabs>
          <w:tab w:leader="none" w:pos="1054" w:val="left"/>
        </w:tabs>
        <w:numPr>
          <w:ilvl w:val="1"/>
          <w:numId w:val="56"/>
        </w:numPr>
        <w:rPr>
          <w:rFonts w:ascii="Arial" w:cs="Arial" w:eastAsia="Arial" w:hAnsi="Arial"/>
          <w:sz w:val="19"/>
          <w:szCs w:val="19"/>
          <w:color w:val="auto"/>
        </w:rPr>
      </w:pPr>
      <w:r>
        <w:rPr>
          <w:rFonts w:ascii="Arial" w:cs="Arial" w:eastAsia="Arial" w:hAnsi="Arial"/>
          <w:sz w:val="19"/>
          <w:szCs w:val="19"/>
          <w:color w:val="auto"/>
        </w:rPr>
        <w:t>Profits shall be allocated (A) first, 100% to the Preferred Members, pro rata in accordance with their respective ownership of the Preferred Membership Units, until each Preferred Member has been allocated an amount equal to the Preferred Return for all Preferred Membership Units held by such Preferred Member; and (B) second, the balance, if any, 100% to the Common Members, pro rata in accordance with their respective Percentage Interests.</w:t>
      </w:r>
    </w:p>
    <w:p>
      <w:pPr>
        <w:spacing w:after="0" w:line="35" w:lineRule="exact"/>
        <w:rPr>
          <w:rFonts w:ascii="Arial" w:cs="Arial" w:eastAsia="Arial" w:hAnsi="Arial"/>
          <w:sz w:val="19"/>
          <w:szCs w:val="19"/>
          <w:color w:val="auto"/>
        </w:rPr>
      </w:pPr>
    </w:p>
    <w:p>
      <w:pPr>
        <w:ind w:left="400" w:right="420" w:firstLine="400"/>
        <w:spacing w:after="0" w:line="251" w:lineRule="auto"/>
        <w:tabs>
          <w:tab w:leader="none" w:pos="1114" w:val="left"/>
        </w:tabs>
        <w:numPr>
          <w:ilvl w:val="1"/>
          <w:numId w:val="56"/>
        </w:numPr>
        <w:rPr>
          <w:rFonts w:ascii="Arial" w:cs="Arial" w:eastAsia="Arial" w:hAnsi="Arial"/>
          <w:sz w:val="22"/>
          <w:szCs w:val="22"/>
          <w:color w:val="auto"/>
        </w:rPr>
      </w:pPr>
      <w:r>
        <w:rPr>
          <w:rFonts w:ascii="Arial" w:cs="Arial" w:eastAsia="Arial" w:hAnsi="Arial"/>
          <w:sz w:val="22"/>
          <w:szCs w:val="22"/>
          <w:color w:val="auto"/>
        </w:rPr>
        <w:t>Losses shall be allocated 100% to the Common Members, pro rata in accordance with their respective Percentage Interests.</w:t>
      </w:r>
    </w:p>
    <w:p>
      <w:pPr>
        <w:spacing w:after="0" w:line="65" w:lineRule="exact"/>
        <w:rPr>
          <w:rFonts w:ascii="Arial" w:cs="Arial" w:eastAsia="Arial" w:hAnsi="Arial"/>
          <w:sz w:val="22"/>
          <w:szCs w:val="22"/>
          <w:color w:val="auto"/>
        </w:rPr>
      </w:pPr>
    </w:p>
    <w:p>
      <w:pPr>
        <w:ind w:left="720" w:hanging="316"/>
        <w:spacing w:after="0"/>
        <w:tabs>
          <w:tab w:leader="none" w:pos="720"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Special Allocations</w:t>
      </w:r>
      <w:r>
        <w:rPr>
          <w:rFonts w:ascii="Arial" w:cs="Arial" w:eastAsia="Arial" w:hAnsi="Arial"/>
          <w:sz w:val="22"/>
          <w:szCs w:val="22"/>
          <w:color w:val="auto"/>
        </w:rPr>
        <w:t>.</w:t>
      </w:r>
    </w:p>
    <w:p>
      <w:pPr>
        <w:spacing w:after="0" w:line="98" w:lineRule="exact"/>
        <w:rPr>
          <w:rFonts w:ascii="Arial" w:cs="Arial" w:eastAsia="Arial" w:hAnsi="Arial"/>
          <w:sz w:val="22"/>
          <w:szCs w:val="22"/>
          <w:color w:val="auto"/>
        </w:rPr>
      </w:pPr>
    </w:p>
    <w:p>
      <w:pPr>
        <w:ind w:left="400" w:firstLine="400"/>
        <w:spacing w:after="0" w:line="287" w:lineRule="auto"/>
        <w:tabs>
          <w:tab w:leader="none" w:pos="1054" w:val="left"/>
        </w:tabs>
        <w:numPr>
          <w:ilvl w:val="1"/>
          <w:numId w:val="56"/>
        </w:numPr>
        <w:rPr>
          <w:rFonts w:ascii="Arial" w:cs="Arial" w:eastAsia="Arial" w:hAnsi="Arial"/>
          <w:sz w:val="19"/>
          <w:szCs w:val="19"/>
          <w:color w:val="auto"/>
        </w:rPr>
      </w:pPr>
      <w:r>
        <w:rPr>
          <w:rFonts w:ascii="Arial" w:cs="Arial" w:eastAsia="Arial" w:hAnsi="Arial"/>
          <w:sz w:val="19"/>
          <w:szCs w:val="19"/>
          <w:color w:val="auto"/>
        </w:rPr>
        <w:t xml:space="preserve">The provisions of </w:t>
      </w:r>
      <w:r>
        <w:rPr>
          <w:rFonts w:ascii="Arial" w:cs="Arial" w:eastAsia="Arial" w:hAnsi="Arial"/>
          <w:sz w:val="19"/>
          <w:szCs w:val="19"/>
          <w:u w:val="single" w:color="auto"/>
          <w:color w:val="auto"/>
        </w:rPr>
        <w:t>Section 4.06(a)</w:t>
      </w:r>
      <w:r>
        <w:rPr>
          <w:rFonts w:ascii="Arial" w:cs="Arial" w:eastAsia="Arial" w:hAnsi="Arial"/>
          <w:sz w:val="19"/>
          <w:szCs w:val="19"/>
          <w:color w:val="auto"/>
        </w:rPr>
        <w:t xml:space="preserve"> and the other provisions of this Agreement relating to the maintenance of Capital Accounts are intended to comply with Treasury Regulations Section 1.704-1(b) and shall be interpreted and applied in a manner consistent with such Regulations. The Board shall be authorized to make appropriate amendments to the allocations of items pursuant to this </w:t>
      </w:r>
      <w:r>
        <w:rPr>
          <w:rFonts w:ascii="Arial" w:cs="Arial" w:eastAsia="Arial" w:hAnsi="Arial"/>
          <w:sz w:val="19"/>
          <w:szCs w:val="19"/>
          <w:u w:val="single" w:color="auto"/>
          <w:color w:val="auto"/>
        </w:rPr>
        <w:t>Section 4.06</w:t>
      </w:r>
      <w:r>
        <w:rPr>
          <w:rFonts w:ascii="Arial" w:cs="Arial" w:eastAsia="Arial" w:hAnsi="Arial"/>
          <w:sz w:val="19"/>
          <w:szCs w:val="19"/>
          <w:color w:val="auto"/>
        </w:rPr>
        <w:t xml:space="preserve"> if necessary in order to comply with Section 704 of the Code or applicable Treasury</w:t>
      </w:r>
    </w:p>
    <w:p>
      <w:pPr>
        <w:spacing w:after="0" w:line="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60"/>
          </w:cols>
          <w:pgMar w:left="240" w:top="928" w:right="299" w:bottom="1440" w:gutter="0" w:footer="0" w:header="0"/>
        </w:sectPr>
      </w:pPr>
    </w:p>
    <w:bookmarkStart w:id="132" w:name="page133"/>
    <w:bookmarkEnd w:id="132"/>
    <w:p>
      <w:pPr>
        <w:ind w:left="380" w:right="80"/>
        <w:spacing w:after="0" w:line="251" w:lineRule="auto"/>
        <w:rPr>
          <w:sz w:val="20"/>
          <w:szCs w:val="20"/>
          <w:color w:val="auto"/>
        </w:rPr>
      </w:pPr>
      <w:r>
        <w:rPr>
          <w:rFonts w:ascii="Arial" w:cs="Arial" w:eastAsia="Arial" w:hAnsi="Arial"/>
          <w:sz w:val="22"/>
          <w:szCs w:val="22"/>
          <w:color w:val="auto"/>
        </w:rPr>
        <w:t xml:space="preserve">Regulations thereunder;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such change shall have an adverse effect upon amounts distributable to any Member pursuant to </w:t>
      </w:r>
      <w:r>
        <w:rPr>
          <w:rFonts w:ascii="Arial" w:cs="Arial" w:eastAsia="Arial" w:hAnsi="Arial"/>
          <w:sz w:val="22"/>
          <w:szCs w:val="22"/>
          <w:u w:val="single" w:color="auto"/>
          <w:color w:val="auto"/>
        </w:rPr>
        <w:t>Section 4.01</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10.03</w:t>
      </w:r>
      <w:r>
        <w:rPr>
          <w:rFonts w:ascii="Arial" w:cs="Arial" w:eastAsia="Arial" w:hAnsi="Arial"/>
          <w:sz w:val="22"/>
          <w:szCs w:val="22"/>
          <w:color w:val="auto"/>
        </w:rPr>
        <w:t>.</w:t>
      </w:r>
    </w:p>
    <w:p>
      <w:pPr>
        <w:spacing w:after="0" w:line="173" w:lineRule="exact"/>
        <w:rPr>
          <w:sz w:val="20"/>
          <w:szCs w:val="20"/>
          <w:color w:val="auto"/>
        </w:rPr>
      </w:pPr>
    </w:p>
    <w:p>
      <w:pPr>
        <w:ind w:left="380" w:right="100" w:firstLine="400"/>
        <w:spacing w:after="0" w:line="273" w:lineRule="auto"/>
        <w:tabs>
          <w:tab w:leader="none" w:pos="1094" w:val="left"/>
        </w:tabs>
        <w:numPr>
          <w:ilvl w:val="0"/>
          <w:numId w:val="57"/>
        </w:numPr>
        <w:rPr>
          <w:rFonts w:ascii="Arial" w:cs="Arial" w:eastAsia="Arial" w:hAnsi="Arial"/>
          <w:sz w:val="19"/>
          <w:szCs w:val="19"/>
          <w:color w:val="auto"/>
        </w:rPr>
      </w:pPr>
      <w:r>
        <w:rPr>
          <w:rFonts w:ascii="Arial" w:cs="Arial" w:eastAsia="Arial" w:hAnsi="Arial"/>
          <w:sz w:val="19"/>
          <w:szCs w:val="19"/>
          <w:color w:val="auto"/>
        </w:rPr>
        <w:t xml:space="preserve">Notwithstanding any provision of this </w:t>
      </w:r>
      <w:r>
        <w:rPr>
          <w:rFonts w:ascii="Arial" w:cs="Arial" w:eastAsia="Arial" w:hAnsi="Arial"/>
          <w:sz w:val="19"/>
          <w:szCs w:val="19"/>
          <w:u w:val="single" w:color="auto"/>
          <w:color w:val="auto"/>
        </w:rPr>
        <w:t>Section 4.06</w:t>
      </w:r>
      <w:r>
        <w:rPr>
          <w:rFonts w:ascii="Arial" w:cs="Arial" w:eastAsia="Arial" w:hAnsi="Arial"/>
          <w:sz w:val="19"/>
          <w:szCs w:val="19"/>
          <w:color w:val="auto"/>
        </w:rPr>
        <w:t xml:space="preserve">, no item of deduction or loss shall be allocated to a Member to the extent the allocation would cause a negative balance in such Member’s Capital Account (after taking into account the adjustments, allocations and distributions described in Treasury Regulations Sections 1.704-1(b)(2)(ii)(d)(4), (5) and (6)) that exceeds the sum of (A) the amount that such Member would be required to reimburse the Company pursuant to this Agreement or under applicable Law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(B) the amount that such Member is deemed obligated to reimburse pursuant to the penultimate sentences of Treasury Regulations Sections 1.704-2(g)(1) and 1.704-2(i)(5). In the event some but not all of the Members would have such excess Capital Account deficits as a consequence of such allocation of loss or deduction, the limitation set forth in this </w:t>
      </w:r>
      <w:r>
        <w:rPr>
          <w:rFonts w:ascii="Arial" w:cs="Arial" w:eastAsia="Arial" w:hAnsi="Arial"/>
          <w:sz w:val="19"/>
          <w:szCs w:val="19"/>
          <w:u w:val="single" w:color="auto"/>
          <w:color w:val="auto"/>
        </w:rPr>
        <w:t>Section 4.06(b)</w:t>
      </w:r>
      <w:r>
        <w:rPr>
          <w:rFonts w:ascii="Arial" w:cs="Arial" w:eastAsia="Arial" w:hAnsi="Arial"/>
          <w:sz w:val="19"/>
          <w:szCs w:val="19"/>
          <w:color w:val="auto"/>
        </w:rPr>
        <w:t xml:space="preserve"> shall be applied on a Member-by-Member basis so as to allocate the maximum permissible deduction or loss to each Member under Section 1.704-1(b)(2)(ii)(d) of the Treasury Regulations. In the event any loss or deduction is specially allocated to a Member pursuant to the preceding sentence, an equal amount of income of the Company shall be specially allocated to such Member prior to any allocation pursuant to </w:t>
      </w:r>
      <w:r>
        <w:rPr>
          <w:rFonts w:ascii="Arial" w:cs="Arial" w:eastAsia="Arial" w:hAnsi="Arial"/>
          <w:sz w:val="19"/>
          <w:szCs w:val="19"/>
          <w:u w:val="single" w:color="auto"/>
          <w:color w:val="auto"/>
        </w:rPr>
        <w:t>Section 4.06(a)</w:t>
      </w:r>
      <w:r>
        <w:rPr>
          <w:rFonts w:ascii="Arial" w:cs="Arial" w:eastAsia="Arial" w:hAnsi="Arial"/>
          <w:sz w:val="19"/>
          <w:szCs w:val="19"/>
          <w:color w:val="auto"/>
        </w:rPr>
        <w:t>.</w:t>
      </w:r>
    </w:p>
    <w:p>
      <w:pPr>
        <w:spacing w:after="0" w:line="48" w:lineRule="exact"/>
        <w:rPr>
          <w:rFonts w:ascii="Arial" w:cs="Arial" w:eastAsia="Arial" w:hAnsi="Arial"/>
          <w:sz w:val="19"/>
          <w:szCs w:val="19"/>
          <w:color w:val="auto"/>
        </w:rPr>
      </w:pPr>
    </w:p>
    <w:p>
      <w:pPr>
        <w:ind w:left="380" w:right="20" w:firstLine="400"/>
        <w:spacing w:after="0" w:line="245" w:lineRule="auto"/>
        <w:tabs>
          <w:tab w:leader="none" w:pos="1154" w:val="left"/>
        </w:tabs>
        <w:numPr>
          <w:ilvl w:val="0"/>
          <w:numId w:val="57"/>
        </w:numPr>
        <w:rPr>
          <w:rFonts w:ascii="Arial" w:cs="Arial" w:eastAsia="Arial" w:hAnsi="Arial"/>
          <w:sz w:val="21"/>
          <w:szCs w:val="21"/>
          <w:color w:val="auto"/>
        </w:rPr>
      </w:pPr>
      <w:r>
        <w:rPr>
          <w:rFonts w:ascii="Arial" w:cs="Arial" w:eastAsia="Arial" w:hAnsi="Arial"/>
          <w:sz w:val="21"/>
          <w:szCs w:val="21"/>
          <w:color w:val="auto"/>
        </w:rPr>
        <w:t xml:space="preserve">In the event any Member unexpectedly receives any adjustments, allocations, or distributions described in Treasury Regulations Sections 1.704-1(b)(2)(ii)(d)(4), (5) and (6), items of Company income and gain shall be specially allocated to such Member in an amount and manner sufficient to eliminate as quickly as possible any deficit balance in its Capital Accounts in excess of that permitted under </w:t>
      </w:r>
      <w:r>
        <w:rPr>
          <w:rFonts w:ascii="Arial" w:cs="Arial" w:eastAsia="Arial" w:hAnsi="Arial"/>
          <w:sz w:val="21"/>
          <w:szCs w:val="21"/>
          <w:u w:val="single" w:color="auto"/>
          <w:color w:val="auto"/>
        </w:rPr>
        <w:t>Section 4.06(b)(ii)</w:t>
      </w:r>
      <w:r>
        <w:rPr>
          <w:rFonts w:ascii="Arial" w:cs="Arial" w:eastAsia="Arial" w:hAnsi="Arial"/>
          <w:sz w:val="21"/>
          <w:szCs w:val="21"/>
          <w:color w:val="auto"/>
        </w:rPr>
        <w:t xml:space="preserve"> created by such adjustments, allocations or distributions. Any special allocations of items of income or gain pursuant to this </w:t>
      </w:r>
      <w:r>
        <w:rPr>
          <w:rFonts w:ascii="Arial" w:cs="Arial" w:eastAsia="Arial" w:hAnsi="Arial"/>
          <w:sz w:val="21"/>
          <w:szCs w:val="21"/>
          <w:u w:val="single" w:color="auto"/>
          <w:color w:val="auto"/>
        </w:rPr>
        <w:t>Section 4.06(b)</w:t>
      </w:r>
      <w:r>
        <w:rPr>
          <w:rFonts w:ascii="Arial" w:cs="Arial" w:eastAsia="Arial" w:hAnsi="Arial"/>
          <w:sz w:val="21"/>
          <w:szCs w:val="21"/>
          <w:color w:val="auto"/>
        </w:rPr>
        <w:t xml:space="preserve"> shall be taken into account in computing subsequent allocations pursuant to this </w:t>
      </w:r>
      <w:r>
        <w:rPr>
          <w:rFonts w:ascii="Arial" w:cs="Arial" w:eastAsia="Arial" w:hAnsi="Arial"/>
          <w:sz w:val="21"/>
          <w:szCs w:val="21"/>
          <w:u w:val="single" w:color="auto"/>
          <w:color w:val="auto"/>
        </w:rPr>
        <w:t>Section 4.06</w:t>
      </w:r>
      <w:r>
        <w:rPr>
          <w:rFonts w:ascii="Arial" w:cs="Arial" w:eastAsia="Arial" w:hAnsi="Arial"/>
          <w:sz w:val="21"/>
          <w:szCs w:val="21"/>
          <w:color w:val="auto"/>
        </w:rPr>
        <w:t xml:space="preserve"> so that the net amount of any items so allocated and all other items allocated to each Member pursuant to this </w:t>
      </w:r>
      <w:r>
        <w:rPr>
          <w:rFonts w:ascii="Arial" w:cs="Arial" w:eastAsia="Arial" w:hAnsi="Arial"/>
          <w:sz w:val="21"/>
          <w:szCs w:val="21"/>
          <w:u w:val="single" w:color="auto"/>
          <w:color w:val="auto"/>
        </w:rPr>
        <w:t>Section 4.06</w:t>
      </w:r>
      <w:r>
        <w:rPr>
          <w:rFonts w:ascii="Arial" w:cs="Arial" w:eastAsia="Arial" w:hAnsi="Arial"/>
          <w:sz w:val="21"/>
          <w:szCs w:val="21"/>
          <w:color w:val="auto"/>
        </w:rPr>
        <w:t xml:space="preserve"> shall, to the extent possible, be equal to the net amount that would have been allocated to each such Member pursuant to the provisions of this </w:t>
      </w:r>
      <w:r>
        <w:rPr>
          <w:rFonts w:ascii="Arial" w:cs="Arial" w:eastAsia="Arial" w:hAnsi="Arial"/>
          <w:sz w:val="21"/>
          <w:szCs w:val="21"/>
          <w:u w:val="single" w:color="auto"/>
          <w:color w:val="auto"/>
        </w:rPr>
        <w:t>Section 4.06</w:t>
      </w:r>
      <w:r>
        <w:rPr>
          <w:rFonts w:ascii="Arial" w:cs="Arial" w:eastAsia="Arial" w:hAnsi="Arial"/>
          <w:sz w:val="21"/>
          <w:szCs w:val="21"/>
          <w:color w:val="auto"/>
        </w:rPr>
        <w:t xml:space="preserve"> if such unexpected adjustments, allocations or distributions had not occurred.</w:t>
      </w:r>
    </w:p>
    <w:p>
      <w:pPr>
        <w:spacing w:after="0" w:line="77" w:lineRule="exact"/>
        <w:rPr>
          <w:rFonts w:ascii="Arial" w:cs="Arial" w:eastAsia="Arial" w:hAnsi="Arial"/>
          <w:sz w:val="21"/>
          <w:szCs w:val="21"/>
          <w:color w:val="auto"/>
        </w:rPr>
      </w:pPr>
    </w:p>
    <w:p>
      <w:pPr>
        <w:ind w:left="380" w:firstLine="400"/>
        <w:spacing w:after="0" w:line="274" w:lineRule="auto"/>
        <w:tabs>
          <w:tab w:leader="none" w:pos="1142" w:val="left"/>
        </w:tabs>
        <w:numPr>
          <w:ilvl w:val="0"/>
          <w:numId w:val="57"/>
        </w:numPr>
        <w:rPr>
          <w:rFonts w:ascii="Arial" w:cs="Arial" w:eastAsia="Arial" w:hAnsi="Arial"/>
          <w:sz w:val="21"/>
          <w:szCs w:val="21"/>
          <w:color w:val="auto"/>
        </w:rPr>
      </w:pPr>
      <w:r>
        <w:rPr>
          <w:rFonts w:ascii="Arial" w:cs="Arial" w:eastAsia="Arial" w:hAnsi="Arial"/>
          <w:sz w:val="21"/>
          <w:szCs w:val="21"/>
          <w:color w:val="auto"/>
        </w:rPr>
        <w:t>In the event the Company incurs any nonrecourse liabilities, income and gain shall be allocated in accordance with the “minimum gain chargeback” provisions of Section 1.704-1(b)(4)(iv) and 1.704-2 of the Treasury Regulations.</w:t>
      </w:r>
    </w:p>
    <w:p>
      <w:pPr>
        <w:spacing w:after="0" w:line="42" w:lineRule="exact"/>
        <w:rPr>
          <w:rFonts w:ascii="Arial" w:cs="Arial" w:eastAsia="Arial" w:hAnsi="Arial"/>
          <w:sz w:val="21"/>
          <w:szCs w:val="21"/>
          <w:color w:val="auto"/>
        </w:rPr>
      </w:pPr>
    </w:p>
    <w:p>
      <w:pPr>
        <w:ind w:left="380" w:right="40" w:firstLine="400"/>
        <w:spacing w:after="0" w:line="287" w:lineRule="auto"/>
        <w:tabs>
          <w:tab w:leader="none" w:pos="1082" w:val="left"/>
        </w:tabs>
        <w:numPr>
          <w:ilvl w:val="0"/>
          <w:numId w:val="57"/>
        </w:numPr>
        <w:rPr>
          <w:rFonts w:ascii="Arial" w:cs="Arial" w:eastAsia="Arial" w:hAnsi="Arial"/>
          <w:sz w:val="19"/>
          <w:szCs w:val="19"/>
          <w:color w:val="auto"/>
        </w:rPr>
      </w:pPr>
      <w:r>
        <w:rPr>
          <w:rFonts w:ascii="Arial" w:cs="Arial" w:eastAsia="Arial" w:hAnsi="Arial"/>
          <w:sz w:val="19"/>
          <w:szCs w:val="19"/>
          <w:color w:val="auto"/>
        </w:rPr>
        <w:t xml:space="preserve">The Capital Accounts of the Members may be adjusted in accordance with Treasury Regulations Section 1.704-1(b)(2) (iv)(f) to reflect the fair market value (as determined by the Board) of Company property whenever permitted under such provision, and shall be adjusted when the Company is liquidated pursuant to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in accordance with Treasury Regulations Section 1.704-1(b)(2)(iv)(e) or in the case of a distribution of any property (other than cash).</w:t>
      </w:r>
    </w:p>
    <w:p>
      <w:pPr>
        <w:spacing w:after="0" w:line="35" w:lineRule="exact"/>
        <w:rPr>
          <w:sz w:val="20"/>
          <w:szCs w:val="20"/>
          <w:color w:val="auto"/>
        </w:rPr>
      </w:pPr>
    </w:p>
    <w:p>
      <w:pPr>
        <w:ind w:left="-20" w:right="100" w:firstLine="404"/>
        <w:spacing w:after="0" w:line="251" w:lineRule="auto"/>
        <w:tabs>
          <w:tab w:leader="none" w:pos="670"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Tax Allocations</w:t>
      </w:r>
      <w:r>
        <w:rPr>
          <w:rFonts w:ascii="Arial" w:cs="Arial" w:eastAsia="Arial" w:hAnsi="Arial"/>
          <w:sz w:val="22"/>
          <w:szCs w:val="22"/>
          <w:color w:val="auto"/>
        </w:rPr>
        <w:t>. For federal, state and local income tax purposes, items of income, gain, loss, deduction and credit shall be allocated to the Members in accordance with</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246620" cy="431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60" w:top="928" w:right="239" w:bottom="1440" w:gutter="0" w:footer="0" w:header="0"/>
        </w:sectPr>
      </w:pPr>
    </w:p>
    <w:bookmarkStart w:id="133" w:name="page134"/>
    <w:bookmarkEnd w:id="133"/>
    <w:p>
      <w:pPr>
        <w:ind w:right="200"/>
        <w:spacing w:after="0" w:line="236" w:lineRule="auto"/>
        <w:rPr>
          <w:sz w:val="20"/>
          <w:szCs w:val="20"/>
          <w:color w:val="auto"/>
        </w:rPr>
      </w:pPr>
      <w:r>
        <w:rPr>
          <w:rFonts w:ascii="Arial" w:cs="Arial" w:eastAsia="Arial" w:hAnsi="Arial"/>
          <w:sz w:val="22"/>
          <w:szCs w:val="22"/>
          <w:color w:val="auto"/>
        </w:rPr>
        <w:t xml:space="preserve">the allocations of the corresponding items for Capital Account purposes under this </w:t>
      </w:r>
      <w:r>
        <w:rPr>
          <w:rFonts w:ascii="Arial" w:cs="Arial" w:eastAsia="Arial" w:hAnsi="Arial"/>
          <w:sz w:val="22"/>
          <w:szCs w:val="22"/>
          <w:u w:val="single" w:color="auto"/>
          <w:color w:val="auto"/>
        </w:rPr>
        <w:t>Section 4.06</w:t>
      </w:r>
      <w:r>
        <w:rPr>
          <w:rFonts w:ascii="Arial" w:cs="Arial" w:eastAsia="Arial" w:hAnsi="Arial"/>
          <w:sz w:val="22"/>
          <w:szCs w:val="22"/>
          <w:color w:val="auto"/>
        </w:rPr>
        <w:t>, except that items with respect to which there is a difference between tax and book basis will be allocated in accordance with Section 704(c) of the Code, the Treasury Regulations thereunder, and Treasury Regulations Section 1.704-1(b)(4)(i), using the “remedial allocation” set forth in Treasury Regulations Section 1.704-3(d) (and if applicable similar provisions of state and local Law), unless the Members otherwise agree.</w:t>
      </w:r>
    </w:p>
    <w:p>
      <w:pPr>
        <w:spacing w:after="0" w:line="188" w:lineRule="exact"/>
        <w:rPr>
          <w:sz w:val="20"/>
          <w:szCs w:val="20"/>
          <w:color w:val="auto"/>
        </w:rPr>
      </w:pPr>
    </w:p>
    <w:p>
      <w:pPr>
        <w:ind w:firstLine="404"/>
        <w:spacing w:after="0" w:line="238" w:lineRule="auto"/>
        <w:tabs>
          <w:tab w:leader="none" w:pos="702" w:val="left"/>
        </w:tabs>
        <w:numPr>
          <w:ilvl w:val="0"/>
          <w:numId w:val="59"/>
        </w:numPr>
        <w:rPr>
          <w:rFonts w:ascii="Arial" w:cs="Arial" w:eastAsia="Arial" w:hAnsi="Arial"/>
          <w:sz w:val="22"/>
          <w:szCs w:val="22"/>
          <w:color w:val="auto"/>
        </w:rPr>
      </w:pPr>
      <w:r>
        <w:rPr>
          <w:rFonts w:ascii="Arial" w:cs="Arial" w:eastAsia="Arial" w:hAnsi="Arial"/>
          <w:sz w:val="22"/>
          <w:szCs w:val="22"/>
          <w:color w:val="auto"/>
        </w:rPr>
        <w:t>All decisions and other matters concerning the allocation of income, deductions, gains and losses among the Members, and accounting procedures, not specifically and expressly provided for by the terms of this Agreement, shall be determined by the Board in its sole discretion. Such determination made by the Board shall, absent manifest error, be final and conclusive as to all Members.</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ARTICLE V</w:t>
      </w:r>
    </w:p>
    <w:p>
      <w:pPr>
        <w:spacing w:after="0" w:line="233" w:lineRule="exact"/>
        <w:rPr>
          <w:sz w:val="20"/>
          <w:szCs w:val="20"/>
          <w:color w:val="auto"/>
        </w:rPr>
      </w:pPr>
    </w:p>
    <w:p>
      <w:pPr>
        <w:jc w:val="center"/>
        <w:ind w:right="-79"/>
        <w:spacing w:after="0"/>
        <w:rPr>
          <w:sz w:val="20"/>
          <w:szCs w:val="20"/>
          <w:color w:val="auto"/>
        </w:rPr>
      </w:pPr>
      <w:r>
        <w:rPr>
          <w:rFonts w:ascii="Arial" w:cs="Arial" w:eastAsia="Arial" w:hAnsi="Arial"/>
          <w:sz w:val="22"/>
          <w:szCs w:val="22"/>
          <w:u w:val="single" w:color="auto"/>
          <w:color w:val="auto"/>
        </w:rPr>
        <w:t>MANAGEMENT</w:t>
      </w:r>
    </w:p>
    <w:p>
      <w:pPr>
        <w:spacing w:after="0" w:line="206" w:lineRule="exact"/>
        <w:rPr>
          <w:sz w:val="20"/>
          <w:szCs w:val="20"/>
          <w:color w:val="auto"/>
        </w:rPr>
      </w:pPr>
    </w:p>
    <w:p>
      <w:pPr>
        <w:ind w:right="20" w:firstLine="396"/>
        <w:spacing w:after="0" w:line="245" w:lineRule="auto"/>
        <w:rPr>
          <w:sz w:val="20"/>
          <w:szCs w:val="20"/>
          <w:color w:val="auto"/>
        </w:rPr>
      </w:pPr>
      <w:r>
        <w:rPr>
          <w:rFonts w:ascii="Arial" w:cs="Arial" w:eastAsia="Arial" w:hAnsi="Arial"/>
          <w:sz w:val="21"/>
          <w:szCs w:val="21"/>
          <w:color w:val="auto"/>
        </w:rPr>
        <w:t xml:space="preserve">Section 5.01. </w:t>
      </w:r>
      <w:r>
        <w:rPr>
          <w:rFonts w:ascii="Arial" w:cs="Arial" w:eastAsia="Arial" w:hAnsi="Arial"/>
          <w:sz w:val="21"/>
          <w:szCs w:val="21"/>
          <w:u w:val="single" w:color="auto"/>
          <w:color w:val="auto"/>
        </w:rPr>
        <w:t>Board of Managers</w:t>
      </w:r>
      <w:r>
        <w:rPr>
          <w:rFonts w:ascii="Arial" w:cs="Arial" w:eastAsia="Arial" w:hAnsi="Arial"/>
          <w:sz w:val="21"/>
          <w:szCs w:val="21"/>
          <w:color w:val="auto"/>
        </w:rPr>
        <w:t>. (a) The business and affairs of the Company shall be managed by the Members acting through their respective representatives on the Board of Managers (the “</w:t>
      </w:r>
      <w:r>
        <w:rPr>
          <w:rFonts w:ascii="Arial" w:cs="Arial" w:eastAsia="Arial" w:hAnsi="Arial"/>
          <w:sz w:val="21"/>
          <w:szCs w:val="21"/>
          <w:u w:val="single" w:color="auto"/>
          <w:color w:val="auto"/>
        </w:rPr>
        <w:t>Board</w:t>
      </w:r>
      <w:r>
        <w:rPr>
          <w:rFonts w:ascii="Arial" w:cs="Arial" w:eastAsia="Arial" w:hAnsi="Arial"/>
          <w:sz w:val="21"/>
          <w:szCs w:val="21"/>
          <w:color w:val="auto"/>
        </w:rPr>
        <w:t>”). Except as otherwise provided by this Agreement, the Board shall have the full and exclusive right, power and authority to oversee the Company, to manage its business and affairs and to do all such lawful acts that are not, by the Act, the Certificate of Formation or this Agreement directed or required to be exercised or done by the Members, and in so doing the Board shall have the right and authority to take all actions which the Board deems necessary, useful or appropriate for the management and conduct of the business of the Company. No Member or Manager (acting individually) shall have the authority to manage the business and affairs of the Company or contract for or incur on behalf of the Company any debts, liabilities or other obligations or bind the Company, except as expressly permitted by this Agreement or required by the Act.</w:t>
      </w:r>
    </w:p>
    <w:p>
      <w:pPr>
        <w:spacing w:after="0" w:line="77" w:lineRule="exact"/>
        <w:rPr>
          <w:sz w:val="20"/>
          <w:szCs w:val="20"/>
          <w:color w:val="auto"/>
        </w:rPr>
      </w:pPr>
    </w:p>
    <w:p>
      <w:pPr>
        <w:ind w:right="40" w:firstLine="404"/>
        <w:spacing w:after="0" w:line="249" w:lineRule="auto"/>
        <w:tabs>
          <w:tab w:leader="none" w:pos="702" w:val="left"/>
        </w:tabs>
        <w:numPr>
          <w:ilvl w:val="0"/>
          <w:numId w:val="60"/>
        </w:numPr>
        <w:rPr>
          <w:rFonts w:ascii="Arial" w:cs="Arial" w:eastAsia="Arial" w:hAnsi="Arial"/>
          <w:sz w:val="21"/>
          <w:szCs w:val="21"/>
          <w:color w:val="auto"/>
        </w:rPr>
      </w:pPr>
      <w:r>
        <w:rPr>
          <w:rFonts w:ascii="Arial" w:cs="Arial" w:eastAsia="Arial" w:hAnsi="Arial"/>
          <w:sz w:val="21"/>
          <w:szCs w:val="21"/>
          <w:color w:val="auto"/>
        </w:rPr>
        <w:t>The Board shall consist of four (4) individuals (each, a “</w:t>
      </w:r>
      <w:r>
        <w:rPr>
          <w:rFonts w:ascii="Arial" w:cs="Arial" w:eastAsia="Arial" w:hAnsi="Arial"/>
          <w:sz w:val="21"/>
          <w:szCs w:val="21"/>
          <w:u w:val="single" w:color="auto"/>
          <w:color w:val="auto"/>
        </w:rPr>
        <w:t>Manager</w:t>
      </w:r>
      <w:r>
        <w:rPr>
          <w:rFonts w:ascii="Arial" w:cs="Arial" w:eastAsia="Arial" w:hAnsi="Arial"/>
          <w:sz w:val="21"/>
          <w:szCs w:val="21"/>
          <w:color w:val="auto"/>
        </w:rPr>
        <w:t>”), unless a different number is unanimously approved by the Board, three (3) of whom shall be designated from time to time by Albany (each Manager designated by Albany, an “</w:t>
      </w:r>
      <w:r>
        <w:rPr>
          <w:rFonts w:ascii="Arial" w:cs="Arial" w:eastAsia="Arial" w:hAnsi="Arial"/>
          <w:sz w:val="21"/>
          <w:szCs w:val="21"/>
          <w:u w:val="single" w:color="auto"/>
          <w:color w:val="auto"/>
        </w:rPr>
        <w:t>Albany</w:t>
      </w:r>
      <w:r>
        <w:rPr>
          <w:rFonts w:ascii="Arial" w:cs="Arial" w:eastAsia="Arial" w:hAnsi="Arial"/>
          <w:sz w:val="21"/>
          <w:szCs w:val="21"/>
          <w:color w:val="auto"/>
        </w:rPr>
        <w:t xml:space="preserve"> </w:t>
      </w:r>
      <w:r>
        <w:rPr>
          <w:rFonts w:ascii="Arial" w:cs="Arial" w:eastAsia="Arial" w:hAnsi="Arial"/>
          <w:sz w:val="21"/>
          <w:szCs w:val="21"/>
          <w:u w:val="single" w:color="auto"/>
          <w:color w:val="auto"/>
        </w:rPr>
        <w:t>Manager</w:t>
      </w:r>
      <w:r>
        <w:rPr>
          <w:rFonts w:ascii="Arial" w:cs="Arial" w:eastAsia="Arial" w:hAnsi="Arial"/>
          <w:sz w:val="21"/>
          <w:szCs w:val="21"/>
          <w:color w:val="auto"/>
        </w:rPr>
        <w:t>”) and one (1) of whom shall be designated from time to time by Safran (the Manager designated by Safran, the “</w:t>
      </w:r>
      <w:r>
        <w:rPr>
          <w:rFonts w:ascii="Arial" w:cs="Arial" w:eastAsia="Arial" w:hAnsi="Arial"/>
          <w:sz w:val="21"/>
          <w:szCs w:val="21"/>
          <w:u w:val="single" w:color="auto"/>
          <w:color w:val="auto"/>
        </w:rPr>
        <w:t>Safran</w:t>
      </w:r>
      <w:r>
        <w:rPr>
          <w:rFonts w:ascii="Arial" w:cs="Arial" w:eastAsia="Arial" w:hAnsi="Arial"/>
          <w:sz w:val="21"/>
          <w:szCs w:val="21"/>
          <w:color w:val="auto"/>
        </w:rPr>
        <w:t xml:space="preserve"> </w:t>
      </w:r>
      <w:r>
        <w:rPr>
          <w:rFonts w:ascii="Arial" w:cs="Arial" w:eastAsia="Arial" w:hAnsi="Arial"/>
          <w:sz w:val="21"/>
          <w:szCs w:val="21"/>
          <w:u w:val="single" w:color="auto"/>
          <w:color w:val="auto"/>
        </w:rPr>
        <w:t>Manager</w:t>
      </w:r>
      <w:r>
        <w:rPr>
          <w:rFonts w:ascii="Arial" w:cs="Arial" w:eastAsia="Arial" w:hAnsi="Arial"/>
          <w:sz w:val="21"/>
          <w:szCs w:val="21"/>
          <w:color w:val="auto"/>
        </w:rPr>
        <w:t>”). Albany hereby designates Joseph G. Morone, Ralph Polumbo and Charles J. Silva as the initial Albany Managers. Safran hereby designates Jean-Jacques Orsini as the initial Safran Manager.</w:t>
      </w:r>
    </w:p>
    <w:p>
      <w:pPr>
        <w:spacing w:after="0" w:line="70" w:lineRule="exact"/>
        <w:rPr>
          <w:rFonts w:ascii="Arial" w:cs="Arial" w:eastAsia="Arial" w:hAnsi="Arial"/>
          <w:sz w:val="21"/>
          <w:szCs w:val="21"/>
          <w:color w:val="auto"/>
        </w:rPr>
      </w:pPr>
    </w:p>
    <w:p>
      <w:pPr>
        <w:ind w:left="700" w:hanging="296"/>
        <w:spacing w:after="0"/>
        <w:tabs>
          <w:tab w:leader="none" w:pos="700" w:val="left"/>
        </w:tabs>
        <w:numPr>
          <w:ilvl w:val="0"/>
          <w:numId w:val="60"/>
        </w:numPr>
        <w:rPr>
          <w:rFonts w:ascii="Arial" w:cs="Arial" w:eastAsia="Arial" w:hAnsi="Arial"/>
          <w:sz w:val="21"/>
          <w:szCs w:val="21"/>
          <w:color w:val="auto"/>
        </w:rPr>
      </w:pPr>
      <w:r>
        <w:rPr>
          <w:rFonts w:ascii="Arial" w:cs="Arial" w:eastAsia="Arial" w:hAnsi="Arial"/>
          <w:sz w:val="21"/>
          <w:szCs w:val="21"/>
          <w:color w:val="auto"/>
        </w:rPr>
        <w:t>Each Manager shall be entitled to one (1) vote in all matters submitted to the Board for a vote. Except as otherwise</w:t>
      </w:r>
    </w:p>
    <w:p>
      <w:pPr>
        <w:spacing w:after="0" w:line="19" w:lineRule="exact"/>
        <w:rPr>
          <w:rFonts w:ascii="Arial" w:cs="Arial" w:eastAsia="Arial" w:hAnsi="Arial"/>
          <w:sz w:val="21"/>
          <w:szCs w:val="21"/>
          <w:color w:val="auto"/>
        </w:rPr>
      </w:pPr>
    </w:p>
    <w:p>
      <w:pPr>
        <w:ind w:right="60"/>
        <w:spacing w:after="0" w:line="237" w:lineRule="auto"/>
        <w:rPr>
          <w:rFonts w:ascii="Arial" w:cs="Arial" w:eastAsia="Arial" w:hAnsi="Arial"/>
          <w:sz w:val="21"/>
          <w:szCs w:val="21"/>
          <w:color w:val="auto"/>
        </w:rPr>
      </w:pPr>
      <w:r>
        <w:rPr>
          <w:rFonts w:ascii="Arial" w:cs="Arial" w:eastAsia="Arial" w:hAnsi="Arial"/>
          <w:sz w:val="22"/>
          <w:szCs w:val="22"/>
          <w:color w:val="auto"/>
        </w:rPr>
        <w:t xml:space="preserve">specified in this Agreement, including </w:t>
      </w:r>
      <w:r>
        <w:rPr>
          <w:rFonts w:ascii="Arial" w:cs="Arial" w:eastAsia="Arial" w:hAnsi="Arial"/>
          <w:sz w:val="22"/>
          <w:szCs w:val="22"/>
          <w:u w:val="single" w:color="auto"/>
          <w:color w:val="auto"/>
        </w:rPr>
        <w:t>Section 5.02</w:t>
      </w:r>
      <w:r>
        <w:rPr>
          <w:rFonts w:ascii="Arial" w:cs="Arial" w:eastAsia="Arial" w:hAnsi="Arial"/>
          <w:sz w:val="22"/>
          <w:szCs w:val="22"/>
          <w:color w:val="auto"/>
        </w:rPr>
        <w:t>, decisions and actions of the Board shall require approval by a simple majority of Manager votes present at a meeting at which a quorum is present.</w:t>
      </w:r>
    </w:p>
    <w:p>
      <w:pPr>
        <w:spacing w:after="0" w:line="76" w:lineRule="exact"/>
        <w:rPr>
          <w:rFonts w:ascii="Arial" w:cs="Arial" w:eastAsia="Arial" w:hAnsi="Arial"/>
          <w:sz w:val="21"/>
          <w:szCs w:val="21"/>
          <w:color w:val="auto"/>
        </w:rPr>
      </w:pPr>
    </w:p>
    <w:p>
      <w:pPr>
        <w:ind w:right="260" w:firstLine="404"/>
        <w:spacing w:after="0" w:line="297" w:lineRule="auto"/>
        <w:tabs>
          <w:tab w:leader="none" w:pos="702" w:val="left"/>
        </w:tabs>
        <w:numPr>
          <w:ilvl w:val="0"/>
          <w:numId w:val="60"/>
        </w:numPr>
        <w:rPr>
          <w:rFonts w:ascii="Arial" w:cs="Arial" w:eastAsia="Arial" w:hAnsi="Arial"/>
          <w:sz w:val="19"/>
          <w:szCs w:val="19"/>
          <w:color w:val="auto"/>
        </w:rPr>
      </w:pPr>
      <w:r>
        <w:rPr>
          <w:rFonts w:ascii="Arial" w:cs="Arial" w:eastAsia="Arial" w:hAnsi="Arial"/>
          <w:sz w:val="19"/>
          <w:szCs w:val="19"/>
          <w:color w:val="auto"/>
        </w:rPr>
        <w:t>Any Manager may resign as such at any time upon written notice to the Company. Such resignation shall be made in writing and shall take effect at the time specified therein or, if no time is specified therein, at the time of its receipt by the Board. The acceptance of a resignation shall not be necessary to make it effective, unless expressly so provided in the resignation.</w:t>
      </w:r>
    </w:p>
    <w:p>
      <w:pPr>
        <w:spacing w:after="0" w:line="3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60"/>
          </w:cols>
          <w:pgMar w:left="240" w:top="928" w:right="299" w:bottom="1440" w:gutter="0" w:footer="0" w:header="0"/>
        </w:sectPr>
      </w:pPr>
    </w:p>
    <w:bookmarkStart w:id="134" w:name="page135"/>
    <w:bookmarkEnd w:id="134"/>
    <w:p>
      <w:pPr>
        <w:ind w:right="40" w:firstLine="404"/>
        <w:spacing w:after="0" w:line="277" w:lineRule="auto"/>
        <w:tabs>
          <w:tab w:leader="none" w:pos="690" w:val="left"/>
        </w:tabs>
        <w:numPr>
          <w:ilvl w:val="0"/>
          <w:numId w:val="61"/>
        </w:numPr>
        <w:rPr>
          <w:rFonts w:ascii="Arial" w:cs="Arial" w:eastAsia="Arial" w:hAnsi="Arial"/>
          <w:sz w:val="19"/>
          <w:szCs w:val="19"/>
          <w:color w:val="auto"/>
        </w:rPr>
      </w:pPr>
      <w:r>
        <w:rPr>
          <w:rFonts w:ascii="Arial" w:cs="Arial" w:eastAsia="Arial" w:hAnsi="Arial"/>
          <w:sz w:val="19"/>
          <w:szCs w:val="19"/>
          <w:color w:val="auto"/>
        </w:rPr>
        <w:t xml:space="preserve">Each Manager shall hold office until his or her successor is designated, or until his or her death, resignation or removal. Any Manager may be removed, with or without cause, at any time by the Member who designated such Manager and in no other circumstances;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Manager may be removed by the Board of Managers for Cause. The applicable Member may designate a new Manager to fill any vacancy created by any resignation, death or removal of any Manager designated by such Member. In connection with each designation or removal of a Manager, the Member making such designation or removal shall give notice to the Company and the other Members. Any such removal or designation shall be effective as of the date such notice is given to the Members or any other later date specified in such notice.</w:t>
      </w:r>
    </w:p>
    <w:p>
      <w:pPr>
        <w:spacing w:after="0" w:line="44" w:lineRule="exact"/>
        <w:rPr>
          <w:rFonts w:ascii="Arial" w:cs="Arial" w:eastAsia="Arial" w:hAnsi="Arial"/>
          <w:sz w:val="19"/>
          <w:szCs w:val="19"/>
          <w:color w:val="auto"/>
        </w:rPr>
      </w:pPr>
    </w:p>
    <w:p>
      <w:pPr>
        <w:ind w:right="360" w:firstLine="404"/>
        <w:spacing w:after="0" w:line="252" w:lineRule="auto"/>
        <w:tabs>
          <w:tab w:leader="none" w:pos="666" w:val="left"/>
        </w:tabs>
        <w:numPr>
          <w:ilvl w:val="0"/>
          <w:numId w:val="61"/>
        </w:numPr>
        <w:rPr>
          <w:rFonts w:ascii="Arial" w:cs="Arial" w:eastAsia="Arial" w:hAnsi="Arial"/>
          <w:sz w:val="21"/>
          <w:szCs w:val="21"/>
          <w:color w:val="auto"/>
        </w:rPr>
      </w:pPr>
      <w:r>
        <w:rPr>
          <w:rFonts w:ascii="Arial" w:cs="Arial" w:eastAsia="Arial" w:hAnsi="Arial"/>
          <w:sz w:val="21"/>
          <w:szCs w:val="21"/>
          <w:color w:val="auto"/>
        </w:rPr>
        <w:t>The Company or the applicable Subsidiary of the Company, as the case may be, shall reimburse each Manager for all reasonable out-of-pocket expenses incurred by such Manager in connection with his or her attendance at meetings of the Board, any committees thereof, or the board of directors or similar governing body of any of the Company’s Subsidiaries or any committees thereof, including reasonable travel, lodging and meal expenses.</w:t>
      </w:r>
    </w:p>
    <w:p>
      <w:pPr>
        <w:spacing w:after="0" w:line="66" w:lineRule="exact"/>
        <w:rPr>
          <w:rFonts w:ascii="Arial" w:cs="Arial" w:eastAsia="Arial" w:hAnsi="Arial"/>
          <w:sz w:val="21"/>
          <w:szCs w:val="21"/>
          <w:color w:val="auto"/>
        </w:rPr>
      </w:pPr>
    </w:p>
    <w:p>
      <w:pPr>
        <w:ind w:right="200" w:firstLine="404"/>
        <w:spacing w:after="0"/>
        <w:tabs>
          <w:tab w:leader="none" w:pos="702" w:val="left"/>
        </w:tabs>
        <w:numPr>
          <w:ilvl w:val="0"/>
          <w:numId w:val="61"/>
        </w:numPr>
        <w:rPr>
          <w:rFonts w:ascii="Arial" w:cs="Arial" w:eastAsia="Arial" w:hAnsi="Arial"/>
          <w:sz w:val="22"/>
          <w:szCs w:val="22"/>
          <w:color w:val="auto"/>
        </w:rPr>
      </w:pPr>
      <w:r>
        <w:rPr>
          <w:rFonts w:ascii="Arial" w:cs="Arial" w:eastAsia="Arial" w:hAnsi="Arial"/>
          <w:sz w:val="22"/>
          <w:szCs w:val="22"/>
          <w:color w:val="auto"/>
        </w:rPr>
        <w:t>The Company and its Subsidiaries shall obtain customary director and officer indemnity insurance on commercially reasonable terms, which insurance shall cover each Manager and the members of the board of directors or similar governing body of each Subsidiary of the Company.</w:t>
      </w:r>
    </w:p>
    <w:p>
      <w:pPr>
        <w:spacing w:after="0" w:line="78" w:lineRule="exact"/>
        <w:rPr>
          <w:rFonts w:ascii="Arial" w:cs="Arial" w:eastAsia="Arial" w:hAnsi="Arial"/>
          <w:sz w:val="22"/>
          <w:szCs w:val="22"/>
          <w:color w:val="auto"/>
        </w:rPr>
      </w:pPr>
    </w:p>
    <w:p>
      <w:pPr>
        <w:ind w:firstLine="404"/>
        <w:spacing w:after="0" w:line="275" w:lineRule="auto"/>
        <w:tabs>
          <w:tab w:leader="none" w:pos="702" w:val="left"/>
        </w:tabs>
        <w:numPr>
          <w:ilvl w:val="0"/>
          <w:numId w:val="61"/>
        </w:numPr>
        <w:rPr>
          <w:rFonts w:ascii="Arial" w:cs="Arial" w:eastAsia="Arial" w:hAnsi="Arial"/>
          <w:sz w:val="19"/>
          <w:szCs w:val="19"/>
          <w:color w:val="auto"/>
        </w:rPr>
      </w:pPr>
      <w:r>
        <w:rPr>
          <w:rFonts w:ascii="Arial" w:cs="Arial" w:eastAsia="Arial" w:hAnsi="Arial"/>
          <w:sz w:val="19"/>
          <w:szCs w:val="19"/>
          <w:color w:val="auto"/>
        </w:rPr>
        <w:t xml:space="preserve">Each Manager shall inform the Board promptly upon learning of any threatened or pending lawsuit, administrative proceeding or review against the Company or any Manager or officer (in their capacities as such) of the Company or to which any of the assets of the Company is subject, or relating to the transactions contemplated by this Agreement or the consummation thereof, in each case that could reasonably be expected to have a material adverse effect upon the Company and its Subsidiaries, taken as a whole;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Manager shall not be required to so inform the Board where doing so would waive attorney-client privilege or contravene any Law or any contract entered into prior to the Agreement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such Manager and, if applicable, the Member that shall have designated such Manager, shall use commercially reasonable efforts, including by entering into a joint defense or common interest agreement, to permit such Manager to so inform the Board without loss of such privilege or contravention of such Law or contract.</w:t>
      </w:r>
    </w:p>
    <w:p>
      <w:pPr>
        <w:spacing w:after="0" w:line="293" w:lineRule="exact"/>
        <w:rPr>
          <w:sz w:val="20"/>
          <w:szCs w:val="20"/>
          <w:color w:val="auto"/>
        </w:rPr>
      </w:pPr>
    </w:p>
    <w:p>
      <w:pPr>
        <w:ind w:firstLine="396"/>
        <w:spacing w:after="0" w:line="287" w:lineRule="auto"/>
        <w:rPr>
          <w:sz w:val="20"/>
          <w:szCs w:val="20"/>
          <w:color w:val="auto"/>
        </w:rPr>
      </w:pPr>
      <w:r>
        <w:rPr>
          <w:rFonts w:ascii="Arial" w:cs="Arial" w:eastAsia="Arial" w:hAnsi="Arial"/>
          <w:sz w:val="19"/>
          <w:szCs w:val="19"/>
          <w:color w:val="auto"/>
        </w:rPr>
        <w:t xml:space="preserve">Section 5.02. </w:t>
      </w:r>
      <w:r>
        <w:rPr>
          <w:rFonts w:ascii="Arial" w:cs="Arial" w:eastAsia="Arial" w:hAnsi="Arial"/>
          <w:sz w:val="19"/>
          <w:szCs w:val="19"/>
          <w:u w:val="single" w:color="auto"/>
          <w:color w:val="auto"/>
        </w:rPr>
        <w:t>Certain Matters Requiring Safran Manager Approval</w:t>
      </w:r>
      <w:r>
        <w:rPr>
          <w:rFonts w:ascii="Arial" w:cs="Arial" w:eastAsia="Arial" w:hAnsi="Arial"/>
          <w:sz w:val="19"/>
          <w:szCs w:val="19"/>
          <w:color w:val="auto"/>
        </w:rPr>
        <w:t xml:space="preserve">. So long as Safran or any of its Affiliates shall be a Member of the Company, the Company shall not take or commit to take, and shall not cause or permit any of its Subsidiaries to take or commit to take, directly or indirectly, any of the following actions without the approval of the Safran Manager (such approval not to be unreasonably withheld, conditioned or delayed in the case of the matters described in </w:t>
      </w:r>
      <w:r>
        <w:rPr>
          <w:rFonts w:ascii="Arial" w:cs="Arial" w:eastAsia="Arial" w:hAnsi="Arial"/>
          <w:sz w:val="19"/>
          <w:szCs w:val="19"/>
          <w:u w:val="single" w:color="auto"/>
          <w:color w:val="auto"/>
        </w:rPr>
        <w:t>Section 5.02(i)</w:t>
      </w:r>
      <w:r>
        <w:rPr>
          <w:rFonts w:ascii="Arial" w:cs="Arial" w:eastAsia="Arial" w:hAnsi="Arial"/>
          <w:sz w:val="19"/>
          <w:szCs w:val="19"/>
          <w:color w:val="auto"/>
        </w:rPr>
        <w:t>):</w:t>
      </w:r>
    </w:p>
    <w:p>
      <w:pPr>
        <w:spacing w:after="0" w:line="35" w:lineRule="exact"/>
        <w:rPr>
          <w:sz w:val="20"/>
          <w:szCs w:val="20"/>
          <w:color w:val="auto"/>
        </w:rPr>
      </w:pPr>
    </w:p>
    <w:p>
      <w:pPr>
        <w:ind w:left="700" w:hanging="296"/>
        <w:spacing w:after="0"/>
        <w:tabs>
          <w:tab w:leader="none" w:pos="700" w:val="left"/>
        </w:tabs>
        <w:numPr>
          <w:ilvl w:val="0"/>
          <w:numId w:val="62"/>
        </w:numPr>
        <w:rPr>
          <w:rFonts w:ascii="Arial" w:cs="Arial" w:eastAsia="Arial" w:hAnsi="Arial"/>
          <w:sz w:val="22"/>
          <w:szCs w:val="22"/>
          <w:color w:val="auto"/>
        </w:rPr>
      </w:pPr>
      <w:r>
        <w:rPr>
          <w:rFonts w:ascii="Arial" w:cs="Arial" w:eastAsia="Arial" w:hAnsi="Arial"/>
          <w:sz w:val="22"/>
          <w:szCs w:val="22"/>
          <w:color w:val="auto"/>
        </w:rPr>
        <w:t>enter into any Material Transaction;</w:t>
      </w:r>
    </w:p>
    <w:p>
      <w:pPr>
        <w:spacing w:after="0" w:line="98" w:lineRule="exact"/>
        <w:rPr>
          <w:rFonts w:ascii="Arial" w:cs="Arial" w:eastAsia="Arial" w:hAnsi="Arial"/>
          <w:sz w:val="22"/>
          <w:szCs w:val="22"/>
          <w:color w:val="auto"/>
        </w:rPr>
      </w:pPr>
    </w:p>
    <w:p>
      <w:pPr>
        <w:jc w:val="both"/>
        <w:ind w:right="460" w:firstLine="404"/>
        <w:spacing w:after="0" w:line="297" w:lineRule="auto"/>
        <w:tabs>
          <w:tab w:leader="none" w:pos="702" w:val="left"/>
        </w:tabs>
        <w:numPr>
          <w:ilvl w:val="0"/>
          <w:numId w:val="62"/>
        </w:numPr>
        <w:rPr>
          <w:rFonts w:ascii="Arial" w:cs="Arial" w:eastAsia="Arial" w:hAnsi="Arial"/>
          <w:sz w:val="19"/>
          <w:szCs w:val="19"/>
          <w:color w:val="auto"/>
        </w:rPr>
      </w:pPr>
      <w:r>
        <w:rPr>
          <w:rFonts w:ascii="Arial" w:cs="Arial" w:eastAsia="Arial" w:hAnsi="Arial"/>
          <w:sz w:val="19"/>
          <w:szCs w:val="19"/>
          <w:color w:val="auto"/>
        </w:rPr>
        <w:t xml:space="preserve">enter into any sale of all or substantially all of the assets of the Company and its Subsidiaries (taken as a whole) or any merger, reorganization or consolidation of the Company with or into any Person other than the Company or any wholly owned Subsidiary of the Company (it being understood that this </w:t>
      </w:r>
      <w:r>
        <w:rPr>
          <w:rFonts w:ascii="Arial" w:cs="Arial" w:eastAsia="Arial" w:hAnsi="Arial"/>
          <w:sz w:val="19"/>
          <w:szCs w:val="19"/>
          <w:u w:val="single" w:color="auto"/>
          <w:color w:val="auto"/>
        </w:rPr>
        <w:t>Section 5.02(b)</w:t>
      </w:r>
      <w:r>
        <w:rPr>
          <w:rFonts w:ascii="Arial" w:cs="Arial" w:eastAsia="Arial" w:hAnsi="Arial"/>
          <w:sz w:val="19"/>
          <w:szCs w:val="19"/>
          <w:color w:val="auto"/>
        </w:rPr>
        <w:t xml:space="preserve"> shall not require Albany, Albany</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712" w:right="239" w:bottom="1440" w:gutter="0" w:footer="0" w:header="0"/>
        </w:sectPr>
      </w:pPr>
    </w:p>
    <w:bookmarkStart w:id="135" w:name="page136"/>
    <w:bookmarkEnd w:id="135"/>
    <w:p>
      <w:pPr>
        <w:ind w:right="120"/>
        <w:spacing w:after="0" w:line="251" w:lineRule="auto"/>
        <w:rPr>
          <w:sz w:val="20"/>
          <w:szCs w:val="20"/>
          <w:color w:val="auto"/>
        </w:rPr>
      </w:pPr>
      <w:r>
        <w:rPr>
          <w:rFonts w:ascii="Arial" w:cs="Arial" w:eastAsia="Arial" w:hAnsi="Arial"/>
          <w:sz w:val="22"/>
          <w:szCs w:val="22"/>
          <w:color w:val="auto"/>
        </w:rPr>
        <w:t xml:space="preserve">International or any of their respective Affiliates to obtain the approval of the Safran Manager, Safran S.A. or Safran in connection with any event described in </w:t>
      </w:r>
      <w:r>
        <w:rPr>
          <w:rFonts w:ascii="Arial" w:cs="Arial" w:eastAsia="Arial" w:hAnsi="Arial"/>
          <w:sz w:val="22"/>
          <w:szCs w:val="22"/>
          <w:u w:val="single" w:color="auto"/>
          <w:color w:val="auto"/>
        </w:rPr>
        <w:t>Section 7.05(a)(i)</w:t>
      </w:r>
      <w:r>
        <w:rPr>
          <w:rFonts w:ascii="Arial" w:cs="Arial" w:eastAsia="Arial" w:hAnsi="Arial"/>
          <w:sz w:val="22"/>
          <w:szCs w:val="22"/>
          <w:color w:val="auto"/>
        </w:rPr>
        <w:t>);</w:t>
      </w:r>
    </w:p>
    <w:p>
      <w:pPr>
        <w:spacing w:after="0" w:line="173" w:lineRule="exact"/>
        <w:rPr>
          <w:sz w:val="20"/>
          <w:szCs w:val="20"/>
          <w:color w:val="auto"/>
        </w:rPr>
      </w:pPr>
    </w:p>
    <w:p>
      <w:pPr>
        <w:ind w:right="40" w:firstLine="404"/>
        <w:spacing w:after="0"/>
        <w:tabs>
          <w:tab w:leader="none" w:pos="690" w:val="left"/>
        </w:tabs>
        <w:numPr>
          <w:ilvl w:val="0"/>
          <w:numId w:val="63"/>
        </w:numPr>
        <w:rPr>
          <w:rFonts w:ascii="Arial" w:cs="Arial" w:eastAsia="Arial" w:hAnsi="Arial"/>
          <w:sz w:val="22"/>
          <w:szCs w:val="22"/>
          <w:color w:val="auto"/>
        </w:rPr>
      </w:pPr>
      <w:r>
        <w:rPr>
          <w:rFonts w:ascii="Arial" w:cs="Arial" w:eastAsia="Arial" w:hAnsi="Arial"/>
          <w:sz w:val="22"/>
          <w:szCs w:val="22"/>
          <w:color w:val="auto"/>
        </w:rPr>
        <w:t xml:space="preserve">(i) admit any new Member to the Company (except pursuant to </w:t>
      </w:r>
      <w:r>
        <w:rPr>
          <w:rFonts w:ascii="Arial" w:cs="Arial" w:eastAsia="Arial" w:hAnsi="Arial"/>
          <w:sz w:val="22"/>
          <w:szCs w:val="22"/>
          <w:u w:val="single" w:color="auto"/>
          <w:color w:val="auto"/>
        </w:rPr>
        <w:t>Section 7.03</w:t>
      </w:r>
      <w:r>
        <w:rPr>
          <w:rFonts w:ascii="Arial" w:cs="Arial" w:eastAsia="Arial" w:hAnsi="Arial"/>
          <w:sz w:val="22"/>
          <w:szCs w:val="22"/>
          <w:color w:val="auto"/>
        </w:rPr>
        <w:t xml:space="preserve">), (ii) issue any new class of Membership Units pursuant to </w:t>
      </w:r>
      <w:r>
        <w:rPr>
          <w:rFonts w:ascii="Arial" w:cs="Arial" w:eastAsia="Arial" w:hAnsi="Arial"/>
          <w:sz w:val="22"/>
          <w:szCs w:val="22"/>
          <w:u w:val="single" w:color="auto"/>
          <w:color w:val="auto"/>
        </w:rPr>
        <w:t>Section 3.03</w:t>
      </w:r>
      <w:r>
        <w:rPr>
          <w:rFonts w:ascii="Arial" w:cs="Arial" w:eastAsia="Arial" w:hAnsi="Arial"/>
          <w:sz w:val="22"/>
          <w:szCs w:val="22"/>
          <w:color w:val="auto"/>
        </w:rPr>
        <w:t>, (iii) request Additional Capital Contributions from the Members, or (iv) split, subdivide, combine, or reclassify any Membership Units;</w:t>
      </w:r>
    </w:p>
    <w:p>
      <w:pPr>
        <w:spacing w:after="0" w:line="78" w:lineRule="exact"/>
        <w:rPr>
          <w:rFonts w:ascii="Arial" w:cs="Arial" w:eastAsia="Arial" w:hAnsi="Arial"/>
          <w:sz w:val="22"/>
          <w:szCs w:val="22"/>
          <w:color w:val="auto"/>
        </w:rPr>
      </w:pPr>
    </w:p>
    <w:p>
      <w:pPr>
        <w:ind w:right="80" w:firstLine="404"/>
        <w:spacing w:after="0" w:line="247" w:lineRule="auto"/>
        <w:tabs>
          <w:tab w:leader="none" w:pos="702" w:val="left"/>
        </w:tabs>
        <w:numPr>
          <w:ilvl w:val="0"/>
          <w:numId w:val="63"/>
        </w:numPr>
        <w:rPr>
          <w:rFonts w:ascii="Arial" w:cs="Arial" w:eastAsia="Arial" w:hAnsi="Arial"/>
          <w:sz w:val="21"/>
          <w:szCs w:val="21"/>
          <w:color w:val="auto"/>
        </w:rPr>
      </w:pPr>
      <w:r>
        <w:rPr>
          <w:rFonts w:ascii="Arial" w:cs="Arial" w:eastAsia="Arial" w:hAnsi="Arial"/>
          <w:sz w:val="21"/>
          <w:szCs w:val="21"/>
          <w:color w:val="auto"/>
        </w:rPr>
        <w:t xml:space="preserve">enter into, amend or terminate any agreement between the Company or any Subsidiary of the Company, on the one hand, and any Member or any Affiliate of any Member, on the other hand, including the Services Agreement and the Albany IPLA, other than agreements between the Company or any Subsidiary of the Company and Albany or any of its Affiliates that are of a type that Albany or Albany International enters into in the ordinary course of business with their respective Affiliates (it being understood that any agreement or arrangement that results in the sale, assignment or transfer of any material manufacturing or product development assets of the Company to any Member or Affiliate of any Member shall be deemed outside the ordinary course of business for purposes of this </w:t>
      </w:r>
      <w:r>
        <w:rPr>
          <w:rFonts w:ascii="Arial" w:cs="Arial" w:eastAsia="Arial" w:hAnsi="Arial"/>
          <w:sz w:val="21"/>
          <w:szCs w:val="21"/>
          <w:u w:val="single" w:color="auto"/>
          <w:color w:val="auto"/>
        </w:rPr>
        <w:t>Section 5.02(d)</w:t>
      </w:r>
      <w:r>
        <w:rPr>
          <w:rFonts w:ascii="Arial" w:cs="Arial" w:eastAsia="Arial" w:hAnsi="Arial"/>
          <w:sz w:val="21"/>
          <w:szCs w:val="21"/>
          <w:color w:val="auto"/>
        </w:rPr>
        <w:t>);</w:t>
      </w:r>
    </w:p>
    <w:p>
      <w:pPr>
        <w:spacing w:after="0" w:line="70" w:lineRule="exact"/>
        <w:rPr>
          <w:rFonts w:ascii="Arial" w:cs="Arial" w:eastAsia="Arial" w:hAnsi="Arial"/>
          <w:sz w:val="21"/>
          <w:szCs w:val="21"/>
          <w:color w:val="auto"/>
        </w:rPr>
      </w:pPr>
    </w:p>
    <w:p>
      <w:pPr>
        <w:ind w:right="140" w:firstLine="404"/>
        <w:spacing w:after="0" w:line="279" w:lineRule="auto"/>
        <w:tabs>
          <w:tab w:leader="none" w:pos="690" w:val="left"/>
        </w:tabs>
        <w:numPr>
          <w:ilvl w:val="0"/>
          <w:numId w:val="63"/>
        </w:numPr>
        <w:rPr>
          <w:rFonts w:ascii="Arial" w:cs="Arial" w:eastAsia="Arial" w:hAnsi="Arial"/>
          <w:sz w:val="19"/>
          <w:szCs w:val="19"/>
          <w:color w:val="auto"/>
        </w:rPr>
      </w:pPr>
      <w:r>
        <w:rPr>
          <w:rFonts w:ascii="Arial" w:cs="Arial" w:eastAsia="Arial" w:hAnsi="Arial"/>
          <w:sz w:val="19"/>
          <w:szCs w:val="19"/>
          <w:color w:val="auto"/>
        </w:rPr>
        <w:t>grant to any Person that is not the Company, a Subsidiary of the Company, a Member or an Affiliate of a Member, by sale, assignment, transfer, license or any other means, the right to use in the Agreed Space any Albany Technology that is licensed or assigned to the Company (or required to be licensed or assigned to the Company) or cause or permit a third party to utilize in the Agreed Space Albany Technology that is licensed or has been assigned to the Company (or required to be licensed or assigned to the Company), including any determination by the Board or the Company to not enforce the Company’s rights in the Company IP against infringement thereof by third parties within the Agreed Space of which the Albany Managers have actual knowledge;</w:t>
      </w:r>
    </w:p>
    <w:p>
      <w:pPr>
        <w:spacing w:after="0" w:line="42" w:lineRule="exact"/>
        <w:rPr>
          <w:rFonts w:ascii="Arial" w:cs="Arial" w:eastAsia="Arial" w:hAnsi="Arial"/>
          <w:sz w:val="19"/>
          <w:szCs w:val="19"/>
          <w:color w:val="auto"/>
        </w:rPr>
      </w:pPr>
    </w:p>
    <w:p>
      <w:pPr>
        <w:ind w:left="680" w:hanging="276"/>
        <w:spacing w:after="0"/>
        <w:tabs>
          <w:tab w:leader="none" w:pos="680" w:val="left"/>
        </w:tabs>
        <w:numPr>
          <w:ilvl w:val="0"/>
          <w:numId w:val="63"/>
        </w:numPr>
        <w:rPr>
          <w:rFonts w:ascii="Arial" w:cs="Arial" w:eastAsia="Arial" w:hAnsi="Arial"/>
          <w:sz w:val="22"/>
          <w:szCs w:val="22"/>
          <w:color w:val="auto"/>
        </w:rPr>
      </w:pPr>
      <w:r>
        <w:rPr>
          <w:rFonts w:ascii="Arial" w:cs="Arial" w:eastAsia="Arial" w:hAnsi="Arial"/>
          <w:sz w:val="22"/>
          <w:szCs w:val="22"/>
          <w:color w:val="auto"/>
        </w:rPr>
        <w:t>sell Advanced Composite 3D Parts to any Person other than Safran and its Affiliates;</w:t>
      </w:r>
    </w:p>
    <w:p>
      <w:pPr>
        <w:spacing w:after="0" w:line="98" w:lineRule="exact"/>
        <w:rPr>
          <w:rFonts w:ascii="Arial" w:cs="Arial" w:eastAsia="Arial" w:hAnsi="Arial"/>
          <w:sz w:val="22"/>
          <w:szCs w:val="22"/>
          <w:color w:val="auto"/>
        </w:rPr>
      </w:pPr>
    </w:p>
    <w:p>
      <w:pPr>
        <w:ind w:left="720" w:hanging="316"/>
        <w:spacing w:after="0"/>
        <w:tabs>
          <w:tab w:leader="none" w:pos="720" w:val="left"/>
        </w:tabs>
        <w:numPr>
          <w:ilvl w:val="0"/>
          <w:numId w:val="63"/>
        </w:numPr>
        <w:rPr>
          <w:rFonts w:ascii="Arial" w:cs="Arial" w:eastAsia="Arial" w:hAnsi="Arial"/>
          <w:sz w:val="22"/>
          <w:szCs w:val="22"/>
          <w:color w:val="auto"/>
        </w:rPr>
      </w:pPr>
      <w:r>
        <w:rPr>
          <w:rFonts w:ascii="Arial" w:cs="Arial" w:eastAsia="Arial" w:hAnsi="Arial"/>
          <w:sz w:val="22"/>
          <w:szCs w:val="22"/>
          <w:color w:val="auto"/>
        </w:rPr>
        <w:t>adopt a new Five Year Business Plan;</w:t>
      </w:r>
    </w:p>
    <w:p>
      <w:pPr>
        <w:spacing w:after="0" w:line="98" w:lineRule="exact"/>
        <w:rPr>
          <w:rFonts w:ascii="Arial" w:cs="Arial" w:eastAsia="Arial" w:hAnsi="Arial"/>
          <w:sz w:val="22"/>
          <w:szCs w:val="22"/>
          <w:color w:val="auto"/>
        </w:rPr>
      </w:pPr>
    </w:p>
    <w:p>
      <w:pPr>
        <w:ind w:left="720" w:hanging="316"/>
        <w:spacing w:after="0"/>
        <w:tabs>
          <w:tab w:leader="none" w:pos="720" w:val="left"/>
        </w:tabs>
        <w:numPr>
          <w:ilvl w:val="0"/>
          <w:numId w:val="63"/>
        </w:numPr>
        <w:rPr>
          <w:rFonts w:ascii="Arial" w:cs="Arial" w:eastAsia="Arial" w:hAnsi="Arial"/>
          <w:sz w:val="22"/>
          <w:szCs w:val="22"/>
          <w:color w:val="auto"/>
        </w:rPr>
      </w:pPr>
      <w:r>
        <w:rPr>
          <w:rFonts w:ascii="Arial" w:cs="Arial" w:eastAsia="Arial" w:hAnsi="Arial"/>
          <w:sz w:val="22"/>
          <w:szCs w:val="22"/>
          <w:color w:val="auto"/>
        </w:rPr>
        <w:t>enter into any future long term supply agreements for new Parts in the Agreed Space;</w:t>
      </w:r>
    </w:p>
    <w:p>
      <w:pPr>
        <w:spacing w:after="0" w:line="98" w:lineRule="exact"/>
        <w:rPr>
          <w:rFonts w:ascii="Arial" w:cs="Arial" w:eastAsia="Arial" w:hAnsi="Arial"/>
          <w:sz w:val="22"/>
          <w:szCs w:val="22"/>
          <w:color w:val="auto"/>
        </w:rPr>
      </w:pPr>
    </w:p>
    <w:p>
      <w:pPr>
        <w:ind w:right="200" w:firstLine="404"/>
        <w:spacing w:after="0" w:line="297" w:lineRule="auto"/>
        <w:tabs>
          <w:tab w:leader="none" w:pos="654" w:val="left"/>
        </w:tabs>
        <w:numPr>
          <w:ilvl w:val="0"/>
          <w:numId w:val="63"/>
        </w:numPr>
        <w:rPr>
          <w:rFonts w:ascii="Arial" w:cs="Arial" w:eastAsia="Arial" w:hAnsi="Arial"/>
          <w:sz w:val="19"/>
          <w:szCs w:val="19"/>
          <w:color w:val="auto"/>
        </w:rPr>
      </w:pPr>
      <w:r>
        <w:rPr>
          <w:rFonts w:ascii="Arial" w:cs="Arial" w:eastAsia="Arial" w:hAnsi="Arial"/>
          <w:sz w:val="19"/>
          <w:szCs w:val="19"/>
          <w:color w:val="auto"/>
        </w:rPr>
        <w:t>make any distribution or dividend of cash or other assets to the Members either (i) with a value in excess of the projected Excess Cash Flow for the next Fiscal Year or (ii) at a time when the aggregate amount of cash and cash equivalents and Permitted Investments on the balance sheet of the Company and its Subsidiaries is less than $20,000,000;</w:t>
      </w:r>
    </w:p>
    <w:p>
      <w:pPr>
        <w:spacing w:after="0" w:line="26" w:lineRule="exact"/>
        <w:rPr>
          <w:rFonts w:ascii="Arial" w:cs="Arial" w:eastAsia="Arial" w:hAnsi="Arial"/>
          <w:sz w:val="19"/>
          <w:szCs w:val="19"/>
          <w:color w:val="auto"/>
        </w:rPr>
      </w:pPr>
    </w:p>
    <w:p>
      <w:pPr>
        <w:ind w:firstLine="404"/>
        <w:spacing w:after="0"/>
        <w:tabs>
          <w:tab w:leader="none" w:pos="654" w:val="left"/>
        </w:tabs>
        <w:numPr>
          <w:ilvl w:val="0"/>
          <w:numId w:val="63"/>
        </w:numPr>
        <w:rPr>
          <w:rFonts w:ascii="Arial" w:cs="Arial" w:eastAsia="Arial" w:hAnsi="Arial"/>
          <w:sz w:val="22"/>
          <w:szCs w:val="22"/>
          <w:color w:val="auto"/>
        </w:rPr>
      </w:pPr>
      <w:r>
        <w:rPr>
          <w:rFonts w:ascii="Arial" w:cs="Arial" w:eastAsia="Arial" w:hAnsi="Arial"/>
          <w:sz w:val="22"/>
          <w:szCs w:val="22"/>
          <w:color w:val="auto"/>
        </w:rPr>
        <w:t xml:space="preserve">amend, modify or otherwise alter the Certificate of Formation, the Services Agreement, the Albany IPLA or this Agreement, including </w:t>
      </w:r>
      <w:r>
        <w:rPr>
          <w:rFonts w:ascii="Arial" w:cs="Arial" w:eastAsia="Arial" w:hAnsi="Arial"/>
          <w:sz w:val="22"/>
          <w:szCs w:val="22"/>
          <w:u w:val="single" w:color="auto"/>
          <w:color w:val="auto"/>
        </w:rPr>
        <w:t>Section 2.08</w:t>
      </w:r>
      <w:r>
        <w:rPr>
          <w:rFonts w:ascii="Arial" w:cs="Arial" w:eastAsia="Arial" w:hAnsi="Arial"/>
          <w:sz w:val="22"/>
          <w:szCs w:val="22"/>
          <w:color w:val="auto"/>
        </w:rPr>
        <w:t xml:space="preserve"> (Purpose of the Company), except as permitted by </w:t>
      </w:r>
      <w:r>
        <w:rPr>
          <w:rFonts w:ascii="Arial" w:cs="Arial" w:eastAsia="Arial" w:hAnsi="Arial"/>
          <w:sz w:val="22"/>
          <w:szCs w:val="22"/>
          <w:u w:val="single" w:color="auto"/>
          <w:color w:val="auto"/>
        </w:rPr>
        <w:t>Section 2.02(c)</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3.02(c)</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3.04</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7.01(c)</w:t>
      </w:r>
      <w:r>
        <w:rPr>
          <w:rFonts w:ascii="Arial" w:cs="Arial" w:eastAsia="Arial" w:hAnsi="Arial"/>
          <w:sz w:val="22"/>
          <w:szCs w:val="22"/>
          <w:color w:val="auto"/>
        </w:rPr>
        <w:t>;</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136" w:name="page137"/>
    <w:bookmarkEnd w:id="136"/>
    <w:p>
      <w:pPr>
        <w:ind w:right="100" w:firstLine="404"/>
        <w:spacing w:after="0" w:line="251" w:lineRule="auto"/>
        <w:tabs>
          <w:tab w:leader="none" w:pos="702" w:val="left"/>
        </w:tabs>
        <w:numPr>
          <w:ilvl w:val="0"/>
          <w:numId w:val="64"/>
        </w:numPr>
        <w:rPr>
          <w:rFonts w:ascii="Arial" w:cs="Arial" w:eastAsia="Arial" w:hAnsi="Arial"/>
          <w:sz w:val="22"/>
          <w:szCs w:val="22"/>
          <w:color w:val="auto"/>
        </w:rPr>
      </w:pPr>
      <w:r>
        <w:rPr>
          <w:rFonts w:ascii="Arial" w:cs="Arial" w:eastAsia="Arial" w:hAnsi="Arial"/>
          <w:sz w:val="22"/>
          <w:szCs w:val="22"/>
          <w:color w:val="auto"/>
        </w:rPr>
        <w:t>modify the Business of the Company in a material respect or engage in any business or activity other than the Business (or an activity that is incidental or necessary thereto);</w:t>
      </w:r>
    </w:p>
    <w:p>
      <w:pPr>
        <w:spacing w:after="0" w:line="65" w:lineRule="exact"/>
        <w:rPr>
          <w:rFonts w:ascii="Arial" w:cs="Arial" w:eastAsia="Arial" w:hAnsi="Arial"/>
          <w:sz w:val="22"/>
          <w:szCs w:val="22"/>
          <w:color w:val="auto"/>
        </w:rPr>
      </w:pPr>
    </w:p>
    <w:p>
      <w:pPr>
        <w:ind w:right="260" w:firstLine="404"/>
        <w:spacing w:after="0" w:line="251" w:lineRule="auto"/>
        <w:tabs>
          <w:tab w:leader="none" w:pos="654" w:val="left"/>
        </w:tabs>
        <w:numPr>
          <w:ilvl w:val="0"/>
          <w:numId w:val="64"/>
        </w:numPr>
        <w:rPr>
          <w:rFonts w:ascii="Arial" w:cs="Arial" w:eastAsia="Arial" w:hAnsi="Arial"/>
          <w:sz w:val="22"/>
          <w:szCs w:val="22"/>
          <w:color w:val="auto"/>
        </w:rPr>
      </w:pPr>
      <w:r>
        <w:rPr>
          <w:rFonts w:ascii="Arial" w:cs="Arial" w:eastAsia="Arial" w:hAnsi="Arial"/>
          <w:sz w:val="22"/>
          <w:szCs w:val="22"/>
          <w:color w:val="auto"/>
        </w:rPr>
        <w:t>knowingly take any action or knowingly omit to take any action that would cause the Company to become an association taxable as a corporation for U.S. income tax purposes;</w:t>
      </w:r>
    </w:p>
    <w:p>
      <w:pPr>
        <w:spacing w:after="0" w:line="65" w:lineRule="exact"/>
        <w:rPr>
          <w:rFonts w:ascii="Arial" w:cs="Arial" w:eastAsia="Arial" w:hAnsi="Arial"/>
          <w:sz w:val="22"/>
          <w:szCs w:val="22"/>
          <w:color w:val="auto"/>
        </w:rPr>
      </w:pPr>
    </w:p>
    <w:p>
      <w:pPr>
        <w:ind w:right="120" w:firstLine="404"/>
        <w:spacing w:after="0" w:line="277" w:lineRule="auto"/>
        <w:tabs>
          <w:tab w:leader="none" w:pos="762" w:val="left"/>
        </w:tabs>
        <w:numPr>
          <w:ilvl w:val="0"/>
          <w:numId w:val="64"/>
        </w:numPr>
        <w:rPr>
          <w:rFonts w:ascii="Arial" w:cs="Arial" w:eastAsia="Arial" w:hAnsi="Arial"/>
          <w:sz w:val="19"/>
          <w:szCs w:val="19"/>
          <w:color w:val="auto"/>
        </w:rPr>
      </w:pPr>
      <w:r>
        <w:rPr>
          <w:rFonts w:ascii="Arial" w:cs="Arial" w:eastAsia="Arial" w:hAnsi="Arial"/>
          <w:sz w:val="19"/>
          <w:szCs w:val="19"/>
          <w:color w:val="auto"/>
        </w:rPr>
        <w:t>cause the Company or any of its Subsidiaries to (i) make an assignment for the benefit of creditors, (ii) file a voluntary petition in bankruptcy, (iii) be adjudged bankrupt or insolvent, or having entered against the Company or such Subsidiary an order for relief, in any bankruptcy or insolvency proceeding, (iv) file a petition or answer seeking for the Company or such Subsidiary any reorganization, arrangement, composition, readjustment, liquidation, dissolution or similar relief under any Law, (v) file an answer or other pleading admitting or failing to contest the material allegations of a petition filed against the Company or such Subsidiary in any proceeding of this nature, or (vi) seek, consent to or acquiesce in the appointment of a trustee, receiver or liquidator of the Company or such Subsidiary or of all or any substantial part of the Company’s or such Subsidiary’s properties;</w:t>
      </w:r>
    </w:p>
    <w:p>
      <w:pPr>
        <w:spacing w:after="0" w:line="44" w:lineRule="exact"/>
        <w:rPr>
          <w:rFonts w:ascii="Arial" w:cs="Arial" w:eastAsia="Arial" w:hAnsi="Arial"/>
          <w:sz w:val="19"/>
          <w:szCs w:val="19"/>
          <w:color w:val="auto"/>
        </w:rPr>
      </w:pPr>
    </w:p>
    <w:p>
      <w:pPr>
        <w:ind w:right="140" w:firstLine="404"/>
        <w:spacing w:after="0" w:line="297" w:lineRule="auto"/>
        <w:tabs>
          <w:tab w:leader="none" w:pos="702" w:val="left"/>
        </w:tabs>
        <w:numPr>
          <w:ilvl w:val="0"/>
          <w:numId w:val="64"/>
        </w:numPr>
        <w:rPr>
          <w:rFonts w:ascii="Arial" w:cs="Arial" w:eastAsia="Arial" w:hAnsi="Arial"/>
          <w:sz w:val="19"/>
          <w:szCs w:val="19"/>
          <w:color w:val="auto"/>
        </w:rPr>
      </w:pPr>
      <w:r>
        <w:rPr>
          <w:rFonts w:ascii="Arial" w:cs="Arial" w:eastAsia="Arial" w:hAnsi="Arial"/>
          <w:sz w:val="19"/>
          <w:szCs w:val="19"/>
          <w:color w:val="auto"/>
        </w:rPr>
        <w:t>(i) incur any Material Indebtedness or (ii) create any lien (other than a Permitted Lien) upon assets of the Company or any of its Subsidiaries with an aggregate value in excess of $1,000,000, in each case except pursuant to any Intercompany Loan or as contemplated by the Five Year Business Plan or by the Annual Business Plan for the then-current Fiscal Year; or</w:t>
      </w:r>
    </w:p>
    <w:p>
      <w:pPr>
        <w:spacing w:after="0" w:line="26" w:lineRule="exact"/>
        <w:rPr>
          <w:rFonts w:ascii="Arial" w:cs="Arial" w:eastAsia="Arial" w:hAnsi="Arial"/>
          <w:sz w:val="19"/>
          <w:szCs w:val="19"/>
          <w:color w:val="auto"/>
        </w:rPr>
      </w:pPr>
    </w:p>
    <w:p>
      <w:pPr>
        <w:ind w:right="400" w:firstLine="404"/>
        <w:spacing w:after="0"/>
        <w:tabs>
          <w:tab w:leader="none" w:pos="702" w:val="left"/>
        </w:tabs>
        <w:numPr>
          <w:ilvl w:val="0"/>
          <w:numId w:val="64"/>
        </w:numPr>
        <w:rPr>
          <w:rFonts w:ascii="Arial" w:cs="Arial" w:eastAsia="Arial" w:hAnsi="Arial"/>
          <w:sz w:val="22"/>
          <w:szCs w:val="22"/>
          <w:color w:val="auto"/>
        </w:rPr>
      </w:pPr>
      <w:r>
        <w:rPr>
          <w:rFonts w:ascii="Arial" w:cs="Arial" w:eastAsia="Arial" w:hAnsi="Arial"/>
          <w:sz w:val="22"/>
          <w:szCs w:val="22"/>
          <w:color w:val="auto"/>
        </w:rPr>
        <w:t>delegate any authority of the Board to any Person or committee or amend the terms of such delegation or form any committee of the Board or amend the terms of formation of such committee (including authority, power, size and procedures of such committee).</w:t>
      </w:r>
    </w:p>
    <w:p>
      <w:pPr>
        <w:spacing w:after="0" w:line="78" w:lineRule="exact"/>
        <w:rPr>
          <w:sz w:val="20"/>
          <w:szCs w:val="20"/>
          <w:color w:val="auto"/>
        </w:rPr>
      </w:pPr>
    </w:p>
    <w:p>
      <w:pPr>
        <w:ind w:right="20" w:firstLine="396"/>
        <w:spacing w:after="0" w:line="277" w:lineRule="auto"/>
        <w:rPr>
          <w:sz w:val="20"/>
          <w:szCs w:val="20"/>
          <w:color w:val="auto"/>
        </w:rPr>
      </w:pPr>
      <w:r>
        <w:rPr>
          <w:rFonts w:ascii="Arial" w:cs="Arial" w:eastAsia="Arial" w:hAnsi="Arial"/>
          <w:sz w:val="19"/>
          <w:szCs w:val="19"/>
          <w:color w:val="auto"/>
        </w:rPr>
        <w:t xml:space="preserve">Section 5.03. </w:t>
      </w:r>
      <w:r>
        <w:rPr>
          <w:rFonts w:ascii="Arial" w:cs="Arial" w:eastAsia="Arial" w:hAnsi="Arial"/>
          <w:sz w:val="19"/>
          <w:szCs w:val="19"/>
          <w:u w:val="single" w:color="auto"/>
          <w:color w:val="auto"/>
        </w:rPr>
        <w:t>Committees; Subsidiary Boards</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 5.02(o)</w:t>
      </w:r>
      <w:r>
        <w:rPr>
          <w:rFonts w:ascii="Arial" w:cs="Arial" w:eastAsia="Arial" w:hAnsi="Arial"/>
          <w:sz w:val="19"/>
          <w:szCs w:val="19"/>
          <w:color w:val="auto"/>
        </w:rPr>
        <w:t xml:space="preserve">, the Board may designate one or more committees, each committee to consist (subject to the immediately following sentence) of one or more Managers. Albany shall be represented on each committee of the Board in proportion to the number of Albany Managers relative to the total number of Managers pursuant to </w:t>
      </w:r>
      <w:r>
        <w:rPr>
          <w:rFonts w:ascii="Arial" w:cs="Arial" w:eastAsia="Arial" w:hAnsi="Arial"/>
          <w:sz w:val="19"/>
          <w:szCs w:val="19"/>
          <w:u w:val="single" w:color="auto"/>
          <w:color w:val="auto"/>
        </w:rPr>
        <w:t>Section 5.01(b)</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Albany may, in its sole discretion, designate fewer Albany Managers to serve on any committee or not designate any Albany Managers to so serve. Voting requirements of any committee designated by the Board shall be included in the enabling Board resolution establishing such committee. The provisions of this </w:t>
      </w:r>
      <w:r>
        <w:rPr>
          <w:rFonts w:ascii="Arial" w:cs="Arial" w:eastAsia="Arial" w:hAnsi="Arial"/>
          <w:sz w:val="19"/>
          <w:szCs w:val="19"/>
          <w:u w:val="single" w:color="auto"/>
          <w:color w:val="auto"/>
        </w:rPr>
        <w:t>Section 5.03</w:t>
      </w:r>
      <w:r>
        <w:rPr>
          <w:rFonts w:ascii="Arial" w:cs="Arial" w:eastAsia="Arial" w:hAnsi="Arial"/>
          <w:sz w:val="19"/>
          <w:szCs w:val="19"/>
          <w:color w:val="auto"/>
        </w:rPr>
        <w:t xml:space="preserve"> shall apply to any committee or board, or similar corporate governing body, of any Subsidiary of the Company.</w:t>
      </w:r>
    </w:p>
    <w:p>
      <w:pPr>
        <w:spacing w:after="0" w:line="45" w:lineRule="exact"/>
        <w:rPr>
          <w:sz w:val="20"/>
          <w:szCs w:val="20"/>
          <w:color w:val="auto"/>
        </w:rPr>
      </w:pPr>
    </w:p>
    <w:p>
      <w:pPr>
        <w:ind w:firstLine="396"/>
        <w:spacing w:after="0"/>
        <w:rPr>
          <w:sz w:val="20"/>
          <w:szCs w:val="20"/>
          <w:color w:val="auto"/>
        </w:rPr>
      </w:pPr>
      <w:r>
        <w:rPr>
          <w:rFonts w:ascii="Arial" w:cs="Arial" w:eastAsia="Arial" w:hAnsi="Arial"/>
          <w:sz w:val="22"/>
          <w:szCs w:val="22"/>
          <w:color w:val="auto"/>
        </w:rPr>
        <w:t xml:space="preserve">Section 5.04. </w:t>
      </w:r>
      <w:r>
        <w:rPr>
          <w:rFonts w:ascii="Arial" w:cs="Arial" w:eastAsia="Arial" w:hAnsi="Arial"/>
          <w:sz w:val="22"/>
          <w:szCs w:val="22"/>
          <w:u w:val="single" w:color="auto"/>
          <w:color w:val="auto"/>
        </w:rPr>
        <w:t>Additional Management Provisions</w:t>
      </w:r>
      <w:r>
        <w:rPr>
          <w:rFonts w:ascii="Arial" w:cs="Arial" w:eastAsia="Arial" w:hAnsi="Arial"/>
          <w:sz w:val="22"/>
          <w:szCs w:val="22"/>
          <w:color w:val="auto"/>
        </w:rPr>
        <w:t>. To the extent permitted by antitrust, competition and any other applicable Law, each Member agrees and acknowledges that the Managers may share confidential, non-public information about the Company with the Members.</w:t>
      </w:r>
    </w:p>
    <w:p>
      <w:pPr>
        <w:spacing w:after="0" w:line="78" w:lineRule="exact"/>
        <w:rPr>
          <w:sz w:val="20"/>
          <w:szCs w:val="20"/>
          <w:color w:val="auto"/>
        </w:rPr>
      </w:pPr>
    </w:p>
    <w:p>
      <w:pPr>
        <w:ind w:right="700" w:firstLine="396"/>
        <w:spacing w:after="0" w:line="251" w:lineRule="auto"/>
        <w:rPr>
          <w:sz w:val="20"/>
          <w:szCs w:val="20"/>
          <w:color w:val="auto"/>
        </w:rPr>
      </w:pPr>
      <w:r>
        <w:rPr>
          <w:rFonts w:ascii="Arial" w:cs="Arial" w:eastAsia="Arial" w:hAnsi="Arial"/>
          <w:sz w:val="22"/>
          <w:szCs w:val="22"/>
          <w:color w:val="auto"/>
        </w:rPr>
        <w:t xml:space="preserve">Section 5.05. </w:t>
      </w:r>
      <w:r>
        <w:rPr>
          <w:rFonts w:ascii="Arial" w:cs="Arial" w:eastAsia="Arial" w:hAnsi="Arial"/>
          <w:sz w:val="22"/>
          <w:szCs w:val="22"/>
          <w:u w:val="single" w:color="auto"/>
          <w:color w:val="auto"/>
        </w:rPr>
        <w:t>Meetings; Quorum; Notice; Written Consent</w:t>
      </w:r>
      <w:r>
        <w:rPr>
          <w:rFonts w:ascii="Arial" w:cs="Arial" w:eastAsia="Arial" w:hAnsi="Arial"/>
          <w:sz w:val="22"/>
          <w:szCs w:val="22"/>
          <w:color w:val="auto"/>
        </w:rPr>
        <w:t>. (a) The quorum for a meeting of the Board shall require the presence of a majority of the votes of all the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712" w:right="259" w:bottom="1440" w:gutter="0" w:footer="0" w:header="0"/>
        </w:sectPr>
      </w:pPr>
    </w:p>
    <w:bookmarkStart w:id="137" w:name="page138"/>
    <w:bookmarkEnd w:id="137"/>
    <w:p>
      <w:pPr>
        <w:jc w:val="both"/>
        <w:spacing w:after="0" w:line="238" w:lineRule="auto"/>
        <w:rPr>
          <w:sz w:val="20"/>
          <w:szCs w:val="20"/>
          <w:color w:val="auto"/>
        </w:rPr>
      </w:pPr>
      <w:r>
        <w:rPr>
          <w:rFonts w:ascii="Arial" w:cs="Arial" w:eastAsia="Arial" w:hAnsi="Arial"/>
          <w:sz w:val="22"/>
          <w:szCs w:val="22"/>
          <w:color w:val="auto"/>
        </w:rPr>
        <w:t>Managers then in office. Meetings of the Board may be held at any time at any location specified in the notice thereof in such place within or without the State of Delaware, when called by any Albany Manager. Managers may participate in a meeting of the Board by means of conference telephone or similar communications equipment by means of which all persons participating in the meeting can hear each other or by any other means permitted by Law.</w:t>
      </w:r>
    </w:p>
    <w:p>
      <w:pPr>
        <w:spacing w:after="0" w:line="185" w:lineRule="exact"/>
        <w:rPr>
          <w:sz w:val="20"/>
          <w:szCs w:val="20"/>
          <w:color w:val="auto"/>
        </w:rPr>
      </w:pPr>
    </w:p>
    <w:p>
      <w:pPr>
        <w:ind w:right="120" w:firstLine="404"/>
        <w:spacing w:after="0" w:line="279" w:lineRule="auto"/>
        <w:tabs>
          <w:tab w:leader="none" w:pos="702" w:val="left"/>
        </w:tabs>
        <w:numPr>
          <w:ilvl w:val="0"/>
          <w:numId w:val="65"/>
        </w:numPr>
        <w:rPr>
          <w:rFonts w:ascii="Arial" w:cs="Arial" w:eastAsia="Arial" w:hAnsi="Arial"/>
          <w:sz w:val="19"/>
          <w:szCs w:val="19"/>
          <w:color w:val="auto"/>
        </w:rPr>
      </w:pPr>
      <w:r>
        <w:rPr>
          <w:rFonts w:ascii="Arial" w:cs="Arial" w:eastAsia="Arial" w:hAnsi="Arial"/>
          <w:sz w:val="19"/>
          <w:szCs w:val="19"/>
          <w:color w:val="auto"/>
        </w:rPr>
        <w:t>Reasonable and sufficient notice of each meeting shall be given to each Manager. It shall be reasonable and sufficient notice to a Manager to send notice by overnight delivery, electronic mail, facsimile or hand delivery at least forty-eight (48) hours, before the meeting addressed to such Manager at such Manager’s usual business address. Notice of a meeting need not be given to any Manager if a written waiver of notice, executed by such Manager before or after the meeting, is filed with the records of the meeting, or to any Manager who attends the meeting without protesting prior thereto or at its commencement the lack of notice to such Manager. Neither notice of a meeting nor a waiver of a notice need specify the purposes of the meeting.</w:t>
      </w:r>
    </w:p>
    <w:p>
      <w:pPr>
        <w:spacing w:after="0" w:line="42" w:lineRule="exact"/>
        <w:rPr>
          <w:rFonts w:ascii="Arial" w:cs="Arial" w:eastAsia="Arial" w:hAnsi="Arial"/>
          <w:sz w:val="19"/>
          <w:szCs w:val="19"/>
          <w:color w:val="auto"/>
        </w:rPr>
      </w:pPr>
    </w:p>
    <w:p>
      <w:pPr>
        <w:ind w:firstLine="404"/>
        <w:spacing w:after="0" w:line="236" w:lineRule="auto"/>
        <w:tabs>
          <w:tab w:leader="none" w:pos="690" w:val="left"/>
        </w:tabs>
        <w:numPr>
          <w:ilvl w:val="0"/>
          <w:numId w:val="65"/>
        </w:numPr>
        <w:rPr>
          <w:rFonts w:ascii="Arial" w:cs="Arial" w:eastAsia="Arial" w:hAnsi="Arial"/>
          <w:sz w:val="22"/>
          <w:szCs w:val="22"/>
          <w:color w:val="auto"/>
        </w:rPr>
      </w:pPr>
      <w:r>
        <w:rPr>
          <w:rFonts w:ascii="Arial" w:cs="Arial" w:eastAsia="Arial" w:hAnsi="Arial"/>
          <w:sz w:val="22"/>
          <w:szCs w:val="22"/>
          <w:color w:val="auto"/>
        </w:rPr>
        <w:t xml:space="preserve">Any action required or permitted to be taken at any meeting of the Board may be taken without a meeting pursuant to a written consent signed by Managers having not less than the minimum number of votes that would be necessary to approve such action at a meeting of the Board at which all Managers then in office were present and voted including, in the case of any action described in </w:t>
      </w:r>
      <w:r>
        <w:rPr>
          <w:rFonts w:ascii="Arial" w:cs="Arial" w:eastAsia="Arial" w:hAnsi="Arial"/>
          <w:sz w:val="22"/>
          <w:szCs w:val="22"/>
          <w:u w:val="single" w:color="auto"/>
          <w:color w:val="auto"/>
        </w:rPr>
        <w:t>Section 5.02</w:t>
      </w:r>
      <w:r>
        <w:rPr>
          <w:rFonts w:ascii="Arial" w:cs="Arial" w:eastAsia="Arial" w:hAnsi="Arial"/>
          <w:sz w:val="22"/>
          <w:szCs w:val="22"/>
          <w:color w:val="auto"/>
        </w:rPr>
        <w:t>, the Safran Manager. Such written consent shall be filed with the records of the meetings of the Board and treated for all purposes as the act of the Board.</w:t>
      </w:r>
    </w:p>
    <w:p>
      <w:pPr>
        <w:spacing w:after="0" w:line="80" w:lineRule="exact"/>
        <w:rPr>
          <w:sz w:val="20"/>
          <w:szCs w:val="20"/>
          <w:color w:val="auto"/>
        </w:rPr>
      </w:pPr>
    </w:p>
    <w:p>
      <w:pPr>
        <w:ind w:right="40" w:firstLine="396"/>
        <w:spacing w:after="0" w:line="270" w:lineRule="auto"/>
        <w:rPr>
          <w:sz w:val="20"/>
          <w:szCs w:val="20"/>
          <w:color w:val="auto"/>
        </w:rPr>
      </w:pPr>
      <w:r>
        <w:rPr>
          <w:rFonts w:ascii="Arial" w:cs="Arial" w:eastAsia="Arial" w:hAnsi="Arial"/>
          <w:sz w:val="19"/>
          <w:szCs w:val="19"/>
          <w:color w:val="auto"/>
        </w:rPr>
        <w:t xml:space="preserve">Section 5.06. </w:t>
      </w:r>
      <w:r>
        <w:rPr>
          <w:rFonts w:ascii="Arial" w:cs="Arial" w:eastAsia="Arial" w:hAnsi="Arial"/>
          <w:sz w:val="19"/>
          <w:szCs w:val="19"/>
          <w:u w:val="single" w:color="auto"/>
          <w:color w:val="auto"/>
        </w:rPr>
        <w:t>Deadlock Events</w:t>
      </w:r>
      <w:r>
        <w:rPr>
          <w:rFonts w:ascii="Arial" w:cs="Arial" w:eastAsia="Arial" w:hAnsi="Arial"/>
          <w:sz w:val="19"/>
          <w:szCs w:val="19"/>
          <w:color w:val="auto"/>
        </w:rPr>
        <w:t>. In the case of a Deadlock Event, the Management Committee shall meet and use commercially reasonable efforts to resolve such dispute to the mutual satisfaction of Albany and Safran. In the event the Management Committee is unable to so amicably resolve such dispute within thirty (30) days, such dispute shall be delegated to the Chief Operating Officer of Albany and the Industrial Director (or equivalent officer) of Safran S.A. (together, the “</w:t>
      </w:r>
      <w:r>
        <w:rPr>
          <w:rFonts w:ascii="Arial" w:cs="Arial" w:eastAsia="Arial" w:hAnsi="Arial"/>
          <w:sz w:val="19"/>
          <w:szCs w:val="19"/>
          <w:u w:val="single" w:color="auto"/>
          <w:color w:val="auto"/>
        </w:rPr>
        <w:t>Senior Representatives</w:t>
      </w:r>
      <w:r>
        <w:rPr>
          <w:rFonts w:ascii="Arial" w:cs="Arial" w:eastAsia="Arial" w:hAnsi="Arial"/>
          <w:sz w:val="19"/>
          <w:szCs w:val="19"/>
          <w:color w:val="auto"/>
        </w:rPr>
        <w:t>”) who shall endeavor to resolve the dispute to the mutual satisfaction of Albany and Safran, including by meeting and using commercially reasonable efforts to resolve such dispute. In the event the Senior Representatives are unable to resolve such dispute within thirty</w:t>
      </w:r>
    </w:p>
    <w:p>
      <w:pPr>
        <w:spacing w:after="0" w:line="2" w:lineRule="exact"/>
        <w:rPr>
          <w:sz w:val="20"/>
          <w:szCs w:val="20"/>
          <w:color w:val="auto"/>
        </w:rPr>
      </w:pPr>
    </w:p>
    <w:p>
      <w:pPr>
        <w:ind w:right="80" w:firstLine="8"/>
        <w:spacing w:after="0" w:line="267" w:lineRule="auto"/>
        <w:tabs>
          <w:tab w:leader="none" w:pos="414" w:val="left"/>
        </w:tabs>
        <w:numPr>
          <w:ilvl w:val="0"/>
          <w:numId w:val="66"/>
        </w:numPr>
        <w:rPr>
          <w:rFonts w:ascii="Arial" w:cs="Arial" w:eastAsia="Arial" w:hAnsi="Arial"/>
          <w:sz w:val="19"/>
          <w:szCs w:val="19"/>
          <w:color w:val="auto"/>
        </w:rPr>
      </w:pPr>
      <w:r>
        <w:rPr>
          <w:rFonts w:ascii="Arial" w:cs="Arial" w:eastAsia="Arial" w:hAnsi="Arial"/>
          <w:sz w:val="19"/>
          <w:szCs w:val="19"/>
          <w:color w:val="auto"/>
        </w:rPr>
        <w:t>days of its delegation to the Senior Representatives, the chief executive officer of Albany International and the chief executive officer of Safran S.A. shall meet and use commercially reasonable efforts to resolve such dispute for a period of no less than thirty</w:t>
      </w:r>
    </w:p>
    <w:p>
      <w:pPr>
        <w:ind w:left="420" w:hanging="412"/>
        <w:spacing w:after="0"/>
        <w:tabs>
          <w:tab w:leader="none" w:pos="420" w:val="left"/>
        </w:tabs>
        <w:numPr>
          <w:ilvl w:val="0"/>
          <w:numId w:val="67"/>
        </w:numPr>
        <w:rPr>
          <w:rFonts w:ascii="Arial" w:cs="Arial" w:eastAsia="Arial" w:hAnsi="Arial"/>
          <w:sz w:val="22"/>
          <w:szCs w:val="22"/>
          <w:color w:val="auto"/>
        </w:rPr>
      </w:pPr>
      <w:r>
        <w:rPr>
          <w:rFonts w:ascii="Arial" w:cs="Arial" w:eastAsia="Arial" w:hAnsi="Arial"/>
          <w:sz w:val="22"/>
          <w:szCs w:val="22"/>
          <w:color w:val="auto"/>
        </w:rPr>
        <w:t>days.</w:t>
      </w:r>
    </w:p>
    <w:p>
      <w:pPr>
        <w:spacing w:after="0" w:line="80" w:lineRule="exact"/>
        <w:rPr>
          <w:sz w:val="20"/>
          <w:szCs w:val="20"/>
          <w:color w:val="auto"/>
        </w:rPr>
      </w:pPr>
    </w:p>
    <w:p>
      <w:pPr>
        <w:ind w:right="320" w:firstLine="396"/>
        <w:spacing w:after="0" w:line="287" w:lineRule="auto"/>
        <w:rPr>
          <w:sz w:val="20"/>
          <w:szCs w:val="20"/>
          <w:color w:val="auto"/>
        </w:rPr>
      </w:pPr>
      <w:r>
        <w:rPr>
          <w:rFonts w:ascii="Arial" w:cs="Arial" w:eastAsia="Arial" w:hAnsi="Arial"/>
          <w:sz w:val="19"/>
          <w:szCs w:val="19"/>
          <w:color w:val="auto"/>
        </w:rPr>
        <w:t xml:space="preserve">Section 5.07. </w:t>
      </w:r>
      <w:r>
        <w:rPr>
          <w:rFonts w:ascii="Arial" w:cs="Arial" w:eastAsia="Arial" w:hAnsi="Arial"/>
          <w:sz w:val="19"/>
          <w:szCs w:val="19"/>
          <w:u w:val="single" w:color="auto"/>
          <w:color w:val="auto"/>
        </w:rPr>
        <w:t>Quarterly Reports and Review</w:t>
      </w:r>
      <w:r>
        <w:rPr>
          <w:rFonts w:ascii="Arial" w:cs="Arial" w:eastAsia="Arial" w:hAnsi="Arial"/>
          <w:sz w:val="19"/>
          <w:szCs w:val="19"/>
          <w:color w:val="auto"/>
        </w:rPr>
        <w:t>. Each quarter of the Company’s Fiscal Year, the Board shall cause the Management Committee to prepare a performance report (the “</w:t>
      </w:r>
      <w:r>
        <w:rPr>
          <w:rFonts w:ascii="Arial" w:cs="Arial" w:eastAsia="Arial" w:hAnsi="Arial"/>
          <w:sz w:val="19"/>
          <w:szCs w:val="19"/>
          <w:u w:val="single" w:color="auto"/>
          <w:color w:val="auto"/>
        </w:rPr>
        <w:t>Quarterly Performance Report</w:t>
      </w:r>
      <w:r>
        <w:rPr>
          <w:rFonts w:ascii="Arial" w:cs="Arial" w:eastAsia="Arial" w:hAnsi="Arial"/>
          <w:sz w:val="19"/>
          <w:szCs w:val="19"/>
          <w:color w:val="auto"/>
        </w:rPr>
        <w:t>”) and the Board shall review such report and the operations of the Company and its Subsidiaries (such review, a “</w:t>
      </w:r>
      <w:r>
        <w:rPr>
          <w:rFonts w:ascii="Arial" w:cs="Arial" w:eastAsia="Arial" w:hAnsi="Arial"/>
          <w:sz w:val="19"/>
          <w:szCs w:val="19"/>
          <w:u w:val="single" w:color="auto"/>
          <w:color w:val="auto"/>
        </w:rPr>
        <w:t>Quarterly Review</w:t>
      </w:r>
      <w:r>
        <w:rPr>
          <w:rFonts w:ascii="Arial" w:cs="Arial" w:eastAsia="Arial" w:hAnsi="Arial"/>
          <w:sz w:val="19"/>
          <w:szCs w:val="19"/>
          <w:color w:val="auto"/>
        </w:rPr>
        <w:t>”), including by evaluating the progress of the Company and its Subsidiaries towards the Material Milestones applicable to the then-current Fiscal Year.</w:t>
      </w:r>
    </w:p>
    <w:p>
      <w:pPr>
        <w:spacing w:after="0" w:line="35" w:lineRule="exact"/>
        <w:rPr>
          <w:sz w:val="20"/>
          <w:szCs w:val="20"/>
          <w:color w:val="auto"/>
        </w:rPr>
      </w:pPr>
    </w:p>
    <w:p>
      <w:pPr>
        <w:ind w:right="120" w:firstLine="396"/>
        <w:spacing w:after="0"/>
        <w:rPr>
          <w:sz w:val="20"/>
          <w:szCs w:val="20"/>
          <w:color w:val="auto"/>
        </w:rPr>
      </w:pPr>
      <w:r>
        <w:rPr>
          <w:rFonts w:ascii="Arial" w:cs="Arial" w:eastAsia="Arial" w:hAnsi="Arial"/>
          <w:sz w:val="22"/>
          <w:szCs w:val="22"/>
          <w:color w:val="auto"/>
        </w:rPr>
        <w:t xml:space="preserve">Section 5.08. </w:t>
      </w:r>
      <w:r>
        <w:rPr>
          <w:rFonts w:ascii="Arial" w:cs="Arial" w:eastAsia="Arial" w:hAnsi="Arial"/>
          <w:sz w:val="22"/>
          <w:szCs w:val="22"/>
          <w:u w:val="single" w:color="auto"/>
          <w:color w:val="auto"/>
        </w:rPr>
        <w:t>Review of Management Provisions</w:t>
      </w:r>
      <w:r>
        <w:rPr>
          <w:rFonts w:ascii="Arial" w:cs="Arial" w:eastAsia="Arial" w:hAnsi="Arial"/>
          <w:sz w:val="22"/>
          <w:szCs w:val="22"/>
          <w:color w:val="auto"/>
        </w:rPr>
        <w:t>. In the event that Safran’s Percentage Interest increases substantially relative to its Percentage Interest as of the Agreement Date (such increase, a “</w:t>
      </w:r>
      <w:r>
        <w:rPr>
          <w:rFonts w:ascii="Arial" w:cs="Arial" w:eastAsia="Arial" w:hAnsi="Arial"/>
          <w:sz w:val="22"/>
          <w:szCs w:val="22"/>
          <w:u w:val="single" w:color="auto"/>
          <w:color w:val="auto"/>
        </w:rPr>
        <w:t>Percentage Increase</w:t>
      </w:r>
      <w:r>
        <w:rPr>
          <w:rFonts w:ascii="Arial" w:cs="Arial" w:eastAsia="Arial" w:hAnsi="Arial"/>
          <w:sz w:val="22"/>
          <w:szCs w:val="22"/>
          <w:color w:val="auto"/>
        </w:rPr>
        <w:t xml:space="preserve">”), the Members shall review and consider whether any amendments to this </w:t>
      </w:r>
      <w:r>
        <w:rPr>
          <w:rFonts w:ascii="Arial" w:cs="Arial" w:eastAsia="Arial" w:hAnsi="Arial"/>
          <w:sz w:val="22"/>
          <w:szCs w:val="22"/>
          <w:u w:val="single" w:color="auto"/>
          <w:color w:val="auto"/>
        </w:rPr>
        <w:t>Article V</w:t>
      </w:r>
      <w:r>
        <w:rPr>
          <w:rFonts w:ascii="Arial" w:cs="Arial" w:eastAsia="Arial" w:hAnsi="Arial"/>
          <w:sz w:val="22"/>
          <w:szCs w:val="22"/>
          <w:color w:val="auto"/>
        </w:rPr>
        <w:t xml:space="preserve"> are appropriate.</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138" w:name="page139"/>
    <w:bookmarkEnd w:id="138"/>
    <w:p>
      <w:pPr>
        <w:ind w:left="380"/>
        <w:spacing w:after="0"/>
        <w:rPr>
          <w:sz w:val="20"/>
          <w:szCs w:val="20"/>
          <w:color w:val="auto"/>
        </w:rPr>
      </w:pPr>
      <w:r>
        <w:rPr>
          <w:rFonts w:ascii="Arial" w:cs="Arial" w:eastAsia="Arial" w:hAnsi="Arial"/>
          <w:sz w:val="22"/>
          <w:szCs w:val="22"/>
          <w:color w:val="auto"/>
        </w:rPr>
        <w:t xml:space="preserve">Section 5.09. </w:t>
      </w:r>
      <w:r>
        <w:rPr>
          <w:rFonts w:ascii="Arial" w:cs="Arial" w:eastAsia="Arial" w:hAnsi="Arial"/>
          <w:sz w:val="22"/>
          <w:szCs w:val="22"/>
          <w:u w:val="single" w:color="auto"/>
          <w:color w:val="auto"/>
        </w:rPr>
        <w:t>Business Plans</w:t>
      </w:r>
      <w:r>
        <w:rPr>
          <w:rFonts w:ascii="Arial" w:cs="Arial" w:eastAsia="Arial" w:hAnsi="Arial"/>
          <w:sz w:val="22"/>
          <w:szCs w:val="22"/>
          <w:color w:val="auto"/>
        </w:rPr>
        <w:t>.</w:t>
      </w:r>
    </w:p>
    <w:p>
      <w:pPr>
        <w:spacing w:after="0" w:line="98" w:lineRule="exact"/>
        <w:rPr>
          <w:sz w:val="20"/>
          <w:szCs w:val="20"/>
          <w:color w:val="auto"/>
        </w:rPr>
      </w:pPr>
    </w:p>
    <w:p>
      <w:pPr>
        <w:ind w:left="-20" w:firstLine="404"/>
        <w:spacing w:after="0" w:line="273" w:lineRule="auto"/>
        <w:tabs>
          <w:tab w:leader="none" w:pos="670" w:val="left"/>
        </w:tabs>
        <w:numPr>
          <w:ilvl w:val="0"/>
          <w:numId w:val="68"/>
        </w:numPr>
        <w:rPr>
          <w:rFonts w:ascii="Arial" w:cs="Arial" w:eastAsia="Arial" w:hAnsi="Arial"/>
          <w:sz w:val="19"/>
          <w:szCs w:val="19"/>
          <w:color w:val="auto"/>
        </w:rPr>
      </w:pPr>
      <w:r>
        <w:rPr>
          <w:rFonts w:ascii="Arial" w:cs="Arial" w:eastAsia="Arial" w:hAnsi="Arial"/>
          <w:sz w:val="19"/>
          <w:szCs w:val="19"/>
          <w:color w:val="auto"/>
        </w:rPr>
        <w:t xml:space="preserve">Not less than thirty (30) days prior to the beginning of each Fiscal Year, the Albany Managers shall prepare and deliver to the Board for consideration and approval in accordance with </w:t>
      </w:r>
      <w:r>
        <w:rPr>
          <w:rFonts w:ascii="Arial" w:cs="Arial" w:eastAsia="Arial" w:hAnsi="Arial"/>
          <w:sz w:val="19"/>
          <w:szCs w:val="19"/>
          <w:u w:val="single" w:color="auto"/>
          <w:color w:val="auto"/>
        </w:rPr>
        <w:t>Section 5.02(g)</w:t>
      </w:r>
      <w:r>
        <w:rPr>
          <w:rFonts w:ascii="Arial" w:cs="Arial" w:eastAsia="Arial" w:hAnsi="Arial"/>
          <w:sz w:val="19"/>
          <w:szCs w:val="19"/>
          <w:color w:val="auto"/>
        </w:rPr>
        <w:t xml:space="preserve"> a business plan for the Company and its Subsidiaries with respect to the next five (5) years (the “</w:t>
      </w:r>
      <w:r>
        <w:rPr>
          <w:rFonts w:ascii="Arial" w:cs="Arial" w:eastAsia="Arial" w:hAnsi="Arial"/>
          <w:sz w:val="19"/>
          <w:szCs w:val="19"/>
          <w:u w:val="single" w:color="auto"/>
          <w:color w:val="auto"/>
        </w:rPr>
        <w:t>Five Year Business Plan</w:t>
      </w:r>
      <w:r>
        <w:rPr>
          <w:rFonts w:ascii="Arial" w:cs="Arial" w:eastAsia="Arial" w:hAnsi="Arial"/>
          <w:sz w:val="19"/>
          <w:szCs w:val="19"/>
          <w:color w:val="auto"/>
        </w:rPr>
        <w:t xml:space="preserve">”) which shall be based on the aggregate requirements as set forth in the Long Term Supply Agreement as well as any future long-term supply agreements for new Parts in the Agreed Space. If any proposed Five Year Business Plan is not adopted by the Board in accordance with </w:t>
      </w:r>
      <w:r>
        <w:rPr>
          <w:rFonts w:ascii="Arial" w:cs="Arial" w:eastAsia="Arial" w:hAnsi="Arial"/>
          <w:sz w:val="19"/>
          <w:szCs w:val="19"/>
          <w:u w:val="single" w:color="auto"/>
          <w:color w:val="auto"/>
        </w:rPr>
        <w:t>Section 5.02(g)</w:t>
      </w:r>
      <w:r>
        <w:rPr>
          <w:rFonts w:ascii="Arial" w:cs="Arial" w:eastAsia="Arial" w:hAnsi="Arial"/>
          <w:sz w:val="19"/>
          <w:szCs w:val="19"/>
          <w:color w:val="auto"/>
        </w:rPr>
        <w:t xml:space="preserve">, the Five Year Business Plan, if any, most recently adopted by the Board in accordance with </w:t>
      </w:r>
      <w:r>
        <w:rPr>
          <w:rFonts w:ascii="Arial" w:cs="Arial" w:eastAsia="Arial" w:hAnsi="Arial"/>
          <w:sz w:val="19"/>
          <w:szCs w:val="19"/>
          <w:u w:val="single" w:color="auto"/>
          <w:color w:val="auto"/>
        </w:rPr>
        <w:t>Section 5.02(g)</w:t>
      </w:r>
      <w:r>
        <w:rPr>
          <w:rFonts w:ascii="Arial" w:cs="Arial" w:eastAsia="Arial" w:hAnsi="Arial"/>
          <w:sz w:val="19"/>
          <w:szCs w:val="19"/>
          <w:color w:val="auto"/>
        </w:rPr>
        <w:t xml:space="preserve"> shall remain in effect. If no Five Year Business Plan has yet been so adopted by the Board, then the Five Year Business Plan shall, for all purposes under this Agreement, be deemed to consist of the annual levels of hiring and capital expenditures by the Company, and its Subsidiaries, for the then most recent calendar year (or, solely with respect to the most recent calendar year prior to the Agreement Date, the annual levels of hiring and capital expenditures by Albany and its Subsidiaries), to support activities under the Long Term Supply Agreement.</w:t>
      </w:r>
    </w:p>
    <w:p>
      <w:pPr>
        <w:spacing w:after="0" w:line="53" w:lineRule="exact"/>
        <w:rPr>
          <w:rFonts w:ascii="Arial" w:cs="Arial" w:eastAsia="Arial" w:hAnsi="Arial"/>
          <w:sz w:val="19"/>
          <w:szCs w:val="19"/>
          <w:color w:val="auto"/>
        </w:rPr>
      </w:pPr>
    </w:p>
    <w:p>
      <w:pPr>
        <w:ind w:left="-20" w:right="60" w:firstLine="404"/>
        <w:spacing w:after="0" w:line="274" w:lineRule="auto"/>
        <w:tabs>
          <w:tab w:leader="none" w:pos="682" w:val="left"/>
        </w:tabs>
        <w:numPr>
          <w:ilvl w:val="0"/>
          <w:numId w:val="68"/>
        </w:numPr>
        <w:rPr>
          <w:rFonts w:ascii="Arial" w:cs="Arial" w:eastAsia="Arial" w:hAnsi="Arial"/>
          <w:sz w:val="19"/>
          <w:szCs w:val="19"/>
          <w:color w:val="auto"/>
        </w:rPr>
      </w:pPr>
      <w:r>
        <w:rPr>
          <w:rFonts w:ascii="Arial" w:cs="Arial" w:eastAsia="Arial" w:hAnsi="Arial"/>
          <w:sz w:val="19"/>
          <w:szCs w:val="19"/>
          <w:color w:val="auto"/>
        </w:rPr>
        <w:t>Not less than thirty (30) days prior to the beginning of each Fiscal Year, the Albany Managers shall prepare and deliver to the Board for consideration and approval a business plan for such Fiscal Year (each such business plan, an “</w:t>
      </w:r>
      <w:r>
        <w:rPr>
          <w:rFonts w:ascii="Arial" w:cs="Arial" w:eastAsia="Arial" w:hAnsi="Arial"/>
          <w:sz w:val="19"/>
          <w:szCs w:val="19"/>
          <w:u w:val="single" w:color="auto"/>
          <w:color w:val="auto"/>
        </w:rPr>
        <w:t>Annual Business</w:t>
      </w:r>
      <w:r>
        <w:rPr>
          <w:rFonts w:ascii="Arial" w:cs="Arial" w:eastAsia="Arial" w:hAnsi="Arial"/>
          <w:sz w:val="19"/>
          <w:szCs w:val="19"/>
          <w:color w:val="auto"/>
        </w:rPr>
        <w:t xml:space="preserve"> </w:t>
      </w:r>
      <w:r>
        <w:rPr>
          <w:rFonts w:ascii="Arial" w:cs="Arial" w:eastAsia="Arial" w:hAnsi="Arial"/>
          <w:sz w:val="19"/>
          <w:szCs w:val="19"/>
          <w:u w:val="single" w:color="auto"/>
          <w:color w:val="auto"/>
        </w:rPr>
        <w:t>Plan</w:t>
      </w:r>
      <w:r>
        <w:rPr>
          <w:rFonts w:ascii="Arial" w:cs="Arial" w:eastAsia="Arial" w:hAnsi="Arial"/>
          <w:sz w:val="19"/>
          <w:szCs w:val="19"/>
          <w:color w:val="auto"/>
        </w:rPr>
        <w:t>”). Each Annual Business Plan shall include (i) certain material milestones related to minimum hiring and capital expenditure by the Company and its Subsidiaries for the applicable Fiscal Year (such milestones, “</w:t>
      </w:r>
      <w:r>
        <w:rPr>
          <w:rFonts w:ascii="Arial" w:cs="Arial" w:eastAsia="Arial" w:hAnsi="Arial"/>
          <w:sz w:val="19"/>
          <w:szCs w:val="19"/>
          <w:u w:val="single" w:color="auto"/>
          <w:color w:val="auto"/>
        </w:rPr>
        <w:t>Material Milestones</w:t>
      </w:r>
      <w:r>
        <w:rPr>
          <w:rFonts w:ascii="Arial" w:cs="Arial" w:eastAsia="Arial" w:hAnsi="Arial"/>
          <w:sz w:val="19"/>
          <w:szCs w:val="19"/>
          <w:color w:val="auto"/>
        </w:rPr>
        <w:t xml:space="preserve">”) and (ii) a forecast of revenues, costs (including costs to be incurred under the Services Agreement) and expenses (including capital expenditures) of the Company and its Subsidiaries for the applicable Fiscal Year. </w:t>
      </w:r>
      <w:r>
        <w:rPr>
          <w:rFonts w:ascii="Arial" w:cs="Arial" w:eastAsia="Arial" w:hAnsi="Arial"/>
          <w:sz w:val="19"/>
          <w:szCs w:val="19"/>
          <w:u w:val="single" w:color="auto"/>
          <w:color w:val="auto"/>
        </w:rPr>
        <w:t>Annex III</w:t>
      </w:r>
      <w:r>
        <w:rPr>
          <w:rFonts w:ascii="Arial" w:cs="Arial" w:eastAsia="Arial" w:hAnsi="Arial"/>
          <w:sz w:val="19"/>
          <w:szCs w:val="19"/>
          <w:color w:val="auto"/>
        </w:rPr>
        <w:t xml:space="preserve"> sets forth the initial material milestones related to minimum hiring and capital expenditures by the Company and its Subsidiaries for the five (5) Fiscal Years following the Agreement Date, it being understood that such milestones for each Fiscal Year set forth on </w:t>
      </w:r>
      <w:r>
        <w:rPr>
          <w:rFonts w:ascii="Arial" w:cs="Arial" w:eastAsia="Arial" w:hAnsi="Arial"/>
          <w:sz w:val="19"/>
          <w:szCs w:val="19"/>
          <w:u w:val="single" w:color="auto"/>
          <w:color w:val="auto"/>
        </w:rPr>
        <w:t>Annex III</w:t>
      </w:r>
      <w:r>
        <w:rPr>
          <w:rFonts w:ascii="Arial" w:cs="Arial" w:eastAsia="Arial" w:hAnsi="Arial"/>
          <w:sz w:val="19"/>
          <w:szCs w:val="19"/>
          <w:color w:val="auto"/>
        </w:rPr>
        <w:t xml:space="preserve"> shall be considered the Material Milestones for the applicable Fiscal Year until the adoption of an Annual Business Plan for the applicable Fiscal Year.</w:t>
      </w:r>
    </w:p>
    <w:p>
      <w:pPr>
        <w:spacing w:after="0" w:line="50" w:lineRule="exact"/>
        <w:rPr>
          <w:rFonts w:ascii="Arial" w:cs="Arial" w:eastAsia="Arial" w:hAnsi="Arial"/>
          <w:sz w:val="19"/>
          <w:szCs w:val="19"/>
          <w:color w:val="auto"/>
        </w:rPr>
      </w:pPr>
    </w:p>
    <w:p>
      <w:pPr>
        <w:ind w:left="-20" w:right="20" w:firstLine="404"/>
        <w:spacing w:after="0" w:line="245" w:lineRule="auto"/>
        <w:tabs>
          <w:tab w:leader="none" w:pos="670" w:val="left"/>
        </w:tabs>
        <w:numPr>
          <w:ilvl w:val="0"/>
          <w:numId w:val="68"/>
        </w:numPr>
        <w:rPr>
          <w:rFonts w:ascii="Arial" w:cs="Arial" w:eastAsia="Arial" w:hAnsi="Arial"/>
          <w:sz w:val="21"/>
          <w:szCs w:val="21"/>
          <w:color w:val="auto"/>
        </w:rPr>
      </w:pPr>
      <w:r>
        <w:rPr>
          <w:rFonts w:ascii="Arial" w:cs="Arial" w:eastAsia="Arial" w:hAnsi="Arial"/>
          <w:sz w:val="21"/>
          <w:szCs w:val="21"/>
          <w:color w:val="auto"/>
        </w:rPr>
        <w:t>For the purpose of determining whether a Material Milestone relating to capital expenditures by the Company and its Subsidiaries has been met, any capital expenditure will be deemed to have been made in the Fiscal Year in which the amounts in respect thereof were paid by the Company or any of its Subsidiaries. A Material Milestone in respect of hiring by the Company and its Subsidiaries for any Fiscal Year shall be met if, from and after the Agreement Date and prior to the end of such Fiscal Year, employment offers from the Company or any of its Subsidiaries shall have been accepted by an aggregate number of full-time equivalent employees (net of any such employees that, after the Agreement Date and prior to the end of such Fiscal Year, were hired, and thereafter ceased to be employed, by the Company or any of its Subsidiaries) that is equal to or in excess of the aggregate number of full-time equivalent employees as are specified as a Material Milestone for such Fiscal Year and each prior Fiscal Year following the Agreement Date.</w:t>
      </w:r>
    </w:p>
    <w:p>
      <w:pPr>
        <w:spacing w:after="0" w:line="77" w:lineRule="exact"/>
        <w:rPr>
          <w:rFonts w:ascii="Arial" w:cs="Arial" w:eastAsia="Arial" w:hAnsi="Arial"/>
          <w:sz w:val="21"/>
          <w:szCs w:val="21"/>
          <w:color w:val="auto"/>
        </w:rPr>
      </w:pPr>
    </w:p>
    <w:p>
      <w:pPr>
        <w:ind w:left="-20" w:right="660" w:firstLine="404"/>
        <w:spacing w:after="0" w:line="251" w:lineRule="auto"/>
        <w:tabs>
          <w:tab w:leader="none" w:pos="682" w:val="left"/>
        </w:tabs>
        <w:numPr>
          <w:ilvl w:val="0"/>
          <w:numId w:val="68"/>
        </w:numPr>
        <w:rPr>
          <w:rFonts w:ascii="Arial" w:cs="Arial" w:eastAsia="Arial" w:hAnsi="Arial"/>
          <w:sz w:val="22"/>
          <w:szCs w:val="22"/>
          <w:color w:val="auto"/>
        </w:rPr>
      </w:pPr>
      <w:r>
        <w:rPr>
          <w:rFonts w:ascii="Arial" w:cs="Arial" w:eastAsia="Arial" w:hAnsi="Arial"/>
          <w:sz w:val="22"/>
          <w:szCs w:val="22"/>
          <w:color w:val="auto"/>
        </w:rPr>
        <w:t xml:space="preserve">To the extent reasonably required in order to meet the Material Milestones, the Company shall request funding from Albany International in the form of Intercompany Loans as contemplated in </w:t>
      </w:r>
      <w:r>
        <w:rPr>
          <w:rFonts w:ascii="Arial" w:cs="Arial" w:eastAsia="Arial" w:hAnsi="Arial"/>
          <w:sz w:val="22"/>
          <w:szCs w:val="22"/>
          <w:u w:val="single" w:color="auto"/>
          <w:color w:val="auto"/>
        </w:rPr>
        <w:t>Section 3.09</w:t>
      </w:r>
      <w:r>
        <w:rPr>
          <w:rFonts w:ascii="Arial" w:cs="Arial" w:eastAsia="Arial" w:hAnsi="Arial"/>
          <w:sz w:val="22"/>
          <w:szCs w:val="22"/>
          <w:color w:val="auto"/>
        </w:rPr>
        <w: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246620" cy="4318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60" w:top="712" w:right="259" w:bottom="1440" w:gutter="0" w:footer="0" w:header="0"/>
        </w:sectPr>
      </w:pPr>
    </w:p>
    <w:bookmarkStart w:id="139" w:name="page140"/>
    <w:bookmarkEnd w:id="139"/>
    <w:p>
      <w:pPr>
        <w:ind w:firstLine="396"/>
        <w:spacing w:after="0" w:line="245" w:lineRule="auto"/>
        <w:rPr>
          <w:sz w:val="20"/>
          <w:szCs w:val="20"/>
          <w:color w:val="auto"/>
        </w:rPr>
      </w:pPr>
      <w:r>
        <w:rPr>
          <w:rFonts w:ascii="Arial" w:cs="Arial" w:eastAsia="Arial" w:hAnsi="Arial"/>
          <w:sz w:val="21"/>
          <w:szCs w:val="21"/>
          <w:color w:val="auto"/>
        </w:rPr>
        <w:t xml:space="preserve">Section 5.10. </w:t>
      </w:r>
      <w:r>
        <w:rPr>
          <w:rFonts w:ascii="Arial" w:cs="Arial" w:eastAsia="Arial" w:hAnsi="Arial"/>
          <w:sz w:val="21"/>
          <w:szCs w:val="21"/>
          <w:u w:val="single" w:color="auto"/>
          <w:color w:val="auto"/>
        </w:rPr>
        <w:t>Employee Transfers</w:t>
      </w:r>
      <w:r>
        <w:rPr>
          <w:rFonts w:ascii="Arial" w:cs="Arial" w:eastAsia="Arial" w:hAnsi="Arial"/>
          <w:sz w:val="21"/>
          <w:szCs w:val="21"/>
          <w:color w:val="auto"/>
        </w:rPr>
        <w:t xml:space="preserve">. Notwithstanding anything in this Agreement to the contrary, to the extent reasonably required in order to satisfy the reasonable employment needs of any of Albany, its Affiliates, the Company or any Subsidiary of the Company, Albany shall have the right to transfer, or cause the transfer of, any employee of Albany or any of its Affiliates to the Company or any Subsidiary of the Company, and to cause the Company or any Subsidiary of the Company to transfer any employee of the Company or any Subsidiary of the Company to Albany or any of its Affiliates;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 during any six (6) month period, the aggregate number of managerial and technical employees transferred from the Company or any Subsidiary of the Company to Albany or any of its Affiliates pursuant to this </w:t>
      </w:r>
      <w:r>
        <w:rPr>
          <w:rFonts w:ascii="Arial" w:cs="Arial" w:eastAsia="Arial" w:hAnsi="Arial"/>
          <w:sz w:val="21"/>
          <w:szCs w:val="21"/>
          <w:u w:val="single" w:color="auto"/>
          <w:color w:val="auto"/>
        </w:rPr>
        <w:t>Section 5.10</w:t>
      </w:r>
      <w:r>
        <w:rPr>
          <w:rFonts w:ascii="Arial" w:cs="Arial" w:eastAsia="Arial" w:hAnsi="Arial"/>
          <w:sz w:val="21"/>
          <w:szCs w:val="21"/>
          <w:color w:val="auto"/>
        </w:rPr>
        <w:t>, shall not exceed 20% of the total number of managerial and technical employees of the Company and its Subsidiaries without Safran’s prior written consent and (b) at all times the Company’s and its Subsidiaries’ requirements for the services provided by such transferred managerial and technical employees are met or exceeded.</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ARTICLE VI</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22"/>
          <w:szCs w:val="22"/>
          <w:u w:val="single" w:color="auto"/>
          <w:color w:val="auto"/>
        </w:rPr>
        <w:t>OFFICERS</w:t>
      </w:r>
    </w:p>
    <w:p>
      <w:pPr>
        <w:spacing w:after="0" w:line="206" w:lineRule="exact"/>
        <w:rPr>
          <w:sz w:val="20"/>
          <w:szCs w:val="20"/>
          <w:color w:val="auto"/>
        </w:rPr>
      </w:pPr>
    </w:p>
    <w:p>
      <w:pPr>
        <w:ind w:right="80" w:firstLine="396"/>
        <w:spacing w:after="0" w:line="272" w:lineRule="auto"/>
        <w:rPr>
          <w:sz w:val="20"/>
          <w:szCs w:val="20"/>
          <w:color w:val="auto"/>
        </w:rPr>
      </w:pPr>
      <w:r>
        <w:rPr>
          <w:rFonts w:ascii="Arial" w:cs="Arial" w:eastAsia="Arial" w:hAnsi="Arial"/>
          <w:sz w:val="19"/>
          <w:szCs w:val="19"/>
          <w:color w:val="auto"/>
        </w:rPr>
        <w:t xml:space="preserve">Section 6.01. </w:t>
      </w:r>
      <w:r>
        <w:rPr>
          <w:rFonts w:ascii="Arial" w:cs="Arial" w:eastAsia="Arial" w:hAnsi="Arial"/>
          <w:sz w:val="19"/>
          <w:szCs w:val="19"/>
          <w:u w:val="single" w:color="auto"/>
          <w:color w:val="auto"/>
        </w:rPr>
        <w:t>Designation; Term; Qualifications</w:t>
      </w:r>
      <w:r>
        <w:rPr>
          <w:rFonts w:ascii="Arial" w:cs="Arial" w:eastAsia="Arial" w:hAnsi="Arial"/>
          <w:sz w:val="19"/>
          <w:szCs w:val="19"/>
          <w:color w:val="auto"/>
        </w:rPr>
        <w:t xml:space="preserve">. Except as otherwise provided in </w:t>
      </w:r>
      <w:r>
        <w:rPr>
          <w:rFonts w:ascii="Arial" w:cs="Arial" w:eastAsia="Arial" w:hAnsi="Arial"/>
          <w:sz w:val="19"/>
          <w:szCs w:val="19"/>
          <w:u w:val="single" w:color="auto"/>
          <w:color w:val="auto"/>
        </w:rPr>
        <w:t>Section 6.02</w:t>
      </w:r>
      <w:r>
        <w:rPr>
          <w:rFonts w:ascii="Arial" w:cs="Arial" w:eastAsia="Arial" w:hAnsi="Arial"/>
          <w:sz w:val="19"/>
          <w:szCs w:val="19"/>
          <w:color w:val="auto"/>
        </w:rPr>
        <w:t xml:space="preserve">, the Board may, from time to time, appoint one or more individuals to be officers of the Company. Any officer so appointed shall have such authority and perform such duties as the Board may, from time to time, delegate to him or her. Unless the Board decides otherwise, if the title is one commonly used for officers of a business corporation formed under the General Corporation Law of the State of Delaware, the assignment of such title shall constitute the delegation to such officer of the authority and duties that are normally associated with that office, subject to any restrictions on such authority imposed by the Board and this Agreement (including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Any number of offices may be held by the same Person. Without regard to the general delegation to the officers as set forth above, each officer who holds the title of “President”, “Senior Vice President” or “Vice President”, acting alone, shall have the authority to make, enter into and perform all contracts, agreements, reports and undertakings of the Company that have been authorized by the Board. Subject to </w:t>
      </w:r>
      <w:r>
        <w:rPr>
          <w:rFonts w:ascii="Arial" w:cs="Arial" w:eastAsia="Arial" w:hAnsi="Arial"/>
          <w:sz w:val="19"/>
          <w:szCs w:val="19"/>
          <w:u w:val="single" w:color="auto"/>
          <w:color w:val="auto"/>
        </w:rPr>
        <w:t>Article V</w:t>
      </w:r>
      <w:r>
        <w:rPr>
          <w:rFonts w:ascii="Arial" w:cs="Arial" w:eastAsia="Arial" w:hAnsi="Arial"/>
          <w:sz w:val="19"/>
          <w:szCs w:val="19"/>
          <w:color w:val="auto"/>
        </w:rPr>
        <w:t>, the execution and delivery of such contracts, agreements or other documents, or the taking of any actions in connection therewith, shall be conclusive evidence of the Company’s approval thereof, and no further approval by the Company shall be required. Each officer shall hold office for the term for which such officer is appointed and until his or her successor shall be duly appointed and shall qualify, or until his or her death, resignation or removal as provided in this Agreement.</w:t>
      </w:r>
    </w:p>
    <w:p>
      <w:pPr>
        <w:spacing w:after="0" w:line="49" w:lineRule="exact"/>
        <w:rPr>
          <w:sz w:val="20"/>
          <w:szCs w:val="20"/>
          <w:color w:val="auto"/>
        </w:rPr>
      </w:pPr>
    </w:p>
    <w:p>
      <w:pPr>
        <w:ind w:right="480" w:firstLine="396"/>
        <w:spacing w:after="0" w:line="251" w:lineRule="auto"/>
        <w:rPr>
          <w:sz w:val="20"/>
          <w:szCs w:val="20"/>
          <w:color w:val="auto"/>
        </w:rPr>
      </w:pPr>
      <w:r>
        <w:rPr>
          <w:rFonts w:ascii="Arial" w:cs="Arial" w:eastAsia="Arial" w:hAnsi="Arial"/>
          <w:sz w:val="22"/>
          <w:szCs w:val="22"/>
          <w:color w:val="auto"/>
        </w:rPr>
        <w:t xml:space="preserve">Section 6.02. </w:t>
      </w:r>
      <w:r>
        <w:rPr>
          <w:rFonts w:ascii="Arial" w:cs="Arial" w:eastAsia="Arial" w:hAnsi="Arial"/>
          <w:sz w:val="22"/>
          <w:szCs w:val="22"/>
          <w:u w:val="single" w:color="auto"/>
          <w:color w:val="auto"/>
        </w:rPr>
        <w:t>Officers</w:t>
      </w:r>
      <w:r>
        <w:rPr>
          <w:rFonts w:ascii="Arial" w:cs="Arial" w:eastAsia="Arial" w:hAnsi="Arial"/>
          <w:sz w:val="22"/>
          <w:szCs w:val="22"/>
          <w:color w:val="auto"/>
        </w:rPr>
        <w:t xml:space="preserve">. As of the Agreement Date, the Company shall have such officers as required by and determined in accordance with this </w:t>
      </w:r>
      <w:r>
        <w:rPr>
          <w:rFonts w:ascii="Arial" w:cs="Arial" w:eastAsia="Arial" w:hAnsi="Arial"/>
          <w:sz w:val="22"/>
          <w:szCs w:val="22"/>
          <w:u w:val="single" w:color="auto"/>
          <w:color w:val="auto"/>
        </w:rPr>
        <w:t>Section 6.02</w:t>
      </w:r>
      <w:r>
        <w:rPr>
          <w:rFonts w:ascii="Arial" w:cs="Arial" w:eastAsia="Arial" w:hAnsi="Arial"/>
          <w:sz w:val="22"/>
          <w:szCs w:val="22"/>
          <w:color w:val="auto"/>
        </w:rPr>
        <w:t>.</w:t>
      </w:r>
    </w:p>
    <w:p>
      <w:pPr>
        <w:spacing w:after="0" w:line="65" w:lineRule="exact"/>
        <w:rPr>
          <w:sz w:val="20"/>
          <w:szCs w:val="20"/>
          <w:color w:val="auto"/>
        </w:rPr>
      </w:pPr>
    </w:p>
    <w:p>
      <w:pPr>
        <w:ind w:right="40" w:firstLine="404"/>
        <w:spacing w:after="0" w:line="279" w:lineRule="auto"/>
        <w:tabs>
          <w:tab w:leader="none" w:pos="690" w:val="left"/>
        </w:tabs>
        <w:numPr>
          <w:ilvl w:val="0"/>
          <w:numId w:val="69"/>
        </w:numPr>
        <w:rPr>
          <w:rFonts w:ascii="Arial" w:cs="Arial" w:eastAsia="Arial" w:hAnsi="Arial"/>
          <w:sz w:val="19"/>
          <w:szCs w:val="19"/>
          <w:color w:val="auto"/>
        </w:rPr>
      </w:pPr>
      <w:r>
        <w:rPr>
          <w:rFonts w:ascii="Arial" w:cs="Arial" w:eastAsia="Arial" w:hAnsi="Arial"/>
          <w:sz w:val="19"/>
          <w:szCs w:val="19"/>
          <w:color w:val="auto"/>
        </w:rPr>
        <w:t>The Albany Managers shall have the right to appoint a general manager (the “</w:t>
      </w:r>
      <w:r>
        <w:rPr>
          <w:rFonts w:ascii="Arial" w:cs="Arial" w:eastAsia="Arial" w:hAnsi="Arial"/>
          <w:sz w:val="19"/>
          <w:szCs w:val="19"/>
          <w:u w:val="single" w:color="auto"/>
          <w:color w:val="auto"/>
        </w:rPr>
        <w:t>General Manager</w:t>
      </w:r>
      <w:r>
        <w:rPr>
          <w:rFonts w:ascii="Arial" w:cs="Arial" w:eastAsia="Arial" w:hAnsi="Arial"/>
          <w:sz w:val="19"/>
          <w:szCs w:val="19"/>
          <w:color w:val="auto"/>
        </w:rPr>
        <w:t>”), a head of engineering (the “</w:t>
      </w:r>
      <w:r>
        <w:rPr>
          <w:rFonts w:ascii="Arial" w:cs="Arial" w:eastAsia="Arial" w:hAnsi="Arial"/>
          <w:sz w:val="19"/>
          <w:szCs w:val="19"/>
          <w:u w:val="single" w:color="auto"/>
          <w:color w:val="auto"/>
        </w:rPr>
        <w:t>Head of Engineering</w:t>
      </w:r>
      <w:r>
        <w:rPr>
          <w:rFonts w:ascii="Arial" w:cs="Arial" w:eastAsia="Arial" w:hAnsi="Arial"/>
          <w:sz w:val="19"/>
          <w:szCs w:val="19"/>
          <w:color w:val="auto"/>
        </w:rPr>
        <w:t>”) and a chief financial officer (the “</w:t>
      </w:r>
      <w:r>
        <w:rPr>
          <w:rFonts w:ascii="Arial" w:cs="Arial" w:eastAsia="Arial" w:hAnsi="Arial"/>
          <w:sz w:val="19"/>
          <w:szCs w:val="19"/>
          <w:u w:val="single" w:color="auto"/>
          <w:color w:val="auto"/>
        </w:rPr>
        <w:t>CFO</w:t>
      </w:r>
      <w:r>
        <w:rPr>
          <w:rFonts w:ascii="Arial" w:cs="Arial" w:eastAsia="Arial" w:hAnsi="Arial"/>
          <w:sz w:val="19"/>
          <w:szCs w:val="19"/>
          <w:color w:val="auto"/>
        </w:rPr>
        <w:t>” and, together with the General Manager and the Head of Engineering, the “</w:t>
      </w:r>
      <w:r>
        <w:rPr>
          <w:rFonts w:ascii="Arial" w:cs="Arial" w:eastAsia="Arial" w:hAnsi="Arial"/>
          <w:sz w:val="19"/>
          <w:szCs w:val="19"/>
          <w:u w:val="single" w:color="auto"/>
          <w:color w:val="auto"/>
        </w:rPr>
        <w:t>Albany Officers</w:t>
      </w:r>
      <w:r>
        <w:rPr>
          <w:rFonts w:ascii="Arial" w:cs="Arial" w:eastAsia="Arial" w:hAnsi="Arial"/>
          <w:sz w:val="19"/>
          <w:szCs w:val="19"/>
          <w:color w:val="auto"/>
        </w:rPr>
        <w:t>”). None of the Albany Officers shall be Managers. Each of the Albany Officers is an agent of the Company, and the actions of any of the Albany Officers taken in accordance with such powers shall bind the Company. Each of the Albany Officers may be removed, with or without Cause, by unanimous vote of the Albany Managers, such removal to be effective upon such vote, unless otherwise set forth in the vote of the Albany Managers. In</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712" w:right="259" w:bottom="1440" w:gutter="0" w:footer="0" w:header="0"/>
        </w:sectPr>
      </w:pPr>
    </w:p>
    <w:bookmarkStart w:id="140" w:name="page141"/>
    <w:bookmarkEnd w:id="140"/>
    <w:p>
      <w:pPr>
        <w:ind w:right="240"/>
        <w:spacing w:after="0" w:line="251" w:lineRule="auto"/>
        <w:rPr>
          <w:sz w:val="20"/>
          <w:szCs w:val="20"/>
          <w:color w:val="auto"/>
        </w:rPr>
      </w:pPr>
      <w:r>
        <w:rPr>
          <w:rFonts w:ascii="Arial" w:cs="Arial" w:eastAsia="Arial" w:hAnsi="Arial"/>
          <w:sz w:val="22"/>
          <w:szCs w:val="22"/>
          <w:color w:val="auto"/>
        </w:rPr>
        <w:t>the event of the resignation, removal or death of any Albany Officer, the Albany Managers shall appoint a new General Manager, Head of Engineering or CFO, as applicable.</w:t>
      </w:r>
    </w:p>
    <w:p>
      <w:pPr>
        <w:spacing w:after="0" w:line="173" w:lineRule="exact"/>
        <w:rPr>
          <w:sz w:val="20"/>
          <w:szCs w:val="20"/>
          <w:color w:val="auto"/>
        </w:rPr>
      </w:pPr>
    </w:p>
    <w:p>
      <w:pPr>
        <w:ind w:left="720" w:hanging="316"/>
        <w:spacing w:after="0"/>
        <w:tabs>
          <w:tab w:leader="none" w:pos="720" w:val="left"/>
        </w:tabs>
        <w:numPr>
          <w:ilvl w:val="0"/>
          <w:numId w:val="70"/>
        </w:numPr>
        <w:rPr>
          <w:rFonts w:ascii="Arial" w:cs="Arial" w:eastAsia="Arial" w:hAnsi="Arial"/>
          <w:sz w:val="21"/>
          <w:szCs w:val="21"/>
          <w:color w:val="auto"/>
        </w:rPr>
      </w:pPr>
      <w:r>
        <w:rPr>
          <w:rFonts w:ascii="Arial" w:cs="Arial" w:eastAsia="Arial" w:hAnsi="Arial"/>
          <w:sz w:val="21"/>
          <w:szCs w:val="21"/>
          <w:color w:val="auto"/>
        </w:rPr>
        <w:t>Safran shall have the right to appoint a director of human resources (the “</w:t>
      </w:r>
      <w:r>
        <w:rPr>
          <w:rFonts w:ascii="Arial" w:cs="Arial" w:eastAsia="Arial" w:hAnsi="Arial"/>
          <w:sz w:val="21"/>
          <w:szCs w:val="21"/>
          <w:u w:val="single" w:color="auto"/>
          <w:color w:val="auto"/>
        </w:rPr>
        <w:t>HR Director</w:t>
      </w:r>
      <w:r>
        <w:rPr>
          <w:rFonts w:ascii="Arial" w:cs="Arial" w:eastAsia="Arial" w:hAnsi="Arial"/>
          <w:sz w:val="21"/>
          <w:szCs w:val="21"/>
          <w:color w:val="auto"/>
        </w:rPr>
        <w:t>”). The HR Director shall be</w:t>
      </w:r>
    </w:p>
    <w:p>
      <w:pPr>
        <w:spacing w:after="0" w:line="19" w:lineRule="exact"/>
        <w:rPr>
          <w:rFonts w:ascii="Arial" w:cs="Arial" w:eastAsia="Arial" w:hAnsi="Arial"/>
          <w:sz w:val="21"/>
          <w:szCs w:val="21"/>
          <w:color w:val="auto"/>
        </w:rPr>
      </w:pPr>
    </w:p>
    <w:p>
      <w:pPr>
        <w:ind w:right="20"/>
        <w:spacing w:after="0" w:line="269" w:lineRule="auto"/>
        <w:rPr>
          <w:rFonts w:ascii="Arial" w:cs="Arial" w:eastAsia="Arial" w:hAnsi="Arial"/>
          <w:sz w:val="21"/>
          <w:szCs w:val="21"/>
          <w:color w:val="auto"/>
        </w:rPr>
      </w:pPr>
      <w:r>
        <w:rPr>
          <w:rFonts w:ascii="Arial" w:cs="Arial" w:eastAsia="Arial" w:hAnsi="Arial"/>
          <w:sz w:val="19"/>
          <w:szCs w:val="19"/>
          <w:color w:val="auto"/>
        </w:rPr>
        <w:t xml:space="preserve">consulted by the Company on matters relating to development and training, employee relations, employee safety, welfare, wellness and health, employee services and counseling and the relation of such matters to the common human resources handbook between Safran and the Company. The HR Director shall perform such duties at the reasonable direction of the General Manager consistent with the responsibilities described in this </w:t>
      </w:r>
      <w:r>
        <w:rPr>
          <w:rFonts w:ascii="Arial" w:cs="Arial" w:eastAsia="Arial" w:hAnsi="Arial"/>
          <w:sz w:val="19"/>
          <w:szCs w:val="19"/>
          <w:u w:val="single" w:color="auto"/>
          <w:color w:val="auto"/>
        </w:rPr>
        <w:t>Section 6.02(b)</w:t>
      </w:r>
      <w:r>
        <w:rPr>
          <w:rFonts w:ascii="Arial" w:cs="Arial" w:eastAsia="Arial" w:hAnsi="Arial"/>
          <w:sz w:val="19"/>
          <w:szCs w:val="19"/>
          <w:color w:val="auto"/>
        </w:rPr>
        <w:t>. The HR Director shall not be a Manager and, unless expressly authorized by the Board or by this Agreement, shall not have the authority to make, enter into or perform any contracts, agreements or undertakings of the Company. The Company shall (x) provide the HR Director with a copy of its standard form of employment, consulting or other agreements for hiring employees or independent contractors, (y) notify the HR Director of any material changes to the standard form of such agreements, and (z) in each case, consider in good faith any comments to such agreements provided by the HR Director. For avoidance of doubt, Albany Managers and Albany Officers shall be responsible for making and implementing all hiring and compensation decisions relating to the Company and its Subsidiaries. Within thirty (30) days following the beginning of each Fiscal Year and within thirty (30) days following the beginning of the third (3rd) quarter of each Fiscal Year, the Company shall provide the HR Director a list of all employees of the Company, which list shall set forth for each such employee (i) such employee’s number of years of composites experience, (ii) such employee’s core competencies and (iii) the percentage of hours worked by such employee during the preceding twelve (12) months on Company Services (as such term is defined in the Services Agreement) relative to the total number of hours worked by such employee during the preceding twelve (12) months. The HR Director may be removed (x) with or without Cause, by the Safran Manager or (y) with Cause, by the Board (with or without the approval of the Safran Manager). In the event of the resignation, removal or death of the HR Director, the Safran Manager shall appoint a new HR Director.</w:t>
      </w:r>
    </w:p>
    <w:p>
      <w:pPr>
        <w:spacing w:after="0" w:line="303" w:lineRule="exact"/>
        <w:rPr>
          <w:sz w:val="20"/>
          <w:szCs w:val="20"/>
          <w:color w:val="auto"/>
        </w:rPr>
      </w:pPr>
    </w:p>
    <w:p>
      <w:pPr>
        <w:ind w:right="80" w:firstLine="396"/>
        <w:spacing w:after="0" w:line="258" w:lineRule="auto"/>
        <w:rPr>
          <w:sz w:val="20"/>
          <w:szCs w:val="20"/>
          <w:color w:val="auto"/>
        </w:rPr>
      </w:pPr>
      <w:r>
        <w:rPr>
          <w:rFonts w:ascii="Arial" w:cs="Arial" w:eastAsia="Arial" w:hAnsi="Arial"/>
          <w:sz w:val="21"/>
          <w:szCs w:val="21"/>
          <w:color w:val="auto"/>
        </w:rPr>
        <w:t xml:space="preserve">Section 6.03. </w:t>
      </w:r>
      <w:r>
        <w:rPr>
          <w:rFonts w:ascii="Arial" w:cs="Arial" w:eastAsia="Arial" w:hAnsi="Arial"/>
          <w:sz w:val="21"/>
          <w:szCs w:val="21"/>
          <w:u w:val="single" w:color="auto"/>
          <w:color w:val="auto"/>
        </w:rPr>
        <w:t>Management Committee</w:t>
      </w:r>
      <w:r>
        <w:rPr>
          <w:rFonts w:ascii="Arial" w:cs="Arial" w:eastAsia="Arial" w:hAnsi="Arial"/>
          <w:sz w:val="21"/>
          <w:szCs w:val="21"/>
          <w:color w:val="auto"/>
        </w:rPr>
        <w:t>. The General Manager, the Head of Engineering, the HR Director and the CFO shall constitute the initial members of a management committee (the “</w:t>
      </w:r>
      <w:r>
        <w:rPr>
          <w:rFonts w:ascii="Arial" w:cs="Arial" w:eastAsia="Arial" w:hAnsi="Arial"/>
          <w:sz w:val="21"/>
          <w:szCs w:val="21"/>
          <w:u w:val="single" w:color="auto"/>
          <w:color w:val="auto"/>
        </w:rPr>
        <w:t>Management Committee</w:t>
      </w:r>
      <w:r>
        <w:rPr>
          <w:rFonts w:ascii="Arial" w:cs="Arial" w:eastAsia="Arial" w:hAnsi="Arial"/>
          <w:sz w:val="21"/>
          <w:szCs w:val="21"/>
          <w:color w:val="auto"/>
        </w:rPr>
        <w:t>”) which shall be responsible for the day-to-day operational management of the Company, except as otherwise provided in this Agreement.</w:t>
      </w:r>
    </w:p>
    <w:p>
      <w:pPr>
        <w:spacing w:after="0" w:line="59" w:lineRule="exact"/>
        <w:rPr>
          <w:sz w:val="20"/>
          <w:szCs w:val="20"/>
          <w:color w:val="auto"/>
        </w:rPr>
      </w:pPr>
    </w:p>
    <w:p>
      <w:pPr>
        <w:ind w:firstLine="396"/>
        <w:spacing w:after="0" w:line="236" w:lineRule="auto"/>
        <w:rPr>
          <w:sz w:val="20"/>
          <w:szCs w:val="20"/>
          <w:color w:val="auto"/>
        </w:rPr>
      </w:pPr>
      <w:r>
        <w:rPr>
          <w:rFonts w:ascii="Arial" w:cs="Arial" w:eastAsia="Arial" w:hAnsi="Arial"/>
          <w:sz w:val="22"/>
          <w:szCs w:val="22"/>
          <w:color w:val="auto"/>
        </w:rPr>
        <w:t xml:space="preserve">Section 6.04. </w:t>
      </w:r>
      <w:r>
        <w:rPr>
          <w:rFonts w:ascii="Arial" w:cs="Arial" w:eastAsia="Arial" w:hAnsi="Arial"/>
          <w:sz w:val="22"/>
          <w:szCs w:val="22"/>
          <w:u w:val="single" w:color="auto"/>
          <w:color w:val="auto"/>
        </w:rPr>
        <w:t>Removal and Resignation</w:t>
      </w:r>
      <w:r>
        <w:rPr>
          <w:rFonts w:ascii="Arial" w:cs="Arial" w:eastAsia="Arial" w:hAnsi="Arial"/>
          <w:sz w:val="22"/>
          <w:szCs w:val="22"/>
          <w:color w:val="auto"/>
        </w:rPr>
        <w:t xml:space="preserve">. Except as set forth in </w:t>
      </w:r>
      <w:r>
        <w:rPr>
          <w:rFonts w:ascii="Arial" w:cs="Arial" w:eastAsia="Arial" w:hAnsi="Arial"/>
          <w:sz w:val="22"/>
          <w:szCs w:val="22"/>
          <w:u w:val="single" w:color="auto"/>
          <w:color w:val="auto"/>
        </w:rPr>
        <w:t>Section 6.02</w:t>
      </w:r>
      <w:r>
        <w:rPr>
          <w:rFonts w:ascii="Arial" w:cs="Arial" w:eastAsia="Arial" w:hAnsi="Arial"/>
          <w:sz w:val="22"/>
          <w:szCs w:val="22"/>
          <w:color w:val="auto"/>
        </w:rPr>
        <w:t>, the Board may remove any officer of the Company as such, with or without Cause, at any time. Any officer of the Company may resign as such at any time upon written notice to the Company. Such resignation shall be made in writing and shall take effect at the time specified therein or, if no time is specified therein, at the time of its receipt by the Company. The acceptance of a resignation shall not be necessary to make it effective, unless expressly so provided in the resignation.</w:t>
      </w:r>
    </w:p>
    <w:p>
      <w:pPr>
        <w:spacing w:after="0" w:line="80" w:lineRule="exact"/>
        <w:rPr>
          <w:sz w:val="20"/>
          <w:szCs w:val="20"/>
          <w:color w:val="auto"/>
        </w:rPr>
      </w:pPr>
    </w:p>
    <w:p>
      <w:pPr>
        <w:ind w:right="60" w:firstLine="396"/>
        <w:spacing w:after="0" w:line="251" w:lineRule="auto"/>
        <w:rPr>
          <w:sz w:val="20"/>
          <w:szCs w:val="20"/>
          <w:color w:val="auto"/>
        </w:rPr>
      </w:pPr>
      <w:r>
        <w:rPr>
          <w:rFonts w:ascii="Arial" w:cs="Arial" w:eastAsia="Arial" w:hAnsi="Arial"/>
          <w:sz w:val="22"/>
          <w:szCs w:val="22"/>
          <w:color w:val="auto"/>
        </w:rPr>
        <w:t xml:space="preserve">Section 6.05. </w:t>
      </w:r>
      <w:r>
        <w:rPr>
          <w:rFonts w:ascii="Arial" w:cs="Arial" w:eastAsia="Arial" w:hAnsi="Arial"/>
          <w:sz w:val="22"/>
          <w:szCs w:val="22"/>
          <w:u w:val="single" w:color="auto"/>
          <w:color w:val="auto"/>
        </w:rPr>
        <w:t>Vacancies</w:t>
      </w:r>
      <w:r>
        <w:rPr>
          <w:rFonts w:ascii="Arial" w:cs="Arial" w:eastAsia="Arial" w:hAnsi="Arial"/>
          <w:sz w:val="22"/>
          <w:szCs w:val="22"/>
          <w:color w:val="auto"/>
        </w:rPr>
        <w:t xml:space="preserve">. Except as set forth in </w:t>
      </w:r>
      <w:r>
        <w:rPr>
          <w:rFonts w:ascii="Arial" w:cs="Arial" w:eastAsia="Arial" w:hAnsi="Arial"/>
          <w:sz w:val="22"/>
          <w:szCs w:val="22"/>
          <w:u w:val="single" w:color="auto"/>
          <w:color w:val="auto"/>
        </w:rPr>
        <w:t>Section 6.02</w:t>
      </w:r>
      <w:r>
        <w:rPr>
          <w:rFonts w:ascii="Arial" w:cs="Arial" w:eastAsia="Arial" w:hAnsi="Arial"/>
          <w:sz w:val="22"/>
          <w:szCs w:val="22"/>
          <w:color w:val="auto"/>
        </w:rPr>
        <w:t xml:space="preserve">, any vacancy occurring in any office of the Company may be filled by Board approval in accordance with </w:t>
      </w:r>
      <w:r>
        <w:rPr>
          <w:rFonts w:ascii="Arial" w:cs="Arial" w:eastAsia="Arial" w:hAnsi="Arial"/>
          <w:sz w:val="22"/>
          <w:szCs w:val="22"/>
          <w:u w:val="single" w:color="auto"/>
          <w:color w:val="auto"/>
        </w:rPr>
        <w:t>Section 6.01</w:t>
      </w:r>
      <w:r>
        <w:rPr>
          <w:rFonts w:ascii="Arial" w:cs="Arial" w:eastAsia="Arial" w:hAnsi="Arial"/>
          <w:sz w:val="22"/>
          <w:szCs w:val="22"/>
          <w:color w:val="auto"/>
        </w:rPr>
        <w: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141" w:name="page142"/>
    <w:bookmarkEnd w:id="141"/>
    <w:p>
      <w:pPr>
        <w:jc w:val="center"/>
        <w:ind w:right="-19"/>
        <w:spacing w:after="0"/>
        <w:rPr>
          <w:sz w:val="20"/>
          <w:szCs w:val="20"/>
          <w:color w:val="auto"/>
        </w:rPr>
      </w:pPr>
      <w:r>
        <w:rPr>
          <w:rFonts w:ascii="Arial" w:cs="Arial" w:eastAsia="Arial" w:hAnsi="Arial"/>
          <w:sz w:val="22"/>
          <w:szCs w:val="22"/>
          <w:color w:val="auto"/>
        </w:rPr>
        <w:t>ARTICLE VII</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TRANSFER OF MEMBERSHIP UNITS</w:t>
      </w:r>
    </w:p>
    <w:p>
      <w:pPr>
        <w:spacing w:after="0" w:line="206" w:lineRule="exact"/>
        <w:rPr>
          <w:sz w:val="20"/>
          <w:szCs w:val="20"/>
          <w:color w:val="auto"/>
        </w:rPr>
      </w:pPr>
    </w:p>
    <w:p>
      <w:pPr>
        <w:ind w:right="80" w:firstLine="396"/>
        <w:spacing w:after="0" w:line="251" w:lineRule="auto"/>
        <w:rPr>
          <w:sz w:val="20"/>
          <w:szCs w:val="20"/>
          <w:color w:val="auto"/>
        </w:rPr>
      </w:pPr>
      <w:r>
        <w:rPr>
          <w:rFonts w:ascii="Arial" w:cs="Arial" w:eastAsia="Arial" w:hAnsi="Arial"/>
          <w:sz w:val="22"/>
          <w:szCs w:val="22"/>
          <w:color w:val="auto"/>
        </w:rPr>
        <w:t xml:space="preserve">Section 7.01. </w:t>
      </w:r>
      <w:r>
        <w:rPr>
          <w:rFonts w:ascii="Arial" w:cs="Arial" w:eastAsia="Arial" w:hAnsi="Arial"/>
          <w:sz w:val="22"/>
          <w:szCs w:val="22"/>
          <w:u w:val="single" w:color="auto"/>
          <w:color w:val="auto"/>
        </w:rPr>
        <w:t>Limitations on Transfer</w:t>
      </w:r>
      <w:r>
        <w:rPr>
          <w:rFonts w:ascii="Arial" w:cs="Arial" w:eastAsia="Arial" w:hAnsi="Arial"/>
          <w:sz w:val="22"/>
          <w:szCs w:val="22"/>
          <w:color w:val="auto"/>
        </w:rPr>
        <w:t xml:space="preserve">. (a) A Member may Transfer its Membership Units only in accordance with, and subject to the applicable provisions of, this </w:t>
      </w:r>
      <w:r>
        <w:rPr>
          <w:rFonts w:ascii="Arial" w:cs="Arial" w:eastAsia="Arial" w:hAnsi="Arial"/>
          <w:sz w:val="22"/>
          <w:szCs w:val="22"/>
          <w:u w:val="single" w:color="auto"/>
          <w:color w:val="auto"/>
        </w:rPr>
        <w:t>Article VII</w:t>
      </w:r>
      <w:r>
        <w:rPr>
          <w:rFonts w:ascii="Arial" w:cs="Arial" w:eastAsia="Arial" w:hAnsi="Arial"/>
          <w:sz w:val="22"/>
          <w:szCs w:val="22"/>
          <w:color w:val="auto"/>
        </w:rPr>
        <w:t>.</w:t>
      </w:r>
    </w:p>
    <w:p>
      <w:pPr>
        <w:spacing w:after="0" w:line="65" w:lineRule="exact"/>
        <w:rPr>
          <w:sz w:val="20"/>
          <w:szCs w:val="20"/>
          <w:color w:val="auto"/>
        </w:rPr>
      </w:pPr>
    </w:p>
    <w:p>
      <w:pPr>
        <w:ind w:right="20" w:firstLine="404"/>
        <w:spacing w:after="0" w:line="235" w:lineRule="auto"/>
        <w:tabs>
          <w:tab w:leader="none" w:pos="702" w:val="left"/>
        </w:tabs>
        <w:numPr>
          <w:ilvl w:val="0"/>
          <w:numId w:val="71"/>
        </w:numPr>
        <w:rPr>
          <w:rFonts w:ascii="Arial" w:cs="Arial" w:eastAsia="Arial" w:hAnsi="Arial"/>
          <w:sz w:val="22"/>
          <w:szCs w:val="22"/>
          <w:color w:val="auto"/>
        </w:rPr>
      </w:pPr>
      <w:r>
        <w:rPr>
          <w:rFonts w:ascii="Arial" w:cs="Arial" w:eastAsia="Arial" w:hAnsi="Arial"/>
          <w:sz w:val="22"/>
          <w:szCs w:val="22"/>
          <w:color w:val="auto"/>
        </w:rPr>
        <w:t xml:space="preserve">Any purported Transfer of Membership Units other than in accordance with this Agreement shall be null and void, and the Company shall refuse to recognize any such Transfer for any purpose and shall not reflect in its records any change in record ownership of Membership Units pursuant to any such Transfer. Except for Permitted Transfers or Transfers in accordance with </w:t>
      </w:r>
      <w:r>
        <w:rPr>
          <w:rFonts w:ascii="Arial" w:cs="Arial" w:eastAsia="Arial" w:hAnsi="Arial"/>
          <w:sz w:val="22"/>
          <w:szCs w:val="22"/>
          <w:u w:val="single" w:color="auto"/>
          <w:color w:val="auto"/>
        </w:rPr>
        <w:t>Section 7.05</w:t>
      </w:r>
      <w:r>
        <w:rPr>
          <w:rFonts w:ascii="Arial" w:cs="Arial" w:eastAsia="Arial" w:hAnsi="Arial"/>
          <w:sz w:val="22"/>
          <w:szCs w:val="22"/>
          <w:color w:val="auto"/>
        </w:rPr>
        <w:t>, each other Member must consent in writing to any purported Transfer, which Transfer (if any) shall be subject to such other Members’ preemption right on terms to be agreed between the Parties subject to agreement by the Parties on mutually acceptable terms.</w:t>
      </w:r>
    </w:p>
    <w:p>
      <w:pPr>
        <w:spacing w:after="0" w:line="80" w:lineRule="exact"/>
        <w:rPr>
          <w:rFonts w:ascii="Arial" w:cs="Arial" w:eastAsia="Arial" w:hAnsi="Arial"/>
          <w:sz w:val="22"/>
          <w:szCs w:val="22"/>
          <w:color w:val="auto"/>
        </w:rPr>
      </w:pPr>
    </w:p>
    <w:p>
      <w:pPr>
        <w:ind w:right="880" w:firstLine="404"/>
        <w:spacing w:after="0" w:line="251" w:lineRule="auto"/>
        <w:tabs>
          <w:tab w:leader="none" w:pos="690" w:val="left"/>
        </w:tabs>
        <w:numPr>
          <w:ilvl w:val="0"/>
          <w:numId w:val="71"/>
        </w:numPr>
        <w:rPr>
          <w:rFonts w:ascii="Arial" w:cs="Arial" w:eastAsia="Arial" w:hAnsi="Arial"/>
          <w:sz w:val="22"/>
          <w:szCs w:val="22"/>
          <w:color w:val="auto"/>
        </w:rPr>
      </w:pPr>
      <w:r>
        <w:rPr>
          <w:rFonts w:ascii="Arial" w:cs="Arial" w:eastAsia="Arial" w:hAnsi="Arial"/>
          <w:sz w:val="22"/>
          <w:szCs w:val="22"/>
          <w:color w:val="auto"/>
        </w:rPr>
        <w:t xml:space="preserve">The Board or any officer of the Company shall amend </w:t>
      </w:r>
      <w:r>
        <w:rPr>
          <w:rFonts w:ascii="Arial" w:cs="Arial" w:eastAsia="Arial" w:hAnsi="Arial"/>
          <w:sz w:val="22"/>
          <w:szCs w:val="22"/>
          <w:u w:val="single" w:color="auto"/>
          <w:color w:val="auto"/>
        </w:rPr>
        <w:t>Schedule 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Schedule B</w:t>
      </w:r>
      <w:r>
        <w:rPr>
          <w:rFonts w:ascii="Arial" w:cs="Arial" w:eastAsia="Arial" w:hAnsi="Arial"/>
          <w:sz w:val="22"/>
          <w:szCs w:val="22"/>
          <w:color w:val="auto"/>
        </w:rPr>
        <w:t xml:space="preserve"> to reflect the admission of any additional Members and any Transfer, in each case, in accordance with this </w:t>
      </w:r>
      <w:r>
        <w:rPr>
          <w:rFonts w:ascii="Arial" w:cs="Arial" w:eastAsia="Arial" w:hAnsi="Arial"/>
          <w:sz w:val="22"/>
          <w:szCs w:val="22"/>
          <w:u w:val="single" w:color="auto"/>
          <w:color w:val="auto"/>
        </w:rPr>
        <w:t>Article VII</w:t>
      </w:r>
      <w:r>
        <w:rPr>
          <w:rFonts w:ascii="Arial" w:cs="Arial" w:eastAsia="Arial" w:hAnsi="Arial"/>
          <w:sz w:val="22"/>
          <w:szCs w:val="22"/>
          <w:color w:val="auto"/>
        </w:rPr>
        <w:t>.</w:t>
      </w:r>
    </w:p>
    <w:p>
      <w:pPr>
        <w:spacing w:after="0" w:line="65" w:lineRule="exact"/>
        <w:rPr>
          <w:rFonts w:ascii="Arial" w:cs="Arial" w:eastAsia="Arial" w:hAnsi="Arial"/>
          <w:sz w:val="22"/>
          <w:szCs w:val="22"/>
          <w:color w:val="auto"/>
        </w:rPr>
      </w:pPr>
    </w:p>
    <w:p>
      <w:pPr>
        <w:ind w:right="40" w:firstLine="404"/>
        <w:spacing w:after="0" w:line="249" w:lineRule="auto"/>
        <w:tabs>
          <w:tab w:leader="none" w:pos="702" w:val="left"/>
        </w:tabs>
        <w:numPr>
          <w:ilvl w:val="0"/>
          <w:numId w:val="71"/>
        </w:numPr>
        <w:rPr>
          <w:rFonts w:ascii="Arial" w:cs="Arial" w:eastAsia="Arial" w:hAnsi="Arial"/>
          <w:sz w:val="21"/>
          <w:szCs w:val="21"/>
          <w:color w:val="auto"/>
        </w:rPr>
      </w:pPr>
      <w:r>
        <w:rPr>
          <w:rFonts w:ascii="Arial" w:cs="Arial" w:eastAsia="Arial" w:hAnsi="Arial"/>
          <w:sz w:val="21"/>
          <w:szCs w:val="21"/>
          <w:color w:val="auto"/>
        </w:rPr>
        <w:t>The Membership Units have not been registered under the Securities Act and, therefore, in addition to the other restrictions on Transfer contained in this Agreement, cannot be sold unless subsequently registered under the Securities Act or an exemption from such registration is then available. To the extent such Membership Units have been certificated, each certificate evidencing Membership Units and each certificate issued in exchange for or upon the Transfer of any Membership Units shall be stamped or otherwise imprinted with a legend in substantially the following form:</w:t>
      </w:r>
    </w:p>
    <w:p>
      <w:pPr>
        <w:spacing w:after="0" w:line="71" w:lineRule="exact"/>
        <w:rPr>
          <w:sz w:val="20"/>
          <w:szCs w:val="20"/>
          <w:color w:val="auto"/>
        </w:rPr>
      </w:pPr>
    </w:p>
    <w:p>
      <w:pPr>
        <w:ind w:left="400"/>
        <w:spacing w:after="0"/>
        <w:rPr>
          <w:sz w:val="20"/>
          <w:szCs w:val="20"/>
          <w:color w:val="auto"/>
        </w:rPr>
      </w:pPr>
      <w:r>
        <w:rPr>
          <w:rFonts w:ascii="Arial" w:cs="Arial" w:eastAsia="Arial" w:hAnsi="Arial"/>
          <w:sz w:val="21"/>
          <w:szCs w:val="21"/>
          <w:color w:val="auto"/>
        </w:rPr>
        <w:t>“THE SECURITIES REPRESENTED BY THIS CERTIFICATE WERE ORIGINALLY ISSUED ON _______ AND HAVE</w:t>
      </w:r>
    </w:p>
    <w:p>
      <w:pPr>
        <w:spacing w:after="0" w:line="20" w:lineRule="exact"/>
        <w:rPr>
          <w:sz w:val="20"/>
          <w:szCs w:val="20"/>
          <w:color w:val="auto"/>
        </w:rPr>
      </w:pPr>
    </w:p>
    <w:p>
      <w:pPr>
        <w:ind w:left="400" w:right="100"/>
        <w:spacing w:after="0" w:line="267" w:lineRule="auto"/>
        <w:rPr>
          <w:sz w:val="20"/>
          <w:szCs w:val="20"/>
          <w:color w:val="auto"/>
        </w:rPr>
      </w:pPr>
      <w:r>
        <w:rPr>
          <w:rFonts w:ascii="Arial" w:cs="Arial" w:eastAsia="Arial" w:hAnsi="Arial"/>
          <w:sz w:val="19"/>
          <w:szCs w:val="19"/>
          <w:color w:val="auto"/>
        </w:rPr>
        <w:t>NOT BEEN REGISTERED UNDER THE SECURITIES ACT OF 1933, AS AMENDED (THE “SECURITIES ACT”). THE SECURITIES REPRESENTED BY THIS CERTIFICATE MAY NOT BE SOLD OR TRANSFERRED IN THE ABSENCE OF AN EFFECTIVE REGISTRATION STATEMENT UNDER THE SECURITIES ACT OR AN EXEMPTION FROM REGISTRATION THEREUNDER. THE SECURITIES REPRESENTED BY THIS CERTIFICATE ARE ALSO SUBJECT TO ADDITIONAL RESTRICTIONS ON TRANSFER SPECIFIED IN THE AMENDED AND RESTATED LIMITED LIABILITY COMPANY OPERATING AGREEMENT, DATED AS OF _______, 2013, AS AMENDED AND MODIFIED</w:t>
      </w:r>
    </w:p>
    <w:p>
      <w:pPr>
        <w:ind w:left="400"/>
        <w:spacing w:after="0" w:line="233" w:lineRule="auto"/>
        <w:rPr>
          <w:sz w:val="20"/>
          <w:szCs w:val="20"/>
          <w:color w:val="auto"/>
        </w:rPr>
      </w:pPr>
      <w:r>
        <w:rPr>
          <w:rFonts w:ascii="Arial" w:cs="Arial" w:eastAsia="Arial" w:hAnsi="Arial"/>
          <w:sz w:val="22"/>
          <w:szCs w:val="22"/>
          <w:color w:val="auto"/>
        </w:rPr>
        <w:t>FROM TIME TO TIME. THE COMPANY RESERVES THE RIGHT TO REFUSE THE TRANSFER OF SUCH SECURITIES UNTIL SUCH CONDITIONS HAVE BEEN FULFILLED WITH RESPECT TO SUCH TRANSFER. A COPY OF SUCH CONDITIONS SHALL BE FURNISHED BY THE COMPANY TO THE HOLDER HEREOF UPON WRITTEN REQUEST AND WITHOUT CHARGE.”</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928" w:right="259" w:bottom="1440" w:gutter="0" w:footer="0" w:header="0"/>
        </w:sectPr>
      </w:pPr>
    </w:p>
    <w:bookmarkStart w:id="142" w:name="page143"/>
    <w:bookmarkEnd w:id="142"/>
    <w:p>
      <w:pPr>
        <w:jc w:val="both"/>
        <w:ind w:right="240"/>
        <w:spacing w:after="0" w:line="328" w:lineRule="auto"/>
        <w:rPr>
          <w:sz w:val="20"/>
          <w:szCs w:val="20"/>
          <w:color w:val="auto"/>
        </w:rPr>
      </w:pPr>
      <w:r>
        <w:rPr>
          <w:rFonts w:ascii="Arial" w:cs="Arial" w:eastAsia="Arial" w:hAnsi="Arial"/>
          <w:sz w:val="19"/>
          <w:szCs w:val="19"/>
          <w:color w:val="auto"/>
        </w:rPr>
        <w:t>The Company shall imprint such legend on certificates (if any) evidencing Membership Units. Notwithstanding the foregoing, to the extent the Membership Units are not certificated, this Agreement will contain a legend in substantially the form stated above.</w:t>
      </w:r>
    </w:p>
    <w:p>
      <w:pPr>
        <w:spacing w:after="0" w:line="105" w:lineRule="exact"/>
        <w:rPr>
          <w:sz w:val="20"/>
          <w:szCs w:val="20"/>
          <w:color w:val="auto"/>
        </w:rPr>
      </w:pPr>
    </w:p>
    <w:p>
      <w:pPr>
        <w:ind w:right="280" w:firstLine="396"/>
        <w:spacing w:after="0" w:line="282" w:lineRule="auto"/>
        <w:rPr>
          <w:sz w:val="20"/>
          <w:szCs w:val="20"/>
          <w:color w:val="auto"/>
        </w:rPr>
      </w:pPr>
      <w:r>
        <w:rPr>
          <w:rFonts w:ascii="Arial" w:cs="Arial" w:eastAsia="Arial" w:hAnsi="Arial"/>
          <w:sz w:val="19"/>
          <w:szCs w:val="19"/>
          <w:color w:val="auto"/>
        </w:rPr>
        <w:t xml:space="preserve">Section 7.02. </w:t>
      </w:r>
      <w:r>
        <w:rPr>
          <w:rFonts w:ascii="Arial" w:cs="Arial" w:eastAsia="Arial" w:hAnsi="Arial"/>
          <w:sz w:val="19"/>
          <w:szCs w:val="19"/>
          <w:u w:val="single" w:color="auto"/>
          <w:color w:val="auto"/>
        </w:rPr>
        <w:t>Conditions to Transfer</w:t>
      </w:r>
      <w:r>
        <w:rPr>
          <w:rFonts w:ascii="Arial" w:cs="Arial" w:eastAsia="Arial" w:hAnsi="Arial"/>
          <w:sz w:val="19"/>
          <w:szCs w:val="19"/>
          <w:color w:val="auto"/>
        </w:rPr>
        <w:t xml:space="preserve">. Notwithstanding any other provision of this Agreement, no Transfer of Membership Units shall be permitted at any time unless the Board is reasonably satisfied in good faith that such Transfer would not cause the Company to be classified as a “publicly traded partnership” as defined under Section 7704 of the Code or cause the Company to lose its status as a partnership for U.S. federal income tax purposes. Any Transfer of any Membership Units permitted under this </w:t>
      </w:r>
      <w:r>
        <w:rPr>
          <w:rFonts w:ascii="Arial" w:cs="Arial" w:eastAsia="Arial" w:hAnsi="Arial"/>
          <w:sz w:val="19"/>
          <w:szCs w:val="19"/>
          <w:u w:val="single" w:color="auto"/>
          <w:color w:val="auto"/>
        </w:rPr>
        <w:t>Article VII</w:t>
      </w:r>
      <w:r>
        <w:rPr>
          <w:rFonts w:ascii="Arial" w:cs="Arial" w:eastAsia="Arial" w:hAnsi="Arial"/>
          <w:sz w:val="19"/>
          <w:szCs w:val="19"/>
          <w:color w:val="auto"/>
        </w:rPr>
        <w:t xml:space="preserve"> shall be subject to the satisfaction of the following conditions:</w:t>
      </w:r>
    </w:p>
    <w:p>
      <w:pPr>
        <w:spacing w:after="0" w:line="40" w:lineRule="exact"/>
        <w:rPr>
          <w:sz w:val="20"/>
          <w:szCs w:val="20"/>
          <w:color w:val="auto"/>
        </w:rPr>
      </w:pPr>
    </w:p>
    <w:p>
      <w:pPr>
        <w:ind w:right="100" w:firstLine="404"/>
        <w:spacing w:after="0" w:line="238" w:lineRule="auto"/>
        <w:tabs>
          <w:tab w:leader="none" w:pos="690" w:val="left"/>
        </w:tabs>
        <w:numPr>
          <w:ilvl w:val="0"/>
          <w:numId w:val="72"/>
        </w:numPr>
        <w:rPr>
          <w:rFonts w:ascii="Arial" w:cs="Arial" w:eastAsia="Arial" w:hAnsi="Arial"/>
          <w:sz w:val="22"/>
          <w:szCs w:val="22"/>
          <w:color w:val="auto"/>
        </w:rPr>
      </w:pPr>
      <w:r>
        <w:rPr>
          <w:rFonts w:ascii="Arial" w:cs="Arial" w:eastAsia="Arial" w:hAnsi="Arial"/>
          <w:sz w:val="22"/>
          <w:szCs w:val="22"/>
          <w:color w:val="auto"/>
        </w:rPr>
        <w:t>unless otherwise provided in this Agreement, a duly executed and acknowledged written instrument of Transfer has been delivered to the Company, which instrument shall specify the Membership Units being Transferred and shall set forth the intention of the Transferor that the Transferee succeed to the transferor’s Membership Units as a substituted Member in the Transferor’s place;</w:t>
      </w:r>
    </w:p>
    <w:p>
      <w:pPr>
        <w:spacing w:after="0" w:line="76" w:lineRule="exact"/>
        <w:rPr>
          <w:rFonts w:ascii="Arial" w:cs="Arial" w:eastAsia="Arial" w:hAnsi="Arial"/>
          <w:sz w:val="22"/>
          <w:szCs w:val="22"/>
          <w:color w:val="auto"/>
        </w:rPr>
      </w:pPr>
    </w:p>
    <w:p>
      <w:pPr>
        <w:ind w:firstLine="404"/>
        <w:spacing w:after="0"/>
        <w:tabs>
          <w:tab w:leader="none" w:pos="702" w:val="left"/>
        </w:tabs>
        <w:numPr>
          <w:ilvl w:val="0"/>
          <w:numId w:val="72"/>
        </w:numPr>
        <w:rPr>
          <w:rFonts w:ascii="Arial" w:cs="Arial" w:eastAsia="Arial" w:hAnsi="Arial"/>
          <w:sz w:val="22"/>
          <w:szCs w:val="22"/>
          <w:color w:val="auto"/>
        </w:rPr>
      </w:pPr>
      <w:r>
        <w:rPr>
          <w:rFonts w:ascii="Arial" w:cs="Arial" w:eastAsia="Arial" w:hAnsi="Arial"/>
          <w:sz w:val="22"/>
          <w:szCs w:val="22"/>
          <w:color w:val="auto"/>
        </w:rPr>
        <w:t>the Transferor and the Transferee have executed, acknowledged and delivered such other documents as may be necessary, in the reasonable opinion of the Board, to effect such substitution, including the execution of a counterpart to this Agreement by the transferee;</w:t>
      </w:r>
    </w:p>
    <w:p>
      <w:pPr>
        <w:spacing w:after="0" w:line="78" w:lineRule="exact"/>
        <w:rPr>
          <w:rFonts w:ascii="Arial" w:cs="Arial" w:eastAsia="Arial" w:hAnsi="Arial"/>
          <w:sz w:val="22"/>
          <w:szCs w:val="22"/>
          <w:color w:val="auto"/>
        </w:rPr>
      </w:pPr>
    </w:p>
    <w:p>
      <w:pPr>
        <w:ind w:right="580" w:firstLine="404"/>
        <w:spacing w:after="0" w:line="251" w:lineRule="auto"/>
        <w:tabs>
          <w:tab w:leader="none" w:pos="690" w:val="left"/>
        </w:tabs>
        <w:numPr>
          <w:ilvl w:val="0"/>
          <w:numId w:val="72"/>
        </w:numPr>
        <w:rPr>
          <w:rFonts w:ascii="Arial" w:cs="Arial" w:eastAsia="Arial" w:hAnsi="Arial"/>
          <w:sz w:val="22"/>
          <w:szCs w:val="22"/>
          <w:color w:val="auto"/>
        </w:rPr>
      </w:pPr>
      <w:r>
        <w:rPr>
          <w:rFonts w:ascii="Arial" w:cs="Arial" w:eastAsia="Arial" w:hAnsi="Arial"/>
          <w:sz w:val="22"/>
          <w:szCs w:val="22"/>
          <w:color w:val="auto"/>
        </w:rPr>
        <w:t>the Transferee pays or reimburses the Company for any legal, filing and publication costs that the Company incurs in connection with the admission of the transferee as a Member; and</w:t>
      </w:r>
    </w:p>
    <w:p>
      <w:pPr>
        <w:spacing w:after="0" w:line="65" w:lineRule="exact"/>
        <w:rPr>
          <w:rFonts w:ascii="Arial" w:cs="Arial" w:eastAsia="Arial" w:hAnsi="Arial"/>
          <w:sz w:val="22"/>
          <w:szCs w:val="22"/>
          <w:color w:val="auto"/>
        </w:rPr>
      </w:pPr>
    </w:p>
    <w:p>
      <w:pPr>
        <w:ind w:right="140" w:firstLine="404"/>
        <w:spacing w:after="0" w:line="251" w:lineRule="auto"/>
        <w:tabs>
          <w:tab w:leader="none" w:pos="702" w:val="left"/>
        </w:tabs>
        <w:numPr>
          <w:ilvl w:val="0"/>
          <w:numId w:val="72"/>
        </w:numPr>
        <w:rPr>
          <w:rFonts w:ascii="Arial" w:cs="Arial" w:eastAsia="Arial" w:hAnsi="Arial"/>
          <w:sz w:val="22"/>
          <w:szCs w:val="22"/>
          <w:color w:val="auto"/>
        </w:rPr>
      </w:pPr>
      <w:r>
        <w:rPr>
          <w:rFonts w:ascii="Arial" w:cs="Arial" w:eastAsia="Arial" w:hAnsi="Arial"/>
          <w:sz w:val="22"/>
          <w:szCs w:val="22"/>
          <w:color w:val="auto"/>
        </w:rPr>
        <w:t xml:space="preserve">the Transferee makes the representations and warranties set forth in </w:t>
      </w:r>
      <w:r>
        <w:rPr>
          <w:rFonts w:ascii="Arial" w:cs="Arial" w:eastAsia="Arial" w:hAnsi="Arial"/>
          <w:sz w:val="22"/>
          <w:szCs w:val="22"/>
          <w:u w:val="single" w:color="auto"/>
          <w:color w:val="auto"/>
        </w:rPr>
        <w:t>Section 11.01</w:t>
      </w:r>
      <w:r>
        <w:rPr>
          <w:rFonts w:ascii="Arial" w:cs="Arial" w:eastAsia="Arial" w:hAnsi="Arial"/>
          <w:sz w:val="22"/>
          <w:szCs w:val="22"/>
          <w:color w:val="auto"/>
        </w:rPr>
        <w:t xml:space="preserve"> to the Company and the other Members as of the date of the Transfer.</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Upon satisfaction of such conditions, the transferee shall automatically be admitted as a Member of the Company.</w:t>
      </w:r>
    </w:p>
    <w:p>
      <w:pPr>
        <w:spacing w:after="0" w:line="206" w:lineRule="exact"/>
        <w:rPr>
          <w:sz w:val="20"/>
          <w:szCs w:val="20"/>
          <w:color w:val="auto"/>
        </w:rPr>
      </w:pPr>
    </w:p>
    <w:p>
      <w:pPr>
        <w:ind w:left="400"/>
        <w:spacing w:after="0"/>
        <w:rPr>
          <w:sz w:val="20"/>
          <w:szCs w:val="20"/>
          <w:color w:val="auto"/>
        </w:rPr>
      </w:pPr>
      <w:r>
        <w:rPr>
          <w:rFonts w:ascii="Arial" w:cs="Arial" w:eastAsia="Arial" w:hAnsi="Arial"/>
          <w:sz w:val="22"/>
          <w:szCs w:val="22"/>
          <w:color w:val="auto"/>
        </w:rPr>
        <w:t xml:space="preserve">Section 7.03. </w:t>
      </w:r>
      <w:r>
        <w:rPr>
          <w:rFonts w:ascii="Arial" w:cs="Arial" w:eastAsia="Arial" w:hAnsi="Arial"/>
          <w:sz w:val="22"/>
          <w:szCs w:val="22"/>
          <w:u w:val="single" w:color="auto"/>
          <w:color w:val="auto"/>
        </w:rPr>
        <w:t>Permitted Transfers</w:t>
      </w:r>
      <w:r>
        <w:rPr>
          <w:rFonts w:ascii="Arial" w:cs="Arial" w:eastAsia="Arial" w:hAnsi="Arial"/>
          <w:sz w:val="22"/>
          <w:szCs w:val="22"/>
          <w:color w:val="auto"/>
        </w:rPr>
        <w:t xml:space="preserve">. Subject to </w:t>
      </w:r>
      <w:r>
        <w:rPr>
          <w:rFonts w:ascii="Arial" w:cs="Arial" w:eastAsia="Arial" w:hAnsi="Arial"/>
          <w:sz w:val="22"/>
          <w:szCs w:val="22"/>
          <w:u w:val="single" w:color="auto"/>
          <w:color w:val="auto"/>
        </w:rPr>
        <w:t>Section 7.04</w:t>
      </w:r>
      <w:r>
        <w:rPr>
          <w:rFonts w:ascii="Arial" w:cs="Arial" w:eastAsia="Arial" w:hAnsi="Arial"/>
          <w:sz w:val="22"/>
          <w:szCs w:val="22"/>
          <w:color w:val="auto"/>
        </w:rPr>
        <w:t>:</w:t>
      </w:r>
    </w:p>
    <w:p>
      <w:pPr>
        <w:spacing w:after="0" w:line="98" w:lineRule="exact"/>
        <w:rPr>
          <w:sz w:val="20"/>
          <w:szCs w:val="20"/>
          <w:color w:val="auto"/>
        </w:rPr>
      </w:pPr>
    </w:p>
    <w:p>
      <w:pPr>
        <w:ind w:right="160" w:firstLine="404"/>
        <w:spacing w:after="0" w:line="279" w:lineRule="auto"/>
        <w:tabs>
          <w:tab w:leader="none" w:pos="690" w:val="left"/>
        </w:tabs>
        <w:numPr>
          <w:ilvl w:val="0"/>
          <w:numId w:val="73"/>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3.09</w:t>
      </w:r>
      <w:r>
        <w:rPr>
          <w:rFonts w:ascii="Arial" w:cs="Arial" w:eastAsia="Arial" w:hAnsi="Arial"/>
          <w:sz w:val="19"/>
          <w:szCs w:val="19"/>
          <w:color w:val="auto"/>
        </w:rPr>
        <w:t xml:space="preserve">, a Member may Transfer all (but not less than all) of its Membership Units to one of its Affiliates; </w:t>
      </w:r>
      <w:r>
        <w:rPr>
          <w:rFonts w:ascii="Arial" w:cs="Arial" w:eastAsia="Arial" w:hAnsi="Arial"/>
          <w:sz w:val="19"/>
          <w:szCs w:val="19"/>
          <w:u w:val="single" w:color="auto"/>
          <w:color w:val="auto"/>
        </w:rPr>
        <w:t>provided</w:t>
      </w:r>
      <w:r>
        <w:rPr>
          <w:rFonts w:ascii="Arial" w:cs="Arial" w:eastAsia="Arial" w:hAnsi="Arial"/>
          <w:sz w:val="19"/>
          <w:szCs w:val="19"/>
          <w:color w:val="auto"/>
        </w:rPr>
        <w:t>, that such Affiliate is wholly-owned, directly or indirectly, by Albany or Albany International (each such Transferee, an “</w:t>
      </w:r>
      <w:r>
        <w:rPr>
          <w:rFonts w:ascii="Arial" w:cs="Arial" w:eastAsia="Arial" w:hAnsi="Arial"/>
          <w:sz w:val="19"/>
          <w:szCs w:val="19"/>
          <w:u w:val="single" w:color="auto"/>
          <w:color w:val="auto"/>
        </w:rPr>
        <w:t>Affiliate Transferee</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Affiliate Transferee should at any time thereafter cease to be an Affiliate of such Member, such Membership Units shall be Transferred back to the original Transferor (or to an Affiliate of the original Transferor) prior to the time that such Affiliate Transferee ceases to be an Affiliate, so that at all times the Membership Units shall be held either by Albany, Safran or one of their respective Affiliates (except as otherwise permitted by this </w:t>
      </w:r>
      <w:r>
        <w:rPr>
          <w:rFonts w:ascii="Arial" w:cs="Arial" w:eastAsia="Arial" w:hAnsi="Arial"/>
          <w:sz w:val="19"/>
          <w:szCs w:val="19"/>
          <w:u w:val="single" w:color="auto"/>
          <w:color w:val="auto"/>
        </w:rPr>
        <w:t>Article VII</w:t>
      </w:r>
      <w:r>
        <w:rPr>
          <w:rFonts w:ascii="Arial" w:cs="Arial" w:eastAsia="Arial" w:hAnsi="Arial"/>
          <w:sz w:val="19"/>
          <w:szCs w:val="19"/>
          <w:color w:val="auto"/>
        </w:rPr>
        <w:t>);</w:t>
      </w:r>
    </w:p>
    <w:p>
      <w:pPr>
        <w:spacing w:after="0" w:line="42" w:lineRule="exact"/>
        <w:rPr>
          <w:rFonts w:ascii="Arial" w:cs="Arial" w:eastAsia="Arial" w:hAnsi="Arial"/>
          <w:sz w:val="19"/>
          <w:szCs w:val="19"/>
          <w:color w:val="auto"/>
        </w:rPr>
      </w:pPr>
    </w:p>
    <w:p>
      <w:pPr>
        <w:ind w:right="200" w:firstLine="404"/>
        <w:spacing w:after="0" w:line="251" w:lineRule="auto"/>
        <w:tabs>
          <w:tab w:leader="none" w:pos="702" w:val="left"/>
        </w:tabs>
        <w:numPr>
          <w:ilvl w:val="0"/>
          <w:numId w:val="73"/>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7.05(a)(i)</w:t>
      </w:r>
      <w:r>
        <w:rPr>
          <w:rFonts w:ascii="Arial" w:cs="Arial" w:eastAsia="Arial" w:hAnsi="Arial"/>
          <w:sz w:val="22"/>
          <w:szCs w:val="22"/>
          <w:color w:val="auto"/>
        </w:rPr>
        <w:t>, Albany may Transfer all (but not less than all) of its Membership Units in connection with a sale of all or substantially all of the assets of</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928" w:right="259" w:bottom="1440" w:gutter="0" w:footer="0" w:header="0"/>
        </w:sectPr>
      </w:pPr>
    </w:p>
    <w:bookmarkStart w:id="143" w:name="page144"/>
    <w:bookmarkEnd w:id="143"/>
    <w:p>
      <w:pPr>
        <w:ind w:right="80"/>
        <w:spacing w:after="0" w:line="251" w:lineRule="auto"/>
        <w:rPr>
          <w:sz w:val="20"/>
          <w:szCs w:val="20"/>
          <w:color w:val="auto"/>
        </w:rPr>
      </w:pPr>
      <w:r>
        <w:rPr>
          <w:rFonts w:ascii="Arial" w:cs="Arial" w:eastAsia="Arial" w:hAnsi="Arial"/>
          <w:sz w:val="22"/>
          <w:szCs w:val="22"/>
          <w:color w:val="auto"/>
        </w:rPr>
        <w:t>Albany International or Albany, all of the equity of Albany, or any merger or consolidation of Albany International or Albany with or into any Person; and</w:t>
      </w:r>
    </w:p>
    <w:p>
      <w:pPr>
        <w:spacing w:after="0" w:line="173" w:lineRule="exact"/>
        <w:rPr>
          <w:sz w:val="20"/>
          <w:szCs w:val="20"/>
          <w:color w:val="auto"/>
        </w:rPr>
      </w:pPr>
    </w:p>
    <w:p>
      <w:pPr>
        <w:ind w:right="20" w:firstLine="404"/>
        <w:spacing w:after="0" w:line="251" w:lineRule="auto"/>
        <w:tabs>
          <w:tab w:leader="none" w:pos="690" w:val="left"/>
        </w:tabs>
        <w:numPr>
          <w:ilvl w:val="0"/>
          <w:numId w:val="74"/>
        </w:numPr>
        <w:rPr>
          <w:rFonts w:ascii="Arial" w:cs="Arial" w:eastAsia="Arial" w:hAnsi="Arial"/>
          <w:sz w:val="22"/>
          <w:szCs w:val="22"/>
          <w:color w:val="auto"/>
        </w:rPr>
      </w:pPr>
      <w:r>
        <w:rPr>
          <w:rFonts w:ascii="Arial" w:cs="Arial" w:eastAsia="Arial" w:hAnsi="Arial"/>
          <w:sz w:val="22"/>
          <w:szCs w:val="22"/>
          <w:color w:val="auto"/>
        </w:rPr>
        <w:t>Safran may Transfer all (but not less than all) of its Membership Units in connection with a sale of all or substantially all of its assets or any merger or consolidation of Safran S.A. with or into any Person.</w:t>
      </w:r>
    </w:p>
    <w:p>
      <w:pPr>
        <w:spacing w:after="0" w:line="65" w:lineRule="exact"/>
        <w:rPr>
          <w:sz w:val="20"/>
          <w:szCs w:val="20"/>
          <w:color w:val="auto"/>
        </w:rPr>
      </w:pPr>
    </w:p>
    <w:p>
      <w:pPr>
        <w:ind w:left="400"/>
        <w:spacing w:after="0"/>
        <w:rPr>
          <w:sz w:val="20"/>
          <w:szCs w:val="20"/>
          <w:color w:val="auto"/>
        </w:rPr>
      </w:pPr>
      <w:r>
        <w:rPr>
          <w:rFonts w:ascii="Arial" w:cs="Arial" w:eastAsia="Arial" w:hAnsi="Arial"/>
          <w:sz w:val="22"/>
          <w:szCs w:val="22"/>
          <w:color w:val="auto"/>
        </w:rPr>
        <w:t xml:space="preserve">Section 7.04. </w:t>
      </w:r>
      <w:r>
        <w:rPr>
          <w:rFonts w:ascii="Arial" w:cs="Arial" w:eastAsia="Arial" w:hAnsi="Arial"/>
          <w:sz w:val="22"/>
          <w:szCs w:val="22"/>
          <w:u w:val="single" w:color="auto"/>
          <w:color w:val="auto"/>
        </w:rPr>
        <w:t>Rights and Obligations of Transferees and Transferors</w:t>
      </w:r>
      <w:r>
        <w:rPr>
          <w:rFonts w:ascii="Arial" w:cs="Arial" w:eastAsia="Arial" w:hAnsi="Arial"/>
          <w:sz w:val="22"/>
          <w:szCs w:val="22"/>
          <w:color w:val="auto"/>
        </w:rPr>
        <w:t>.</w:t>
      </w:r>
    </w:p>
    <w:p>
      <w:pPr>
        <w:spacing w:after="0" w:line="98" w:lineRule="exact"/>
        <w:rPr>
          <w:sz w:val="20"/>
          <w:szCs w:val="20"/>
          <w:color w:val="auto"/>
        </w:rPr>
      </w:pPr>
    </w:p>
    <w:p>
      <w:pPr>
        <w:ind w:right="40" w:firstLine="404"/>
        <w:spacing w:after="0" w:line="248" w:lineRule="auto"/>
        <w:tabs>
          <w:tab w:leader="none" w:pos="690" w:val="left"/>
        </w:tabs>
        <w:numPr>
          <w:ilvl w:val="0"/>
          <w:numId w:val="75"/>
        </w:numPr>
        <w:rPr>
          <w:rFonts w:ascii="Arial" w:cs="Arial" w:eastAsia="Arial" w:hAnsi="Arial"/>
          <w:sz w:val="21"/>
          <w:szCs w:val="21"/>
          <w:color w:val="auto"/>
        </w:rPr>
      </w:pPr>
      <w:r>
        <w:rPr>
          <w:rFonts w:ascii="Arial" w:cs="Arial" w:eastAsia="Arial" w:hAnsi="Arial"/>
          <w:sz w:val="21"/>
          <w:szCs w:val="21"/>
          <w:color w:val="auto"/>
        </w:rPr>
        <w:t xml:space="preserve">Any Transferee of Membership Units (including any Affiliate of any Member) shall be required, at the time of and as a condition to such Transfer, to become a party to this Agreement by executing a counterpart to this Agreement and delivering such documents as may be necessary, in the reasonable opinion of the Board, to make such Person a party hereto, whereupon such Transferee will be treated as a Member for all purposes of this Agreement. A Transferee of Membership Units that complies with the provisions of this </w:t>
      </w:r>
      <w:r>
        <w:rPr>
          <w:rFonts w:ascii="Arial" w:cs="Arial" w:eastAsia="Arial" w:hAnsi="Arial"/>
          <w:sz w:val="21"/>
          <w:szCs w:val="21"/>
          <w:u w:val="single" w:color="auto"/>
          <w:color w:val="auto"/>
        </w:rPr>
        <w:t>Section 7.04</w:t>
      </w:r>
      <w:r>
        <w:rPr>
          <w:rFonts w:ascii="Arial" w:cs="Arial" w:eastAsia="Arial" w:hAnsi="Arial"/>
          <w:sz w:val="21"/>
          <w:szCs w:val="21"/>
          <w:color w:val="auto"/>
        </w:rPr>
        <w:t xml:space="preserve"> shall be admitted by the Company as a Member hereunder so long as such Transfer was effected in compliance with the terms of this Agreement, including this </w:t>
      </w:r>
      <w:r>
        <w:rPr>
          <w:rFonts w:ascii="Arial" w:cs="Arial" w:eastAsia="Arial" w:hAnsi="Arial"/>
          <w:sz w:val="21"/>
          <w:szCs w:val="21"/>
          <w:u w:val="single" w:color="auto"/>
          <w:color w:val="auto"/>
        </w:rPr>
        <w:t>Article VII</w:t>
      </w:r>
      <w:r>
        <w:rPr>
          <w:rFonts w:ascii="Arial" w:cs="Arial" w:eastAsia="Arial" w:hAnsi="Arial"/>
          <w:sz w:val="21"/>
          <w:szCs w:val="21"/>
          <w:color w:val="auto"/>
        </w:rPr>
        <w:t>.</w:t>
      </w:r>
    </w:p>
    <w:p>
      <w:pPr>
        <w:spacing w:after="0" w:line="69" w:lineRule="exact"/>
        <w:rPr>
          <w:rFonts w:ascii="Arial" w:cs="Arial" w:eastAsia="Arial" w:hAnsi="Arial"/>
          <w:sz w:val="21"/>
          <w:szCs w:val="21"/>
          <w:color w:val="auto"/>
        </w:rPr>
      </w:pPr>
    </w:p>
    <w:p>
      <w:pPr>
        <w:ind w:left="720" w:hanging="316"/>
        <w:spacing w:after="0"/>
        <w:tabs>
          <w:tab w:leader="none" w:pos="720" w:val="left"/>
        </w:tabs>
        <w:numPr>
          <w:ilvl w:val="0"/>
          <w:numId w:val="75"/>
        </w:numPr>
        <w:rPr>
          <w:rFonts w:ascii="Arial" w:cs="Arial" w:eastAsia="Arial" w:hAnsi="Arial"/>
          <w:sz w:val="22"/>
          <w:szCs w:val="22"/>
          <w:color w:val="auto"/>
        </w:rPr>
      </w:pPr>
      <w:r>
        <w:rPr>
          <w:rFonts w:ascii="Arial" w:cs="Arial" w:eastAsia="Arial" w:hAnsi="Arial"/>
          <w:sz w:val="22"/>
          <w:szCs w:val="22"/>
          <w:color w:val="auto"/>
        </w:rPr>
        <w:t>Notwithstanding anything to the contrary in this Agreement:</w:t>
      </w:r>
    </w:p>
    <w:p>
      <w:pPr>
        <w:spacing w:after="0" w:line="98" w:lineRule="exact"/>
        <w:rPr>
          <w:rFonts w:ascii="Arial" w:cs="Arial" w:eastAsia="Arial" w:hAnsi="Arial"/>
          <w:sz w:val="22"/>
          <w:szCs w:val="22"/>
          <w:color w:val="auto"/>
        </w:rPr>
      </w:pPr>
    </w:p>
    <w:p>
      <w:pPr>
        <w:ind w:left="400" w:right="240" w:firstLine="400"/>
        <w:spacing w:after="0" w:line="326" w:lineRule="auto"/>
        <w:tabs>
          <w:tab w:leader="none" w:pos="1054" w:val="left"/>
        </w:tabs>
        <w:numPr>
          <w:ilvl w:val="1"/>
          <w:numId w:val="75"/>
        </w:numPr>
        <w:rPr>
          <w:rFonts w:ascii="Arial" w:cs="Arial" w:eastAsia="Arial" w:hAnsi="Arial"/>
          <w:sz w:val="19"/>
          <w:szCs w:val="19"/>
          <w:color w:val="auto"/>
        </w:rPr>
      </w:pPr>
      <w:r>
        <w:rPr>
          <w:rFonts w:ascii="Arial" w:cs="Arial" w:eastAsia="Arial" w:hAnsi="Arial"/>
          <w:sz w:val="19"/>
          <w:szCs w:val="19"/>
          <w:color w:val="auto"/>
        </w:rPr>
        <w:t xml:space="preserve">in the event of any Permitted Transfer, the Transferee shall acquire all of the rights and become responsible for all of the covenants and agreements of the applicable Transferor hereunder, including those set forth in </w:t>
      </w:r>
      <w:r>
        <w:rPr>
          <w:rFonts w:ascii="Arial" w:cs="Arial" w:eastAsia="Arial" w:hAnsi="Arial"/>
          <w:sz w:val="19"/>
          <w:szCs w:val="19"/>
          <w:u w:val="single" w:color="auto"/>
          <w:color w:val="auto"/>
        </w:rPr>
        <w:t>Article XII</w:t>
      </w:r>
      <w:r>
        <w:rPr>
          <w:rFonts w:ascii="Arial" w:cs="Arial" w:eastAsia="Arial" w:hAnsi="Arial"/>
          <w:sz w:val="19"/>
          <w:szCs w:val="19"/>
          <w:color w:val="auto"/>
        </w:rPr>
        <w:t>;</w:t>
      </w:r>
    </w:p>
    <w:p>
      <w:pPr>
        <w:ind w:left="400" w:firstLine="400"/>
        <w:spacing w:after="0" w:line="249" w:lineRule="auto"/>
        <w:tabs>
          <w:tab w:leader="none" w:pos="1114" w:val="left"/>
        </w:tabs>
        <w:numPr>
          <w:ilvl w:val="1"/>
          <w:numId w:val="75"/>
        </w:numPr>
        <w:rPr>
          <w:rFonts w:ascii="Arial" w:cs="Arial" w:eastAsia="Arial" w:hAnsi="Arial"/>
          <w:sz w:val="21"/>
          <w:szCs w:val="21"/>
          <w:color w:val="auto"/>
        </w:rPr>
      </w:pPr>
      <w:r>
        <w:rPr>
          <w:rFonts w:ascii="Arial" w:cs="Arial" w:eastAsia="Arial" w:hAnsi="Arial"/>
          <w:sz w:val="21"/>
          <w:szCs w:val="21"/>
          <w:color w:val="auto"/>
        </w:rPr>
        <w:t xml:space="preserve">in the event that Albany Transfers any of its Membership Interests, Albany shall continue to be bound by its covenants and agreements set forth in </w:t>
      </w:r>
      <w:r>
        <w:rPr>
          <w:rFonts w:ascii="Arial" w:cs="Arial" w:eastAsia="Arial" w:hAnsi="Arial"/>
          <w:sz w:val="21"/>
          <w:szCs w:val="21"/>
          <w:u w:val="single" w:color="auto"/>
          <w:color w:val="auto"/>
        </w:rPr>
        <w:t>Article XII</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foregoing sentence shall not apply to any Transfer by Albany (A) resulting from the exercise of the Safran Call Right or (B) pursuant to </w:t>
      </w:r>
      <w:r>
        <w:rPr>
          <w:rFonts w:ascii="Arial" w:cs="Arial" w:eastAsia="Arial" w:hAnsi="Arial"/>
          <w:sz w:val="21"/>
          <w:szCs w:val="21"/>
          <w:u w:val="single" w:color="auto"/>
          <w:color w:val="auto"/>
        </w:rPr>
        <w:t>Section 7.03(b)</w:t>
      </w:r>
      <w:r>
        <w:rPr>
          <w:rFonts w:ascii="Arial" w:cs="Arial" w:eastAsia="Arial" w:hAnsi="Arial"/>
          <w:sz w:val="21"/>
          <w:szCs w:val="21"/>
          <w:color w:val="auto"/>
        </w:rPr>
        <w:t xml:space="preserve"> (it being understood that, in the case of any Transfer by Albany pursuant to </w:t>
      </w:r>
      <w:r>
        <w:rPr>
          <w:rFonts w:ascii="Arial" w:cs="Arial" w:eastAsia="Arial" w:hAnsi="Arial"/>
          <w:sz w:val="21"/>
          <w:szCs w:val="21"/>
          <w:u w:val="single" w:color="auto"/>
          <w:color w:val="auto"/>
        </w:rPr>
        <w:t>Section 7.03(b)</w:t>
      </w:r>
      <w:r>
        <w:rPr>
          <w:rFonts w:ascii="Arial" w:cs="Arial" w:eastAsia="Arial" w:hAnsi="Arial"/>
          <w:sz w:val="21"/>
          <w:szCs w:val="21"/>
          <w:color w:val="auto"/>
        </w:rPr>
        <w:t xml:space="preserve">, the applicable Transferee shall assume and become responsible for all covenants and agreements of Albany set forth in </w:t>
      </w:r>
      <w:r>
        <w:rPr>
          <w:rFonts w:ascii="Arial" w:cs="Arial" w:eastAsia="Arial" w:hAnsi="Arial"/>
          <w:sz w:val="21"/>
          <w:szCs w:val="21"/>
          <w:u w:val="single" w:color="auto"/>
          <w:color w:val="auto"/>
        </w:rPr>
        <w:t>Article XII</w:t>
      </w:r>
      <w:r>
        <w:rPr>
          <w:rFonts w:ascii="Arial" w:cs="Arial" w:eastAsia="Arial" w:hAnsi="Arial"/>
          <w:sz w:val="21"/>
          <w:szCs w:val="21"/>
          <w:color w:val="auto"/>
        </w:rPr>
        <w:t>); and</w:t>
      </w:r>
    </w:p>
    <w:p>
      <w:pPr>
        <w:spacing w:after="0" w:line="70" w:lineRule="exact"/>
        <w:rPr>
          <w:rFonts w:ascii="Arial" w:cs="Arial" w:eastAsia="Arial" w:hAnsi="Arial"/>
          <w:sz w:val="21"/>
          <w:szCs w:val="21"/>
          <w:color w:val="auto"/>
        </w:rPr>
      </w:pPr>
    </w:p>
    <w:p>
      <w:pPr>
        <w:ind w:left="400" w:right="40" w:firstLine="400"/>
        <w:spacing w:after="0" w:line="249" w:lineRule="auto"/>
        <w:tabs>
          <w:tab w:leader="none" w:pos="1174" w:val="left"/>
        </w:tabs>
        <w:numPr>
          <w:ilvl w:val="1"/>
          <w:numId w:val="75"/>
        </w:numPr>
        <w:rPr>
          <w:rFonts w:ascii="Arial" w:cs="Arial" w:eastAsia="Arial" w:hAnsi="Arial"/>
          <w:sz w:val="21"/>
          <w:szCs w:val="21"/>
          <w:color w:val="auto"/>
        </w:rPr>
      </w:pPr>
      <w:r>
        <w:rPr>
          <w:rFonts w:ascii="Arial" w:cs="Arial" w:eastAsia="Arial" w:hAnsi="Arial"/>
          <w:sz w:val="21"/>
          <w:szCs w:val="21"/>
          <w:color w:val="auto"/>
        </w:rPr>
        <w:t xml:space="preserve">in the event that Safran Transfers any of its Membership Interests, Safran S.A. shall continue to be bound by its covenants and agreements set forth in </w:t>
      </w:r>
      <w:r>
        <w:rPr>
          <w:rFonts w:ascii="Arial" w:cs="Arial" w:eastAsia="Arial" w:hAnsi="Arial"/>
          <w:sz w:val="21"/>
          <w:szCs w:val="21"/>
          <w:u w:val="single" w:color="auto"/>
          <w:color w:val="auto"/>
        </w:rPr>
        <w:t>Article XII</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foregoing sentence shall not apply to any Transfer by Safran (A) resulting from the exercise of the Safran Put Right or (B) pursuant to </w:t>
      </w:r>
      <w:r>
        <w:rPr>
          <w:rFonts w:ascii="Arial" w:cs="Arial" w:eastAsia="Arial" w:hAnsi="Arial"/>
          <w:sz w:val="21"/>
          <w:szCs w:val="21"/>
          <w:u w:val="single" w:color="auto"/>
          <w:color w:val="auto"/>
        </w:rPr>
        <w:t>Section 7.03(b)</w:t>
      </w:r>
      <w:r>
        <w:rPr>
          <w:rFonts w:ascii="Arial" w:cs="Arial" w:eastAsia="Arial" w:hAnsi="Arial"/>
          <w:sz w:val="21"/>
          <w:szCs w:val="21"/>
          <w:color w:val="auto"/>
        </w:rPr>
        <w:t xml:space="preserve"> (it being understood that, in the case of any Transfer by Safran pursuant to </w:t>
      </w:r>
      <w:r>
        <w:rPr>
          <w:rFonts w:ascii="Arial" w:cs="Arial" w:eastAsia="Arial" w:hAnsi="Arial"/>
          <w:sz w:val="21"/>
          <w:szCs w:val="21"/>
          <w:u w:val="single" w:color="auto"/>
          <w:color w:val="auto"/>
        </w:rPr>
        <w:t>Section 7.03(b)</w:t>
      </w:r>
      <w:r>
        <w:rPr>
          <w:rFonts w:ascii="Arial" w:cs="Arial" w:eastAsia="Arial" w:hAnsi="Arial"/>
          <w:sz w:val="21"/>
          <w:szCs w:val="21"/>
          <w:color w:val="auto"/>
        </w:rPr>
        <w:t xml:space="preserve">, the applicable Transferee shall assume and become responsible for all covenants and agreements of Safran set forth in </w:t>
      </w:r>
      <w:r>
        <w:rPr>
          <w:rFonts w:ascii="Arial" w:cs="Arial" w:eastAsia="Arial" w:hAnsi="Arial"/>
          <w:sz w:val="21"/>
          <w:szCs w:val="21"/>
          <w:u w:val="single" w:color="auto"/>
          <w:color w:val="auto"/>
        </w:rPr>
        <w:t>Article XII</w:t>
      </w:r>
      <w:r>
        <w:rPr>
          <w:rFonts w:ascii="Arial" w:cs="Arial" w:eastAsia="Arial" w:hAnsi="Arial"/>
          <w:sz w:val="21"/>
          <w:szCs w:val="21"/>
          <w:color w:val="auto"/>
        </w:rPr>
        <w:t>).</w:t>
      </w:r>
    </w:p>
    <w:p>
      <w:pPr>
        <w:spacing w:after="0" w:line="70" w:lineRule="exact"/>
        <w:rPr>
          <w:rFonts w:ascii="Arial" w:cs="Arial" w:eastAsia="Arial" w:hAnsi="Arial"/>
          <w:sz w:val="21"/>
          <w:szCs w:val="21"/>
          <w:color w:val="auto"/>
        </w:rPr>
      </w:pPr>
    </w:p>
    <w:p>
      <w:pPr>
        <w:ind w:right="100" w:firstLine="404"/>
        <w:spacing w:after="0" w:line="236" w:lineRule="auto"/>
        <w:tabs>
          <w:tab w:leader="none" w:pos="690" w:val="left"/>
        </w:tabs>
        <w:numPr>
          <w:ilvl w:val="0"/>
          <w:numId w:val="75"/>
        </w:numPr>
        <w:rPr>
          <w:rFonts w:ascii="Arial" w:cs="Arial" w:eastAsia="Arial" w:hAnsi="Arial"/>
          <w:sz w:val="22"/>
          <w:szCs w:val="22"/>
          <w:color w:val="auto"/>
        </w:rPr>
      </w:pPr>
      <w:r>
        <w:rPr>
          <w:rFonts w:ascii="Arial" w:cs="Arial" w:eastAsia="Arial" w:hAnsi="Arial"/>
          <w:sz w:val="22"/>
          <w:szCs w:val="22"/>
          <w:color w:val="auto"/>
        </w:rPr>
        <w:t xml:space="preserve">Safran may propose to increase its Percentage Interest through the purchase of Albany’s Membership Units or, subject to </w:t>
      </w:r>
      <w:r>
        <w:rPr>
          <w:rFonts w:ascii="Arial" w:cs="Arial" w:eastAsia="Arial" w:hAnsi="Arial"/>
          <w:sz w:val="22"/>
          <w:szCs w:val="22"/>
          <w:u w:val="single" w:color="auto"/>
          <w:color w:val="auto"/>
        </w:rPr>
        <w:t>Section 3.02(b)</w:t>
      </w:r>
      <w:r>
        <w:rPr>
          <w:rFonts w:ascii="Arial" w:cs="Arial" w:eastAsia="Arial" w:hAnsi="Arial"/>
          <w:sz w:val="22"/>
          <w:szCs w:val="22"/>
          <w:color w:val="auto"/>
        </w:rPr>
        <w:t xml:space="preserve">, by making Additional Capital Contributions, in each case at a price jointly agreed by the Members;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Albany shall have the right to refuse any such offer in its sole discretion. In the event that Safran increases its Percentage Interest for any reason, the governance of the Company in accordance with this Agreement shall be reviewed and agreed as provided in </w:t>
      </w:r>
      <w:r>
        <w:rPr>
          <w:rFonts w:ascii="Arial" w:cs="Arial" w:eastAsia="Arial" w:hAnsi="Arial"/>
          <w:sz w:val="22"/>
          <w:szCs w:val="22"/>
          <w:u w:val="single" w:color="auto"/>
          <w:color w:val="auto"/>
        </w:rPr>
        <w:t>Section 5.08</w:t>
      </w:r>
      <w:r>
        <w:rPr>
          <w:rFonts w:ascii="Arial" w:cs="Arial" w:eastAsia="Arial" w:hAnsi="Arial"/>
          <w:sz w:val="22"/>
          <w:szCs w:val="22"/>
          <w:color w:val="auto"/>
        </w:rPr>
        <w:t>.</w:t>
      </w:r>
    </w:p>
    <w:p>
      <w:pPr>
        <w:spacing w:after="0" w:line="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928" w:right="279" w:bottom="1440" w:gutter="0" w:footer="0" w:header="0"/>
        </w:sectPr>
      </w:pPr>
    </w:p>
    <w:bookmarkStart w:id="144" w:name="page145"/>
    <w:bookmarkEnd w:id="144"/>
    <w:p>
      <w:pPr>
        <w:ind w:firstLine="396"/>
        <w:spacing w:after="0" w:line="279" w:lineRule="auto"/>
        <w:rPr>
          <w:sz w:val="20"/>
          <w:szCs w:val="20"/>
          <w:color w:val="auto"/>
        </w:rPr>
      </w:pPr>
      <w:r>
        <w:rPr>
          <w:rFonts w:ascii="Arial" w:cs="Arial" w:eastAsia="Arial" w:hAnsi="Arial"/>
          <w:sz w:val="19"/>
          <w:szCs w:val="19"/>
          <w:color w:val="auto"/>
        </w:rPr>
        <w:t xml:space="preserve">Section 7.05. </w:t>
      </w:r>
      <w:r>
        <w:rPr>
          <w:rFonts w:ascii="Arial" w:cs="Arial" w:eastAsia="Arial" w:hAnsi="Arial"/>
          <w:sz w:val="19"/>
          <w:szCs w:val="19"/>
          <w:u w:val="single" w:color="auto"/>
          <w:color w:val="auto"/>
        </w:rPr>
        <w:t>Safran Option</w:t>
      </w:r>
      <w:r>
        <w:rPr>
          <w:rFonts w:ascii="Arial" w:cs="Arial" w:eastAsia="Arial" w:hAnsi="Arial"/>
          <w:sz w:val="19"/>
          <w:szCs w:val="19"/>
          <w:color w:val="auto"/>
        </w:rPr>
        <w:t>. (a) Upon the occurrence of any of the following events (each such event, a “</w:t>
      </w:r>
      <w:r>
        <w:rPr>
          <w:rFonts w:ascii="Arial" w:cs="Arial" w:eastAsia="Arial" w:hAnsi="Arial"/>
          <w:sz w:val="19"/>
          <w:szCs w:val="19"/>
          <w:u w:val="single" w:color="auto"/>
          <w:color w:val="auto"/>
        </w:rPr>
        <w:t>Triggering Event</w:t>
      </w:r>
      <w:r>
        <w:rPr>
          <w:rFonts w:ascii="Arial" w:cs="Arial" w:eastAsia="Arial" w:hAnsi="Arial"/>
          <w:sz w:val="19"/>
          <w:szCs w:val="19"/>
          <w:color w:val="auto"/>
        </w:rPr>
        <w:t xml:space="preserve">”), Safran shall have the right to elect, at its option, within sixty (60) days after receipt of written notice of such Triggering Event, to (i) purchase all of the Common Membership Units then owned by Albany and its Affiliates at a purchase price determined in accordance with </w:t>
      </w:r>
      <w:r>
        <w:rPr>
          <w:rFonts w:ascii="Arial" w:cs="Arial" w:eastAsia="Arial" w:hAnsi="Arial"/>
          <w:sz w:val="19"/>
          <w:szCs w:val="19"/>
          <w:u w:val="single" w:color="auto"/>
          <w:color w:val="auto"/>
        </w:rPr>
        <w:t>Section 7.05(b)</w:t>
      </w:r>
      <w:r>
        <w:rPr>
          <w:rFonts w:ascii="Arial" w:cs="Arial" w:eastAsia="Arial" w:hAnsi="Arial"/>
          <w:sz w:val="19"/>
          <w:szCs w:val="19"/>
          <w:color w:val="auto"/>
        </w:rPr>
        <w:t xml:space="preserve"> (such right, the “</w:t>
      </w:r>
      <w:r>
        <w:rPr>
          <w:rFonts w:ascii="Arial" w:cs="Arial" w:eastAsia="Arial" w:hAnsi="Arial"/>
          <w:sz w:val="19"/>
          <w:szCs w:val="19"/>
          <w:u w:val="single" w:color="auto"/>
          <w:color w:val="auto"/>
        </w:rPr>
        <w:t>Safran Call Right</w:t>
      </w:r>
      <w:r>
        <w:rPr>
          <w:rFonts w:ascii="Arial" w:cs="Arial" w:eastAsia="Arial" w:hAnsi="Arial"/>
          <w:sz w:val="19"/>
          <w:szCs w:val="19"/>
          <w:color w:val="auto"/>
        </w:rPr>
        <w:t xml:space="preserve">”) or (ii) sell all of the Common Membership Units then owned by Safran and its Affiliates to Albany (or, at Albany’s election, an Affiliate of Albany) for a purchase price determined in accordance with </w:t>
      </w:r>
      <w:r>
        <w:rPr>
          <w:rFonts w:ascii="Arial" w:cs="Arial" w:eastAsia="Arial" w:hAnsi="Arial"/>
          <w:sz w:val="19"/>
          <w:szCs w:val="19"/>
          <w:u w:val="single" w:color="auto"/>
          <w:color w:val="auto"/>
        </w:rPr>
        <w:t>Section 7.05(g)</w:t>
      </w:r>
      <w:r>
        <w:rPr>
          <w:rFonts w:ascii="Arial" w:cs="Arial" w:eastAsia="Arial" w:hAnsi="Arial"/>
          <w:sz w:val="19"/>
          <w:szCs w:val="19"/>
          <w:color w:val="auto"/>
        </w:rPr>
        <w:t xml:space="preserve"> (such right, the “</w:t>
      </w:r>
      <w:r>
        <w:rPr>
          <w:rFonts w:ascii="Arial" w:cs="Arial" w:eastAsia="Arial" w:hAnsi="Arial"/>
          <w:sz w:val="19"/>
          <w:szCs w:val="19"/>
          <w:u w:val="single" w:color="auto"/>
          <w:color w:val="auto"/>
        </w:rPr>
        <w:t>Safran Put Right</w:t>
      </w:r>
      <w:r>
        <w:rPr>
          <w:rFonts w:ascii="Arial" w:cs="Arial" w:eastAsia="Arial" w:hAnsi="Arial"/>
          <w:sz w:val="19"/>
          <w:szCs w:val="19"/>
          <w:color w:val="auto"/>
        </w:rPr>
        <w:t>” and, together with the Safran Call Right, the “</w:t>
      </w:r>
      <w:r>
        <w:rPr>
          <w:rFonts w:ascii="Arial" w:cs="Arial" w:eastAsia="Arial" w:hAnsi="Arial"/>
          <w:sz w:val="19"/>
          <w:szCs w:val="19"/>
          <w:u w:val="single" w:color="auto"/>
          <w:color w:val="auto"/>
        </w:rPr>
        <w:t>Safran Option</w:t>
      </w:r>
      <w:r>
        <w:rPr>
          <w:rFonts w:ascii="Arial" w:cs="Arial" w:eastAsia="Arial" w:hAnsi="Arial"/>
          <w:sz w:val="19"/>
          <w:szCs w:val="19"/>
          <w:color w:val="auto"/>
        </w:rPr>
        <w:t>”):</w:t>
      </w:r>
    </w:p>
    <w:p>
      <w:pPr>
        <w:spacing w:after="0" w:line="43" w:lineRule="exact"/>
        <w:rPr>
          <w:sz w:val="20"/>
          <w:szCs w:val="20"/>
          <w:color w:val="auto"/>
        </w:rPr>
      </w:pPr>
    </w:p>
    <w:p>
      <w:pPr>
        <w:ind w:left="400" w:firstLine="400"/>
        <w:spacing w:after="0" w:line="271" w:lineRule="auto"/>
        <w:tabs>
          <w:tab w:leader="none" w:pos="1054" w:val="left"/>
        </w:tabs>
        <w:numPr>
          <w:ilvl w:val="0"/>
          <w:numId w:val="76"/>
        </w:numPr>
        <w:rPr>
          <w:rFonts w:ascii="Arial" w:cs="Arial" w:eastAsia="Arial" w:hAnsi="Arial"/>
          <w:sz w:val="19"/>
          <w:szCs w:val="19"/>
          <w:color w:val="auto"/>
        </w:rPr>
      </w:pPr>
      <w:r>
        <w:rPr>
          <w:rFonts w:ascii="Arial" w:cs="Arial" w:eastAsia="Arial" w:hAnsi="Arial"/>
          <w:sz w:val="19"/>
          <w:szCs w:val="19"/>
          <w:color w:val="auto"/>
        </w:rPr>
        <w:t>a change of control transaction whereby (A) any Competitor of Safran becomes the “beneficial owner” (as defined in Rule 13d-3 promulgated under the Exchange Act), directly or indirectly, of securities of Albany or Albany International representing 50% or more of the voting power of Albany’s or Albany International’s then-outstanding securities, (B) Albany or Albany International is party to a merger or consolidation, or series of related merger or consolidation transactions, with any Competitor of Safran which results in the holders of voting securities of Albany or Albany International outstanding immediately prior thereto failing to continue to (1) hold securities representing (either by remaining outstanding or by being converted into securities of the surviving or another entity) at least fifty (50%) percent of the voting power of the securities of Albany, Albany International or such surviving entity outstanding immediately after such merger or consolidation or (2) directly or indirectly have the power to elect the majority of the entire board of directors or other similar governing body of Albany, Albany International or such surviving entity immediately after such merger or consolidation, (C) the sale or disposition of all or substantially all of Albany’s or Albany International’s assets to (or consummation of any transaction, or series of related transactions, having the same effect, with) any Competitor of Safran, or (D) any transaction or series of related transactions with any Competitor of Safran that has the same effect as any one or more of the foregoing (it being understood that the execution by Albany, Albany International or any of their respective Affiliates of a definitive agreement with a Competitor of Safran to effectuate any of the foregoing shall be considered a Triggering Event);</w:t>
      </w:r>
    </w:p>
    <w:p>
      <w:pPr>
        <w:spacing w:after="0" w:line="300" w:lineRule="exact"/>
        <w:rPr>
          <w:rFonts w:ascii="Arial" w:cs="Arial" w:eastAsia="Arial" w:hAnsi="Arial"/>
          <w:sz w:val="19"/>
          <w:szCs w:val="19"/>
          <w:color w:val="auto"/>
        </w:rPr>
      </w:pPr>
    </w:p>
    <w:p>
      <w:pPr>
        <w:ind w:left="400" w:right="120" w:firstLine="400"/>
        <w:spacing w:after="0" w:line="252" w:lineRule="auto"/>
        <w:tabs>
          <w:tab w:leader="none" w:pos="1114" w:val="left"/>
        </w:tabs>
        <w:numPr>
          <w:ilvl w:val="0"/>
          <w:numId w:val="76"/>
        </w:numPr>
        <w:rPr>
          <w:rFonts w:ascii="Arial" w:cs="Arial" w:eastAsia="Arial" w:hAnsi="Arial"/>
          <w:sz w:val="21"/>
          <w:szCs w:val="21"/>
          <w:color w:val="auto"/>
        </w:rPr>
      </w:pPr>
      <w:r>
        <w:rPr>
          <w:rFonts w:ascii="Arial" w:cs="Arial" w:eastAsia="Arial" w:hAnsi="Arial"/>
          <w:sz w:val="21"/>
          <w:szCs w:val="21"/>
          <w:color w:val="auto"/>
        </w:rPr>
        <w:t>a “material breach” by the Company of the Long Term Supply Agreement as such term is defined therein and failure to cure such breach within twelve (12) months following receipt by the Company of written notice from Safran describing the material breach in reasonable detail (it being understood that such twelve (12) month period shall run concurrently with the applicable cure period set forth in Article 19.1.1 of the Long Term Supply Agreement);</w:t>
      </w:r>
    </w:p>
    <w:p>
      <w:pPr>
        <w:spacing w:after="0" w:line="66" w:lineRule="exact"/>
        <w:rPr>
          <w:rFonts w:ascii="Arial" w:cs="Arial" w:eastAsia="Arial" w:hAnsi="Arial"/>
          <w:sz w:val="21"/>
          <w:szCs w:val="21"/>
          <w:color w:val="auto"/>
        </w:rPr>
      </w:pPr>
    </w:p>
    <w:p>
      <w:pPr>
        <w:ind w:left="400" w:firstLine="400"/>
        <w:spacing w:after="0" w:line="249" w:lineRule="auto"/>
        <w:tabs>
          <w:tab w:leader="none" w:pos="1174" w:val="left"/>
        </w:tabs>
        <w:numPr>
          <w:ilvl w:val="0"/>
          <w:numId w:val="76"/>
        </w:numPr>
        <w:rPr>
          <w:rFonts w:ascii="Arial" w:cs="Arial" w:eastAsia="Arial" w:hAnsi="Arial"/>
          <w:sz w:val="21"/>
          <w:szCs w:val="21"/>
          <w:color w:val="auto"/>
        </w:rPr>
      </w:pPr>
      <w:r>
        <w:rPr>
          <w:rFonts w:ascii="Arial" w:cs="Arial" w:eastAsia="Arial" w:hAnsi="Arial"/>
          <w:sz w:val="21"/>
          <w:szCs w:val="21"/>
          <w:color w:val="auto"/>
        </w:rPr>
        <w:t>the Company shall have commenced any case, proceeding or other action (A) under any existing or future Law relating to bankruptcy, insolvency, reorganization or relief of debtors, seeking to have an order for relief entered with respect to it, or seeking to adjudicate it bankrupt or insolvent, or seeking reorganization, arrangement, adjustment, winding-up, liquidation, dissolution, composition or other relief with respect to it or its debts, or (B) seeking appointment of a receiver, trustee, custodian, conservator or other similar official for it or for all of its assets;</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712" w:right="259" w:bottom="1440" w:gutter="0" w:footer="0" w:header="0"/>
        </w:sectPr>
      </w:pPr>
    </w:p>
    <w:bookmarkStart w:id="145" w:name="page146"/>
    <w:bookmarkEnd w:id="145"/>
    <w:p>
      <w:pPr>
        <w:ind w:left="392" w:firstLine="400"/>
        <w:spacing w:after="0" w:line="246" w:lineRule="auto"/>
        <w:tabs>
          <w:tab w:leader="none" w:pos="1154" w:val="left"/>
        </w:tabs>
        <w:numPr>
          <w:ilvl w:val="2"/>
          <w:numId w:val="77"/>
        </w:numPr>
        <w:rPr>
          <w:rFonts w:ascii="Arial" w:cs="Arial" w:eastAsia="Arial" w:hAnsi="Arial"/>
          <w:sz w:val="21"/>
          <w:szCs w:val="21"/>
          <w:color w:val="auto"/>
        </w:rPr>
      </w:pPr>
      <w:r>
        <w:rPr>
          <w:rFonts w:ascii="Arial" w:cs="Arial" w:eastAsia="Arial" w:hAnsi="Arial"/>
          <w:sz w:val="21"/>
          <w:szCs w:val="21"/>
          <w:color w:val="auto"/>
        </w:rPr>
        <w:t xml:space="preserve">a failure to meet a Material Milestone, which failure remains uncured for ninety (90) days following the receipt by the Company of written notice from Safran describing the applicable failure in reasonable detail, such notice to be delivered following the Safran Manager’s review of the Quarterly Performance Report or other applicable report delivered pursuant to </w:t>
      </w:r>
      <w:r>
        <w:rPr>
          <w:rFonts w:ascii="Arial" w:cs="Arial" w:eastAsia="Arial" w:hAnsi="Arial"/>
          <w:sz w:val="21"/>
          <w:szCs w:val="21"/>
          <w:u w:val="single" w:color="auto"/>
          <w:color w:val="auto"/>
        </w:rPr>
        <w:t>Section 8.04</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Safran shall be prohibited from exercising the Safran Option in the event that the HR Director shall have been the primary cause of, or the primary factor that resulted in, the occurrence of a Triggering Event pursuant to this </w:t>
      </w:r>
      <w:r>
        <w:rPr>
          <w:rFonts w:ascii="Arial" w:cs="Arial" w:eastAsia="Arial" w:hAnsi="Arial"/>
          <w:sz w:val="21"/>
          <w:szCs w:val="21"/>
          <w:u w:val="single" w:color="auto"/>
          <w:color w:val="auto"/>
        </w:rPr>
        <w:t>Section 7.05(a)(iv)</w:t>
      </w:r>
      <w:r>
        <w:rPr>
          <w:rFonts w:ascii="Arial" w:cs="Arial" w:eastAsia="Arial" w:hAnsi="Arial"/>
          <w:sz w:val="21"/>
          <w:szCs w:val="21"/>
          <w:color w:val="auto"/>
        </w:rPr>
        <w:t xml:space="preserve"> (unless such primary cause or factor shall have resulted from action taken by the HR Director at the reasonable direction of the General Manager consistent with </w:t>
      </w:r>
      <w:r>
        <w:rPr>
          <w:rFonts w:ascii="Arial" w:cs="Arial" w:eastAsia="Arial" w:hAnsi="Arial"/>
          <w:sz w:val="21"/>
          <w:szCs w:val="21"/>
          <w:u w:val="single" w:color="auto"/>
          <w:color w:val="auto"/>
        </w:rPr>
        <w:t>Section 6.02(b)</w:t>
      </w:r>
      <w:r>
        <w:rPr>
          <w:rFonts w:ascii="Arial" w:cs="Arial" w:eastAsia="Arial" w:hAnsi="Arial"/>
          <w:sz w:val="21"/>
          <w:szCs w:val="21"/>
          <w:color w:val="auto"/>
        </w:rPr>
        <w:t>, in which case Safran shall not be so prohibited from exercising the Safran Option);</w:t>
      </w:r>
    </w:p>
    <w:p>
      <w:pPr>
        <w:spacing w:after="0" w:line="72" w:lineRule="exact"/>
        <w:rPr>
          <w:rFonts w:ascii="Arial" w:cs="Arial" w:eastAsia="Arial" w:hAnsi="Arial"/>
          <w:sz w:val="21"/>
          <w:szCs w:val="21"/>
          <w:color w:val="auto"/>
        </w:rPr>
      </w:pPr>
    </w:p>
    <w:p>
      <w:pPr>
        <w:ind w:left="392" w:right="180" w:firstLine="400"/>
        <w:spacing w:after="0" w:line="238" w:lineRule="auto"/>
        <w:tabs>
          <w:tab w:leader="none" w:pos="1094" w:val="left"/>
        </w:tabs>
        <w:numPr>
          <w:ilvl w:val="2"/>
          <w:numId w:val="77"/>
        </w:numPr>
        <w:rPr>
          <w:rFonts w:ascii="Arial" w:cs="Arial" w:eastAsia="Arial" w:hAnsi="Arial"/>
          <w:sz w:val="22"/>
          <w:szCs w:val="22"/>
          <w:color w:val="auto"/>
        </w:rPr>
      </w:pPr>
      <w:r>
        <w:rPr>
          <w:rFonts w:ascii="Arial" w:cs="Arial" w:eastAsia="Arial" w:hAnsi="Arial"/>
          <w:sz w:val="22"/>
          <w:szCs w:val="22"/>
          <w:color w:val="auto"/>
        </w:rPr>
        <w:t xml:space="preserve">a Deadlock Event (A) occurs as a result of a proposal by the Albany Managers of an Annual Business Plan, to which Safran does not agree, that includes minimum annual hiring or capital expenditure targets that are 25% or less than the amounts in the Five Year Business Plan or the initial Material Milestones and (B) is not amicably resolved following completion of the procedures set forth in </w:t>
      </w:r>
      <w:r>
        <w:rPr>
          <w:rFonts w:ascii="Arial" w:cs="Arial" w:eastAsia="Arial" w:hAnsi="Arial"/>
          <w:sz w:val="22"/>
          <w:szCs w:val="22"/>
          <w:u w:val="single" w:color="auto"/>
          <w:color w:val="auto"/>
        </w:rPr>
        <w:t>Section 5.06</w:t>
      </w:r>
      <w:r>
        <w:rPr>
          <w:rFonts w:ascii="Arial" w:cs="Arial" w:eastAsia="Arial" w:hAnsi="Arial"/>
          <w:sz w:val="22"/>
          <w:szCs w:val="22"/>
          <w:color w:val="auto"/>
        </w:rPr>
        <w:t>;</w:t>
      </w:r>
    </w:p>
    <w:p>
      <w:pPr>
        <w:spacing w:after="0" w:line="76" w:lineRule="exact"/>
        <w:rPr>
          <w:rFonts w:ascii="Arial" w:cs="Arial" w:eastAsia="Arial" w:hAnsi="Arial"/>
          <w:sz w:val="22"/>
          <w:szCs w:val="22"/>
          <w:color w:val="auto"/>
        </w:rPr>
      </w:pPr>
    </w:p>
    <w:p>
      <w:pPr>
        <w:ind w:left="392" w:firstLine="400"/>
        <w:spacing w:after="0" w:line="249" w:lineRule="auto"/>
        <w:tabs>
          <w:tab w:leader="none" w:pos="1154" w:val="left"/>
        </w:tabs>
        <w:numPr>
          <w:ilvl w:val="2"/>
          <w:numId w:val="77"/>
        </w:numPr>
        <w:rPr>
          <w:rFonts w:ascii="Arial" w:cs="Arial" w:eastAsia="Arial" w:hAnsi="Arial"/>
          <w:sz w:val="21"/>
          <w:szCs w:val="21"/>
          <w:color w:val="auto"/>
        </w:rPr>
      </w:pPr>
      <w:r>
        <w:rPr>
          <w:rFonts w:ascii="Arial" w:cs="Arial" w:eastAsia="Arial" w:hAnsi="Arial"/>
          <w:sz w:val="21"/>
          <w:szCs w:val="21"/>
          <w:color w:val="auto"/>
        </w:rPr>
        <w:t>a series of material breaches of this Agreement, the Services Agreement, the Safran IPLA, and/or the Albany IPLA, by Albany that causes Safran or its Affiliates to breach, or creates a material risk that Safran or its Affiliates will breach, their material obligations to their respective customers, including delivery obligations or conformity obligations, which series of material breaches by Albany remains uncured for four (4) months following the receipt by the Company of written notice from Safran describing the applicable failures in reasonable detail; or</w:t>
      </w:r>
    </w:p>
    <w:p>
      <w:pPr>
        <w:spacing w:after="0" w:line="70" w:lineRule="exact"/>
        <w:rPr>
          <w:rFonts w:ascii="Arial" w:cs="Arial" w:eastAsia="Arial" w:hAnsi="Arial"/>
          <w:sz w:val="21"/>
          <w:szCs w:val="21"/>
          <w:color w:val="auto"/>
        </w:rPr>
      </w:pPr>
    </w:p>
    <w:p>
      <w:pPr>
        <w:ind w:left="392" w:right="100" w:firstLine="400"/>
        <w:spacing w:after="0" w:line="238" w:lineRule="auto"/>
        <w:tabs>
          <w:tab w:leader="none" w:pos="1214" w:val="left"/>
        </w:tabs>
        <w:numPr>
          <w:ilvl w:val="2"/>
          <w:numId w:val="77"/>
        </w:numPr>
        <w:rPr>
          <w:rFonts w:ascii="Arial" w:cs="Arial" w:eastAsia="Arial" w:hAnsi="Arial"/>
          <w:sz w:val="22"/>
          <w:szCs w:val="22"/>
          <w:color w:val="auto"/>
        </w:rPr>
      </w:pPr>
      <w:r>
        <w:rPr>
          <w:rFonts w:ascii="Arial" w:cs="Arial" w:eastAsia="Arial" w:hAnsi="Arial"/>
          <w:sz w:val="22"/>
          <w:szCs w:val="22"/>
          <w:color w:val="auto"/>
        </w:rPr>
        <w:t>a resolution by the board of directors of Albany International (the “</w:t>
      </w:r>
      <w:r>
        <w:rPr>
          <w:rFonts w:ascii="Arial" w:cs="Arial" w:eastAsia="Arial" w:hAnsi="Arial"/>
          <w:sz w:val="22"/>
          <w:szCs w:val="22"/>
          <w:u w:val="single" w:color="auto"/>
          <w:color w:val="auto"/>
        </w:rPr>
        <w:t>Albany International Board</w:t>
      </w:r>
      <w:r>
        <w:rPr>
          <w:rFonts w:ascii="Arial" w:cs="Arial" w:eastAsia="Arial" w:hAnsi="Arial"/>
          <w:sz w:val="22"/>
          <w:szCs w:val="22"/>
          <w:color w:val="auto"/>
        </w:rPr>
        <w:t>”) or a written public communication by Albany International’s CEO or the Albany International Board that Albany International is no longer committed to the growth of Albany, with notice to be provided to Safran within five (5) days of such decision by the Board or formal communication.</w:t>
      </w:r>
    </w:p>
    <w:p>
      <w:pPr>
        <w:spacing w:after="0" w:line="76" w:lineRule="exact"/>
        <w:rPr>
          <w:rFonts w:ascii="Arial" w:cs="Arial" w:eastAsia="Arial" w:hAnsi="Arial"/>
          <w:sz w:val="22"/>
          <w:szCs w:val="22"/>
          <w:color w:val="auto"/>
        </w:rPr>
      </w:pPr>
    </w:p>
    <w:p>
      <w:pPr>
        <w:jc w:val="both"/>
        <w:ind w:left="-8" w:firstLine="404"/>
        <w:spacing w:after="0" w:line="273" w:lineRule="auto"/>
        <w:tabs>
          <w:tab w:leader="none" w:pos="694" w:val="left"/>
        </w:tabs>
        <w:numPr>
          <w:ilvl w:val="1"/>
          <w:numId w:val="78"/>
        </w:numPr>
        <w:rPr>
          <w:rFonts w:ascii="Arial" w:cs="Arial" w:eastAsia="Arial" w:hAnsi="Arial"/>
          <w:sz w:val="19"/>
          <w:szCs w:val="19"/>
          <w:color w:val="auto"/>
        </w:rPr>
      </w:pPr>
      <w:r>
        <w:rPr>
          <w:rFonts w:ascii="Arial" w:cs="Arial" w:eastAsia="Arial" w:hAnsi="Arial"/>
          <w:sz w:val="19"/>
          <w:szCs w:val="19"/>
          <w:color w:val="auto"/>
        </w:rPr>
        <w:t>Upon exercise of the Safran Call Right, Safran shall pay to Albany an amount equal to (i) the aggregate Percentage Interest of Albany and all Affiliates of Albany that own any Common Membership Units as of the date of exercise of the Safran Call Right (the “</w:t>
      </w:r>
      <w:r>
        <w:rPr>
          <w:rFonts w:ascii="Arial" w:cs="Arial" w:eastAsia="Arial" w:hAnsi="Arial"/>
          <w:sz w:val="19"/>
          <w:szCs w:val="19"/>
          <w:u w:val="single" w:color="auto"/>
          <w:color w:val="auto"/>
        </w:rPr>
        <w:t>Exercise Date</w:t>
      </w:r>
      <w:r>
        <w:rPr>
          <w:rFonts w:ascii="Arial" w:cs="Arial" w:eastAsia="Arial" w:hAnsi="Arial"/>
          <w:sz w:val="19"/>
          <w:szCs w:val="19"/>
          <w:color w:val="auto"/>
        </w:rPr>
        <w:t>”) multiplied by (ii) (A) the Enterprise Value as of the Exercise Date minus (B) the sum (without duplication) of</w:t>
      </w:r>
    </w:p>
    <w:p>
      <w:pPr>
        <w:spacing w:after="0" w:line="1" w:lineRule="exact"/>
        <w:rPr>
          <w:rFonts w:ascii="Arial" w:cs="Arial" w:eastAsia="Arial" w:hAnsi="Arial"/>
          <w:sz w:val="19"/>
          <w:szCs w:val="19"/>
          <w:color w:val="auto"/>
        </w:rPr>
      </w:pPr>
    </w:p>
    <w:p>
      <w:pPr>
        <w:ind w:left="-8" w:right="20" w:firstLine="8"/>
        <w:spacing w:after="0" w:line="234" w:lineRule="auto"/>
        <w:tabs>
          <w:tab w:leader="none" w:pos="298" w:val="left"/>
        </w:tabs>
        <w:numPr>
          <w:ilvl w:val="0"/>
          <w:numId w:val="79"/>
        </w:numPr>
        <w:rPr>
          <w:rFonts w:ascii="Arial" w:cs="Arial" w:eastAsia="Arial" w:hAnsi="Arial"/>
          <w:sz w:val="22"/>
          <w:szCs w:val="22"/>
          <w:color w:val="auto"/>
        </w:rPr>
      </w:pPr>
      <w:r>
        <w:rPr>
          <w:rFonts w:ascii="Arial" w:cs="Arial" w:eastAsia="Arial" w:hAnsi="Arial"/>
          <w:sz w:val="22"/>
          <w:szCs w:val="22"/>
          <w:color w:val="auto"/>
        </w:rPr>
        <w:t>Net Indebtedness (including all amounts owing under all outstanding Intercompany Loans) and (2) the portion of Preferred Capital for all Preferred Membership Units owned by Albany or any of its Affiliates that has not been repaid in full, in each case as of the Exercise Date.</w:t>
      </w:r>
    </w:p>
    <w:p>
      <w:pPr>
        <w:spacing w:after="0" w:line="79" w:lineRule="exact"/>
        <w:rPr>
          <w:rFonts w:ascii="Arial" w:cs="Arial" w:eastAsia="Arial" w:hAnsi="Arial"/>
          <w:sz w:val="22"/>
          <w:szCs w:val="22"/>
          <w:color w:val="auto"/>
        </w:rPr>
      </w:pPr>
    </w:p>
    <w:p>
      <w:pPr>
        <w:ind w:left="692" w:hanging="296"/>
        <w:spacing w:after="0"/>
        <w:tabs>
          <w:tab w:leader="none" w:pos="692" w:val="left"/>
        </w:tabs>
        <w:numPr>
          <w:ilvl w:val="1"/>
          <w:numId w:val="79"/>
        </w:numPr>
        <w:rPr>
          <w:rFonts w:ascii="Arial" w:cs="Arial" w:eastAsia="Arial" w:hAnsi="Arial"/>
          <w:sz w:val="22"/>
          <w:szCs w:val="22"/>
          <w:color w:val="auto"/>
        </w:rPr>
      </w:pPr>
      <w:r>
        <w:rPr>
          <w:rFonts w:ascii="Arial" w:cs="Arial" w:eastAsia="Arial" w:hAnsi="Arial"/>
          <w:sz w:val="22"/>
          <w:szCs w:val="22"/>
          <w:color w:val="auto"/>
        </w:rPr>
        <w:t xml:space="preserve">For purposes of this </w:t>
      </w:r>
      <w:r>
        <w:rPr>
          <w:rFonts w:ascii="Arial" w:cs="Arial" w:eastAsia="Arial" w:hAnsi="Arial"/>
          <w:sz w:val="22"/>
          <w:szCs w:val="22"/>
          <w:u w:val="single" w:color="auto"/>
          <w:color w:val="auto"/>
        </w:rPr>
        <w:t>Section 7.05</w:t>
      </w:r>
      <w:r>
        <w:rPr>
          <w:rFonts w:ascii="Arial" w:cs="Arial" w:eastAsia="Arial" w:hAnsi="Arial"/>
          <w:sz w:val="22"/>
          <w:szCs w:val="22"/>
          <w:color w:val="auto"/>
        </w:rPr>
        <w:t>, “</w:t>
      </w:r>
      <w:r>
        <w:rPr>
          <w:rFonts w:ascii="Arial" w:cs="Arial" w:eastAsia="Arial" w:hAnsi="Arial"/>
          <w:sz w:val="22"/>
          <w:szCs w:val="22"/>
          <w:u w:val="single" w:color="auto"/>
          <w:color w:val="auto"/>
        </w:rPr>
        <w:t>Enterprise Value</w:t>
      </w:r>
      <w:r>
        <w:rPr>
          <w:rFonts w:ascii="Arial" w:cs="Arial" w:eastAsia="Arial" w:hAnsi="Arial"/>
          <w:sz w:val="22"/>
          <w:szCs w:val="22"/>
          <w:color w:val="auto"/>
        </w:rPr>
        <w:t>” shall be defined as follows:</w:t>
      </w:r>
    </w:p>
    <w:p>
      <w:pPr>
        <w:spacing w:after="0" w:line="98" w:lineRule="exact"/>
        <w:rPr>
          <w:rFonts w:ascii="Arial" w:cs="Arial" w:eastAsia="Arial" w:hAnsi="Arial"/>
          <w:sz w:val="22"/>
          <w:szCs w:val="22"/>
          <w:color w:val="auto"/>
        </w:rPr>
      </w:pPr>
    </w:p>
    <w:p>
      <w:pPr>
        <w:ind w:left="392" w:right="280" w:firstLine="400"/>
        <w:spacing w:after="0" w:line="251" w:lineRule="auto"/>
        <w:tabs>
          <w:tab w:leader="none" w:pos="1046" w:val="left"/>
        </w:tabs>
        <w:numPr>
          <w:ilvl w:val="2"/>
          <w:numId w:val="79"/>
        </w:numPr>
        <w:rPr>
          <w:rFonts w:ascii="Arial" w:cs="Arial" w:eastAsia="Arial" w:hAnsi="Arial"/>
          <w:sz w:val="22"/>
          <w:szCs w:val="22"/>
          <w:color w:val="auto"/>
        </w:rPr>
      </w:pPr>
      <w:r>
        <w:rPr>
          <w:rFonts w:ascii="Arial" w:cs="Arial" w:eastAsia="Arial" w:hAnsi="Arial"/>
          <w:sz w:val="22"/>
          <w:szCs w:val="22"/>
          <w:color w:val="auto"/>
        </w:rPr>
        <w:t xml:space="preserve">if the Exercise Date occurs on or before the Formula Change Date, then the Enterprise Value as of the Exercise Date shall be as set forth in </w:t>
      </w:r>
      <w:r>
        <w:rPr>
          <w:rFonts w:ascii="Arial" w:cs="Arial" w:eastAsia="Arial" w:hAnsi="Arial"/>
          <w:sz w:val="22"/>
          <w:szCs w:val="22"/>
          <w:u w:val="single" w:color="auto"/>
          <w:color w:val="auto"/>
        </w:rPr>
        <w:t>Annex II</w:t>
      </w:r>
      <w:r>
        <w:rPr>
          <w:rFonts w:ascii="Arial" w:cs="Arial" w:eastAsia="Arial" w:hAnsi="Arial"/>
          <w:sz w:val="22"/>
          <w:szCs w:val="22"/>
          <w:color w:val="auto"/>
        </w:rPr>
        <w:t xml:space="preserve"> for the applicable quarter; or</w:t>
      </w:r>
    </w:p>
    <w:p>
      <w:pPr>
        <w:spacing w:after="0" w:line="72"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246620" cy="431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72"/>
          </w:cols>
          <w:pgMar w:left="248" w:top="712" w:right="279" w:bottom="1440" w:gutter="0" w:footer="0" w:header="0"/>
        </w:sectPr>
      </w:pPr>
    </w:p>
    <w:bookmarkStart w:id="146" w:name="page147"/>
    <w:bookmarkEnd w:id="146"/>
    <w:p>
      <w:pPr>
        <w:ind w:left="400" w:right="120" w:firstLine="400"/>
        <w:spacing w:after="0" w:line="251" w:lineRule="auto"/>
        <w:tabs>
          <w:tab w:leader="none" w:pos="1114" w:val="left"/>
        </w:tabs>
        <w:numPr>
          <w:ilvl w:val="2"/>
          <w:numId w:val="80"/>
        </w:numPr>
        <w:rPr>
          <w:rFonts w:ascii="Arial" w:cs="Arial" w:eastAsia="Arial" w:hAnsi="Arial"/>
          <w:sz w:val="22"/>
          <w:szCs w:val="22"/>
          <w:color w:val="auto"/>
        </w:rPr>
      </w:pPr>
      <w:r>
        <w:rPr>
          <w:rFonts w:ascii="Arial" w:cs="Arial" w:eastAsia="Arial" w:hAnsi="Arial"/>
          <w:sz w:val="22"/>
          <w:szCs w:val="22"/>
          <w:color w:val="auto"/>
        </w:rPr>
        <w:t>if the Exercise Date occurs after the Formula Change Date, then the Enterprise Value as of the Exercise Date shall be equal to the Formula B Enterprise Value.</w:t>
      </w:r>
    </w:p>
    <w:p>
      <w:pPr>
        <w:spacing w:after="0" w:line="65" w:lineRule="exact"/>
        <w:rPr>
          <w:rFonts w:ascii="Arial" w:cs="Arial" w:eastAsia="Arial" w:hAnsi="Arial"/>
          <w:sz w:val="22"/>
          <w:szCs w:val="22"/>
          <w:color w:val="auto"/>
        </w:rPr>
      </w:pPr>
    </w:p>
    <w:p>
      <w:pPr>
        <w:ind w:right="20" w:firstLine="404"/>
        <w:spacing w:after="0" w:line="268" w:lineRule="auto"/>
        <w:tabs>
          <w:tab w:leader="none" w:pos="702" w:val="left"/>
        </w:tabs>
        <w:numPr>
          <w:ilvl w:val="1"/>
          <w:numId w:val="81"/>
        </w:numPr>
        <w:rPr>
          <w:rFonts w:ascii="Arial" w:cs="Arial" w:eastAsia="Arial" w:hAnsi="Arial"/>
          <w:sz w:val="19"/>
          <w:szCs w:val="19"/>
          <w:color w:val="auto"/>
        </w:rPr>
      </w:pPr>
      <w:r>
        <w:rPr>
          <w:rFonts w:ascii="Arial" w:cs="Arial" w:eastAsia="Arial" w:hAnsi="Arial"/>
          <w:sz w:val="19"/>
          <w:szCs w:val="19"/>
          <w:color w:val="auto"/>
        </w:rPr>
        <w:t xml:space="preserve">In the event that the Safran Call Right is exercised, (i) the Company shall immediately (A) satisfy all of its obligations under all outstanding Intercompany Loans, and (B) pay to each Preferred Member the portion of Preferred Capital for all Preferred Membership Units owned by such Preferred Member that has not been repaid in full as of the Exercise Date (or, if the Company is unable to timely satisfy such obligations, Safran shall satisfy such obligations on behalf of the Company), (ii) Albany and Safran shall negotiate an implementation plan to avoid a disruption in the production and sale of Safran products to customers and (iii) Albany and Albany International, subject to (iv) below and Albany’s rights and obligations under the Albany IPLA, shall have no further rights or obligations under this Agreement and Albany shall cease to be a member of the Company effective as of the Exercise Date; </w:t>
      </w:r>
      <w:r>
        <w:rPr>
          <w:rFonts w:ascii="Arial" w:cs="Arial" w:eastAsia="Arial" w:hAnsi="Arial"/>
          <w:sz w:val="19"/>
          <w:szCs w:val="19"/>
          <w:u w:val="single" w:color="auto"/>
          <w:color w:val="auto"/>
        </w:rPr>
        <w:t>provided</w:t>
      </w:r>
      <w:r>
        <w:rPr>
          <w:rFonts w:ascii="Arial" w:cs="Arial" w:eastAsia="Arial" w:hAnsi="Arial"/>
          <w:sz w:val="19"/>
          <w:szCs w:val="19"/>
          <w:color w:val="auto"/>
        </w:rPr>
        <w:t>, that the exercise of the Safran Call Right shall not relieve Albany or Albany International from liability for any breach of this Agreement on or prior to the Exercise Date, and (iv) Albany shall provide the Company with (A) a copy of the software source code not already transferred or licensed to the Company (so that the Company will thereafter be able to make improvements or modifications thereto) necessary to applications in the Agreed Space (the “</w:t>
      </w:r>
      <w:r>
        <w:rPr>
          <w:rFonts w:ascii="Arial" w:cs="Arial" w:eastAsia="Arial" w:hAnsi="Arial"/>
          <w:sz w:val="19"/>
          <w:szCs w:val="19"/>
          <w:u w:val="single" w:color="auto"/>
          <w:color w:val="auto"/>
        </w:rPr>
        <w:t>Albany Software</w:t>
      </w:r>
      <w:r>
        <w:rPr>
          <w:rFonts w:ascii="Arial" w:cs="Arial" w:eastAsia="Arial" w:hAnsi="Arial"/>
          <w:sz w:val="19"/>
          <w:szCs w:val="19"/>
          <w:color w:val="auto"/>
        </w:rPr>
        <w:t xml:space="preserve">”) and (B) all reasonable support necessary to enable the Company to use the Albany Technology (including Albany Software) for two (2) years following the Exercise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support will be provided by Albany without charge for the six (6) months immediately following the Exercise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if the Company reasonably determines that additional services are required after such six (6) month period, Albany shall provide such services at cost for an additional period not to exceed eighteen</w:t>
      </w:r>
    </w:p>
    <w:p>
      <w:pPr>
        <w:spacing w:after="0" w:line="4" w:lineRule="exact"/>
        <w:rPr>
          <w:rFonts w:ascii="Arial" w:cs="Arial" w:eastAsia="Arial" w:hAnsi="Arial"/>
          <w:sz w:val="19"/>
          <w:szCs w:val="19"/>
          <w:color w:val="auto"/>
        </w:rPr>
      </w:pPr>
    </w:p>
    <w:p>
      <w:pPr>
        <w:ind w:left="420" w:hanging="412"/>
        <w:spacing w:after="0"/>
        <w:tabs>
          <w:tab w:leader="none" w:pos="420" w:val="left"/>
        </w:tabs>
        <w:numPr>
          <w:ilvl w:val="0"/>
          <w:numId w:val="82"/>
        </w:numPr>
        <w:rPr>
          <w:rFonts w:ascii="Arial" w:cs="Arial" w:eastAsia="Arial" w:hAnsi="Arial"/>
          <w:sz w:val="22"/>
          <w:szCs w:val="22"/>
          <w:color w:val="auto"/>
        </w:rPr>
      </w:pPr>
      <w:r>
        <w:rPr>
          <w:rFonts w:ascii="Arial" w:cs="Arial" w:eastAsia="Arial" w:hAnsi="Arial"/>
          <w:sz w:val="22"/>
          <w:szCs w:val="22"/>
          <w:color w:val="auto"/>
        </w:rPr>
        <w:t>months.</w:t>
      </w:r>
    </w:p>
    <w:p>
      <w:pPr>
        <w:spacing w:after="0" w:line="80" w:lineRule="exact"/>
        <w:rPr>
          <w:rFonts w:ascii="Arial" w:cs="Arial" w:eastAsia="Arial" w:hAnsi="Arial"/>
          <w:sz w:val="22"/>
          <w:szCs w:val="22"/>
          <w:color w:val="auto"/>
        </w:rPr>
      </w:pPr>
    </w:p>
    <w:p>
      <w:pPr>
        <w:ind w:left="700" w:hanging="296"/>
        <w:spacing w:after="0"/>
        <w:tabs>
          <w:tab w:leader="none" w:pos="700" w:val="left"/>
        </w:tabs>
        <w:numPr>
          <w:ilvl w:val="1"/>
          <w:numId w:val="82"/>
        </w:numPr>
        <w:rPr>
          <w:rFonts w:ascii="Arial" w:cs="Arial" w:eastAsia="Arial" w:hAnsi="Arial"/>
          <w:sz w:val="19"/>
          <w:szCs w:val="19"/>
          <w:color w:val="auto"/>
        </w:rPr>
      </w:pPr>
      <w:r>
        <w:rPr>
          <w:rFonts w:ascii="Arial" w:cs="Arial" w:eastAsia="Arial" w:hAnsi="Arial"/>
          <w:sz w:val="19"/>
          <w:szCs w:val="19"/>
          <w:color w:val="auto"/>
        </w:rPr>
        <w:t>If a Triggering Event shall have occurred, upon Albany’s receipt of notice from Safran of such Triggering Event and until</w:t>
      </w:r>
    </w:p>
    <w:p>
      <w:pPr>
        <w:spacing w:after="0" w:line="48" w:lineRule="exact"/>
        <w:rPr>
          <w:sz w:val="20"/>
          <w:szCs w:val="20"/>
          <w:color w:val="auto"/>
        </w:rPr>
      </w:pPr>
    </w:p>
    <w:p>
      <w:pPr>
        <w:spacing w:after="0" w:line="246" w:lineRule="auto"/>
        <w:rPr>
          <w:sz w:val="20"/>
          <w:szCs w:val="20"/>
          <w:color w:val="auto"/>
        </w:rPr>
      </w:pPr>
      <w:r>
        <w:rPr>
          <w:rFonts w:ascii="Arial" w:cs="Arial" w:eastAsia="Arial" w:hAnsi="Arial"/>
          <w:sz w:val="19"/>
          <w:szCs w:val="19"/>
          <w:color w:val="auto"/>
        </w:rPr>
        <w:t>the third (3</w:t>
      </w:r>
      <w:r>
        <w:rPr>
          <w:rFonts w:ascii="Arial" w:cs="Arial" w:eastAsia="Arial" w:hAnsi="Arial"/>
          <w:sz w:val="31"/>
          <w:szCs w:val="31"/>
          <w:color w:val="auto"/>
          <w:vertAlign w:val="superscript"/>
        </w:rPr>
        <w:t>rd</w:t>
      </w:r>
      <w:r>
        <w:rPr>
          <w:rFonts w:ascii="Arial" w:cs="Arial" w:eastAsia="Arial" w:hAnsi="Arial"/>
          <w:sz w:val="19"/>
          <w:szCs w:val="19"/>
          <w:color w:val="auto"/>
        </w:rPr>
        <w:t xml:space="preserve">) anniversary of receipt of such notice, Albany and its Affiliates shall not, without the prior written consent of Safran, directly or indirectly contact or solicit, in each case for the purpose of offering employment to or hiring, any person who is actively employed by the Company or any of its Subsidiaries as of the date of such Triggering Event;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restrictions in this </w:t>
      </w:r>
      <w:r>
        <w:rPr>
          <w:rFonts w:ascii="Arial" w:cs="Arial" w:eastAsia="Arial" w:hAnsi="Arial"/>
          <w:sz w:val="19"/>
          <w:szCs w:val="19"/>
          <w:u w:val="single" w:color="auto"/>
          <w:color w:val="auto"/>
        </w:rPr>
        <w:t>Section 7.05(e)</w:t>
      </w:r>
      <w:r>
        <w:rPr>
          <w:rFonts w:ascii="Arial" w:cs="Arial" w:eastAsia="Arial" w:hAnsi="Arial"/>
          <w:sz w:val="19"/>
          <w:szCs w:val="19"/>
          <w:color w:val="auto"/>
        </w:rPr>
        <w:t xml:space="preserve"> shall not apply with respect to (i) any solicitations of employment (including newspaper or Internet help wanted advertisements or search firm engagements) not directed or focused on such employees of the Company or any of its Subsidiaries,</w:t>
      </w:r>
    </w:p>
    <w:p>
      <w:pPr>
        <w:spacing w:after="0" w:line="3" w:lineRule="exact"/>
        <w:rPr>
          <w:sz w:val="20"/>
          <w:szCs w:val="20"/>
          <w:color w:val="auto"/>
        </w:rPr>
      </w:pPr>
    </w:p>
    <w:p>
      <w:pPr>
        <w:ind w:right="80" w:firstLine="8"/>
        <w:spacing w:after="0" w:line="273" w:lineRule="auto"/>
        <w:tabs>
          <w:tab w:leader="none" w:pos="318" w:val="left"/>
        </w:tabs>
        <w:numPr>
          <w:ilvl w:val="0"/>
          <w:numId w:val="83"/>
        </w:numPr>
        <w:rPr>
          <w:rFonts w:ascii="Arial" w:cs="Arial" w:eastAsia="Arial" w:hAnsi="Arial"/>
          <w:sz w:val="19"/>
          <w:szCs w:val="19"/>
          <w:color w:val="auto"/>
        </w:rPr>
      </w:pPr>
      <w:r>
        <w:rPr>
          <w:rFonts w:ascii="Arial" w:cs="Arial" w:eastAsia="Arial" w:hAnsi="Arial"/>
          <w:sz w:val="19"/>
          <w:szCs w:val="19"/>
          <w:color w:val="auto"/>
        </w:rPr>
        <w:t xml:space="preserve">any such person who initiates discussions regarding employment with Albany or any of its Affiliates without any direct or indirect solicitation or encouragement by Albany or any of its Affiliates that is prohibited by this </w:t>
      </w:r>
      <w:r>
        <w:rPr>
          <w:rFonts w:ascii="Arial" w:cs="Arial" w:eastAsia="Arial" w:hAnsi="Arial"/>
          <w:sz w:val="19"/>
          <w:szCs w:val="19"/>
          <w:u w:val="single" w:color="auto"/>
          <w:color w:val="auto"/>
        </w:rPr>
        <w:t>Section 7.05(e)</w:t>
      </w:r>
      <w:r>
        <w:rPr>
          <w:rFonts w:ascii="Arial" w:cs="Arial" w:eastAsia="Arial" w:hAnsi="Arial"/>
          <w:sz w:val="19"/>
          <w:szCs w:val="19"/>
          <w:color w:val="auto"/>
        </w:rPr>
        <w:t xml:space="preserve">, or (iii) any such person who has ceased to be employed by the Company or any of its Subsidiaries prior to the commencement of any employment discussions with Albany or any of its Affiliates;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although the obligations contained in this </w:t>
      </w:r>
      <w:r>
        <w:rPr>
          <w:rFonts w:ascii="Arial" w:cs="Arial" w:eastAsia="Arial" w:hAnsi="Arial"/>
          <w:sz w:val="19"/>
          <w:szCs w:val="19"/>
          <w:u w:val="single" w:color="auto"/>
          <w:color w:val="auto"/>
        </w:rPr>
        <w:t>Section 7.05(e)</w:t>
      </w:r>
      <w:r>
        <w:rPr>
          <w:rFonts w:ascii="Arial" w:cs="Arial" w:eastAsia="Arial" w:hAnsi="Arial"/>
          <w:sz w:val="19"/>
          <w:szCs w:val="19"/>
          <w:color w:val="auto"/>
        </w:rPr>
        <w:t xml:space="preserve"> shall commence upon Albany’s receipt of notice from Safran of such Triggering Event, such obligations shall terminate upon the failure of Safran to either (x) exercise the Safran Call Right with respect to such Triggering Event within the time limit set forth in </w:t>
      </w:r>
      <w:r>
        <w:rPr>
          <w:rFonts w:ascii="Arial" w:cs="Arial" w:eastAsia="Arial" w:hAnsi="Arial"/>
          <w:sz w:val="19"/>
          <w:szCs w:val="19"/>
          <w:u w:val="single" w:color="auto"/>
          <w:color w:val="auto"/>
        </w:rPr>
        <w:t>Section 7.05(a)</w:t>
      </w:r>
      <w:r>
        <w:rPr>
          <w:rFonts w:ascii="Arial" w:cs="Arial" w:eastAsia="Arial" w:hAnsi="Arial"/>
          <w:sz w:val="19"/>
          <w:szCs w:val="19"/>
          <w:color w:val="auto"/>
        </w:rPr>
        <w:t xml:space="preserve"> or (y) satisfy its obligations under this Agreement in connection with such exercise of the Safran Call Right.</w:t>
      </w:r>
    </w:p>
    <w:p>
      <w:pPr>
        <w:spacing w:after="0" w:line="52" w:lineRule="exact"/>
        <w:rPr>
          <w:sz w:val="20"/>
          <w:szCs w:val="20"/>
          <w:color w:val="auto"/>
        </w:rPr>
      </w:pPr>
    </w:p>
    <w:p>
      <w:pPr>
        <w:ind w:left="400"/>
        <w:spacing w:after="0"/>
        <w:rPr>
          <w:sz w:val="20"/>
          <w:szCs w:val="20"/>
          <w:color w:val="auto"/>
        </w:rPr>
      </w:pPr>
      <w:r>
        <w:rPr>
          <w:rFonts w:ascii="Arial" w:cs="Arial" w:eastAsia="Arial" w:hAnsi="Arial"/>
          <w:sz w:val="19"/>
          <w:szCs w:val="19"/>
          <w:color w:val="auto"/>
        </w:rPr>
        <w:t>(f) If a Triggering Event shall have occurred, upon Albany’s receipt of notice from Safran of such Triggering Event and until</w:t>
      </w:r>
    </w:p>
    <w:p>
      <w:pPr>
        <w:spacing w:after="0" w:line="48" w:lineRule="exact"/>
        <w:rPr>
          <w:sz w:val="20"/>
          <w:szCs w:val="20"/>
          <w:color w:val="auto"/>
        </w:rPr>
      </w:pPr>
    </w:p>
    <w:p>
      <w:pPr>
        <w:ind w:right="520"/>
        <w:spacing w:after="0" w:line="197" w:lineRule="auto"/>
        <w:rPr>
          <w:sz w:val="20"/>
          <w:szCs w:val="20"/>
          <w:color w:val="auto"/>
        </w:rPr>
      </w:pPr>
      <w:r>
        <w:rPr>
          <w:rFonts w:ascii="Arial" w:cs="Arial" w:eastAsia="Arial" w:hAnsi="Arial"/>
          <w:sz w:val="22"/>
          <w:szCs w:val="22"/>
          <w:color w:val="auto"/>
        </w:rPr>
        <w:t>the second (2</w:t>
      </w:r>
      <w:r>
        <w:rPr>
          <w:rFonts w:ascii="Arial" w:cs="Arial" w:eastAsia="Arial" w:hAnsi="Arial"/>
          <w:sz w:val="36"/>
          <w:szCs w:val="36"/>
          <w:color w:val="auto"/>
          <w:vertAlign w:val="superscript"/>
        </w:rPr>
        <w:t>nd</w:t>
      </w:r>
      <w:r>
        <w:rPr>
          <w:rFonts w:ascii="Arial" w:cs="Arial" w:eastAsia="Arial" w:hAnsi="Arial"/>
          <w:sz w:val="22"/>
          <w:szCs w:val="22"/>
          <w:color w:val="auto"/>
        </w:rPr>
        <w:t>) anniversary of receipt of such notice, Albany and its Affiliates shall not, without the prior written consent of Safran, hire any</w:t>
      </w:r>
    </w:p>
    <w:p>
      <w:pPr>
        <w:spacing w:after="0" w:line="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40"/>
          </w:cols>
          <w:pgMar w:left="240" w:top="712" w:right="319" w:bottom="1440" w:gutter="0" w:footer="0" w:header="0"/>
        </w:sectPr>
      </w:pPr>
    </w:p>
    <w:bookmarkStart w:id="147" w:name="page148"/>
    <w:bookmarkEnd w:id="147"/>
    <w:p>
      <w:pPr>
        <w:ind w:right="80"/>
        <w:spacing w:after="0" w:line="279" w:lineRule="auto"/>
        <w:rPr>
          <w:sz w:val="20"/>
          <w:szCs w:val="20"/>
          <w:color w:val="auto"/>
        </w:rPr>
      </w:pPr>
      <w:r>
        <w:rPr>
          <w:rFonts w:ascii="Arial" w:cs="Arial" w:eastAsia="Arial" w:hAnsi="Arial"/>
          <w:sz w:val="19"/>
          <w:szCs w:val="19"/>
          <w:color w:val="auto"/>
        </w:rPr>
        <w:t xml:space="preserve">employee of the Company or any of its Subsidiaries;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restrictions in this </w:t>
      </w:r>
      <w:r>
        <w:rPr>
          <w:rFonts w:ascii="Arial" w:cs="Arial" w:eastAsia="Arial" w:hAnsi="Arial"/>
          <w:sz w:val="19"/>
          <w:szCs w:val="19"/>
          <w:u w:val="single" w:color="auto"/>
          <w:color w:val="auto"/>
        </w:rPr>
        <w:t>Section 7.05(f)</w:t>
      </w:r>
      <w:r>
        <w:rPr>
          <w:rFonts w:ascii="Arial" w:cs="Arial" w:eastAsia="Arial" w:hAnsi="Arial"/>
          <w:sz w:val="19"/>
          <w:szCs w:val="19"/>
          <w:color w:val="auto"/>
        </w:rPr>
        <w:t xml:space="preserve"> shall not apply with respect to any Person whose employment with the Company or any of its Subsidiaries shall have been terminated by the Company or the applicable Subsidiary of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although the obligations contained in this </w:t>
      </w:r>
      <w:r>
        <w:rPr>
          <w:rFonts w:ascii="Arial" w:cs="Arial" w:eastAsia="Arial" w:hAnsi="Arial"/>
          <w:sz w:val="19"/>
          <w:szCs w:val="19"/>
          <w:u w:val="single" w:color="auto"/>
          <w:color w:val="auto"/>
        </w:rPr>
        <w:t>Section 7.05(f)</w:t>
      </w:r>
      <w:r>
        <w:rPr>
          <w:rFonts w:ascii="Arial" w:cs="Arial" w:eastAsia="Arial" w:hAnsi="Arial"/>
          <w:sz w:val="19"/>
          <w:szCs w:val="19"/>
          <w:color w:val="auto"/>
        </w:rPr>
        <w:t xml:space="preserve"> shall commence upon Albany’s receipt of notice from Safran of such Triggering Event, such obligations shall terminate upon the failure of Safran to either (x) exercise the Safran Call Right with respect to such Triggering Event within the time limit set forth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7.05(a)</w:t>
      </w:r>
      <w:r>
        <w:rPr>
          <w:rFonts w:ascii="Arial" w:cs="Arial" w:eastAsia="Arial" w:hAnsi="Arial"/>
          <w:sz w:val="19"/>
          <w:szCs w:val="19"/>
          <w:color w:val="auto"/>
        </w:rPr>
        <w:t xml:space="preserve"> or (y) satisfy its obligations under this Agreement in connection with such exercise of the Safran Call Right.</w:t>
      </w:r>
    </w:p>
    <w:p>
      <w:pPr>
        <w:spacing w:after="0" w:line="151" w:lineRule="exact"/>
        <w:rPr>
          <w:sz w:val="20"/>
          <w:szCs w:val="20"/>
          <w:color w:val="auto"/>
        </w:rPr>
      </w:pPr>
    </w:p>
    <w:p>
      <w:pPr>
        <w:ind w:firstLine="404"/>
        <w:spacing w:after="0" w:line="277" w:lineRule="auto"/>
        <w:tabs>
          <w:tab w:leader="none" w:pos="702" w:val="left"/>
        </w:tabs>
        <w:numPr>
          <w:ilvl w:val="0"/>
          <w:numId w:val="84"/>
        </w:numPr>
        <w:rPr>
          <w:rFonts w:ascii="Arial" w:cs="Arial" w:eastAsia="Arial" w:hAnsi="Arial"/>
          <w:sz w:val="19"/>
          <w:szCs w:val="19"/>
          <w:color w:val="auto"/>
        </w:rPr>
      </w:pPr>
      <w:r>
        <w:rPr>
          <w:rFonts w:ascii="Arial" w:cs="Arial" w:eastAsia="Arial" w:hAnsi="Arial"/>
          <w:sz w:val="19"/>
          <w:szCs w:val="19"/>
          <w:color w:val="auto"/>
        </w:rPr>
        <w:t xml:space="preserve">Upon exercise of the Safran Put Right, (i) Safran shall, and shall cause its Affiliates to, transfer to Albany (or, at Albany’s election, an Affiliate of Albany) all Membership Units owned by Safran and its Affiliates, (ii) Albany shall transfer or cause to be transferred to Safran in exchange therefor an amount equal to the product of (A) the aggregate Percentage Interest of Safran and all Affiliates of Safran that own any Membership Units and (B) the aggregate Common Capital of the Company, and (iii) Safran, subject to its rights and obligations under the Intellectual Property Agreements, shall have no further rights or obligations under this Agreement and shall cease to be a Member of the Company effective as of the Exercise Date; </w:t>
      </w:r>
      <w:r>
        <w:rPr>
          <w:rFonts w:ascii="Arial" w:cs="Arial" w:eastAsia="Arial" w:hAnsi="Arial"/>
          <w:sz w:val="19"/>
          <w:szCs w:val="19"/>
          <w:u w:val="single" w:color="auto"/>
          <w:color w:val="auto"/>
        </w:rPr>
        <w:t>provided</w:t>
      </w:r>
      <w:r>
        <w:rPr>
          <w:rFonts w:ascii="Arial" w:cs="Arial" w:eastAsia="Arial" w:hAnsi="Arial"/>
          <w:sz w:val="19"/>
          <w:szCs w:val="19"/>
          <w:color w:val="auto"/>
        </w:rPr>
        <w:t>, that the exercise of the Safran Put Right shall not relieve Safran from liability for any breach of this Agreement on or prior to the Exercise Date.</w:t>
      </w:r>
    </w:p>
    <w:p>
      <w:pPr>
        <w:spacing w:after="0" w:line="44" w:lineRule="exact"/>
        <w:rPr>
          <w:rFonts w:ascii="Arial" w:cs="Arial" w:eastAsia="Arial" w:hAnsi="Arial"/>
          <w:sz w:val="19"/>
          <w:szCs w:val="19"/>
          <w:color w:val="auto"/>
        </w:rPr>
      </w:pPr>
    </w:p>
    <w:p>
      <w:pPr>
        <w:ind w:left="720" w:hanging="316"/>
        <w:spacing w:after="0"/>
        <w:tabs>
          <w:tab w:leader="none" w:pos="720" w:val="left"/>
        </w:tabs>
        <w:numPr>
          <w:ilvl w:val="0"/>
          <w:numId w:val="84"/>
        </w:numPr>
        <w:rPr>
          <w:rFonts w:ascii="Arial" w:cs="Arial" w:eastAsia="Arial" w:hAnsi="Arial"/>
          <w:sz w:val="19"/>
          <w:szCs w:val="19"/>
          <w:color w:val="auto"/>
        </w:rPr>
      </w:pPr>
      <w:r>
        <w:rPr>
          <w:rFonts w:ascii="Arial" w:cs="Arial" w:eastAsia="Arial" w:hAnsi="Arial"/>
          <w:sz w:val="19"/>
          <w:szCs w:val="19"/>
          <w:color w:val="auto"/>
        </w:rPr>
        <w:t>If a Triggering Event shall have occurred, upon Albany’s receipt of notice from Safran of such Triggering Event and until</w:t>
      </w:r>
    </w:p>
    <w:p>
      <w:pPr>
        <w:spacing w:after="0" w:line="48"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the third (3</w:t>
      </w:r>
      <w:r>
        <w:rPr>
          <w:rFonts w:ascii="Arial" w:cs="Arial" w:eastAsia="Arial" w:hAnsi="Arial"/>
          <w:sz w:val="33"/>
          <w:szCs w:val="33"/>
          <w:color w:val="auto"/>
          <w:vertAlign w:val="superscript"/>
        </w:rPr>
        <w:t>rd</w:t>
      </w:r>
      <w:r>
        <w:rPr>
          <w:rFonts w:ascii="Arial" w:cs="Arial" w:eastAsia="Arial" w:hAnsi="Arial"/>
          <w:sz w:val="20"/>
          <w:szCs w:val="20"/>
          <w:color w:val="auto"/>
        </w:rPr>
        <w:t xml:space="preserve">) anniversary of receipt of such notice, Safran S.A. shall not, and shall cause its Affiliates not to, without the prior written consent of Albany, directly or indirectly contact or solicit, in each case for the purpose of offering employment to or hiring, any person who is actively employed by the Company or any of its Subsidiaries as of the date of such Triggering Event;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restrictions in this </w:t>
      </w:r>
      <w:r>
        <w:rPr>
          <w:rFonts w:ascii="Arial" w:cs="Arial" w:eastAsia="Arial" w:hAnsi="Arial"/>
          <w:sz w:val="20"/>
          <w:szCs w:val="20"/>
          <w:u w:val="single" w:color="auto"/>
          <w:color w:val="auto"/>
        </w:rPr>
        <w:t>Section 7.05(h)</w:t>
      </w:r>
      <w:r>
        <w:rPr>
          <w:rFonts w:ascii="Arial" w:cs="Arial" w:eastAsia="Arial" w:hAnsi="Arial"/>
          <w:sz w:val="20"/>
          <w:szCs w:val="20"/>
          <w:color w:val="auto"/>
        </w:rPr>
        <w:t xml:space="preserve"> shall not apply with respect to (i) any solicitations of employment (including newspaper or Internet help wanted advertisements or search firm engagements) not directed or focused on such employee of the Company or any of its Subsidiaries, (ii) any such person who initiates discussions regarding employment with Safran S.A. or any of its Affiliates without any direct or indirect solicitation or encouragement by Safran S.A. or any of its Affiliates that is prohibited by this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7.05(h)</w:t>
      </w:r>
      <w:r>
        <w:rPr>
          <w:rFonts w:ascii="Arial" w:cs="Arial" w:eastAsia="Arial" w:hAnsi="Arial"/>
          <w:sz w:val="20"/>
          <w:szCs w:val="20"/>
          <w:color w:val="auto"/>
        </w:rPr>
        <w:t xml:space="preserve">, or (iii) any such person who has ceased to be employed by the Company or any of its Subsidiaries prior to the commencement of any employment discussions with Safran S.A. or any of its Affiliates;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xml:space="preserve">, that although the obligations contained in this </w:t>
      </w:r>
      <w:r>
        <w:rPr>
          <w:rFonts w:ascii="Arial" w:cs="Arial" w:eastAsia="Arial" w:hAnsi="Arial"/>
          <w:sz w:val="20"/>
          <w:szCs w:val="20"/>
          <w:u w:val="single" w:color="auto"/>
          <w:color w:val="auto"/>
        </w:rPr>
        <w:t>Section 7.05(h)</w:t>
      </w:r>
      <w:r>
        <w:rPr>
          <w:rFonts w:ascii="Arial" w:cs="Arial" w:eastAsia="Arial" w:hAnsi="Arial"/>
          <w:sz w:val="20"/>
          <w:szCs w:val="20"/>
          <w:color w:val="auto"/>
        </w:rPr>
        <w:t xml:space="preserve"> shall commence upon Albany’s receipt of notice from Safran of such Triggering Event, such obligations shall terminate upon the failure of either (x) Safran to exercise the Safran Put Right with respect to such Triggering Event within the time limit set forth in </w:t>
      </w:r>
      <w:r>
        <w:rPr>
          <w:rFonts w:ascii="Arial" w:cs="Arial" w:eastAsia="Arial" w:hAnsi="Arial"/>
          <w:sz w:val="20"/>
          <w:szCs w:val="20"/>
          <w:u w:val="single" w:color="auto"/>
          <w:color w:val="auto"/>
        </w:rPr>
        <w:t>Section 7.05(a)</w:t>
      </w:r>
      <w:r>
        <w:rPr>
          <w:rFonts w:ascii="Arial" w:cs="Arial" w:eastAsia="Arial" w:hAnsi="Arial"/>
          <w:sz w:val="20"/>
          <w:szCs w:val="20"/>
          <w:color w:val="auto"/>
        </w:rPr>
        <w:t xml:space="preserve"> or (y) Albany to satisfy its obligations under this Agreement in connection with such exercise of the Safran Put Right.</w:t>
      </w:r>
    </w:p>
    <w:p>
      <w:pPr>
        <w:spacing w:after="0" w:line="82" w:lineRule="exact"/>
        <w:rPr>
          <w:sz w:val="20"/>
          <w:szCs w:val="20"/>
          <w:color w:val="auto"/>
        </w:rPr>
      </w:pPr>
    </w:p>
    <w:p>
      <w:pPr>
        <w:ind w:left="400"/>
        <w:spacing w:after="0"/>
        <w:rPr>
          <w:sz w:val="20"/>
          <w:szCs w:val="20"/>
          <w:color w:val="auto"/>
        </w:rPr>
      </w:pPr>
      <w:r>
        <w:rPr>
          <w:rFonts w:ascii="Arial" w:cs="Arial" w:eastAsia="Arial" w:hAnsi="Arial"/>
          <w:sz w:val="19"/>
          <w:szCs w:val="19"/>
          <w:color w:val="auto"/>
        </w:rPr>
        <w:t>(i) If a Triggering Event shall have occurred, upon Albany’s receipt of notice from Safran of a Triggering Event and until the</w:t>
      </w:r>
    </w:p>
    <w:p>
      <w:pPr>
        <w:spacing w:after="0" w:line="48" w:lineRule="exact"/>
        <w:rPr>
          <w:sz w:val="20"/>
          <w:szCs w:val="20"/>
          <w:color w:val="auto"/>
        </w:rPr>
      </w:pPr>
    </w:p>
    <w:p>
      <w:pPr>
        <w:ind w:right="60"/>
        <w:spacing w:after="0" w:line="215" w:lineRule="auto"/>
        <w:rPr>
          <w:sz w:val="20"/>
          <w:szCs w:val="20"/>
          <w:color w:val="auto"/>
        </w:rPr>
      </w:pPr>
      <w:r>
        <w:rPr>
          <w:rFonts w:ascii="Arial" w:cs="Arial" w:eastAsia="Arial" w:hAnsi="Arial"/>
          <w:sz w:val="22"/>
          <w:szCs w:val="22"/>
          <w:color w:val="auto"/>
        </w:rPr>
        <w:t>second (2</w:t>
      </w:r>
      <w:r>
        <w:rPr>
          <w:rFonts w:ascii="Arial" w:cs="Arial" w:eastAsia="Arial" w:hAnsi="Arial"/>
          <w:sz w:val="36"/>
          <w:szCs w:val="36"/>
          <w:color w:val="auto"/>
          <w:vertAlign w:val="superscript"/>
        </w:rPr>
        <w:t>nd</w:t>
      </w:r>
      <w:r>
        <w:rPr>
          <w:rFonts w:ascii="Arial" w:cs="Arial" w:eastAsia="Arial" w:hAnsi="Arial"/>
          <w:sz w:val="22"/>
          <w:szCs w:val="22"/>
          <w:color w:val="auto"/>
        </w:rPr>
        <w:t xml:space="preserve">) anniversary of receipt of such notice, Safran S.A. and its Affiliates shall not, without the prior written consent of Albany, hire any employee of the Company or any of its Subsidiaries;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restrictions in this </w:t>
      </w:r>
      <w:r>
        <w:rPr>
          <w:rFonts w:ascii="Arial" w:cs="Arial" w:eastAsia="Arial" w:hAnsi="Arial"/>
          <w:sz w:val="22"/>
          <w:szCs w:val="22"/>
          <w:u w:val="single" w:color="auto"/>
          <w:color w:val="auto"/>
        </w:rPr>
        <w:t>Section 7.05(i)</w:t>
      </w:r>
      <w:r>
        <w:rPr>
          <w:rFonts w:ascii="Arial" w:cs="Arial" w:eastAsia="Arial" w:hAnsi="Arial"/>
          <w:sz w:val="22"/>
          <w:szCs w:val="22"/>
          <w:color w:val="auto"/>
        </w:rPr>
        <w:t xml:space="preserve"> shall not apply with respect to any Person whose employment with the Company or any of its Subsidiaries shall have been terminated by the Company or the applicable Subsidiary of the Company;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further</w:t>
      </w:r>
      <w:r>
        <w:rPr>
          <w:rFonts w:ascii="Arial" w:cs="Arial" w:eastAsia="Arial" w:hAnsi="Arial"/>
          <w:sz w:val="22"/>
          <w:szCs w:val="22"/>
          <w:color w:val="auto"/>
        </w:rPr>
        <w:t xml:space="preserve">, that although the obligations contained in this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7.05(i)</w:t>
      </w:r>
      <w:r>
        <w:rPr>
          <w:rFonts w:ascii="Arial" w:cs="Arial" w:eastAsia="Arial" w:hAnsi="Arial"/>
          <w:sz w:val="22"/>
          <w:szCs w:val="22"/>
          <w:color w:val="auto"/>
        </w:rPr>
        <w:t xml:space="preserve"> shall</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148" w:name="page149"/>
    <w:bookmarkEnd w:id="148"/>
    <w:p>
      <w:pPr>
        <w:jc w:val="both"/>
        <w:ind w:right="100"/>
        <w:spacing w:after="0" w:line="297" w:lineRule="auto"/>
        <w:rPr>
          <w:sz w:val="20"/>
          <w:szCs w:val="20"/>
          <w:color w:val="auto"/>
        </w:rPr>
      </w:pPr>
      <w:r>
        <w:rPr>
          <w:rFonts w:ascii="Arial" w:cs="Arial" w:eastAsia="Arial" w:hAnsi="Arial"/>
          <w:sz w:val="19"/>
          <w:szCs w:val="19"/>
          <w:color w:val="auto"/>
        </w:rPr>
        <w:t xml:space="preserve">commence upon Albany’s receipt of notice from Safran of such Triggering Event, such obligations shall terminate upon the failure of either (x) Safran to exercise the Safran Put Right with respect to such Triggering Event within the time limit set forth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7.05(a)</w:t>
      </w:r>
      <w:r>
        <w:rPr>
          <w:rFonts w:ascii="Arial" w:cs="Arial" w:eastAsia="Arial" w:hAnsi="Arial"/>
          <w:sz w:val="19"/>
          <w:szCs w:val="19"/>
          <w:color w:val="auto"/>
        </w:rPr>
        <w:t xml:space="preserve"> or (y) Albany to satisfy its obligations under this Agreement in connection with such exercise of the Safran Put Right.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VIII</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COMPANY EXPENSES, BOOKS AND RECORDS, TAX MATTERS</w:t>
      </w:r>
    </w:p>
    <w:p>
      <w:pPr>
        <w:spacing w:after="0" w:line="206" w:lineRule="exact"/>
        <w:rPr>
          <w:sz w:val="20"/>
          <w:szCs w:val="20"/>
          <w:color w:val="auto"/>
        </w:rPr>
      </w:pPr>
    </w:p>
    <w:p>
      <w:pPr>
        <w:ind w:firstLine="396"/>
        <w:spacing w:after="0" w:line="236" w:lineRule="auto"/>
        <w:rPr>
          <w:sz w:val="20"/>
          <w:szCs w:val="20"/>
          <w:color w:val="auto"/>
        </w:rPr>
      </w:pPr>
      <w:r>
        <w:rPr>
          <w:rFonts w:ascii="Arial" w:cs="Arial" w:eastAsia="Arial" w:hAnsi="Arial"/>
          <w:sz w:val="22"/>
          <w:szCs w:val="22"/>
          <w:color w:val="auto"/>
        </w:rPr>
        <w:t xml:space="preserve">Section 8.01. </w:t>
      </w:r>
      <w:r>
        <w:rPr>
          <w:rFonts w:ascii="Arial" w:cs="Arial" w:eastAsia="Arial" w:hAnsi="Arial"/>
          <w:sz w:val="22"/>
          <w:szCs w:val="22"/>
          <w:u w:val="single" w:color="auto"/>
          <w:color w:val="auto"/>
        </w:rPr>
        <w:t>Fees and Expenses</w:t>
      </w:r>
      <w:r>
        <w:rPr>
          <w:rFonts w:ascii="Arial" w:cs="Arial" w:eastAsia="Arial" w:hAnsi="Arial"/>
          <w:sz w:val="22"/>
          <w:szCs w:val="22"/>
          <w:color w:val="auto"/>
        </w:rPr>
        <w:t xml:space="preserve">. Notwithstanding anything herein to the contrary, the Company shall pay all current expenses, including administrative expenses and fees, before any distributions may be made to the Members. Appropriate reserves may be determined and withheld from distributions to the Members for contingent liabilities, if any, as of the date any such contingent liability becomes known to the Board;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any such reserves shall be withheld from the Members pro rata based on their respective Membership Units.</w:t>
      </w:r>
    </w:p>
    <w:p>
      <w:pPr>
        <w:spacing w:after="0" w:line="80" w:lineRule="exact"/>
        <w:rPr>
          <w:sz w:val="20"/>
          <w:szCs w:val="20"/>
          <w:color w:val="auto"/>
        </w:rPr>
      </w:pPr>
    </w:p>
    <w:p>
      <w:pPr>
        <w:ind w:right="300" w:firstLine="396"/>
        <w:spacing w:after="0" w:line="251" w:lineRule="auto"/>
        <w:rPr>
          <w:sz w:val="20"/>
          <w:szCs w:val="20"/>
          <w:color w:val="auto"/>
        </w:rPr>
      </w:pPr>
      <w:r>
        <w:rPr>
          <w:rFonts w:ascii="Arial" w:cs="Arial" w:eastAsia="Arial" w:hAnsi="Arial"/>
          <w:sz w:val="22"/>
          <w:szCs w:val="22"/>
          <w:color w:val="auto"/>
        </w:rPr>
        <w:t xml:space="preserve">Section 8.02. </w:t>
      </w:r>
      <w:r>
        <w:rPr>
          <w:rFonts w:ascii="Arial" w:cs="Arial" w:eastAsia="Arial" w:hAnsi="Arial"/>
          <w:sz w:val="22"/>
          <w:szCs w:val="22"/>
          <w:u w:val="single" w:color="auto"/>
          <w:color w:val="auto"/>
        </w:rPr>
        <w:t>Fiscal Year</w:t>
      </w:r>
      <w:r>
        <w:rPr>
          <w:rFonts w:ascii="Arial" w:cs="Arial" w:eastAsia="Arial" w:hAnsi="Arial"/>
          <w:sz w:val="22"/>
          <w:szCs w:val="22"/>
          <w:color w:val="auto"/>
        </w:rPr>
        <w:t>. Unless otherwise determined by the Board, the “</w:t>
      </w:r>
      <w:r>
        <w:rPr>
          <w:rFonts w:ascii="Arial" w:cs="Arial" w:eastAsia="Arial" w:hAnsi="Arial"/>
          <w:sz w:val="22"/>
          <w:szCs w:val="22"/>
          <w:u w:val="single" w:color="auto"/>
          <w:color w:val="auto"/>
        </w:rPr>
        <w:t>Fiscal Year</w:t>
      </w:r>
      <w:r>
        <w:rPr>
          <w:rFonts w:ascii="Arial" w:cs="Arial" w:eastAsia="Arial" w:hAnsi="Arial"/>
          <w:sz w:val="22"/>
          <w:szCs w:val="22"/>
          <w:color w:val="auto"/>
        </w:rPr>
        <w:t>” of the Company shall be the taxable year of the Company, which shall be the fiscal year of Albany unless otherwise required by Law.</w:t>
      </w:r>
    </w:p>
    <w:p>
      <w:pPr>
        <w:spacing w:after="0" w:line="65" w:lineRule="exact"/>
        <w:rPr>
          <w:sz w:val="20"/>
          <w:szCs w:val="20"/>
          <w:color w:val="auto"/>
        </w:rPr>
      </w:pPr>
    </w:p>
    <w:p>
      <w:pPr>
        <w:ind w:right="40" w:firstLine="396"/>
        <w:spacing w:after="0" w:line="269" w:lineRule="auto"/>
        <w:rPr>
          <w:sz w:val="20"/>
          <w:szCs w:val="20"/>
          <w:color w:val="auto"/>
        </w:rPr>
      </w:pPr>
      <w:r>
        <w:rPr>
          <w:rFonts w:ascii="Arial" w:cs="Arial" w:eastAsia="Arial" w:hAnsi="Arial"/>
          <w:sz w:val="19"/>
          <w:szCs w:val="19"/>
          <w:color w:val="auto"/>
        </w:rPr>
        <w:t xml:space="preserve">Section 8.03. </w:t>
      </w:r>
      <w:r>
        <w:rPr>
          <w:rFonts w:ascii="Arial" w:cs="Arial" w:eastAsia="Arial" w:hAnsi="Arial"/>
          <w:sz w:val="19"/>
          <w:szCs w:val="19"/>
          <w:u w:val="single" w:color="auto"/>
          <w:color w:val="auto"/>
        </w:rPr>
        <w:t>Inspection</w:t>
      </w:r>
      <w:r>
        <w:rPr>
          <w:rFonts w:ascii="Arial" w:cs="Arial" w:eastAsia="Arial" w:hAnsi="Arial"/>
          <w:sz w:val="19"/>
          <w:szCs w:val="19"/>
          <w:color w:val="auto"/>
        </w:rPr>
        <w:t>. Appropriate books and records in accordance with and as required by the Act or any other applicable Law shall be kept by the Company. Such books and records shall show a true and accurate record of all costs and expenses incurred, all charges made, all credits made and received and all income derived in connection with the operation of the Business, including any fees or other compensation paid to Albany or its Affiliates under the Services Agreement, in accordance with GAAP. In addition, such books and records shall at all times be kept at the Company’s place of business. Each Member and its representatives shall, to the extent reasonably requested of the Company, have reasonable access to (i) discuss the Company’s operations and the Business with employees or agents of the Company (provided that reasonable notice shall have been given) and</w:t>
      </w:r>
    </w:p>
    <w:p>
      <w:pPr>
        <w:spacing w:after="0" w:line="5" w:lineRule="exact"/>
        <w:rPr>
          <w:sz w:val="20"/>
          <w:szCs w:val="20"/>
          <w:color w:val="auto"/>
        </w:rPr>
      </w:pPr>
    </w:p>
    <w:p>
      <w:pPr>
        <w:ind w:firstLine="8"/>
        <w:spacing w:after="0" w:line="243" w:lineRule="auto"/>
        <w:tabs>
          <w:tab w:leader="none" w:pos="318" w:val="left"/>
        </w:tabs>
        <w:numPr>
          <w:ilvl w:val="0"/>
          <w:numId w:val="85"/>
        </w:numPr>
        <w:rPr>
          <w:rFonts w:ascii="Arial" w:cs="Arial" w:eastAsia="Arial" w:hAnsi="Arial"/>
          <w:sz w:val="21"/>
          <w:szCs w:val="21"/>
          <w:color w:val="auto"/>
        </w:rPr>
      </w:pPr>
      <w:r>
        <w:rPr>
          <w:rFonts w:ascii="Arial" w:cs="Arial" w:eastAsia="Arial" w:hAnsi="Arial"/>
          <w:sz w:val="21"/>
          <w:szCs w:val="21"/>
          <w:color w:val="auto"/>
        </w:rPr>
        <w:t xml:space="preserve">inspect, audit or make copies of all books, records, financial results, data, procedures and other information related to the operations of the Company and the Business at such Member’s own expense;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Safran shall be permitted to conduct no more than one (1) full financial audit supported by certified financial accountants per Fiscal Year pursuant to this </w:t>
      </w:r>
      <w:r>
        <w:rPr>
          <w:rFonts w:ascii="Arial" w:cs="Arial" w:eastAsia="Arial" w:hAnsi="Arial"/>
          <w:sz w:val="21"/>
          <w:szCs w:val="21"/>
          <w:u w:val="single" w:color="auto"/>
          <w:color w:val="auto"/>
        </w:rPr>
        <w:t>Section 8.03</w:t>
      </w:r>
      <w:r>
        <w:rPr>
          <w:rFonts w:ascii="Arial" w:cs="Arial" w:eastAsia="Arial" w:hAnsi="Arial"/>
          <w:sz w:val="21"/>
          <w:szCs w:val="21"/>
          <w:color w:val="auto"/>
        </w:rPr>
        <w:t xml:space="preserve"> and shall be required to provide the Company with at least ninety (90) days’ notice prior to the commencement of any such audit;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xml:space="preserve">, that each Member shall maintain the confidentiality of such information in accordance with the provisions of this Agreement, including </w:t>
      </w:r>
      <w:r>
        <w:rPr>
          <w:rFonts w:ascii="Arial" w:cs="Arial" w:eastAsia="Arial" w:hAnsi="Arial"/>
          <w:sz w:val="21"/>
          <w:szCs w:val="21"/>
          <w:u w:val="single" w:color="auto"/>
          <w:color w:val="auto"/>
        </w:rPr>
        <w:t>Section 13.02</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xml:space="preserve">, that any action taken pursuant to this </w:t>
      </w:r>
      <w:r>
        <w:rPr>
          <w:rFonts w:ascii="Arial" w:cs="Arial" w:eastAsia="Arial" w:hAnsi="Arial"/>
          <w:sz w:val="21"/>
          <w:szCs w:val="21"/>
          <w:u w:val="single" w:color="auto"/>
          <w:color w:val="auto"/>
        </w:rPr>
        <w:t>Section 8.03</w:t>
      </w:r>
      <w:r>
        <w:rPr>
          <w:rFonts w:ascii="Arial" w:cs="Arial" w:eastAsia="Arial" w:hAnsi="Arial"/>
          <w:sz w:val="21"/>
          <w:szCs w:val="21"/>
          <w:color w:val="auto"/>
        </w:rPr>
        <w:t xml:space="preserve"> shall be conducted in such a manner as not to unreasonably interfere with normal operation of the Business by the Company and its Subsidiaries. To the extent required by any Governmental Authority (including the Federal Aviation Administration), the Company shall permit inspections by such Governmental Authority.</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928" w:right="259" w:bottom="1440" w:gutter="0" w:footer="0" w:header="0"/>
        </w:sectPr>
      </w:pPr>
    </w:p>
    <w:bookmarkStart w:id="149" w:name="page150"/>
    <w:bookmarkEnd w:id="149"/>
    <w:p>
      <w:pPr>
        <w:ind w:left="380"/>
        <w:spacing w:after="0"/>
        <w:rPr>
          <w:sz w:val="20"/>
          <w:szCs w:val="20"/>
          <w:color w:val="auto"/>
        </w:rPr>
      </w:pPr>
      <w:r>
        <w:rPr>
          <w:rFonts w:ascii="Arial" w:cs="Arial" w:eastAsia="Arial" w:hAnsi="Arial"/>
          <w:sz w:val="22"/>
          <w:szCs w:val="22"/>
          <w:color w:val="auto"/>
        </w:rPr>
        <w:t xml:space="preserve">Section 8.04. </w:t>
      </w:r>
      <w:r>
        <w:rPr>
          <w:rFonts w:ascii="Arial" w:cs="Arial" w:eastAsia="Arial" w:hAnsi="Arial"/>
          <w:sz w:val="22"/>
          <w:szCs w:val="22"/>
          <w:u w:val="single" w:color="auto"/>
          <w:color w:val="auto"/>
        </w:rPr>
        <w:t>Financial Statements and Reports</w:t>
      </w:r>
      <w:r>
        <w:rPr>
          <w:rFonts w:ascii="Arial" w:cs="Arial" w:eastAsia="Arial" w:hAnsi="Arial"/>
          <w:sz w:val="22"/>
          <w:szCs w:val="22"/>
          <w:color w:val="auto"/>
        </w:rPr>
        <w:t>.</w:t>
      </w:r>
    </w:p>
    <w:p>
      <w:pPr>
        <w:spacing w:after="0" w:line="98" w:lineRule="exact"/>
        <w:rPr>
          <w:sz w:val="20"/>
          <w:szCs w:val="20"/>
          <w:color w:val="auto"/>
        </w:rPr>
      </w:pPr>
    </w:p>
    <w:p>
      <w:pPr>
        <w:ind w:left="680" w:hanging="296"/>
        <w:spacing w:after="0"/>
        <w:tabs>
          <w:tab w:leader="none" w:pos="680" w:val="left"/>
        </w:tabs>
        <w:numPr>
          <w:ilvl w:val="0"/>
          <w:numId w:val="86"/>
        </w:numPr>
        <w:rPr>
          <w:rFonts w:ascii="Arial" w:cs="Arial" w:eastAsia="Arial" w:hAnsi="Arial"/>
          <w:sz w:val="22"/>
          <w:szCs w:val="22"/>
          <w:color w:val="auto"/>
        </w:rPr>
      </w:pPr>
      <w:r>
        <w:rPr>
          <w:rFonts w:ascii="Arial" w:cs="Arial" w:eastAsia="Arial" w:hAnsi="Arial"/>
          <w:sz w:val="22"/>
          <w:szCs w:val="22"/>
          <w:color w:val="auto"/>
        </w:rPr>
        <w:t>The Company shall prepare and furnish, or cause to be prepared and furnished, to each Member:</w:t>
      </w:r>
    </w:p>
    <w:p>
      <w:pPr>
        <w:spacing w:after="0" w:line="98" w:lineRule="exact"/>
        <w:rPr>
          <w:rFonts w:ascii="Arial" w:cs="Arial" w:eastAsia="Arial" w:hAnsi="Arial"/>
          <w:sz w:val="22"/>
          <w:szCs w:val="22"/>
          <w:color w:val="auto"/>
        </w:rPr>
      </w:pPr>
    </w:p>
    <w:p>
      <w:pPr>
        <w:jc w:val="both"/>
        <w:ind w:left="380" w:right="20" w:firstLine="400"/>
        <w:spacing w:after="0" w:line="236" w:lineRule="auto"/>
        <w:tabs>
          <w:tab w:leader="none" w:pos="1034" w:val="left"/>
        </w:tabs>
        <w:numPr>
          <w:ilvl w:val="1"/>
          <w:numId w:val="86"/>
        </w:numPr>
        <w:rPr>
          <w:rFonts w:ascii="Arial" w:cs="Arial" w:eastAsia="Arial" w:hAnsi="Arial"/>
          <w:sz w:val="22"/>
          <w:szCs w:val="22"/>
          <w:color w:val="auto"/>
        </w:rPr>
      </w:pPr>
      <w:r>
        <w:rPr>
          <w:rFonts w:ascii="Arial" w:cs="Arial" w:eastAsia="Arial" w:hAnsi="Arial"/>
          <w:sz w:val="22"/>
          <w:szCs w:val="22"/>
          <w:color w:val="auto"/>
        </w:rPr>
        <w:t>as soon as available and in any event within ninety (90) days after the end of each Fiscal Year, annual consolidated and consolidating financial statements of the Company, which statements shall include the balance sheet, profit and loss statements and cash flow statements, shall show the comparable figures for the prior Fiscal Year and any other information required by applicable Laws, and, to the extent included in such financial statements, accompanying notes and a management discussion and analysis;</w:t>
      </w:r>
    </w:p>
    <w:p>
      <w:pPr>
        <w:spacing w:after="0" w:line="79" w:lineRule="exact"/>
        <w:rPr>
          <w:rFonts w:ascii="Arial" w:cs="Arial" w:eastAsia="Arial" w:hAnsi="Arial"/>
          <w:sz w:val="22"/>
          <w:szCs w:val="22"/>
          <w:color w:val="auto"/>
        </w:rPr>
      </w:pPr>
    </w:p>
    <w:p>
      <w:pPr>
        <w:jc w:val="both"/>
        <w:ind w:left="380" w:right="60" w:firstLine="400"/>
        <w:spacing w:after="0" w:line="238" w:lineRule="auto"/>
        <w:tabs>
          <w:tab w:leader="none" w:pos="1094" w:val="left"/>
        </w:tabs>
        <w:numPr>
          <w:ilvl w:val="1"/>
          <w:numId w:val="86"/>
        </w:numPr>
        <w:rPr>
          <w:rFonts w:ascii="Arial" w:cs="Arial" w:eastAsia="Arial" w:hAnsi="Arial"/>
          <w:sz w:val="22"/>
          <w:szCs w:val="22"/>
          <w:color w:val="auto"/>
        </w:rPr>
      </w:pPr>
      <w:r>
        <w:rPr>
          <w:rFonts w:ascii="Arial" w:cs="Arial" w:eastAsia="Arial" w:hAnsi="Arial"/>
          <w:sz w:val="22"/>
          <w:szCs w:val="22"/>
          <w:color w:val="auto"/>
        </w:rPr>
        <w:t>as soon as available and in any event within ninety (90) days after the end of each Fiscal Year, a summary itemization, by type and/or classification of the total fees and compensation, including any general and administrative reimbursements and operating fees, paid by the Company, or indirectly on the Company’s behalf, to Albany and its Affiliates, including such amounts paid or accrued under the Services Agreement;</w:t>
      </w:r>
    </w:p>
    <w:p>
      <w:pPr>
        <w:spacing w:after="0" w:line="76" w:lineRule="exact"/>
        <w:rPr>
          <w:rFonts w:ascii="Arial" w:cs="Arial" w:eastAsia="Arial" w:hAnsi="Arial"/>
          <w:sz w:val="22"/>
          <w:szCs w:val="22"/>
          <w:color w:val="auto"/>
        </w:rPr>
      </w:pPr>
    </w:p>
    <w:p>
      <w:pPr>
        <w:ind w:left="380" w:right="260" w:firstLine="400"/>
        <w:spacing w:after="0" w:line="252" w:lineRule="auto"/>
        <w:tabs>
          <w:tab w:leader="none" w:pos="1154" w:val="left"/>
        </w:tabs>
        <w:numPr>
          <w:ilvl w:val="1"/>
          <w:numId w:val="86"/>
        </w:numPr>
        <w:rPr>
          <w:rFonts w:ascii="Arial" w:cs="Arial" w:eastAsia="Arial" w:hAnsi="Arial"/>
          <w:sz w:val="21"/>
          <w:szCs w:val="21"/>
          <w:color w:val="auto"/>
        </w:rPr>
      </w:pPr>
      <w:r>
        <w:rPr>
          <w:rFonts w:ascii="Arial" w:cs="Arial" w:eastAsia="Arial" w:hAnsi="Arial"/>
          <w:sz w:val="21"/>
          <w:szCs w:val="21"/>
          <w:color w:val="auto"/>
        </w:rPr>
        <w:t>as soon as available and in any event within forty-five (45) days after the end of each fiscal quarter, quarterly consolidated financial statements of the Company, which statements shall include quarterly and year-to-date consolidated balance sheets, and profit and loss statements and cash flow statements for such fiscal quarter and the comparable period for the prior Fiscal Year and any other information required by applicable Laws; and</w:t>
      </w:r>
    </w:p>
    <w:p>
      <w:pPr>
        <w:spacing w:after="0" w:line="66" w:lineRule="exact"/>
        <w:rPr>
          <w:rFonts w:ascii="Arial" w:cs="Arial" w:eastAsia="Arial" w:hAnsi="Arial"/>
          <w:sz w:val="21"/>
          <w:szCs w:val="21"/>
          <w:color w:val="auto"/>
        </w:rPr>
      </w:pPr>
    </w:p>
    <w:p>
      <w:pPr>
        <w:ind w:left="380" w:right="20" w:firstLine="400"/>
        <w:spacing w:after="0" w:line="238" w:lineRule="auto"/>
        <w:tabs>
          <w:tab w:leader="none" w:pos="1142" w:val="left"/>
        </w:tabs>
        <w:numPr>
          <w:ilvl w:val="1"/>
          <w:numId w:val="86"/>
        </w:numPr>
        <w:rPr>
          <w:rFonts w:ascii="Arial" w:cs="Arial" w:eastAsia="Arial" w:hAnsi="Arial"/>
          <w:sz w:val="22"/>
          <w:szCs w:val="22"/>
          <w:color w:val="auto"/>
        </w:rPr>
      </w:pPr>
      <w:r>
        <w:rPr>
          <w:rFonts w:ascii="Arial" w:cs="Arial" w:eastAsia="Arial" w:hAnsi="Arial"/>
          <w:sz w:val="22"/>
          <w:szCs w:val="22"/>
          <w:color w:val="auto"/>
        </w:rPr>
        <w:t>as soon as practicable and in any event within twenty (20) days after the end of each calendar month, monthly operating reports setting forth the results of operations for such month and the year to-date, in such format as the Board may direct, including cumulative deviations from current capital and operating budgets included in the Annual Business Plan, to the extent applicable.</w:t>
      </w:r>
    </w:p>
    <w:p>
      <w:pPr>
        <w:spacing w:after="0" w:line="76" w:lineRule="exact"/>
        <w:rPr>
          <w:rFonts w:ascii="Arial" w:cs="Arial" w:eastAsia="Arial" w:hAnsi="Arial"/>
          <w:sz w:val="22"/>
          <w:szCs w:val="22"/>
          <w:color w:val="auto"/>
        </w:rPr>
      </w:pPr>
    </w:p>
    <w:p>
      <w:pPr>
        <w:ind w:left="-20" w:firstLine="404"/>
        <w:spacing w:after="0" w:line="297" w:lineRule="auto"/>
        <w:tabs>
          <w:tab w:leader="none" w:pos="682" w:val="left"/>
        </w:tabs>
        <w:numPr>
          <w:ilvl w:val="0"/>
          <w:numId w:val="86"/>
        </w:numPr>
        <w:rPr>
          <w:rFonts w:ascii="Arial" w:cs="Arial" w:eastAsia="Arial" w:hAnsi="Arial"/>
          <w:sz w:val="19"/>
          <w:szCs w:val="19"/>
          <w:color w:val="auto"/>
        </w:rPr>
      </w:pPr>
      <w:r>
        <w:rPr>
          <w:rFonts w:ascii="Arial" w:cs="Arial" w:eastAsia="Arial" w:hAnsi="Arial"/>
          <w:sz w:val="19"/>
          <w:szCs w:val="19"/>
          <w:color w:val="auto"/>
        </w:rPr>
        <w:t>The Company shall provide to each Member: (i) notice of events that, in the Board’s determination, would reasonably be expected to have a material impact on the business operations of the Company including the commencement of criminal or material civil actions; and (ii) such other information as may reasonably be requested by any Member or as is otherwise required by Law.</w:t>
      </w:r>
    </w:p>
    <w:p>
      <w:pPr>
        <w:spacing w:after="0" w:line="26" w:lineRule="exact"/>
        <w:rPr>
          <w:sz w:val="20"/>
          <w:szCs w:val="20"/>
          <w:color w:val="auto"/>
        </w:rPr>
      </w:pPr>
    </w:p>
    <w:p>
      <w:pPr>
        <w:ind w:left="380"/>
        <w:spacing w:after="0"/>
        <w:rPr>
          <w:sz w:val="20"/>
          <w:szCs w:val="20"/>
          <w:color w:val="auto"/>
        </w:rPr>
      </w:pPr>
      <w:r>
        <w:rPr>
          <w:rFonts w:ascii="Arial" w:cs="Arial" w:eastAsia="Arial" w:hAnsi="Arial"/>
          <w:sz w:val="22"/>
          <w:szCs w:val="22"/>
          <w:color w:val="auto"/>
        </w:rPr>
        <w:t xml:space="preserve">Section 8.05. </w:t>
      </w:r>
      <w:r>
        <w:rPr>
          <w:rFonts w:ascii="Arial" w:cs="Arial" w:eastAsia="Arial" w:hAnsi="Arial"/>
          <w:sz w:val="22"/>
          <w:szCs w:val="22"/>
          <w:u w:val="single" w:color="auto"/>
          <w:color w:val="auto"/>
        </w:rPr>
        <w:t>Tax Returns and Reports</w:t>
      </w:r>
      <w:r>
        <w:rPr>
          <w:rFonts w:ascii="Arial" w:cs="Arial" w:eastAsia="Arial" w:hAnsi="Arial"/>
          <w:sz w:val="22"/>
          <w:szCs w:val="22"/>
          <w:color w:val="auto"/>
        </w:rPr>
        <w:t>.</w:t>
      </w:r>
    </w:p>
    <w:p>
      <w:pPr>
        <w:spacing w:after="0" w:line="98" w:lineRule="exact"/>
        <w:rPr>
          <w:sz w:val="20"/>
          <w:szCs w:val="20"/>
          <w:color w:val="auto"/>
        </w:rPr>
      </w:pPr>
    </w:p>
    <w:p>
      <w:pPr>
        <w:ind w:left="-20" w:right="100" w:firstLine="404"/>
        <w:spacing w:after="0" w:line="252" w:lineRule="auto"/>
        <w:tabs>
          <w:tab w:leader="none" w:pos="670" w:val="left"/>
        </w:tabs>
        <w:numPr>
          <w:ilvl w:val="0"/>
          <w:numId w:val="87"/>
        </w:numPr>
        <w:rPr>
          <w:rFonts w:ascii="Arial" w:cs="Arial" w:eastAsia="Arial" w:hAnsi="Arial"/>
          <w:sz w:val="21"/>
          <w:szCs w:val="21"/>
          <w:color w:val="auto"/>
        </w:rPr>
      </w:pPr>
      <w:r>
        <w:rPr>
          <w:rFonts w:ascii="Arial" w:cs="Arial" w:eastAsia="Arial" w:hAnsi="Arial"/>
          <w:sz w:val="21"/>
          <w:szCs w:val="21"/>
          <w:color w:val="auto"/>
        </w:rPr>
        <w:t>The Company shall prepare and timely file, or cause to be prepared and timely filed, all Tax returns and reports required to be filed by the Company and its Subsidiaries under all applicable Tax laws and regulations, and shall provide a copy of any such filing to a Member upon reasonable request. Each Member shall provide the Company with such information, if any, as may be needed by the Company for purposes of preparing such returns and reports.</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246620" cy="4318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60" w:top="712" w:right="259" w:bottom="1440" w:gutter="0" w:footer="0" w:header="0"/>
        </w:sectPr>
      </w:pPr>
    </w:p>
    <w:bookmarkStart w:id="150" w:name="page151"/>
    <w:bookmarkEnd w:id="150"/>
    <w:p>
      <w:pPr>
        <w:ind w:right="180" w:firstLine="404"/>
        <w:spacing w:after="0" w:line="275" w:lineRule="auto"/>
        <w:tabs>
          <w:tab w:leader="none" w:pos="702" w:val="left"/>
        </w:tabs>
        <w:numPr>
          <w:ilvl w:val="0"/>
          <w:numId w:val="88"/>
        </w:numPr>
        <w:rPr>
          <w:rFonts w:ascii="Arial" w:cs="Arial" w:eastAsia="Arial" w:hAnsi="Arial"/>
          <w:sz w:val="19"/>
          <w:szCs w:val="19"/>
          <w:color w:val="auto"/>
        </w:rPr>
      </w:pPr>
      <w:r>
        <w:rPr>
          <w:rFonts w:ascii="Arial" w:cs="Arial" w:eastAsia="Arial" w:hAnsi="Arial"/>
          <w:sz w:val="19"/>
          <w:szCs w:val="19"/>
          <w:color w:val="auto"/>
        </w:rPr>
        <w:t xml:space="preserve">The Company shall use its reasonable efforts to provide to each Member any information reasonably requested by such Member to prepare its Tax or information returns, including an IRS Schedule K-1 properly completed and filled out in respect of the Company as soon as practicable following the end of each calendar year (but in no event later than four (4) months following the end of such calendar year), or to the extent it is unable to do so, as soon as reasonably practicable thereafter. Each Member agrees that such Member shall not, except as otherwise required by applicable Law, treat, on such Member’s separate income Tax returns, any item of income, gain, loss, deduction or credit relating to such Member’s interest in the Company in a manner inconsistent with the treatment of such item by the Company as reflected in the Schedule K-1 or other information statement furnished by the Company to such Member pursuant to this </w:t>
      </w:r>
      <w:r>
        <w:rPr>
          <w:rFonts w:ascii="Arial" w:cs="Arial" w:eastAsia="Arial" w:hAnsi="Arial"/>
          <w:sz w:val="19"/>
          <w:szCs w:val="19"/>
          <w:u w:val="single" w:color="auto"/>
          <w:color w:val="auto"/>
        </w:rPr>
        <w:t>Section 8.05(b)</w:t>
      </w:r>
      <w:r>
        <w:rPr>
          <w:rFonts w:ascii="Arial" w:cs="Arial" w:eastAsia="Arial" w:hAnsi="Arial"/>
          <w:sz w:val="19"/>
          <w:szCs w:val="19"/>
          <w:color w:val="auto"/>
        </w:rPr>
        <w:t>.</w:t>
      </w:r>
    </w:p>
    <w:p>
      <w:pPr>
        <w:spacing w:after="0" w:line="50" w:lineRule="exact"/>
        <w:rPr>
          <w:sz w:val="20"/>
          <w:szCs w:val="20"/>
          <w:color w:val="auto"/>
        </w:rPr>
      </w:pPr>
    </w:p>
    <w:p>
      <w:pPr>
        <w:ind w:left="400"/>
        <w:spacing w:after="0"/>
        <w:rPr>
          <w:sz w:val="20"/>
          <w:szCs w:val="20"/>
          <w:color w:val="auto"/>
        </w:rPr>
      </w:pPr>
      <w:r>
        <w:rPr>
          <w:rFonts w:ascii="Arial" w:cs="Arial" w:eastAsia="Arial" w:hAnsi="Arial"/>
          <w:sz w:val="22"/>
          <w:szCs w:val="22"/>
          <w:color w:val="auto"/>
        </w:rPr>
        <w:t xml:space="preserve">Section 8.06. </w:t>
      </w:r>
      <w:r>
        <w:rPr>
          <w:rFonts w:ascii="Arial" w:cs="Arial" w:eastAsia="Arial" w:hAnsi="Arial"/>
          <w:sz w:val="22"/>
          <w:szCs w:val="22"/>
          <w:u w:val="single" w:color="auto"/>
          <w:color w:val="auto"/>
        </w:rPr>
        <w:t>Tax Matters Partner</w:t>
      </w:r>
      <w:r>
        <w:rPr>
          <w:rFonts w:ascii="Arial" w:cs="Arial" w:eastAsia="Arial" w:hAnsi="Arial"/>
          <w:sz w:val="22"/>
          <w:szCs w:val="22"/>
          <w:color w:val="auto"/>
        </w:rPr>
        <w:t>.</w:t>
      </w:r>
    </w:p>
    <w:p>
      <w:pPr>
        <w:spacing w:after="0" w:line="98" w:lineRule="exact"/>
        <w:rPr>
          <w:sz w:val="20"/>
          <w:szCs w:val="20"/>
          <w:color w:val="auto"/>
        </w:rPr>
      </w:pPr>
    </w:p>
    <w:p>
      <w:pPr>
        <w:ind w:left="700" w:hanging="296"/>
        <w:spacing w:after="0"/>
        <w:tabs>
          <w:tab w:leader="none" w:pos="700" w:val="left"/>
        </w:tabs>
        <w:numPr>
          <w:ilvl w:val="0"/>
          <w:numId w:val="89"/>
        </w:numPr>
        <w:rPr>
          <w:rFonts w:ascii="Arial" w:cs="Arial" w:eastAsia="Arial" w:hAnsi="Arial"/>
          <w:sz w:val="19"/>
          <w:szCs w:val="19"/>
          <w:color w:val="auto"/>
        </w:rPr>
      </w:pPr>
      <w:r>
        <w:rPr>
          <w:rFonts w:ascii="Arial" w:cs="Arial" w:eastAsia="Arial" w:hAnsi="Arial"/>
          <w:sz w:val="19"/>
          <w:szCs w:val="19"/>
          <w:color w:val="auto"/>
        </w:rPr>
        <w:t>At the Company’s expense, Albany shall be the “</w:t>
      </w:r>
      <w:r>
        <w:rPr>
          <w:rFonts w:ascii="Arial" w:cs="Arial" w:eastAsia="Arial" w:hAnsi="Arial"/>
          <w:sz w:val="19"/>
          <w:szCs w:val="19"/>
          <w:u w:val="single" w:color="auto"/>
          <w:color w:val="auto"/>
        </w:rPr>
        <w:t>Tax Matters Partner</w:t>
      </w:r>
      <w:r>
        <w:rPr>
          <w:rFonts w:ascii="Arial" w:cs="Arial" w:eastAsia="Arial" w:hAnsi="Arial"/>
          <w:sz w:val="19"/>
          <w:szCs w:val="19"/>
          <w:color w:val="auto"/>
        </w:rPr>
        <w:t>” within the meaning of Section 6231(a)(7) of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Code.</w:t>
      </w:r>
    </w:p>
    <w:p>
      <w:pPr>
        <w:spacing w:after="0" w:line="80" w:lineRule="exact"/>
        <w:rPr>
          <w:rFonts w:ascii="Arial" w:cs="Arial" w:eastAsia="Arial" w:hAnsi="Arial"/>
          <w:sz w:val="19"/>
          <w:szCs w:val="19"/>
          <w:color w:val="auto"/>
        </w:rPr>
      </w:pPr>
    </w:p>
    <w:p>
      <w:pPr>
        <w:ind w:firstLine="404"/>
        <w:spacing w:after="0" w:line="274" w:lineRule="auto"/>
        <w:tabs>
          <w:tab w:leader="none" w:pos="702" w:val="left"/>
        </w:tabs>
        <w:numPr>
          <w:ilvl w:val="0"/>
          <w:numId w:val="89"/>
        </w:numPr>
        <w:rPr>
          <w:rFonts w:ascii="Arial" w:cs="Arial" w:eastAsia="Arial" w:hAnsi="Arial"/>
          <w:sz w:val="19"/>
          <w:szCs w:val="19"/>
          <w:color w:val="auto"/>
        </w:rPr>
      </w:pPr>
      <w:r>
        <w:rPr>
          <w:rFonts w:ascii="Arial" w:cs="Arial" w:eastAsia="Arial" w:hAnsi="Arial"/>
          <w:sz w:val="19"/>
          <w:szCs w:val="19"/>
          <w:color w:val="auto"/>
        </w:rPr>
        <w:t xml:space="preserve">Except as this Agreement otherwise provides, the Tax Matters Partner shall make all applicable elections (including whether or not to file for extensions), determinations, and other decisions under the Code, including the deductibility of a particular item of expense and the positions to be taken on the Company’s Tax return and the determination of the allocations to be made pursuant to the terms of this Agreement and the guaranteed payments, if any, to be made pursuant to this Agreement, and shall approve the settlement or compromise of all audit matters raised by the Internal Revenue Service or any other Tax authority affecting the Members generally. The Board shall cause the accountants of the Company (at the Company’s expense) to prepare the Company’s federal, state and local income and other Tax returns and deliver such returns to the Members (in accordance with </w:t>
      </w:r>
      <w:r>
        <w:rPr>
          <w:rFonts w:ascii="Arial" w:cs="Arial" w:eastAsia="Arial" w:hAnsi="Arial"/>
          <w:sz w:val="19"/>
          <w:szCs w:val="19"/>
          <w:u w:val="single" w:color="auto"/>
          <w:color w:val="auto"/>
        </w:rPr>
        <w:t>Section 8.05</w:t>
      </w:r>
      <w:r>
        <w:rPr>
          <w:rFonts w:ascii="Arial" w:cs="Arial" w:eastAsia="Arial" w:hAnsi="Arial"/>
          <w:sz w:val="19"/>
          <w:szCs w:val="19"/>
          <w:color w:val="auto"/>
        </w:rPr>
        <w:t>) for their review and approval. The Members shall each take reporting positions on their respective federal, state and local income Tax returns consistent with the positions determined for the Company.</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ARTICLE IX</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22"/>
          <w:szCs w:val="22"/>
          <w:u w:val="single" w:color="auto"/>
          <w:color w:val="auto"/>
        </w:rPr>
        <w:t>EXCULPATION AND INDEMNIFICATION</w:t>
      </w:r>
    </w:p>
    <w:p>
      <w:pPr>
        <w:spacing w:after="0" w:line="206" w:lineRule="exact"/>
        <w:rPr>
          <w:sz w:val="20"/>
          <w:szCs w:val="20"/>
          <w:color w:val="auto"/>
        </w:rPr>
      </w:pPr>
    </w:p>
    <w:p>
      <w:pPr>
        <w:ind w:right="80" w:firstLine="396"/>
        <w:spacing w:after="0" w:line="275" w:lineRule="auto"/>
        <w:rPr>
          <w:sz w:val="20"/>
          <w:szCs w:val="20"/>
          <w:color w:val="auto"/>
        </w:rPr>
      </w:pPr>
      <w:r>
        <w:rPr>
          <w:rFonts w:ascii="Arial" w:cs="Arial" w:eastAsia="Arial" w:hAnsi="Arial"/>
          <w:sz w:val="19"/>
          <w:szCs w:val="19"/>
          <w:color w:val="auto"/>
        </w:rPr>
        <w:t xml:space="preserve">Section 9.01. </w:t>
      </w:r>
      <w:r>
        <w:rPr>
          <w:rFonts w:ascii="Arial" w:cs="Arial" w:eastAsia="Arial" w:hAnsi="Arial"/>
          <w:sz w:val="19"/>
          <w:szCs w:val="19"/>
          <w:u w:val="single" w:color="auto"/>
          <w:color w:val="auto"/>
        </w:rPr>
        <w:t>Exculpation</w:t>
      </w:r>
      <w:r>
        <w:rPr>
          <w:rFonts w:ascii="Arial" w:cs="Arial" w:eastAsia="Arial" w:hAnsi="Arial"/>
          <w:sz w:val="19"/>
          <w:szCs w:val="19"/>
          <w:color w:val="auto"/>
        </w:rPr>
        <w:t>. (a) Subject to applicable Law, no Member (or any of its Affiliates), Manager or officer of the Company, or any direct or indirect partner, manager, member, shareholder, employee, director, officer or agent of such Person (each, an “</w:t>
      </w:r>
      <w:r>
        <w:rPr>
          <w:rFonts w:ascii="Arial" w:cs="Arial" w:eastAsia="Arial" w:hAnsi="Arial"/>
          <w:sz w:val="19"/>
          <w:szCs w:val="19"/>
          <w:u w:val="single" w:color="auto"/>
          <w:color w:val="auto"/>
        </w:rPr>
        <w:t>Indemnified Person</w:t>
      </w:r>
      <w:r>
        <w:rPr>
          <w:rFonts w:ascii="Arial" w:cs="Arial" w:eastAsia="Arial" w:hAnsi="Arial"/>
          <w:sz w:val="19"/>
          <w:szCs w:val="19"/>
          <w:color w:val="auto"/>
        </w:rPr>
        <w:t>”) shall be liable, in damages or otherwise in connection with this Agreement, to the Company, the Members or any of their Affiliates or successors or assigns for any act or omission performed or omitted by any of them in good faith that relates to the Company or any of its Subsidiaries (including any act or omission performed or omitted by any of them in reliance upon and in accordance with the opinion or advice of experts, including legal counsel as to matters of Law, accountants as to matters of accounting, or investment bankers or appraisers as to matters of valuation), other than (i) in connection with any breach of this Agreement by a Member or (ii) by reason of acts or omissions related to the Company which are</w:t>
      </w:r>
    </w:p>
    <w:p>
      <w:pPr>
        <w:spacing w:after="0" w:line="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712" w:right="279" w:bottom="1440" w:gutter="0" w:footer="0" w:header="0"/>
        </w:sectPr>
      </w:pPr>
    </w:p>
    <w:bookmarkStart w:id="151" w:name="page152"/>
    <w:bookmarkEnd w:id="151"/>
    <w:p>
      <w:pPr>
        <w:ind w:right="180"/>
        <w:spacing w:after="0" w:line="251" w:lineRule="auto"/>
        <w:rPr>
          <w:sz w:val="20"/>
          <w:szCs w:val="20"/>
          <w:color w:val="auto"/>
        </w:rPr>
      </w:pPr>
      <w:r>
        <w:rPr>
          <w:rFonts w:ascii="Arial" w:cs="Arial" w:eastAsia="Arial" w:hAnsi="Arial"/>
          <w:sz w:val="22"/>
          <w:szCs w:val="22"/>
          <w:color w:val="auto"/>
        </w:rPr>
        <w:t>found by a court of competent jurisdiction upon entry of a final and non-appealable judgment to be the result of such Indemnified Person’s fraud, gross negligence or willful misconduct.</w:t>
      </w:r>
    </w:p>
    <w:p>
      <w:pPr>
        <w:spacing w:after="0" w:line="173" w:lineRule="exact"/>
        <w:rPr>
          <w:sz w:val="20"/>
          <w:szCs w:val="20"/>
          <w:color w:val="auto"/>
        </w:rPr>
      </w:pPr>
    </w:p>
    <w:p>
      <w:pPr>
        <w:ind w:right="60" w:firstLine="404"/>
        <w:spacing w:after="0" w:line="246" w:lineRule="auto"/>
        <w:tabs>
          <w:tab w:leader="none" w:pos="702" w:val="left"/>
        </w:tabs>
        <w:numPr>
          <w:ilvl w:val="0"/>
          <w:numId w:val="90"/>
        </w:numPr>
        <w:rPr>
          <w:rFonts w:ascii="Arial" w:cs="Arial" w:eastAsia="Arial" w:hAnsi="Arial"/>
          <w:sz w:val="21"/>
          <w:szCs w:val="21"/>
          <w:color w:val="auto"/>
        </w:rPr>
      </w:pPr>
      <w:r>
        <w:rPr>
          <w:rFonts w:ascii="Arial" w:cs="Arial" w:eastAsia="Arial" w:hAnsi="Arial"/>
          <w:sz w:val="21"/>
          <w:szCs w:val="21"/>
          <w:color w:val="auto"/>
        </w:rPr>
        <w:t>To the fullest extent permitted by Law, and notwithstanding any other provision of this Agreement or in any agreement contemplated herein or applicable provisions of law or equity or otherwise, no Member nor any Manager, acting in such Person’s capacity as such, shall (i) have any fiduciary or other duties to the Company or any Member other than the duty to comply with the applicable terms and provisions of this Agreement, or (ii) be obligated to do or perform any act or thing in connection with the Company and its Subsidiaries not expressly set forth in this Agreement. Without limiting the foregoing, the provisions of this Agreement, to the extent that they restrict the duties and liabilities of any Member, Indemnified Person or any Manager otherwise existing at law or in equity, are agreed by the Parties to replace such other duties and liabilities of such Persons, to the maximum extent permitted by applicable Law.</w:t>
      </w:r>
    </w:p>
    <w:p>
      <w:pPr>
        <w:spacing w:after="0" w:line="73" w:lineRule="exact"/>
        <w:rPr>
          <w:sz w:val="20"/>
          <w:szCs w:val="20"/>
          <w:color w:val="auto"/>
        </w:rPr>
      </w:pPr>
    </w:p>
    <w:p>
      <w:pPr>
        <w:ind w:firstLine="396"/>
        <w:spacing w:after="0" w:line="273" w:lineRule="auto"/>
        <w:rPr>
          <w:sz w:val="20"/>
          <w:szCs w:val="20"/>
          <w:color w:val="auto"/>
        </w:rPr>
      </w:pPr>
      <w:r>
        <w:rPr>
          <w:rFonts w:ascii="Arial" w:cs="Arial" w:eastAsia="Arial" w:hAnsi="Arial"/>
          <w:sz w:val="19"/>
          <w:szCs w:val="19"/>
          <w:color w:val="auto"/>
        </w:rPr>
        <w:t xml:space="preserve">Section 9.02. </w:t>
      </w:r>
      <w:r>
        <w:rPr>
          <w:rFonts w:ascii="Arial" w:cs="Arial" w:eastAsia="Arial" w:hAnsi="Arial"/>
          <w:sz w:val="19"/>
          <w:szCs w:val="19"/>
          <w:u w:val="single" w:color="auto"/>
          <w:color w:val="auto"/>
        </w:rPr>
        <w:t>Indemnification and Expense Advancement</w:t>
      </w:r>
      <w:r>
        <w:rPr>
          <w:rFonts w:ascii="Arial" w:cs="Arial" w:eastAsia="Arial" w:hAnsi="Arial"/>
          <w:sz w:val="19"/>
          <w:szCs w:val="19"/>
          <w:color w:val="auto"/>
        </w:rPr>
        <w:t xml:space="preserve">. (a) To the fullest extent permitted by Law, the Company shall indemnify, defend and hold harmless each Indemnified Person from and against any and all losses, liabilities, damages, claims, judgments, awards, settlements, demands, offsets, costs or expenses (including interest, penalties, court costs, arbitration costs and fees, witness fees and reasonable fees and expenses of outside attorneys, investigators, expert witnesses, accountants and other professionals) resulting from a claim, demand, lawsuit, action or proceeding (i) by reason of any act or omission performed or omitted by such Indemnified Person on behalf of the Company and in a manner reasonably believed to be within the scope of the authority conferred on such Indemnified Person by this Agreement or (ii) with respect to any Indemnified Person that is a Member or any of its Affiliates, based upon, arising out of, related to or resulting from such Indemnified Person’s status as an equityholder of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that such acts or omissions of such Indemnified Person related to such indemnification are not (x) found by a court of competent jurisdiction upon entry of a final and non-appealable judgment to constitute fraud, gross negligence or willful misconduct or (y) in breach of this Agreement.</w:t>
      </w:r>
    </w:p>
    <w:p>
      <w:pPr>
        <w:spacing w:after="0" w:line="48" w:lineRule="exact"/>
        <w:rPr>
          <w:sz w:val="20"/>
          <w:szCs w:val="20"/>
          <w:color w:val="auto"/>
        </w:rPr>
      </w:pPr>
    </w:p>
    <w:p>
      <w:pPr>
        <w:ind w:right="160" w:firstLine="404"/>
        <w:spacing w:after="0" w:line="279" w:lineRule="auto"/>
        <w:tabs>
          <w:tab w:leader="none" w:pos="702" w:val="left"/>
        </w:tabs>
        <w:numPr>
          <w:ilvl w:val="0"/>
          <w:numId w:val="91"/>
        </w:numPr>
        <w:rPr>
          <w:rFonts w:ascii="Arial" w:cs="Arial" w:eastAsia="Arial" w:hAnsi="Arial"/>
          <w:sz w:val="19"/>
          <w:szCs w:val="19"/>
          <w:color w:val="auto"/>
        </w:rPr>
      </w:pPr>
      <w:r>
        <w:rPr>
          <w:rFonts w:ascii="Arial" w:cs="Arial" w:eastAsia="Arial" w:hAnsi="Arial"/>
          <w:sz w:val="19"/>
          <w:szCs w:val="19"/>
          <w:color w:val="auto"/>
        </w:rPr>
        <w:t>Expenses reasonably incurred by an Indemnified Person in defense or settlement of any claim that are subject to a right of indemnification hereunder (which, for the avoidance of doubt, shall not include expenses incurred in defense or settlement of any claim in connection with a breach of this Agreement by any Member) shall be advanced by the Company prior to the final disposition thereof upon receipt of an undertaking (in form and substance reasonably satisfactory to the Board) by or on behalf of such Indemnified Person to repay such amount to the extent that it shall be determined upon final adjudication after all possible appeals have been exhausted that such Indemnified Person is not entitled to be indemnified hereunder.</w:t>
      </w:r>
    </w:p>
    <w:p>
      <w:pPr>
        <w:spacing w:after="0" w:line="43" w:lineRule="exact"/>
        <w:rPr>
          <w:sz w:val="20"/>
          <w:szCs w:val="20"/>
          <w:color w:val="auto"/>
        </w:rPr>
      </w:pPr>
    </w:p>
    <w:p>
      <w:pPr>
        <w:ind w:right="600" w:firstLine="396"/>
        <w:spacing w:after="0" w:line="251" w:lineRule="auto"/>
        <w:rPr>
          <w:sz w:val="20"/>
          <w:szCs w:val="20"/>
          <w:color w:val="auto"/>
        </w:rPr>
      </w:pPr>
      <w:r>
        <w:rPr>
          <w:rFonts w:ascii="Arial" w:cs="Arial" w:eastAsia="Arial" w:hAnsi="Arial"/>
          <w:sz w:val="22"/>
          <w:szCs w:val="22"/>
          <w:color w:val="auto"/>
        </w:rPr>
        <w:t xml:space="preserve">Section 9.03. </w:t>
      </w:r>
      <w:r>
        <w:rPr>
          <w:rFonts w:ascii="Arial" w:cs="Arial" w:eastAsia="Arial" w:hAnsi="Arial"/>
          <w:sz w:val="22"/>
          <w:szCs w:val="22"/>
          <w:u w:val="single" w:color="auto"/>
          <w:color w:val="auto"/>
        </w:rPr>
        <w:t>Exclusivity</w:t>
      </w:r>
      <w:r>
        <w:rPr>
          <w:rFonts w:ascii="Arial" w:cs="Arial" w:eastAsia="Arial" w:hAnsi="Arial"/>
          <w:sz w:val="22"/>
          <w:szCs w:val="22"/>
          <w:color w:val="auto"/>
        </w:rPr>
        <w:t xml:space="preserve">. The remedies provided for in this </w:t>
      </w:r>
      <w:r>
        <w:rPr>
          <w:rFonts w:ascii="Arial" w:cs="Arial" w:eastAsia="Arial" w:hAnsi="Arial"/>
          <w:sz w:val="22"/>
          <w:szCs w:val="22"/>
          <w:u w:val="single" w:color="auto"/>
          <w:color w:val="auto"/>
        </w:rPr>
        <w:t>Article IX</w:t>
      </w:r>
      <w:r>
        <w:rPr>
          <w:rFonts w:ascii="Arial" w:cs="Arial" w:eastAsia="Arial" w:hAnsi="Arial"/>
          <w:sz w:val="22"/>
          <w:szCs w:val="22"/>
          <w:color w:val="auto"/>
        </w:rPr>
        <w:t xml:space="preserve"> are not exclusive and shall not limit any rights or remedies that may otherwise be available to any Indemnified Person.</w:t>
      </w:r>
    </w:p>
    <w:p>
      <w:pPr>
        <w:spacing w:after="0" w:line="65" w:lineRule="exact"/>
        <w:rPr>
          <w:sz w:val="20"/>
          <w:szCs w:val="20"/>
          <w:color w:val="auto"/>
        </w:rPr>
      </w:pPr>
    </w:p>
    <w:p>
      <w:pPr>
        <w:ind w:right="280" w:firstLine="396"/>
        <w:spacing w:after="0" w:line="252" w:lineRule="auto"/>
        <w:rPr>
          <w:sz w:val="20"/>
          <w:szCs w:val="20"/>
          <w:color w:val="auto"/>
        </w:rPr>
      </w:pPr>
      <w:r>
        <w:rPr>
          <w:rFonts w:ascii="Arial" w:cs="Arial" w:eastAsia="Arial" w:hAnsi="Arial"/>
          <w:sz w:val="21"/>
          <w:szCs w:val="21"/>
          <w:color w:val="auto"/>
        </w:rPr>
        <w:t xml:space="preserve">Section 9.04. </w:t>
      </w:r>
      <w:r>
        <w:rPr>
          <w:rFonts w:ascii="Arial" w:cs="Arial" w:eastAsia="Arial" w:hAnsi="Arial"/>
          <w:sz w:val="21"/>
          <w:szCs w:val="21"/>
          <w:u w:val="single" w:color="auto"/>
          <w:color w:val="auto"/>
        </w:rPr>
        <w:t>Limitation on Implied Duties</w:t>
      </w:r>
      <w:r>
        <w:rPr>
          <w:rFonts w:ascii="Arial" w:cs="Arial" w:eastAsia="Arial" w:hAnsi="Arial"/>
          <w:sz w:val="21"/>
          <w:szCs w:val="21"/>
          <w:color w:val="auto"/>
        </w:rPr>
        <w:t>. The Members hereby agree, notwithstanding anything to the contrary in this Agreement, any other agreement or at law or in equity, that, to the fullest extent permitted by Law, when any Member, Albany Manager, Safran Manager, member of the Management Committee or other committee takes any action under this Agreement to give or withhold its consent, such Member, Albany Manager, Safran Manager or</w:t>
      </w:r>
    </w:p>
    <w:p>
      <w:pPr>
        <w:spacing w:after="0" w:line="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928" w:right="259" w:bottom="1440" w:gutter="0" w:footer="0" w:header="0"/>
        </w:sectPr>
      </w:pPr>
    </w:p>
    <w:bookmarkStart w:id="152" w:name="page153"/>
    <w:bookmarkEnd w:id="152"/>
    <w:p>
      <w:pPr>
        <w:ind w:right="160"/>
        <w:spacing w:after="0" w:line="236" w:lineRule="auto"/>
        <w:rPr>
          <w:sz w:val="20"/>
          <w:szCs w:val="20"/>
          <w:color w:val="auto"/>
        </w:rPr>
      </w:pPr>
      <w:r>
        <w:rPr>
          <w:rFonts w:ascii="Arial" w:cs="Arial" w:eastAsia="Arial" w:hAnsi="Arial"/>
          <w:sz w:val="22"/>
          <w:szCs w:val="22"/>
          <w:color w:val="auto"/>
        </w:rPr>
        <w:t>member of the Management Committee or other committee shall have no duty (fiduciary or otherwise) to consider the interests of the Company or any of its respective Subsidiaries or the other Members and may act exclusively in its (or in the case of (a) an Albany Manager or Albany appointee to the Management Committee or other committee, Albany’s or (b) a Safran Manager or Safran appointee to the Management Committee or other committee, Safran’s) own interest and without regard to the interest of any other Person.</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ARTICLE X</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22"/>
          <w:szCs w:val="22"/>
          <w:u w:val="single" w:color="auto"/>
          <w:color w:val="auto"/>
        </w:rPr>
        <w:t>DISSOLUTION, LIQUIDATION AND TERMINATION</w:t>
      </w:r>
    </w:p>
    <w:p>
      <w:pPr>
        <w:spacing w:after="0" w:line="206" w:lineRule="exact"/>
        <w:rPr>
          <w:sz w:val="20"/>
          <w:szCs w:val="20"/>
          <w:color w:val="auto"/>
        </w:rPr>
      </w:pPr>
    </w:p>
    <w:p>
      <w:pPr>
        <w:ind w:right="20" w:firstLine="396"/>
        <w:spacing w:after="0" w:line="251" w:lineRule="auto"/>
        <w:rPr>
          <w:sz w:val="20"/>
          <w:szCs w:val="20"/>
          <w:color w:val="auto"/>
        </w:rPr>
      </w:pPr>
      <w:r>
        <w:rPr>
          <w:rFonts w:ascii="Arial" w:cs="Arial" w:eastAsia="Arial" w:hAnsi="Arial"/>
          <w:sz w:val="22"/>
          <w:szCs w:val="22"/>
          <w:color w:val="auto"/>
        </w:rPr>
        <w:t xml:space="preserve">Section 10.01. </w:t>
      </w:r>
      <w:r>
        <w:rPr>
          <w:rFonts w:ascii="Arial" w:cs="Arial" w:eastAsia="Arial" w:hAnsi="Arial"/>
          <w:sz w:val="22"/>
          <w:szCs w:val="22"/>
          <w:u w:val="single" w:color="auto"/>
          <w:color w:val="auto"/>
        </w:rPr>
        <w:t>Events Causing Dissolution</w:t>
      </w:r>
      <w:r>
        <w:rPr>
          <w:rFonts w:ascii="Arial" w:cs="Arial" w:eastAsia="Arial" w:hAnsi="Arial"/>
          <w:sz w:val="22"/>
          <w:szCs w:val="22"/>
          <w:color w:val="auto"/>
        </w:rPr>
        <w:t>. (a) The Company shall be dissolved and its affairs shall be wound up upon the first of the following to occur:</w:t>
      </w:r>
    </w:p>
    <w:p>
      <w:pPr>
        <w:spacing w:after="0" w:line="65" w:lineRule="exact"/>
        <w:rPr>
          <w:sz w:val="20"/>
          <w:szCs w:val="20"/>
          <w:color w:val="auto"/>
        </w:rPr>
      </w:pPr>
    </w:p>
    <w:p>
      <w:pPr>
        <w:ind w:left="1060" w:hanging="260"/>
        <w:spacing w:after="0"/>
        <w:tabs>
          <w:tab w:leader="none" w:pos="1060" w:val="left"/>
        </w:tabs>
        <w:numPr>
          <w:ilvl w:val="2"/>
          <w:numId w:val="92"/>
        </w:numPr>
        <w:rPr>
          <w:rFonts w:ascii="Arial" w:cs="Arial" w:eastAsia="Arial" w:hAnsi="Arial"/>
          <w:sz w:val="22"/>
          <w:szCs w:val="22"/>
          <w:color w:val="auto"/>
        </w:rPr>
      </w:pPr>
      <w:r>
        <w:rPr>
          <w:rFonts w:ascii="Arial" w:cs="Arial" w:eastAsia="Arial" w:hAnsi="Arial"/>
          <w:sz w:val="22"/>
          <w:szCs w:val="22"/>
          <w:color w:val="auto"/>
        </w:rPr>
        <w:t>a determination by the Board in accordance with the terms of this Agreement to dissolve the Company; or</w:t>
      </w:r>
    </w:p>
    <w:p>
      <w:pPr>
        <w:spacing w:after="0" w:line="98" w:lineRule="exact"/>
        <w:rPr>
          <w:rFonts w:ascii="Arial" w:cs="Arial" w:eastAsia="Arial" w:hAnsi="Arial"/>
          <w:sz w:val="22"/>
          <w:szCs w:val="22"/>
          <w:color w:val="auto"/>
        </w:rPr>
      </w:pPr>
    </w:p>
    <w:p>
      <w:pPr>
        <w:ind w:left="1120" w:hanging="320"/>
        <w:spacing w:after="0"/>
        <w:tabs>
          <w:tab w:leader="none" w:pos="1120" w:val="left"/>
        </w:tabs>
        <w:numPr>
          <w:ilvl w:val="2"/>
          <w:numId w:val="92"/>
        </w:numPr>
        <w:rPr>
          <w:rFonts w:ascii="Arial" w:cs="Arial" w:eastAsia="Arial" w:hAnsi="Arial"/>
          <w:sz w:val="22"/>
          <w:szCs w:val="22"/>
          <w:color w:val="auto"/>
        </w:rPr>
      </w:pPr>
      <w:r>
        <w:rPr>
          <w:rFonts w:ascii="Arial" w:cs="Arial" w:eastAsia="Arial" w:hAnsi="Arial"/>
          <w:sz w:val="22"/>
          <w:szCs w:val="22"/>
          <w:color w:val="auto"/>
        </w:rPr>
        <w:t>any dissolution required by operation of Law.</w:t>
      </w:r>
    </w:p>
    <w:p>
      <w:pPr>
        <w:spacing w:after="0" w:line="98" w:lineRule="exact"/>
        <w:rPr>
          <w:rFonts w:ascii="Arial" w:cs="Arial" w:eastAsia="Arial" w:hAnsi="Arial"/>
          <w:sz w:val="22"/>
          <w:szCs w:val="22"/>
          <w:color w:val="auto"/>
        </w:rPr>
      </w:pPr>
    </w:p>
    <w:p>
      <w:pPr>
        <w:ind w:right="40" w:firstLine="404"/>
        <w:spacing w:after="0"/>
        <w:tabs>
          <w:tab w:leader="none" w:pos="702" w:val="left"/>
        </w:tabs>
        <w:numPr>
          <w:ilvl w:val="1"/>
          <w:numId w:val="93"/>
        </w:numPr>
        <w:rPr>
          <w:rFonts w:ascii="Arial" w:cs="Arial" w:eastAsia="Arial" w:hAnsi="Arial"/>
          <w:sz w:val="22"/>
          <w:szCs w:val="22"/>
          <w:color w:val="auto"/>
        </w:rPr>
      </w:pPr>
      <w:r>
        <w:rPr>
          <w:rFonts w:ascii="Arial" w:cs="Arial" w:eastAsia="Arial" w:hAnsi="Arial"/>
          <w:sz w:val="22"/>
          <w:szCs w:val="22"/>
          <w:color w:val="auto"/>
        </w:rPr>
        <w:t xml:space="preserve">Dissolution of the Company shall be effective as of the day on which the event occurs giving rise to the dissolution, but the Company shall not terminate until there has been a winding up of the Company’s business and affairs, and all of the Company’s assets have been distributed as provided in </w:t>
      </w:r>
      <w:r>
        <w:rPr>
          <w:rFonts w:ascii="Arial" w:cs="Arial" w:eastAsia="Arial" w:hAnsi="Arial"/>
          <w:sz w:val="22"/>
          <w:szCs w:val="22"/>
          <w:u w:val="single" w:color="auto"/>
          <w:color w:val="auto"/>
        </w:rPr>
        <w:t>Section 10.03</w:t>
      </w:r>
      <w:r>
        <w:rPr>
          <w:rFonts w:ascii="Arial" w:cs="Arial" w:eastAsia="Arial" w:hAnsi="Arial"/>
          <w:sz w:val="22"/>
          <w:szCs w:val="22"/>
          <w:color w:val="auto"/>
        </w:rPr>
        <w:t xml:space="preserve"> and in the Act.</w:t>
      </w:r>
    </w:p>
    <w:p>
      <w:pPr>
        <w:spacing w:after="0" w:line="78" w:lineRule="exact"/>
        <w:rPr>
          <w:rFonts w:ascii="Arial" w:cs="Arial" w:eastAsia="Arial" w:hAnsi="Arial"/>
          <w:sz w:val="22"/>
          <w:szCs w:val="22"/>
          <w:color w:val="auto"/>
        </w:rPr>
      </w:pPr>
    </w:p>
    <w:p>
      <w:pPr>
        <w:jc w:val="both"/>
        <w:ind w:right="140" w:firstLine="404"/>
        <w:spacing w:after="0" w:line="276" w:lineRule="auto"/>
        <w:tabs>
          <w:tab w:leader="none" w:pos="690" w:val="left"/>
        </w:tabs>
        <w:numPr>
          <w:ilvl w:val="1"/>
          <w:numId w:val="93"/>
        </w:numPr>
        <w:rPr>
          <w:rFonts w:ascii="Arial" w:cs="Arial" w:eastAsia="Arial" w:hAnsi="Arial"/>
          <w:sz w:val="19"/>
          <w:szCs w:val="19"/>
          <w:color w:val="auto"/>
        </w:rPr>
      </w:pPr>
      <w:r>
        <w:rPr>
          <w:rFonts w:ascii="Arial" w:cs="Arial" w:eastAsia="Arial" w:hAnsi="Arial"/>
          <w:sz w:val="19"/>
          <w:szCs w:val="19"/>
          <w:color w:val="auto"/>
        </w:rPr>
        <w:t>Notwithstanding any other provision of this Agreement, no Member shall cease to be a Member of the Company upon the happening of (i) such Member (A) making an assignment for the benefit of creditors, (B) filing a voluntary petition in bankruptcy,</w:t>
      </w:r>
    </w:p>
    <w:p>
      <w:pPr>
        <w:spacing w:after="0" w:line="1" w:lineRule="exact"/>
        <w:rPr>
          <w:rFonts w:ascii="Arial" w:cs="Arial" w:eastAsia="Arial" w:hAnsi="Arial"/>
          <w:sz w:val="19"/>
          <w:szCs w:val="19"/>
          <w:color w:val="auto"/>
        </w:rPr>
      </w:pPr>
    </w:p>
    <w:p>
      <w:pPr>
        <w:ind w:firstLine="8"/>
        <w:spacing w:after="0" w:line="271" w:lineRule="auto"/>
        <w:tabs>
          <w:tab w:leader="none" w:pos="342" w:val="left"/>
        </w:tabs>
        <w:numPr>
          <w:ilvl w:val="0"/>
          <w:numId w:val="94"/>
        </w:numPr>
        <w:rPr>
          <w:rFonts w:ascii="Arial" w:cs="Arial" w:eastAsia="Arial" w:hAnsi="Arial"/>
          <w:sz w:val="19"/>
          <w:szCs w:val="19"/>
          <w:color w:val="auto"/>
        </w:rPr>
      </w:pPr>
      <w:r>
        <w:rPr>
          <w:rFonts w:ascii="Arial" w:cs="Arial" w:eastAsia="Arial" w:hAnsi="Arial"/>
          <w:sz w:val="19"/>
          <w:szCs w:val="19"/>
          <w:color w:val="auto"/>
        </w:rPr>
        <w:t>being adjudged bankrupt or insolvent, or having entered against such Member an order for relief, in any bankruptcy or insolvency proceeding, (D) filing a petition or answer seeking for the Member any reorganization, arrangement, composition, readjustment, liquidation, dissolution or similar relief under any Law, (E) filing an answer or other pleading admitting or failing to contest the material allegations of a petition filed against the Member in any proceeding of this nature, (F) seeking, consenting to or acquiescing in the appointment of a trustee, receiver or liquidator of such Member or of all or any substantial part of such Member’s properties, (ii) the commencement of any proceeding against such Member seeking reorganization, arrangement, composition, readjustment, liquidation, dissolution or similar relief under any Law or (iii) the appointment without such Member’s consent or acquiescence of a trustee, receiver or liquidator of such Member or of all or any substantial part of such Member’s properties (any such occurrence in the foregoing clauses (i), (ii) or (iii), such Member’s “</w:t>
      </w:r>
      <w:r>
        <w:rPr>
          <w:rFonts w:ascii="Arial" w:cs="Arial" w:eastAsia="Arial" w:hAnsi="Arial"/>
          <w:sz w:val="19"/>
          <w:szCs w:val="19"/>
          <w:u w:val="single" w:color="auto"/>
          <w:color w:val="auto"/>
        </w:rPr>
        <w:t>Bankruptcy</w:t>
      </w:r>
      <w:r>
        <w:rPr>
          <w:rFonts w:ascii="Arial" w:cs="Arial" w:eastAsia="Arial" w:hAnsi="Arial"/>
          <w:sz w:val="19"/>
          <w:szCs w:val="19"/>
          <w:color w:val="auto"/>
        </w:rPr>
        <w:t>”), and despite the occurrence of any such event, the business of the Company shall continue without dissolution.</w:t>
      </w:r>
    </w:p>
    <w:p>
      <w:pPr>
        <w:spacing w:after="0" w:line="53" w:lineRule="exact"/>
        <w:rPr>
          <w:rFonts w:ascii="Arial" w:cs="Arial" w:eastAsia="Arial" w:hAnsi="Arial"/>
          <w:sz w:val="19"/>
          <w:szCs w:val="19"/>
          <w:color w:val="auto"/>
        </w:rPr>
      </w:pPr>
    </w:p>
    <w:p>
      <w:pPr>
        <w:ind w:right="40" w:firstLine="404"/>
        <w:spacing w:after="0" w:line="297" w:lineRule="auto"/>
        <w:tabs>
          <w:tab w:leader="none" w:pos="702" w:val="left"/>
        </w:tabs>
        <w:numPr>
          <w:ilvl w:val="1"/>
          <w:numId w:val="94"/>
        </w:numPr>
        <w:rPr>
          <w:rFonts w:ascii="Arial" w:cs="Arial" w:eastAsia="Arial" w:hAnsi="Arial"/>
          <w:sz w:val="19"/>
          <w:szCs w:val="19"/>
          <w:color w:val="auto"/>
        </w:rPr>
      </w:pPr>
      <w:r>
        <w:rPr>
          <w:rFonts w:ascii="Arial" w:cs="Arial" w:eastAsia="Arial" w:hAnsi="Arial"/>
          <w:sz w:val="19"/>
          <w:szCs w:val="19"/>
          <w:color w:val="auto"/>
        </w:rPr>
        <w:t>Notwithstanding any other provision of this Agreement, each Member waives any right it might have under the Act or otherwise to (i) agree in writing to dissolve the Company upon such Member’s Bankruptcy, or upon the occurrence of an event that causes such Member to cease to be a Member of the Company, and (ii) apply for judicial dissolution of the Company.</w:t>
      </w:r>
    </w:p>
    <w:p>
      <w:pPr>
        <w:spacing w:after="0" w:line="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928" w:right="259" w:bottom="1440" w:gutter="0" w:footer="0" w:header="0"/>
        </w:sectPr>
      </w:pPr>
    </w:p>
    <w:bookmarkStart w:id="153" w:name="page154"/>
    <w:bookmarkEnd w:id="153"/>
    <w:p>
      <w:pPr>
        <w:ind w:right="140" w:firstLine="396"/>
        <w:spacing w:after="0"/>
        <w:rPr>
          <w:sz w:val="20"/>
          <w:szCs w:val="20"/>
          <w:color w:val="auto"/>
        </w:rPr>
      </w:pPr>
      <w:r>
        <w:rPr>
          <w:rFonts w:ascii="Arial" w:cs="Arial" w:eastAsia="Arial" w:hAnsi="Arial"/>
          <w:sz w:val="22"/>
          <w:szCs w:val="22"/>
          <w:color w:val="auto"/>
        </w:rPr>
        <w:t xml:space="preserve">Section 10.02. </w:t>
      </w:r>
      <w:r>
        <w:rPr>
          <w:rFonts w:ascii="Arial" w:cs="Arial" w:eastAsia="Arial" w:hAnsi="Arial"/>
          <w:sz w:val="22"/>
          <w:szCs w:val="22"/>
          <w:u w:val="single" w:color="auto"/>
          <w:color w:val="auto"/>
        </w:rPr>
        <w:t>Cancellation of Certificate</w:t>
      </w:r>
      <w:r>
        <w:rPr>
          <w:rFonts w:ascii="Arial" w:cs="Arial" w:eastAsia="Arial" w:hAnsi="Arial"/>
          <w:sz w:val="22"/>
          <w:szCs w:val="22"/>
          <w:color w:val="auto"/>
        </w:rPr>
        <w:t>. Upon the dissolution and completion of the winding up of the Company and the termination of this Agreement, the Certificate of Formation shall be canceled in accordance with the provisions of Section 18-203 of the Act and the Members shall be promptly notified of such dissolution.</w:t>
      </w:r>
    </w:p>
    <w:p>
      <w:pPr>
        <w:spacing w:after="0" w:line="78" w:lineRule="exact"/>
        <w:rPr>
          <w:sz w:val="20"/>
          <w:szCs w:val="20"/>
          <w:color w:val="auto"/>
        </w:rPr>
      </w:pPr>
    </w:p>
    <w:p>
      <w:pPr>
        <w:ind w:right="60" w:firstLine="396"/>
        <w:spacing w:after="0" w:line="251" w:lineRule="auto"/>
        <w:rPr>
          <w:sz w:val="20"/>
          <w:szCs w:val="20"/>
          <w:color w:val="auto"/>
        </w:rPr>
      </w:pPr>
      <w:r>
        <w:rPr>
          <w:rFonts w:ascii="Arial" w:cs="Arial" w:eastAsia="Arial" w:hAnsi="Arial"/>
          <w:sz w:val="22"/>
          <w:szCs w:val="22"/>
          <w:color w:val="auto"/>
        </w:rPr>
        <w:t xml:space="preserve">Section 10.03. </w:t>
      </w:r>
      <w:r>
        <w:rPr>
          <w:rFonts w:ascii="Arial" w:cs="Arial" w:eastAsia="Arial" w:hAnsi="Arial"/>
          <w:sz w:val="22"/>
          <w:szCs w:val="22"/>
          <w:u w:val="single" w:color="auto"/>
          <w:color w:val="auto"/>
        </w:rPr>
        <w:t>Liquidation</w:t>
      </w:r>
      <w:r>
        <w:rPr>
          <w:rFonts w:ascii="Arial" w:cs="Arial" w:eastAsia="Arial" w:hAnsi="Arial"/>
          <w:sz w:val="22"/>
          <w:szCs w:val="22"/>
          <w:color w:val="auto"/>
        </w:rPr>
        <w:t>. Upon dissolution of the Company, as expeditiously as is reasonable, the liabilities of the Company shall be paid and distributions shall be made in the following manner and order:</w:t>
      </w:r>
    </w:p>
    <w:p>
      <w:pPr>
        <w:spacing w:after="0" w:line="65" w:lineRule="exact"/>
        <w:rPr>
          <w:sz w:val="20"/>
          <w:szCs w:val="20"/>
          <w:color w:val="auto"/>
        </w:rPr>
      </w:pPr>
    </w:p>
    <w:p>
      <w:pPr>
        <w:ind w:right="20" w:firstLine="404"/>
        <w:spacing w:after="0" w:line="287" w:lineRule="auto"/>
        <w:tabs>
          <w:tab w:leader="none" w:pos="690" w:val="left"/>
        </w:tabs>
        <w:numPr>
          <w:ilvl w:val="0"/>
          <w:numId w:val="95"/>
        </w:numPr>
        <w:rPr>
          <w:rFonts w:ascii="Arial" w:cs="Arial" w:eastAsia="Arial" w:hAnsi="Arial"/>
          <w:sz w:val="19"/>
          <w:szCs w:val="19"/>
          <w:color w:val="auto"/>
        </w:rPr>
      </w:pPr>
      <w:r>
        <w:rPr>
          <w:rFonts w:ascii="Arial" w:cs="Arial" w:eastAsia="Arial" w:hAnsi="Arial"/>
          <w:sz w:val="19"/>
          <w:szCs w:val="19"/>
          <w:color w:val="auto"/>
        </w:rPr>
        <w:t xml:space="preserve">to creditors, including (i) third party creditors, (ii) Members who are creditors (including, in the case of any Intercompany Loan, Albany and any Affiliates of Albany that own Membership Interests) and (iii) Members who have not yet received the distributions determined by the Board to be payable to such Members pursuant to </w:t>
      </w:r>
      <w:r>
        <w:rPr>
          <w:rFonts w:ascii="Arial" w:cs="Arial" w:eastAsia="Arial" w:hAnsi="Arial"/>
          <w:sz w:val="19"/>
          <w:szCs w:val="19"/>
          <w:u w:val="single" w:color="auto"/>
          <w:color w:val="auto"/>
        </w:rPr>
        <w:t>Section 4.01</w:t>
      </w:r>
      <w:r>
        <w:rPr>
          <w:rFonts w:ascii="Arial" w:cs="Arial" w:eastAsia="Arial" w:hAnsi="Arial"/>
          <w:sz w:val="19"/>
          <w:szCs w:val="19"/>
          <w:color w:val="auto"/>
        </w:rPr>
        <w:t xml:space="preserve"> to the extent otherwise permitted by Law, in satisfaction of liabilities of the Company (whether by payment or by establishment or reserves); and</w:t>
      </w:r>
    </w:p>
    <w:p>
      <w:pPr>
        <w:spacing w:after="0" w:line="35" w:lineRule="exact"/>
        <w:rPr>
          <w:rFonts w:ascii="Arial" w:cs="Arial" w:eastAsia="Arial" w:hAnsi="Arial"/>
          <w:sz w:val="19"/>
          <w:szCs w:val="19"/>
          <w:color w:val="auto"/>
        </w:rPr>
      </w:pPr>
    </w:p>
    <w:p>
      <w:pPr>
        <w:ind w:right="80" w:firstLine="404"/>
        <w:spacing w:after="0" w:line="251" w:lineRule="auto"/>
        <w:tabs>
          <w:tab w:leader="none" w:pos="702" w:val="left"/>
        </w:tabs>
        <w:numPr>
          <w:ilvl w:val="0"/>
          <w:numId w:val="95"/>
        </w:numPr>
        <w:rPr>
          <w:rFonts w:ascii="Arial" w:cs="Arial" w:eastAsia="Arial" w:hAnsi="Arial"/>
          <w:sz w:val="22"/>
          <w:szCs w:val="22"/>
          <w:color w:val="auto"/>
        </w:rPr>
      </w:pPr>
      <w:r>
        <w:rPr>
          <w:rFonts w:ascii="Arial" w:cs="Arial" w:eastAsia="Arial" w:hAnsi="Arial"/>
          <w:sz w:val="22"/>
          <w:szCs w:val="22"/>
          <w:color w:val="auto"/>
        </w:rPr>
        <w:t>to the Preferred Members, pro rata in accordance with their respective ownership of the Preferred Membership Units, until Preferred Capital for all Preferred Membership Units has been repaid in full; and</w:t>
      </w:r>
    </w:p>
    <w:p>
      <w:pPr>
        <w:spacing w:after="0" w:line="65" w:lineRule="exact"/>
        <w:rPr>
          <w:rFonts w:ascii="Arial" w:cs="Arial" w:eastAsia="Arial" w:hAnsi="Arial"/>
          <w:sz w:val="22"/>
          <w:szCs w:val="22"/>
          <w:color w:val="auto"/>
        </w:rPr>
      </w:pPr>
    </w:p>
    <w:p>
      <w:pPr>
        <w:ind w:left="700" w:hanging="296"/>
        <w:spacing w:after="0"/>
        <w:tabs>
          <w:tab w:leader="none" w:pos="700" w:val="left"/>
        </w:tabs>
        <w:numPr>
          <w:ilvl w:val="0"/>
          <w:numId w:val="95"/>
        </w:numPr>
        <w:rPr>
          <w:rFonts w:ascii="Arial" w:cs="Arial" w:eastAsia="Arial" w:hAnsi="Arial"/>
          <w:sz w:val="22"/>
          <w:szCs w:val="22"/>
          <w:color w:val="auto"/>
        </w:rPr>
      </w:pPr>
      <w:r>
        <w:rPr>
          <w:rFonts w:ascii="Arial" w:cs="Arial" w:eastAsia="Arial" w:hAnsi="Arial"/>
          <w:sz w:val="22"/>
          <w:szCs w:val="22"/>
          <w:color w:val="auto"/>
        </w:rPr>
        <w:t>to the Common Members, pro rata in accordance with their respective Percentage Interests.</w:t>
      </w:r>
    </w:p>
    <w:p>
      <w:pPr>
        <w:spacing w:after="0" w:line="98" w:lineRule="exact"/>
        <w:rPr>
          <w:sz w:val="20"/>
          <w:szCs w:val="20"/>
          <w:color w:val="auto"/>
        </w:rPr>
      </w:pPr>
    </w:p>
    <w:p>
      <w:pPr>
        <w:jc w:val="both"/>
        <w:ind w:firstLine="396"/>
        <w:spacing w:after="0" w:line="326" w:lineRule="auto"/>
        <w:rPr>
          <w:sz w:val="20"/>
          <w:szCs w:val="20"/>
          <w:color w:val="auto"/>
        </w:rPr>
      </w:pPr>
      <w:r>
        <w:rPr>
          <w:rFonts w:ascii="Arial" w:cs="Arial" w:eastAsia="Arial" w:hAnsi="Arial"/>
          <w:sz w:val="19"/>
          <w:szCs w:val="19"/>
          <w:color w:val="auto"/>
        </w:rPr>
        <w:t xml:space="preserve">Section 10.04. </w:t>
      </w:r>
      <w:r>
        <w:rPr>
          <w:rFonts w:ascii="Arial" w:cs="Arial" w:eastAsia="Arial" w:hAnsi="Arial"/>
          <w:sz w:val="19"/>
          <w:szCs w:val="19"/>
          <w:u w:val="single" w:color="auto"/>
          <w:color w:val="auto"/>
        </w:rPr>
        <w:t>Accounting on Liquidation</w:t>
      </w:r>
      <w:r>
        <w:rPr>
          <w:rFonts w:ascii="Arial" w:cs="Arial" w:eastAsia="Arial" w:hAnsi="Arial"/>
          <w:sz w:val="19"/>
          <w:szCs w:val="19"/>
          <w:color w:val="auto"/>
        </w:rPr>
        <w:t>. Upon liquidation, a proper accounting shall be made by the Company’s accountants of the Company’s assets, liabilities and results of operations through the last day of the month in which the Company is terminated.</w:t>
      </w:r>
    </w:p>
    <w:p>
      <w:pPr>
        <w:spacing w:after="0" w:line="1" w:lineRule="exact"/>
        <w:rPr>
          <w:sz w:val="20"/>
          <w:szCs w:val="20"/>
          <w:color w:val="auto"/>
        </w:rPr>
      </w:pPr>
    </w:p>
    <w:p>
      <w:pPr>
        <w:ind w:firstLine="396"/>
        <w:spacing w:after="0" w:line="287" w:lineRule="auto"/>
        <w:rPr>
          <w:sz w:val="20"/>
          <w:szCs w:val="20"/>
          <w:color w:val="auto"/>
        </w:rPr>
      </w:pPr>
      <w:r>
        <w:rPr>
          <w:rFonts w:ascii="Arial" w:cs="Arial" w:eastAsia="Arial" w:hAnsi="Arial"/>
          <w:sz w:val="19"/>
          <w:szCs w:val="19"/>
          <w:color w:val="auto"/>
        </w:rPr>
        <w:t xml:space="preserve">Section 10.05. </w:t>
      </w:r>
      <w:r>
        <w:rPr>
          <w:rFonts w:ascii="Arial" w:cs="Arial" w:eastAsia="Arial" w:hAnsi="Arial"/>
          <w:sz w:val="19"/>
          <w:szCs w:val="19"/>
          <w:u w:val="single" w:color="auto"/>
          <w:color w:val="auto"/>
        </w:rPr>
        <w:t>Return of Members’ Capital Contribution.</w:t>
      </w:r>
      <w:r>
        <w:rPr>
          <w:rFonts w:ascii="Arial" w:cs="Arial" w:eastAsia="Arial" w:hAnsi="Arial"/>
          <w:sz w:val="19"/>
          <w:szCs w:val="19"/>
          <w:color w:val="auto"/>
        </w:rPr>
        <w:t xml:space="preserve"> A Member shall look solely to the Company’s assets for the return of such Member’s Capital Contribution. If the assets remaining after payment or discharge of all debts and liabilities of the Company are insufficient to return such Member’s Capital Contribution, the Member shall have no recourse against any other Member, except to the extent of any required Capital Contribution of any other Member which has not been paid when due.</w:t>
      </w:r>
    </w:p>
    <w:p>
      <w:pPr>
        <w:spacing w:after="0" w:line="35" w:lineRule="exact"/>
        <w:rPr>
          <w:sz w:val="20"/>
          <w:szCs w:val="20"/>
          <w:color w:val="auto"/>
        </w:rPr>
      </w:pPr>
    </w:p>
    <w:p>
      <w:pPr>
        <w:ind w:right="100" w:firstLine="396"/>
        <w:spacing w:after="0" w:line="251" w:lineRule="auto"/>
        <w:rPr>
          <w:sz w:val="20"/>
          <w:szCs w:val="20"/>
          <w:color w:val="auto"/>
        </w:rPr>
      </w:pPr>
      <w:r>
        <w:rPr>
          <w:rFonts w:ascii="Arial" w:cs="Arial" w:eastAsia="Arial" w:hAnsi="Arial"/>
          <w:sz w:val="22"/>
          <w:szCs w:val="22"/>
          <w:color w:val="auto"/>
        </w:rPr>
        <w:t xml:space="preserve">Section 10.06. </w:t>
      </w:r>
      <w:r>
        <w:rPr>
          <w:rFonts w:ascii="Arial" w:cs="Arial" w:eastAsia="Arial" w:hAnsi="Arial"/>
          <w:sz w:val="22"/>
          <w:szCs w:val="22"/>
          <w:u w:val="single" w:color="auto"/>
          <w:color w:val="auto"/>
        </w:rPr>
        <w:t>Termination</w:t>
      </w:r>
      <w:r>
        <w:rPr>
          <w:rFonts w:ascii="Arial" w:cs="Arial" w:eastAsia="Arial" w:hAnsi="Arial"/>
          <w:sz w:val="22"/>
          <w:szCs w:val="22"/>
          <w:color w:val="auto"/>
        </w:rPr>
        <w:t>. (a) At such time (the “</w:t>
      </w:r>
      <w:r>
        <w:rPr>
          <w:rFonts w:ascii="Arial" w:cs="Arial" w:eastAsia="Arial" w:hAnsi="Arial"/>
          <w:sz w:val="22"/>
          <w:szCs w:val="22"/>
          <w:u w:val="single" w:color="auto"/>
          <w:color w:val="auto"/>
        </w:rPr>
        <w:t>Termination Date</w:t>
      </w:r>
      <w:r>
        <w:rPr>
          <w:rFonts w:ascii="Arial" w:cs="Arial" w:eastAsia="Arial" w:hAnsi="Arial"/>
          <w:sz w:val="22"/>
          <w:szCs w:val="22"/>
          <w:color w:val="auto"/>
        </w:rPr>
        <w:t xml:space="preserve">”) as all of the Company’s assets have been distributed as provided for in </w:t>
      </w:r>
      <w:r>
        <w:rPr>
          <w:rFonts w:ascii="Arial" w:cs="Arial" w:eastAsia="Arial" w:hAnsi="Arial"/>
          <w:sz w:val="22"/>
          <w:szCs w:val="22"/>
          <w:u w:val="single" w:color="auto"/>
          <w:color w:val="auto"/>
        </w:rPr>
        <w:t>Section 10.03</w:t>
      </w:r>
      <w:r>
        <w:rPr>
          <w:rFonts w:ascii="Arial" w:cs="Arial" w:eastAsia="Arial" w:hAnsi="Arial"/>
          <w:sz w:val="22"/>
          <w:szCs w:val="22"/>
          <w:color w:val="auto"/>
        </w:rPr>
        <w:t>, the Company and this Agreement shall terminate.</w:t>
      </w:r>
    </w:p>
    <w:p>
      <w:pPr>
        <w:spacing w:after="0" w:line="65" w:lineRule="exact"/>
        <w:rPr>
          <w:sz w:val="20"/>
          <w:szCs w:val="20"/>
          <w:color w:val="auto"/>
        </w:rPr>
      </w:pPr>
    </w:p>
    <w:p>
      <w:pPr>
        <w:ind w:right="80" w:firstLine="404"/>
        <w:spacing w:after="0" w:line="273" w:lineRule="auto"/>
        <w:tabs>
          <w:tab w:leader="none" w:pos="702" w:val="left"/>
        </w:tabs>
        <w:numPr>
          <w:ilvl w:val="0"/>
          <w:numId w:val="96"/>
        </w:numPr>
        <w:rPr>
          <w:rFonts w:ascii="Arial" w:cs="Arial" w:eastAsia="Arial" w:hAnsi="Arial"/>
          <w:sz w:val="19"/>
          <w:szCs w:val="19"/>
          <w:color w:val="auto"/>
        </w:rPr>
      </w:pPr>
      <w:r>
        <w:rPr>
          <w:rFonts w:ascii="Arial" w:cs="Arial" w:eastAsia="Arial" w:hAnsi="Arial"/>
          <w:sz w:val="19"/>
          <w:szCs w:val="19"/>
          <w:color w:val="auto"/>
        </w:rPr>
        <w:t xml:space="preserve">Upon the termination of this Agreement, but subject to the Intellectual Property Agreements, no Party shall have any liability or obligation to any other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the termination of this Agreement shall not relieve a Party from liability for any breach of this Agreement on or prior to the Termination Date, and (ii)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Sections 13.04</w:t>
      </w:r>
      <w:r>
        <w:rPr>
          <w:rFonts w:ascii="Arial" w:cs="Arial" w:eastAsia="Arial" w:hAnsi="Arial"/>
          <w:sz w:val="19"/>
          <w:szCs w:val="19"/>
          <w:color w:val="auto"/>
        </w:rPr>
        <w:t xml:space="preserve"> through</w:t>
      </w:r>
    </w:p>
    <w:p>
      <w:pPr>
        <w:spacing w:after="0" w:line="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19"/>
          <w:szCs w:val="19"/>
          <w:u w:val="single" w:color="auto"/>
          <w:color w:val="auto"/>
        </w:rPr>
        <w:t>13.06</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13.08</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Sections 13.10</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13.15</w:t>
      </w:r>
      <w:r>
        <w:rPr>
          <w:rFonts w:ascii="Arial" w:cs="Arial" w:eastAsia="Arial" w:hAnsi="Arial"/>
          <w:sz w:val="19"/>
          <w:szCs w:val="19"/>
          <w:color w:val="auto"/>
        </w:rPr>
        <w:t xml:space="preserve"> shall survive termination of this Agreement in accordance with their terms.</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713" w:right="279" w:bottom="1440" w:gutter="0" w:footer="0" w:header="0"/>
        </w:sectPr>
      </w:pPr>
    </w:p>
    <w:bookmarkStart w:id="154" w:name="page155"/>
    <w:bookmarkEnd w:id="154"/>
    <w:p>
      <w:pPr>
        <w:jc w:val="center"/>
        <w:ind w:right="-19"/>
        <w:spacing w:after="0"/>
        <w:rPr>
          <w:sz w:val="20"/>
          <w:szCs w:val="20"/>
          <w:color w:val="auto"/>
        </w:rPr>
      </w:pPr>
      <w:r>
        <w:rPr>
          <w:rFonts w:ascii="Arial" w:cs="Arial" w:eastAsia="Arial" w:hAnsi="Arial"/>
          <w:sz w:val="22"/>
          <w:szCs w:val="22"/>
          <w:color w:val="auto"/>
        </w:rPr>
        <w:t>ARTICLE XI</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REPRESENTATIONS, WARRANTIES AND COVENANTS</w:t>
      </w:r>
    </w:p>
    <w:p>
      <w:pPr>
        <w:spacing w:after="0" w:line="206" w:lineRule="exact"/>
        <w:rPr>
          <w:sz w:val="20"/>
          <w:szCs w:val="20"/>
          <w:color w:val="auto"/>
        </w:rPr>
      </w:pPr>
    </w:p>
    <w:p>
      <w:pPr>
        <w:ind w:left="400"/>
        <w:spacing w:after="0"/>
        <w:rPr>
          <w:sz w:val="20"/>
          <w:szCs w:val="20"/>
          <w:color w:val="auto"/>
        </w:rPr>
      </w:pPr>
      <w:r>
        <w:rPr>
          <w:rFonts w:ascii="Arial" w:cs="Arial" w:eastAsia="Arial" w:hAnsi="Arial"/>
          <w:sz w:val="19"/>
          <w:szCs w:val="19"/>
          <w:color w:val="auto"/>
        </w:rPr>
        <w:t xml:space="preserve">Section 11.01. </w:t>
      </w:r>
      <w:r>
        <w:rPr>
          <w:rFonts w:ascii="Arial" w:cs="Arial" w:eastAsia="Arial" w:hAnsi="Arial"/>
          <w:sz w:val="19"/>
          <w:szCs w:val="19"/>
          <w:u w:val="single" w:color="auto"/>
          <w:color w:val="auto"/>
        </w:rPr>
        <w:t>Representations and Warranties of the Members</w:t>
      </w:r>
      <w:r>
        <w:rPr>
          <w:rFonts w:ascii="Arial" w:cs="Arial" w:eastAsia="Arial" w:hAnsi="Arial"/>
          <w:sz w:val="19"/>
          <w:szCs w:val="19"/>
          <w:color w:val="auto"/>
        </w:rPr>
        <w:t>. Each Member hereby represents and warrants to each other</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Member and to the Company that on the Agreement Date:</w:t>
      </w:r>
    </w:p>
    <w:p>
      <w:pPr>
        <w:spacing w:after="0" w:line="80" w:lineRule="exact"/>
        <w:rPr>
          <w:sz w:val="20"/>
          <w:szCs w:val="20"/>
          <w:color w:val="auto"/>
        </w:rPr>
      </w:pPr>
    </w:p>
    <w:p>
      <w:pPr>
        <w:ind w:left="700" w:hanging="296"/>
        <w:spacing w:after="0"/>
        <w:tabs>
          <w:tab w:leader="none" w:pos="700" w:val="left"/>
        </w:tabs>
        <w:numPr>
          <w:ilvl w:val="1"/>
          <w:numId w:val="97"/>
        </w:numPr>
        <w:rPr>
          <w:rFonts w:ascii="Arial" w:cs="Arial" w:eastAsia="Arial" w:hAnsi="Arial"/>
          <w:sz w:val="21"/>
          <w:szCs w:val="21"/>
          <w:color w:val="auto"/>
        </w:rPr>
      </w:pPr>
      <w:r>
        <w:rPr>
          <w:rFonts w:ascii="Arial" w:cs="Arial" w:eastAsia="Arial" w:hAnsi="Arial"/>
          <w:sz w:val="21"/>
          <w:szCs w:val="21"/>
          <w:color w:val="auto"/>
        </w:rPr>
        <w:t>Such Member (i) has the necessary power and authority to enter into this Agreement and to carry out its obligations</w:t>
      </w:r>
    </w:p>
    <w:p>
      <w:pPr>
        <w:spacing w:after="0" w:line="19" w:lineRule="exact"/>
        <w:rPr>
          <w:rFonts w:ascii="Arial" w:cs="Arial" w:eastAsia="Arial" w:hAnsi="Arial"/>
          <w:sz w:val="21"/>
          <w:szCs w:val="21"/>
          <w:color w:val="auto"/>
        </w:rPr>
      </w:pPr>
    </w:p>
    <w:p>
      <w:pPr>
        <w:ind w:right="60"/>
        <w:spacing w:after="0" w:line="243" w:lineRule="auto"/>
        <w:rPr>
          <w:rFonts w:ascii="Arial" w:cs="Arial" w:eastAsia="Arial" w:hAnsi="Arial"/>
          <w:sz w:val="21"/>
          <w:szCs w:val="21"/>
          <w:color w:val="auto"/>
        </w:rPr>
      </w:pPr>
      <w:r>
        <w:rPr>
          <w:rFonts w:ascii="Arial" w:cs="Arial" w:eastAsia="Arial" w:hAnsi="Arial"/>
          <w:sz w:val="21"/>
          <w:szCs w:val="21"/>
          <w:color w:val="auto"/>
        </w:rPr>
        <w:t>hereunder and (ii) is duly organized and validly existing under the Laws of its jurisdiction of organization, and the execution of this Agreement, and the consummation of the transactions contemplated herein, have been authorized by all necessary corporate or other action, and no other act or proceeding, corporate or otherwise, on its part is necessary to authorize the execution of this Agreement or the consummation of any of the transactions contemplated hereby. This Agreement has been duly executed by such Member and constitutes its legal, valid and binding obligation, enforceable against it in accordance with its terms, subject to the effects of bankruptcy, insolvency, fraudulent conveyance, reorganization, moratorium and other similar Laws relating to or affecting creditors’ rights generally, general equitable principles (whether considered in a proceeding in equity or at law) and any implied covenant of good faith and fair dealing.</w:t>
      </w:r>
    </w:p>
    <w:p>
      <w:pPr>
        <w:spacing w:after="0" w:line="78" w:lineRule="exact"/>
        <w:rPr>
          <w:rFonts w:ascii="Arial" w:cs="Arial" w:eastAsia="Arial" w:hAnsi="Arial"/>
          <w:sz w:val="21"/>
          <w:szCs w:val="21"/>
          <w:color w:val="auto"/>
        </w:rPr>
      </w:pPr>
    </w:p>
    <w:p>
      <w:pPr>
        <w:ind w:firstLine="404"/>
        <w:spacing w:after="0" w:line="234" w:lineRule="auto"/>
        <w:tabs>
          <w:tab w:leader="none" w:pos="702" w:val="left"/>
        </w:tabs>
        <w:numPr>
          <w:ilvl w:val="1"/>
          <w:numId w:val="97"/>
        </w:numPr>
        <w:rPr>
          <w:rFonts w:ascii="Arial" w:cs="Arial" w:eastAsia="Arial" w:hAnsi="Arial"/>
          <w:sz w:val="22"/>
          <w:szCs w:val="22"/>
          <w:color w:val="auto"/>
        </w:rPr>
      </w:pPr>
      <w:r>
        <w:rPr>
          <w:rFonts w:ascii="Arial" w:cs="Arial" w:eastAsia="Arial" w:hAnsi="Arial"/>
          <w:sz w:val="22"/>
          <w:szCs w:val="22"/>
          <w:color w:val="auto"/>
        </w:rPr>
        <w:t>The execution and delivery by such Member of this Agreement and the performance of its obligations hereunder do not and will not conflict with, or result in the breach of any provision of the constitutive documents of such Member. The execution and delivery by such Member of this Agreement and the performance of its obligations hereunder do not and will not (i) result in any violation, breach, conflict, default or event of default (or an event which with notice, lapse of time, or both, would constitute a default or event of default), or give rise to any right of acceleration or termination or any additional payment obligation, under the terms of any material contract, agreement or permit to which such Member is a party or by which such Member’s assets or operations are bound or affected or (ii) violate, in any material respect, any Law applicable to such Member, the Company or any of its Subsidiaries.</w:t>
      </w:r>
    </w:p>
    <w:p>
      <w:pPr>
        <w:spacing w:after="0" w:line="79" w:lineRule="exact"/>
        <w:rPr>
          <w:rFonts w:ascii="Arial" w:cs="Arial" w:eastAsia="Arial" w:hAnsi="Arial"/>
          <w:sz w:val="22"/>
          <w:szCs w:val="22"/>
          <w:color w:val="auto"/>
        </w:rPr>
      </w:pPr>
    </w:p>
    <w:p>
      <w:pPr>
        <w:ind w:right="20" w:firstLine="404"/>
        <w:spacing w:after="0" w:line="276" w:lineRule="auto"/>
        <w:tabs>
          <w:tab w:leader="none" w:pos="690" w:val="left"/>
        </w:tabs>
        <w:numPr>
          <w:ilvl w:val="1"/>
          <w:numId w:val="97"/>
        </w:numPr>
        <w:rPr>
          <w:rFonts w:ascii="Arial" w:cs="Arial" w:eastAsia="Arial" w:hAnsi="Arial"/>
          <w:sz w:val="19"/>
          <w:szCs w:val="19"/>
          <w:color w:val="auto"/>
        </w:rPr>
      </w:pPr>
      <w:r>
        <w:rPr>
          <w:rFonts w:ascii="Arial" w:cs="Arial" w:eastAsia="Arial" w:hAnsi="Arial"/>
          <w:sz w:val="19"/>
          <w:szCs w:val="19"/>
          <w:color w:val="auto"/>
        </w:rPr>
        <w:t>To the knowledge of such Member, other than any consents that have already been obtained, no consent, waiver, approval, authorization, exemption, registration, license or declaration is required to be made or obtained by such Member in connection with</w:t>
      </w:r>
    </w:p>
    <w:p>
      <w:pPr>
        <w:spacing w:after="0" w:line="1" w:lineRule="exact"/>
        <w:rPr>
          <w:rFonts w:ascii="Arial" w:cs="Arial" w:eastAsia="Arial" w:hAnsi="Arial"/>
          <w:sz w:val="19"/>
          <w:szCs w:val="19"/>
          <w:color w:val="auto"/>
        </w:rPr>
      </w:pPr>
    </w:p>
    <w:p>
      <w:pPr>
        <w:ind w:right="160" w:firstLine="8"/>
        <w:spacing w:after="0" w:line="234" w:lineRule="auto"/>
        <w:tabs>
          <w:tab w:leader="none" w:pos="258" w:val="left"/>
        </w:tabs>
        <w:numPr>
          <w:ilvl w:val="0"/>
          <w:numId w:val="98"/>
        </w:numPr>
        <w:rPr>
          <w:rFonts w:ascii="Arial" w:cs="Arial" w:eastAsia="Arial" w:hAnsi="Arial"/>
          <w:sz w:val="22"/>
          <w:szCs w:val="22"/>
          <w:color w:val="auto"/>
        </w:rPr>
      </w:pPr>
      <w:r>
        <w:rPr>
          <w:rFonts w:ascii="Arial" w:cs="Arial" w:eastAsia="Arial" w:hAnsi="Arial"/>
          <w:sz w:val="22"/>
          <w:szCs w:val="22"/>
          <w:color w:val="auto"/>
        </w:rPr>
        <w:t>the execution, delivery or performance of this Agreement or (ii) the consummation of any of the transactions currently contemplated herein, excluding, for the avoidance of doubt, any transactions contemplated herein solely as a result of one or more amendments to this Agreement following the Agreement Date.</w:t>
      </w:r>
    </w:p>
    <w:p>
      <w:pPr>
        <w:spacing w:after="0" w:line="79" w:lineRule="exact"/>
        <w:rPr>
          <w:rFonts w:ascii="Arial" w:cs="Arial" w:eastAsia="Arial" w:hAnsi="Arial"/>
          <w:sz w:val="22"/>
          <w:szCs w:val="22"/>
          <w:color w:val="auto"/>
        </w:rPr>
      </w:pPr>
    </w:p>
    <w:p>
      <w:pPr>
        <w:ind w:firstLine="404"/>
        <w:spacing w:after="0" w:line="279" w:lineRule="auto"/>
        <w:tabs>
          <w:tab w:leader="none" w:pos="702" w:val="left"/>
        </w:tabs>
        <w:numPr>
          <w:ilvl w:val="1"/>
          <w:numId w:val="98"/>
        </w:numPr>
        <w:rPr>
          <w:rFonts w:ascii="Arial" w:cs="Arial" w:eastAsia="Arial" w:hAnsi="Arial"/>
          <w:sz w:val="19"/>
          <w:szCs w:val="19"/>
          <w:color w:val="auto"/>
        </w:rPr>
      </w:pPr>
      <w:r>
        <w:rPr>
          <w:rFonts w:ascii="Arial" w:cs="Arial" w:eastAsia="Arial" w:hAnsi="Arial"/>
          <w:sz w:val="19"/>
          <w:szCs w:val="19"/>
          <w:color w:val="auto"/>
        </w:rPr>
        <w:t>(i) Such Member’s interest in the Company is intended to be and is being acquired solely for such Member’s own account for the purpose of investment and not with a view to any sale or other disposition of all or any part thereof, (ii) such Member’s knowledge and experience in financial and business matters are such that the Member is capable of evaluating the risks of making a Capital Contribution, and (iii) such Member’s determination to purchase the Membership Units and make Capital Contributions has been, and in each case will be, made by such Member independent of and without reliance upon any other Member or Person other than such Member’s legal counsel and financial, accounting, regulatory and Tax advisors, if any,</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155" w:name="page156"/>
    <w:bookmarkEnd w:id="155"/>
    <w:p>
      <w:pPr>
        <w:ind w:right="340"/>
        <w:spacing w:after="0"/>
        <w:rPr>
          <w:sz w:val="20"/>
          <w:szCs w:val="20"/>
          <w:color w:val="auto"/>
        </w:rPr>
      </w:pPr>
      <w:r>
        <w:rPr>
          <w:rFonts w:ascii="Arial" w:cs="Arial" w:eastAsia="Arial" w:hAnsi="Arial"/>
          <w:sz w:val="22"/>
          <w:szCs w:val="22"/>
          <w:color w:val="auto"/>
        </w:rPr>
        <w:t>and independent of any statements or opinions as to the advisability of such purchase or Capital Contribution or as to the properties, business, prospects or condition (financial or otherwise) of any Person in which the Company may invest which may have been made or given by any such other Person.</w:t>
      </w:r>
    </w:p>
    <w:p>
      <w:pPr>
        <w:spacing w:after="0" w:line="186" w:lineRule="exact"/>
        <w:rPr>
          <w:sz w:val="20"/>
          <w:szCs w:val="20"/>
          <w:color w:val="auto"/>
        </w:rPr>
      </w:pPr>
    </w:p>
    <w:p>
      <w:pPr>
        <w:ind w:firstLine="404"/>
        <w:spacing w:after="0" w:line="272" w:lineRule="auto"/>
        <w:tabs>
          <w:tab w:leader="none" w:pos="690" w:val="left"/>
        </w:tabs>
        <w:numPr>
          <w:ilvl w:val="0"/>
          <w:numId w:val="99"/>
        </w:numPr>
        <w:rPr>
          <w:rFonts w:ascii="Arial" w:cs="Arial" w:eastAsia="Arial" w:hAnsi="Arial"/>
          <w:sz w:val="19"/>
          <w:szCs w:val="19"/>
          <w:color w:val="auto"/>
        </w:rPr>
      </w:pPr>
      <w:r>
        <w:rPr>
          <w:rFonts w:ascii="Arial" w:cs="Arial" w:eastAsia="Arial" w:hAnsi="Arial"/>
          <w:sz w:val="19"/>
          <w:szCs w:val="19"/>
          <w:color w:val="auto"/>
        </w:rPr>
        <w:t>(i) The Member understands that the offering and sale of the Membership Units are intended to be exempt from registration under the Securities Act and applicable U.S. state securities Laws (A) in the case of “U.S. persons” (as defined in Rule 902(k) of Regulation S of the Securities Act), in reliance on the private placement exemption from registration provided in Section 4(2) of the Securities Act and Regulation D promulgated thereunder and exemptions under applicable U.S. state securities Laws (including Rule 506 of Regulation D of the Securities Act), and (B) in the case of persons that are not U.S. persons (each, a “</w:t>
      </w:r>
      <w:r>
        <w:rPr>
          <w:rFonts w:ascii="Arial" w:cs="Arial" w:eastAsia="Arial" w:hAnsi="Arial"/>
          <w:sz w:val="19"/>
          <w:szCs w:val="19"/>
          <w:u w:val="single" w:color="auto"/>
          <w:color w:val="auto"/>
        </w:rPr>
        <w:t>Non-U.S.</w:t>
      </w:r>
      <w:r>
        <w:rPr>
          <w:rFonts w:ascii="Arial" w:cs="Arial" w:eastAsia="Arial" w:hAnsi="Arial"/>
          <w:sz w:val="19"/>
          <w:szCs w:val="19"/>
          <w:color w:val="auto"/>
        </w:rPr>
        <w:t xml:space="preserve"> </w:t>
      </w:r>
      <w:r>
        <w:rPr>
          <w:rFonts w:ascii="Arial" w:cs="Arial" w:eastAsia="Arial" w:hAnsi="Arial"/>
          <w:sz w:val="19"/>
          <w:szCs w:val="19"/>
          <w:u w:val="single" w:color="auto"/>
          <w:color w:val="auto"/>
        </w:rPr>
        <w:t>Person</w:t>
      </w:r>
      <w:r>
        <w:rPr>
          <w:rFonts w:ascii="Arial" w:cs="Arial" w:eastAsia="Arial" w:hAnsi="Arial"/>
          <w:sz w:val="19"/>
          <w:szCs w:val="19"/>
          <w:color w:val="auto"/>
        </w:rPr>
        <w:t>”), in reliance on Regulation S promulgated under the Securities Act and exemptions under the applicable Laws of the non-U.S. jurisdiction in which the Membership Units are being offered and sold. The Member is aware that the Membership Units cannot be sold or otherwise disposed of unless they are registered under the Securities Act and applicable U.S. state securities Laws or unless an exemption from such registration is available, and that the Company has no present intention of so registering such interests under the Securities Act, and that accordingly such Member is able and is prepared to bear the economic risk of making a Capital Contribution and to suffer a complete loss of investment. The Member further agrees that it shall not engage in any Transfer of the Membership Units it acquires in any manner that would require the registration of the Membership Units under the Securities Act or under the Laws of any non-U.S. jurisdictions.</w:t>
      </w:r>
    </w:p>
    <w:p>
      <w:pPr>
        <w:spacing w:after="0" w:line="49" w:lineRule="exact"/>
        <w:rPr>
          <w:rFonts w:ascii="Arial" w:cs="Arial" w:eastAsia="Arial" w:hAnsi="Arial"/>
          <w:sz w:val="19"/>
          <w:szCs w:val="19"/>
          <w:color w:val="auto"/>
        </w:rPr>
      </w:pPr>
    </w:p>
    <w:p>
      <w:pPr>
        <w:ind w:left="400" w:right="360" w:firstLine="400"/>
        <w:spacing w:after="0" w:line="326" w:lineRule="auto"/>
        <w:tabs>
          <w:tab w:leader="none" w:pos="1114" w:val="left"/>
        </w:tabs>
        <w:numPr>
          <w:ilvl w:val="1"/>
          <w:numId w:val="99"/>
        </w:numPr>
        <w:rPr>
          <w:rFonts w:ascii="Arial" w:cs="Arial" w:eastAsia="Arial" w:hAnsi="Arial"/>
          <w:sz w:val="19"/>
          <w:szCs w:val="19"/>
          <w:color w:val="auto"/>
        </w:rPr>
      </w:pPr>
      <w:r>
        <w:rPr>
          <w:rFonts w:ascii="Arial" w:cs="Arial" w:eastAsia="Arial" w:hAnsi="Arial"/>
          <w:sz w:val="19"/>
          <w:szCs w:val="19"/>
          <w:color w:val="auto"/>
        </w:rPr>
        <w:t>Either the Member or each beneficial owner of such Member is (A) an “accredited investor” within the meaning of Regulation D of the Securities Act; or (B) if the Member is not an accredited investor, the Member is a Non-U.S. Person.</w:t>
      </w:r>
    </w:p>
    <w:p>
      <w:pPr>
        <w:ind w:left="400" w:right="120" w:firstLine="400"/>
        <w:spacing w:after="0" w:line="251" w:lineRule="auto"/>
        <w:tabs>
          <w:tab w:leader="none" w:pos="1174" w:val="left"/>
        </w:tabs>
        <w:numPr>
          <w:ilvl w:val="1"/>
          <w:numId w:val="99"/>
        </w:numPr>
        <w:rPr>
          <w:rFonts w:ascii="Arial" w:cs="Arial" w:eastAsia="Arial" w:hAnsi="Arial"/>
          <w:sz w:val="22"/>
          <w:szCs w:val="22"/>
          <w:color w:val="auto"/>
        </w:rPr>
      </w:pPr>
      <w:r>
        <w:rPr>
          <w:rFonts w:ascii="Arial" w:cs="Arial" w:eastAsia="Arial" w:hAnsi="Arial"/>
          <w:sz w:val="22"/>
          <w:szCs w:val="22"/>
          <w:color w:val="auto"/>
        </w:rPr>
        <w:t>If the Member is a Non-U.S. Person, the Member has not been solicited to purchase and has not and shall not acquire its Membership Units, directly or indirectly, while present in the United States.</w:t>
      </w:r>
    </w:p>
    <w:p>
      <w:pPr>
        <w:spacing w:after="0" w:line="65" w:lineRule="exact"/>
        <w:rPr>
          <w:rFonts w:ascii="Arial" w:cs="Arial" w:eastAsia="Arial" w:hAnsi="Arial"/>
          <w:sz w:val="22"/>
          <w:szCs w:val="22"/>
          <w:color w:val="auto"/>
        </w:rPr>
      </w:pPr>
    </w:p>
    <w:p>
      <w:pPr>
        <w:ind w:left="1160" w:hanging="360"/>
        <w:spacing w:after="0"/>
        <w:tabs>
          <w:tab w:leader="none" w:pos="1160" w:val="left"/>
        </w:tabs>
        <w:numPr>
          <w:ilvl w:val="1"/>
          <w:numId w:val="99"/>
        </w:numPr>
        <w:rPr>
          <w:rFonts w:ascii="Arial" w:cs="Arial" w:eastAsia="Arial" w:hAnsi="Arial"/>
          <w:sz w:val="19"/>
          <w:szCs w:val="19"/>
          <w:color w:val="auto"/>
        </w:rPr>
      </w:pPr>
      <w:r>
        <w:rPr>
          <w:rFonts w:ascii="Arial" w:cs="Arial" w:eastAsia="Arial" w:hAnsi="Arial"/>
          <w:sz w:val="19"/>
          <w:szCs w:val="19"/>
          <w:color w:val="auto"/>
        </w:rPr>
        <w:t>If the Member is a Non-U.S. Person, the Member shall notify the Board promptly after it ceases to be a Non-U.S.</w:t>
      </w:r>
    </w:p>
    <w:p>
      <w:pPr>
        <w:spacing w:after="0" w:line="42" w:lineRule="exact"/>
        <w:rPr>
          <w:rFonts w:ascii="Arial" w:cs="Arial" w:eastAsia="Arial" w:hAnsi="Arial"/>
          <w:sz w:val="19"/>
          <w:szCs w:val="19"/>
          <w:color w:val="auto"/>
        </w:rPr>
      </w:pPr>
    </w:p>
    <w:p>
      <w:pPr>
        <w:ind w:left="400"/>
        <w:spacing w:after="0"/>
        <w:rPr>
          <w:rFonts w:ascii="Arial" w:cs="Arial" w:eastAsia="Arial" w:hAnsi="Arial"/>
          <w:sz w:val="19"/>
          <w:szCs w:val="19"/>
          <w:color w:val="auto"/>
        </w:rPr>
      </w:pPr>
      <w:r>
        <w:rPr>
          <w:rFonts w:ascii="Arial" w:cs="Arial" w:eastAsia="Arial" w:hAnsi="Arial"/>
          <w:sz w:val="22"/>
          <w:szCs w:val="22"/>
          <w:color w:val="auto"/>
        </w:rPr>
        <w:t>Person.</w:t>
      </w:r>
    </w:p>
    <w:p>
      <w:pPr>
        <w:spacing w:after="0" w:line="80" w:lineRule="exact"/>
        <w:rPr>
          <w:rFonts w:ascii="Arial" w:cs="Arial" w:eastAsia="Arial" w:hAnsi="Arial"/>
          <w:sz w:val="19"/>
          <w:szCs w:val="19"/>
          <w:color w:val="auto"/>
        </w:rPr>
      </w:pPr>
    </w:p>
    <w:p>
      <w:pPr>
        <w:ind w:right="80" w:firstLine="404"/>
        <w:spacing w:after="0" w:line="235" w:lineRule="auto"/>
        <w:tabs>
          <w:tab w:leader="none" w:pos="666" w:val="left"/>
        </w:tabs>
        <w:numPr>
          <w:ilvl w:val="0"/>
          <w:numId w:val="99"/>
        </w:numPr>
        <w:rPr>
          <w:rFonts w:ascii="Arial" w:cs="Arial" w:eastAsia="Arial" w:hAnsi="Arial"/>
          <w:sz w:val="22"/>
          <w:szCs w:val="22"/>
          <w:color w:val="auto"/>
        </w:rPr>
      </w:pPr>
      <w:r>
        <w:rPr>
          <w:rFonts w:ascii="Arial" w:cs="Arial" w:eastAsia="Arial" w:hAnsi="Arial"/>
          <w:sz w:val="22"/>
          <w:szCs w:val="22"/>
          <w:color w:val="auto"/>
        </w:rPr>
        <w:t>The Member (i) directly or indirectly, is acquiring the Membership Units in compliance with all applicable Laws and other legal requirements including the legal requirements of jurisdictions in which the Member is resident and in which such acquisition is being consummated, (ii) has such knowledge and experience in financial and business matters that it is capable of evaluating the merits and risks of its investment in the Membership Units; and (iii) has consulted with legal counsel and financial, accounting, regulatory and Tax advisors, as necessary, to ensure it is eligible to, directly or indirectly, acquire all or any part of the Membership Units.</w:t>
      </w:r>
    </w:p>
    <w:p>
      <w:pPr>
        <w:spacing w:after="0" w:line="80" w:lineRule="exact"/>
        <w:rPr>
          <w:rFonts w:ascii="Arial" w:cs="Arial" w:eastAsia="Arial" w:hAnsi="Arial"/>
          <w:sz w:val="22"/>
          <w:szCs w:val="22"/>
          <w:color w:val="auto"/>
        </w:rPr>
      </w:pPr>
    </w:p>
    <w:p>
      <w:pPr>
        <w:ind w:right="40" w:firstLine="404"/>
        <w:spacing w:after="0" w:line="251" w:lineRule="auto"/>
        <w:tabs>
          <w:tab w:leader="none" w:pos="702" w:val="left"/>
        </w:tabs>
        <w:numPr>
          <w:ilvl w:val="0"/>
          <w:numId w:val="99"/>
        </w:numPr>
        <w:rPr>
          <w:rFonts w:ascii="Arial" w:cs="Arial" w:eastAsia="Arial" w:hAnsi="Arial"/>
          <w:sz w:val="22"/>
          <w:szCs w:val="22"/>
          <w:color w:val="auto"/>
        </w:rPr>
      </w:pPr>
      <w:r>
        <w:rPr>
          <w:rFonts w:ascii="Arial" w:cs="Arial" w:eastAsia="Arial" w:hAnsi="Arial"/>
          <w:sz w:val="22"/>
          <w:szCs w:val="22"/>
          <w:color w:val="auto"/>
        </w:rPr>
        <w:t>The Member has no need for liquidity in this investment, has the ability to bear the economic risk of this investment, and at the present time and in the foreseeable future can afford a complete loss of this investment.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156" w:name="page157"/>
    <w:bookmarkEnd w:id="156"/>
    <w:p>
      <w:pPr>
        <w:jc w:val="both"/>
        <w:ind w:right="780" w:firstLine="404"/>
        <w:spacing w:after="0" w:line="258" w:lineRule="auto"/>
        <w:tabs>
          <w:tab w:leader="none" w:pos="702" w:val="left"/>
        </w:tabs>
        <w:numPr>
          <w:ilvl w:val="0"/>
          <w:numId w:val="100"/>
        </w:numPr>
        <w:rPr>
          <w:rFonts w:ascii="Arial" w:cs="Arial" w:eastAsia="Arial" w:hAnsi="Arial"/>
          <w:sz w:val="21"/>
          <w:szCs w:val="21"/>
          <w:color w:val="auto"/>
        </w:rPr>
      </w:pPr>
      <w:r>
        <w:rPr>
          <w:rFonts w:ascii="Arial" w:cs="Arial" w:eastAsia="Arial" w:hAnsi="Arial"/>
          <w:sz w:val="21"/>
          <w:szCs w:val="21"/>
          <w:color w:val="auto"/>
        </w:rPr>
        <w:t>The Member agrees to deliver to the Company such information as to certain matters under the Securities Act, the Exchange Act, the Investment Company Act and any Tax Laws as the Company may reasonably request in order to ensure compliance with such acts and Laws and the availability of any exemptions thereunder.</w:t>
      </w:r>
    </w:p>
    <w:p>
      <w:pPr>
        <w:spacing w:after="0" w:line="58" w:lineRule="exact"/>
        <w:rPr>
          <w:rFonts w:ascii="Arial" w:cs="Arial" w:eastAsia="Arial" w:hAnsi="Arial"/>
          <w:sz w:val="21"/>
          <w:szCs w:val="21"/>
          <w:color w:val="auto"/>
        </w:rPr>
      </w:pPr>
    </w:p>
    <w:p>
      <w:pPr>
        <w:ind w:right="20" w:firstLine="404"/>
        <w:spacing w:after="0" w:line="238" w:lineRule="auto"/>
        <w:tabs>
          <w:tab w:leader="none" w:pos="654" w:val="left"/>
        </w:tabs>
        <w:numPr>
          <w:ilvl w:val="0"/>
          <w:numId w:val="100"/>
        </w:numPr>
        <w:rPr>
          <w:rFonts w:ascii="Arial" w:cs="Arial" w:eastAsia="Arial" w:hAnsi="Arial"/>
          <w:sz w:val="22"/>
          <w:szCs w:val="22"/>
          <w:color w:val="auto"/>
        </w:rPr>
      </w:pPr>
      <w:r>
        <w:rPr>
          <w:rFonts w:ascii="Arial" w:cs="Arial" w:eastAsia="Arial" w:hAnsi="Arial"/>
          <w:sz w:val="22"/>
          <w:szCs w:val="22"/>
          <w:color w:val="auto"/>
        </w:rPr>
        <w:t>The Member has been given the opportunity to ask questions of, and receive answers from, the Company concerning the terms and conditions of, and other matters pertaining to, this investment, and has had access to such financial and other information concerning the Company as it has considered necessary to make a decision to invest in the Company and has availed itself of this opportunity to the full extent desired.</w:t>
      </w:r>
    </w:p>
    <w:p>
      <w:pPr>
        <w:spacing w:after="0" w:line="76" w:lineRule="exact"/>
        <w:rPr>
          <w:rFonts w:ascii="Arial" w:cs="Arial" w:eastAsia="Arial" w:hAnsi="Arial"/>
          <w:sz w:val="22"/>
          <w:szCs w:val="22"/>
          <w:color w:val="auto"/>
        </w:rPr>
      </w:pPr>
    </w:p>
    <w:p>
      <w:pPr>
        <w:ind w:right="560" w:firstLine="404"/>
        <w:spacing w:after="0"/>
        <w:tabs>
          <w:tab w:leader="none" w:pos="654" w:val="left"/>
        </w:tabs>
        <w:numPr>
          <w:ilvl w:val="0"/>
          <w:numId w:val="100"/>
        </w:numPr>
        <w:rPr>
          <w:rFonts w:ascii="Arial" w:cs="Arial" w:eastAsia="Arial" w:hAnsi="Arial"/>
          <w:sz w:val="22"/>
          <w:szCs w:val="22"/>
          <w:color w:val="auto"/>
        </w:rPr>
      </w:pPr>
      <w:r>
        <w:rPr>
          <w:rFonts w:ascii="Arial" w:cs="Arial" w:eastAsia="Arial" w:hAnsi="Arial"/>
          <w:sz w:val="22"/>
          <w:szCs w:val="22"/>
          <w:color w:val="auto"/>
        </w:rPr>
        <w:t>The Member acknowledges that neither the Company nor any Affiliate thereof has rendered any investment advice or securities valuation advice to the Member, and that the Member is neither subscribing for nor acquiring any interest in the Company in reliance upon, or with the expectation of, any such advice.</w:t>
      </w:r>
    </w:p>
    <w:p>
      <w:pPr>
        <w:spacing w:after="0" w:line="78" w:lineRule="exact"/>
        <w:rPr>
          <w:rFonts w:ascii="Arial" w:cs="Arial" w:eastAsia="Arial" w:hAnsi="Arial"/>
          <w:sz w:val="22"/>
          <w:szCs w:val="22"/>
          <w:color w:val="auto"/>
        </w:rPr>
      </w:pPr>
    </w:p>
    <w:p>
      <w:pPr>
        <w:jc w:val="both"/>
        <w:ind w:firstLine="404"/>
        <w:spacing w:after="0"/>
        <w:tabs>
          <w:tab w:leader="none" w:pos="702" w:val="left"/>
        </w:tabs>
        <w:numPr>
          <w:ilvl w:val="0"/>
          <w:numId w:val="100"/>
        </w:numPr>
        <w:rPr>
          <w:rFonts w:ascii="Arial" w:cs="Arial" w:eastAsia="Arial" w:hAnsi="Arial"/>
          <w:sz w:val="22"/>
          <w:szCs w:val="22"/>
          <w:color w:val="auto"/>
        </w:rPr>
      </w:pPr>
      <w:r>
        <w:rPr>
          <w:rFonts w:ascii="Arial" w:cs="Arial" w:eastAsia="Arial" w:hAnsi="Arial"/>
          <w:sz w:val="22"/>
          <w:szCs w:val="22"/>
          <w:color w:val="auto"/>
        </w:rPr>
        <w:t>No representations or warranties have been made to the Member with respect to the investment in the Membership Units or the Company other than the representations set forth herein, and the Member has not relied upon any representation or warranty not provided herein in making its investment in the Company.</w:t>
      </w:r>
    </w:p>
    <w:p>
      <w:pPr>
        <w:spacing w:after="0" w:line="78" w:lineRule="exact"/>
        <w:rPr>
          <w:rFonts w:ascii="Arial" w:cs="Arial" w:eastAsia="Arial" w:hAnsi="Arial"/>
          <w:sz w:val="22"/>
          <w:szCs w:val="22"/>
          <w:color w:val="auto"/>
        </w:rPr>
      </w:pPr>
    </w:p>
    <w:p>
      <w:pPr>
        <w:ind w:right="80" w:firstLine="404"/>
        <w:spacing w:after="0" w:line="238" w:lineRule="auto"/>
        <w:tabs>
          <w:tab w:leader="none" w:pos="654" w:val="left"/>
        </w:tabs>
        <w:numPr>
          <w:ilvl w:val="0"/>
          <w:numId w:val="100"/>
        </w:numPr>
        <w:rPr>
          <w:rFonts w:ascii="Arial" w:cs="Arial" w:eastAsia="Arial" w:hAnsi="Arial"/>
          <w:sz w:val="22"/>
          <w:szCs w:val="22"/>
          <w:color w:val="auto"/>
        </w:rPr>
      </w:pPr>
      <w:r>
        <w:rPr>
          <w:rFonts w:ascii="Arial" w:cs="Arial" w:eastAsia="Arial" w:hAnsi="Arial"/>
          <w:sz w:val="22"/>
          <w:szCs w:val="22"/>
          <w:color w:val="auto"/>
        </w:rPr>
        <w:t>None of the funds that the Member is using or will use to fund its Capital Contributions are assets of an employee benefit plan, as defined in Section 3(3) of ERISA, subject to Title I of ERISA, or a plan described in Section 4975(e)(1) of the Code, or an entity whose underlying assets include plan assets subject to Title I of ERISA by reason of a plan’s investment in the entity (any such plan under ERISA or the Code or any such entity.</w:t>
      </w:r>
    </w:p>
    <w:p>
      <w:pPr>
        <w:spacing w:after="0" w:line="76" w:lineRule="exact"/>
        <w:rPr>
          <w:rFonts w:ascii="Arial" w:cs="Arial" w:eastAsia="Arial" w:hAnsi="Arial"/>
          <w:sz w:val="22"/>
          <w:szCs w:val="22"/>
          <w:color w:val="auto"/>
        </w:rPr>
      </w:pPr>
    </w:p>
    <w:p>
      <w:pPr>
        <w:ind w:right="160" w:firstLine="404"/>
        <w:spacing w:after="0" w:line="238" w:lineRule="auto"/>
        <w:tabs>
          <w:tab w:leader="none" w:pos="762" w:val="left"/>
        </w:tabs>
        <w:numPr>
          <w:ilvl w:val="0"/>
          <w:numId w:val="100"/>
        </w:numPr>
        <w:rPr>
          <w:rFonts w:ascii="Arial" w:cs="Arial" w:eastAsia="Arial" w:hAnsi="Arial"/>
          <w:sz w:val="22"/>
          <w:szCs w:val="22"/>
          <w:color w:val="auto"/>
        </w:rPr>
      </w:pPr>
      <w:r>
        <w:rPr>
          <w:rFonts w:ascii="Arial" w:cs="Arial" w:eastAsia="Arial" w:hAnsi="Arial"/>
          <w:sz w:val="22"/>
          <w:szCs w:val="22"/>
          <w:color w:val="auto"/>
        </w:rPr>
        <w:t>The Member understands that the Company intends to be classified and taxed as a partnership for U.S. federal tax purposes and not as a publicly-traded partnership, and accordingly such Member agrees that it will not Transfer any interest in the Company if it would cause the Company to become a “publicly traded partnership” as such term is defined in Section 7704(b) of the Code and the Treasury Regulations thereunder.</w:t>
      </w:r>
    </w:p>
    <w:p>
      <w:pPr>
        <w:spacing w:after="0" w:line="77" w:lineRule="exact"/>
        <w:rPr>
          <w:sz w:val="20"/>
          <w:szCs w:val="20"/>
          <w:color w:val="auto"/>
        </w:rPr>
      </w:pPr>
    </w:p>
    <w:p>
      <w:pPr>
        <w:ind w:right="540" w:firstLine="396"/>
        <w:spacing w:after="0" w:line="251" w:lineRule="auto"/>
        <w:rPr>
          <w:sz w:val="20"/>
          <w:szCs w:val="20"/>
          <w:color w:val="auto"/>
        </w:rPr>
      </w:pPr>
      <w:r>
        <w:rPr>
          <w:rFonts w:ascii="Arial" w:cs="Arial" w:eastAsia="Arial" w:hAnsi="Arial"/>
          <w:sz w:val="22"/>
          <w:szCs w:val="22"/>
          <w:color w:val="auto"/>
        </w:rPr>
        <w:t xml:space="preserve">Section 11.02. </w:t>
      </w:r>
      <w:r>
        <w:rPr>
          <w:rFonts w:ascii="Arial" w:cs="Arial" w:eastAsia="Arial" w:hAnsi="Arial"/>
          <w:sz w:val="22"/>
          <w:szCs w:val="22"/>
          <w:u w:val="single" w:color="auto"/>
          <w:color w:val="auto"/>
        </w:rPr>
        <w:t>Representations and Warranties of the Company</w:t>
      </w:r>
      <w:r>
        <w:rPr>
          <w:rFonts w:ascii="Arial" w:cs="Arial" w:eastAsia="Arial" w:hAnsi="Arial"/>
          <w:sz w:val="22"/>
          <w:szCs w:val="22"/>
          <w:color w:val="auto"/>
        </w:rPr>
        <w:t>. Each of Albany and the Company hereby represents and warrants to Safran that on the Agreement Date:</w:t>
      </w:r>
    </w:p>
    <w:p>
      <w:pPr>
        <w:spacing w:after="0" w:line="65" w:lineRule="exact"/>
        <w:rPr>
          <w:sz w:val="20"/>
          <w:szCs w:val="20"/>
          <w:color w:val="auto"/>
        </w:rPr>
      </w:pPr>
    </w:p>
    <w:p>
      <w:pPr>
        <w:ind w:right="60" w:firstLine="404"/>
        <w:spacing w:after="0" w:line="274" w:lineRule="auto"/>
        <w:tabs>
          <w:tab w:leader="none" w:pos="690" w:val="left"/>
        </w:tabs>
        <w:numPr>
          <w:ilvl w:val="0"/>
          <w:numId w:val="101"/>
        </w:numPr>
        <w:rPr>
          <w:rFonts w:ascii="Arial" w:cs="Arial" w:eastAsia="Arial" w:hAnsi="Arial"/>
          <w:sz w:val="19"/>
          <w:szCs w:val="19"/>
          <w:color w:val="auto"/>
        </w:rPr>
      </w:pPr>
      <w:r>
        <w:rPr>
          <w:rFonts w:ascii="Arial" w:cs="Arial" w:eastAsia="Arial" w:hAnsi="Arial"/>
          <w:sz w:val="19"/>
          <w:szCs w:val="19"/>
          <w:color w:val="auto"/>
        </w:rPr>
        <w:t>The Company is a limited liability company duly organized, validly existing and in good standing under the Laws of the State of Delaware and has all requisite power and authority under its certificate of formation, this Agreement and the Act to own, lease and otherwise hold and operate its properties and other assets, to carry on its business as presently conducted, to enter into and perform its obligations under this Agreement, the Albany Contribution Agreement, the Safran Contribution Agreement, the Albany IPLA, the Safran IPLA, the Services Agreement and any other agreements entered into in connection with the execution of therewith and the agreements contemplated hereby (collectively, the “</w:t>
      </w:r>
      <w:r>
        <w:rPr>
          <w:rFonts w:ascii="Arial" w:cs="Arial" w:eastAsia="Arial" w:hAnsi="Arial"/>
          <w:sz w:val="19"/>
          <w:szCs w:val="19"/>
          <w:u w:val="single" w:color="auto"/>
          <w:color w:val="auto"/>
        </w:rPr>
        <w:t>Transaction Documents</w:t>
      </w:r>
      <w:r>
        <w:rPr>
          <w:rFonts w:ascii="Arial" w:cs="Arial" w:eastAsia="Arial" w:hAnsi="Arial"/>
          <w:sz w:val="19"/>
          <w:szCs w:val="19"/>
          <w:color w:val="auto"/>
        </w:rPr>
        <w:t>”) to which it is a party and to carry out the transactions contemplated hereby and thereby. The Company is duly qualified or licensed as a foreign limited liability company to do business, and is in good standing, in each jurisdiction where the character of the properties owned, leased or operated by it or the nature of its business makes such qualification or licensing</w:t>
      </w:r>
    </w:p>
    <w:p>
      <w:pPr>
        <w:spacing w:after="0" w:line="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712" w:right="259" w:bottom="1440" w:gutter="0" w:footer="0" w:header="0"/>
        </w:sectPr>
      </w:pPr>
    </w:p>
    <w:bookmarkStart w:id="157" w:name="page158"/>
    <w:bookmarkEnd w:id="157"/>
    <w:p>
      <w:pPr>
        <w:ind w:right="220"/>
        <w:spacing w:after="0" w:line="328" w:lineRule="auto"/>
        <w:rPr>
          <w:sz w:val="20"/>
          <w:szCs w:val="20"/>
          <w:color w:val="auto"/>
        </w:rPr>
      </w:pPr>
      <w:r>
        <w:rPr>
          <w:rFonts w:ascii="Arial" w:cs="Arial" w:eastAsia="Arial" w:hAnsi="Arial"/>
          <w:sz w:val="19"/>
          <w:szCs w:val="19"/>
          <w:color w:val="auto"/>
        </w:rPr>
        <w:t>necessary, except where the failure to be so qualified or licensed and in good standing would not reasonably be expected to have, individually or in the aggregate, a material adverse effect on the Company and its Subsidiaries taken as a whole.</w:t>
      </w:r>
    </w:p>
    <w:p>
      <w:pPr>
        <w:spacing w:after="0" w:line="105" w:lineRule="exact"/>
        <w:rPr>
          <w:sz w:val="20"/>
          <w:szCs w:val="20"/>
          <w:color w:val="auto"/>
        </w:rPr>
      </w:pPr>
    </w:p>
    <w:p>
      <w:pPr>
        <w:ind w:right="20" w:firstLine="404"/>
        <w:spacing w:after="0" w:line="272" w:lineRule="auto"/>
        <w:tabs>
          <w:tab w:leader="none" w:pos="702" w:val="left"/>
        </w:tabs>
        <w:numPr>
          <w:ilvl w:val="0"/>
          <w:numId w:val="102"/>
        </w:numPr>
        <w:rPr>
          <w:rFonts w:ascii="Arial" w:cs="Arial" w:eastAsia="Arial" w:hAnsi="Arial"/>
          <w:sz w:val="19"/>
          <w:szCs w:val="19"/>
          <w:color w:val="auto"/>
        </w:rPr>
      </w:pPr>
      <w:r>
        <w:rPr>
          <w:rFonts w:ascii="Arial" w:cs="Arial" w:eastAsia="Arial" w:hAnsi="Arial"/>
          <w:sz w:val="19"/>
          <w:szCs w:val="19"/>
          <w:color w:val="auto"/>
        </w:rPr>
        <w:t>The Company has all necessary power and authority under its Certificate of Formation, this Agreement and the Act to execute this Agreement and the other Transaction Documents and to consummate the transactions contemplated by this Agreement and the other Transaction Documents. The execution and delivery of this Agreement and the other Transaction Documents by the Company and the consummation by the Company of the transactions contemplated by this Agreement and the other Transaction Documents have been duly and validly authorized by all necessary action and no other proceedings on the part of the Company are necessary to authorize this Agreement or the other Transaction Documents or to consummate the transactions contemplated by this Agreement and the other Transaction Documents. This Agreement and each of the other Transaction Documents have been duly and validly executed and delivered by the Company and, assuming the due authorization, execution and delivery by Members and the other parties thereto, constitutes, or will constitute, legal, valid and binding obligations of the Company, enforceable against the Company in accordance with their respective terms, subject to the effect of any applicable bankruptcy, reorganization, insolvency, moratorium or similar Laws affecting creditors’ rights generally and subject, as to enforceability, to the effect of general principles of equity.</w:t>
      </w:r>
    </w:p>
    <w:p>
      <w:pPr>
        <w:spacing w:after="0" w:line="301" w:lineRule="exact"/>
        <w:rPr>
          <w:rFonts w:ascii="Arial" w:cs="Arial" w:eastAsia="Arial" w:hAnsi="Arial"/>
          <w:sz w:val="19"/>
          <w:szCs w:val="19"/>
          <w:color w:val="auto"/>
        </w:rPr>
      </w:pPr>
    </w:p>
    <w:p>
      <w:pPr>
        <w:ind w:firstLine="404"/>
        <w:spacing w:after="0" w:line="272" w:lineRule="auto"/>
        <w:tabs>
          <w:tab w:leader="none" w:pos="690" w:val="left"/>
        </w:tabs>
        <w:numPr>
          <w:ilvl w:val="0"/>
          <w:numId w:val="102"/>
        </w:numPr>
        <w:rPr>
          <w:rFonts w:ascii="Arial" w:cs="Arial" w:eastAsia="Arial" w:hAnsi="Arial"/>
          <w:sz w:val="19"/>
          <w:szCs w:val="19"/>
          <w:color w:val="auto"/>
        </w:rPr>
      </w:pPr>
      <w:r>
        <w:rPr>
          <w:rFonts w:ascii="Arial" w:cs="Arial" w:eastAsia="Arial" w:hAnsi="Arial"/>
          <w:sz w:val="19"/>
          <w:szCs w:val="19"/>
          <w:color w:val="auto"/>
        </w:rPr>
        <w:t>The execution and delivery of this Agreement by the Company do not, the execution and delivery of the other Transaction Documents by the Company will not, and the performance of this Agreement and the other Transaction Documents by the Company will not, (i) conflict with or violate the Certificate of Formation, this Agreement, or any equivalent organizational documents of any of its Subsidiaries, (ii) conflict with or violate any foreign or domestic (federal, state or local) Law, statute, ordinance, franchise, permit, concession, license, writ, rule, regulation, order, injunction, judgment or decree applicable to the Company or any of its Subsidiaries or by which any property or asset of the Company or any of its Subsidiaries is bound or affected, or (iii) conflict with, result in any breach of or constitute a default (or an event which with notice or lapse of time or both would become a default) under, require consent, approval or notice under, give to others any right of termination, amendment, acceleration or cancellation of, require any payment under, or result in the creation or imposition of a lien, mortgage, charge, pledge, security interest, deed of trust, ground lease, lease, sublease, assessment, tenancy, claim, covenant, condition, restriction, easement, judgment or other encumbrance on any property or asset of the Company or any of its Subsidiaries pursuant to, any note, bond, mortgage, indenture, contract, agreement, lease, license, permit, franchise or other instrument or obligation (written or otherwise) to which the Company or any of its Subsidiaries is a party or any of its or any Subsidiary’s assets are bound.</w:t>
      </w:r>
    </w:p>
    <w:p>
      <w:pPr>
        <w:spacing w:after="0" w:line="49" w:lineRule="exact"/>
        <w:rPr>
          <w:rFonts w:ascii="Arial" w:cs="Arial" w:eastAsia="Arial" w:hAnsi="Arial"/>
          <w:sz w:val="19"/>
          <w:szCs w:val="19"/>
          <w:color w:val="auto"/>
        </w:rPr>
      </w:pPr>
    </w:p>
    <w:p>
      <w:pPr>
        <w:ind w:right="120" w:firstLine="404"/>
        <w:spacing w:after="0" w:line="235" w:lineRule="auto"/>
        <w:tabs>
          <w:tab w:leader="none" w:pos="702" w:val="left"/>
        </w:tabs>
        <w:numPr>
          <w:ilvl w:val="0"/>
          <w:numId w:val="102"/>
        </w:numPr>
        <w:rPr>
          <w:rFonts w:ascii="Arial" w:cs="Arial" w:eastAsia="Arial" w:hAnsi="Arial"/>
          <w:sz w:val="22"/>
          <w:szCs w:val="22"/>
          <w:color w:val="auto"/>
        </w:rPr>
      </w:pPr>
      <w:r>
        <w:rPr>
          <w:rFonts w:ascii="Arial" w:cs="Arial" w:eastAsia="Arial" w:hAnsi="Arial"/>
          <w:sz w:val="22"/>
          <w:szCs w:val="22"/>
          <w:color w:val="auto"/>
        </w:rPr>
        <w:t>To the knowledge of the Company, the execution and delivery of this Agreement and the other Transaction Documents by the Company does not, and the performance of this Agreement and the other Transaction Documents by the Company will not, require any consent, approval, order, permit, or authorization from, or registration, notification or filing with, any domestic or foreign governmental, regulatory or administrative authority, agency or commission, any court, tribunal or arbitral body, or any quasi-governmental or private body exercising any regulatory, Taxing, importing or other Governmental Authority, or any other third party.</w:t>
      </w:r>
    </w:p>
    <w:p>
      <w:pPr>
        <w:spacing w:after="0" w:line="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928" w:right="279" w:bottom="1440" w:gutter="0" w:footer="0" w:header="0"/>
        </w:sectPr>
      </w:pPr>
    </w:p>
    <w:bookmarkStart w:id="158" w:name="page159"/>
    <w:bookmarkEnd w:id="158"/>
    <w:p>
      <w:pPr>
        <w:ind w:right="20" w:firstLine="404"/>
        <w:spacing w:after="0" w:line="273" w:lineRule="auto"/>
        <w:tabs>
          <w:tab w:leader="none" w:pos="69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The capitalization of the Company is as set forth in this Agreement. Except as set forth in the Transaction Documents, (i) there are no outstanding subscriptions, options, “phantom” equity or other equity equivalent instruments, warrants, agreements, arrangements or commitments of any kind for or relating to the issuance, or sale of, or outstanding securities convertible into or exchangeable or exercisable for, any Membership Units or other membership interests or other equity interests of the Company, (ii) all of the outstanding membership interests of the Company will have been duly and validly authorized and issued and will have been offered, issued, sold and delivered in compliance with applicable federal and state securities Laws and not subject to any preemptive rights, (iii) the Company has not granted any preemptive rights, rights of first refusal, put or call rights or obligations, tag-along rights, drag-along rights, anti-dilution rights or other similar rights with respect to the issuance, sale, redemption or transfer of the Company’s membership interests or other equity securities of the Company, or (iv) there are no rights to have the Company’s membership interests registered for sale to the public in connection with the Laws of any jurisdiction.</w:t>
      </w:r>
    </w:p>
    <w:p>
      <w:pPr>
        <w:spacing w:after="0" w:line="53" w:lineRule="exact"/>
        <w:rPr>
          <w:rFonts w:ascii="Arial" w:cs="Arial" w:eastAsia="Arial" w:hAnsi="Arial"/>
          <w:sz w:val="19"/>
          <w:szCs w:val="19"/>
          <w:color w:val="auto"/>
        </w:rPr>
      </w:pPr>
    </w:p>
    <w:p>
      <w:pPr>
        <w:ind w:firstLine="404"/>
        <w:spacing w:after="0" w:line="238" w:lineRule="auto"/>
        <w:tabs>
          <w:tab w:leader="none" w:pos="666" w:val="left"/>
        </w:tabs>
        <w:numPr>
          <w:ilvl w:val="0"/>
          <w:numId w:val="103"/>
        </w:numPr>
        <w:rPr>
          <w:rFonts w:ascii="Arial" w:cs="Arial" w:eastAsia="Arial" w:hAnsi="Arial"/>
          <w:sz w:val="22"/>
          <w:szCs w:val="22"/>
          <w:color w:val="auto"/>
        </w:rPr>
      </w:pPr>
      <w:r>
        <w:rPr>
          <w:rFonts w:ascii="Arial" w:cs="Arial" w:eastAsia="Arial" w:hAnsi="Arial"/>
          <w:sz w:val="22"/>
          <w:szCs w:val="22"/>
          <w:color w:val="auto"/>
        </w:rPr>
        <w:t>The Company is a newly formed entity, formed in connection with the transactions contemplated by the Transaction Documents. Other than the Transaction Documents and the agreements entered into pursuant to or in connection with the transactions contemplated by the Transaction Documents, the Company (i) is not a party to any agreement, contract or undertaking, and (ii) does not have any obligations or liabilities of any kind.</w:t>
      </w:r>
    </w:p>
    <w:p>
      <w:pPr>
        <w:spacing w:after="0" w:line="77" w:lineRule="exact"/>
        <w:rPr>
          <w:sz w:val="20"/>
          <w:szCs w:val="20"/>
          <w:color w:val="auto"/>
        </w:rPr>
      </w:pPr>
    </w:p>
    <w:p>
      <w:pPr>
        <w:ind w:right="140" w:firstLine="396"/>
        <w:spacing w:after="0" w:line="234" w:lineRule="auto"/>
        <w:rPr>
          <w:sz w:val="20"/>
          <w:szCs w:val="20"/>
          <w:color w:val="auto"/>
        </w:rPr>
      </w:pPr>
      <w:r>
        <w:rPr>
          <w:rFonts w:ascii="Arial" w:cs="Arial" w:eastAsia="Arial" w:hAnsi="Arial"/>
          <w:sz w:val="22"/>
          <w:szCs w:val="22"/>
          <w:color w:val="auto"/>
        </w:rPr>
        <w:t xml:space="preserve">Section 11.03. </w:t>
      </w:r>
      <w:r>
        <w:rPr>
          <w:rFonts w:ascii="Arial" w:cs="Arial" w:eastAsia="Arial" w:hAnsi="Arial"/>
          <w:sz w:val="22"/>
          <w:szCs w:val="22"/>
          <w:u w:val="single" w:color="auto"/>
          <w:color w:val="auto"/>
        </w:rPr>
        <w:t>Entitlement of the Company and the Members to Rely on Representations and Warranties</w:t>
      </w:r>
      <w:r>
        <w:rPr>
          <w:rFonts w:ascii="Arial" w:cs="Arial" w:eastAsia="Arial" w:hAnsi="Arial"/>
          <w:sz w:val="22"/>
          <w:szCs w:val="22"/>
          <w:color w:val="auto"/>
        </w:rPr>
        <w:t xml:space="preserve">. The representations and warranties contained in </w:t>
      </w:r>
      <w:r>
        <w:rPr>
          <w:rFonts w:ascii="Arial" w:cs="Arial" w:eastAsia="Arial" w:hAnsi="Arial"/>
          <w:sz w:val="22"/>
          <w:szCs w:val="22"/>
          <w:u w:val="single" w:color="auto"/>
          <w:color w:val="auto"/>
        </w:rPr>
        <w:t>Section 11.01</w:t>
      </w:r>
      <w:r>
        <w:rPr>
          <w:rFonts w:ascii="Arial" w:cs="Arial" w:eastAsia="Arial" w:hAnsi="Arial"/>
          <w:sz w:val="22"/>
          <w:szCs w:val="22"/>
          <w:color w:val="auto"/>
        </w:rPr>
        <w:t xml:space="preserve"> may be relied upon by the Company, and by the other Members, in connection with the entering into of this Agreement. Without limiting the foregoing, each Member agrees that it will make the representations and warranties set forth in </w:t>
      </w:r>
      <w:r>
        <w:rPr>
          <w:rFonts w:ascii="Arial" w:cs="Arial" w:eastAsia="Arial" w:hAnsi="Arial"/>
          <w:sz w:val="22"/>
          <w:szCs w:val="22"/>
          <w:u w:val="single" w:color="auto"/>
          <w:color w:val="auto"/>
        </w:rPr>
        <w:t>Section 11.01</w:t>
      </w:r>
      <w:r>
        <w:rPr>
          <w:rFonts w:ascii="Arial" w:cs="Arial" w:eastAsia="Arial" w:hAnsi="Arial"/>
          <w:sz w:val="22"/>
          <w:szCs w:val="22"/>
          <w:color w:val="auto"/>
        </w:rPr>
        <w:t xml:space="preserve"> upon (i) making any Additional Capital Contribution to the Company; (ii) any Transfer of Membership Units by such Member and (iii) upon written request by the Company in the event of any transaction or any other matter in connection with which the Company has a reasonable basis to request such representations and warranties be made by such Member.</w:t>
      </w:r>
    </w:p>
    <w:p>
      <w:pPr>
        <w:spacing w:after="0" w:line="83" w:lineRule="exact"/>
        <w:rPr>
          <w:sz w:val="20"/>
          <w:szCs w:val="20"/>
          <w:color w:val="auto"/>
        </w:rPr>
      </w:pPr>
    </w:p>
    <w:p>
      <w:pPr>
        <w:ind w:left="400"/>
        <w:spacing w:after="0"/>
        <w:rPr>
          <w:sz w:val="20"/>
          <w:szCs w:val="20"/>
          <w:color w:val="auto"/>
        </w:rPr>
      </w:pPr>
      <w:r>
        <w:rPr>
          <w:rFonts w:ascii="Arial" w:cs="Arial" w:eastAsia="Arial" w:hAnsi="Arial"/>
          <w:sz w:val="22"/>
          <w:szCs w:val="22"/>
          <w:color w:val="auto"/>
        </w:rPr>
        <w:t xml:space="preserve">Section 11.04. </w:t>
      </w:r>
      <w:r>
        <w:rPr>
          <w:rFonts w:ascii="Arial" w:cs="Arial" w:eastAsia="Arial" w:hAnsi="Arial"/>
          <w:sz w:val="22"/>
          <w:szCs w:val="22"/>
          <w:u w:val="single" w:color="auto"/>
          <w:color w:val="auto"/>
        </w:rPr>
        <w:t>Covenants of the Members</w:t>
      </w:r>
      <w:r>
        <w:rPr>
          <w:rFonts w:ascii="Arial" w:cs="Arial" w:eastAsia="Arial" w:hAnsi="Arial"/>
          <w:sz w:val="22"/>
          <w:szCs w:val="22"/>
          <w:color w:val="auto"/>
        </w:rPr>
        <w:t>.</w:t>
      </w:r>
    </w:p>
    <w:p>
      <w:pPr>
        <w:spacing w:after="0" w:line="98" w:lineRule="exact"/>
        <w:rPr>
          <w:sz w:val="20"/>
          <w:szCs w:val="20"/>
          <w:color w:val="auto"/>
        </w:rPr>
      </w:pPr>
    </w:p>
    <w:p>
      <w:pPr>
        <w:ind w:right="40" w:firstLine="404"/>
        <w:spacing w:after="0" w:line="235" w:lineRule="auto"/>
        <w:tabs>
          <w:tab w:leader="none" w:pos="69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 xml:space="preserve">New potential applications within the Agreed Space will be explored by Albany and Safran in accordance with the General Collaboration Agreement. When Albany and Safran agree that a new application is ready to proceed to development and manufacturing, Albany and Safran shall negotiate in good faith a commercial agreement with respect to such new application and such other agreements as may be necessary to effect the transfer of the application to the Company at the time such commercial agreement becomes effective; provided that the price policies of any such agreements shall be consistent with </w:t>
      </w:r>
      <w:r>
        <w:rPr>
          <w:rFonts w:ascii="Arial" w:cs="Arial" w:eastAsia="Arial" w:hAnsi="Arial"/>
          <w:sz w:val="22"/>
          <w:szCs w:val="22"/>
          <w:u w:val="single" w:color="auto"/>
          <w:color w:val="auto"/>
        </w:rPr>
        <w:t>Section 11.05(b)</w:t>
      </w:r>
      <w:r>
        <w:rPr>
          <w:rFonts w:ascii="Arial" w:cs="Arial" w:eastAsia="Arial" w:hAnsi="Arial"/>
          <w:sz w:val="22"/>
          <w:szCs w:val="22"/>
          <w:color w:val="auto"/>
        </w:rPr>
        <w:t xml:space="preserve"> below.</w:t>
      </w:r>
    </w:p>
    <w:p>
      <w:pPr>
        <w:spacing w:after="0" w:line="80" w:lineRule="exact"/>
        <w:rPr>
          <w:rFonts w:ascii="Arial" w:cs="Arial" w:eastAsia="Arial" w:hAnsi="Arial"/>
          <w:sz w:val="22"/>
          <w:szCs w:val="22"/>
          <w:color w:val="auto"/>
        </w:rPr>
      </w:pPr>
    </w:p>
    <w:p>
      <w:pPr>
        <w:ind w:right="480" w:firstLine="404"/>
        <w:spacing w:after="0" w:line="251" w:lineRule="auto"/>
        <w:tabs>
          <w:tab w:leader="none" w:pos="702" w:val="left"/>
        </w:tabs>
        <w:numPr>
          <w:ilvl w:val="0"/>
          <w:numId w:val="104"/>
        </w:numPr>
        <w:rPr>
          <w:rFonts w:ascii="Arial" w:cs="Arial" w:eastAsia="Arial" w:hAnsi="Arial"/>
          <w:sz w:val="22"/>
          <w:szCs w:val="22"/>
          <w:color w:val="auto"/>
        </w:rPr>
      </w:pPr>
      <w:r>
        <w:rPr>
          <w:rFonts w:ascii="Arial" w:cs="Arial" w:eastAsia="Arial" w:hAnsi="Arial"/>
          <w:sz w:val="22"/>
          <w:szCs w:val="22"/>
          <w:color w:val="auto"/>
        </w:rPr>
        <w:t>With respect to any new potential applications within the Agreed Space, the split of responsibilities from an industrial perspective will be as follows:</w:t>
      </w:r>
    </w:p>
    <w:p>
      <w:pPr>
        <w:spacing w:after="0" w:line="65" w:lineRule="exact"/>
        <w:rPr>
          <w:sz w:val="20"/>
          <w:szCs w:val="20"/>
          <w:color w:val="auto"/>
        </w:rPr>
      </w:pPr>
    </w:p>
    <w:p>
      <w:pPr>
        <w:ind w:left="1060" w:hanging="260"/>
        <w:spacing w:after="0"/>
        <w:tabs>
          <w:tab w:leader="none" w:pos="1060" w:val="left"/>
        </w:tabs>
        <w:numPr>
          <w:ilvl w:val="0"/>
          <w:numId w:val="105"/>
        </w:numPr>
        <w:rPr>
          <w:rFonts w:ascii="Arial" w:cs="Arial" w:eastAsia="Arial" w:hAnsi="Arial"/>
          <w:sz w:val="21"/>
          <w:szCs w:val="21"/>
          <w:color w:val="auto"/>
        </w:rPr>
      </w:pPr>
      <w:r>
        <w:rPr>
          <w:rFonts w:ascii="Arial" w:cs="Arial" w:eastAsia="Arial" w:hAnsi="Arial"/>
          <w:sz w:val="21"/>
          <w:szCs w:val="21"/>
          <w:color w:val="auto"/>
        </w:rPr>
        <w:t>The Company shall be responsible for (A) process development and improvement, (B) quality assurance on</w:t>
      </w:r>
    </w:p>
    <w:p>
      <w:pPr>
        <w:spacing w:after="0" w:line="19" w:lineRule="exact"/>
        <w:rPr>
          <w:rFonts w:ascii="Arial" w:cs="Arial" w:eastAsia="Arial" w:hAnsi="Arial"/>
          <w:sz w:val="21"/>
          <w:szCs w:val="21"/>
          <w:color w:val="auto"/>
        </w:rPr>
      </w:pPr>
    </w:p>
    <w:p>
      <w:pPr>
        <w:ind w:left="400" w:right="340"/>
        <w:spacing w:after="0" w:line="237" w:lineRule="auto"/>
        <w:rPr>
          <w:rFonts w:ascii="Arial" w:cs="Arial" w:eastAsia="Arial" w:hAnsi="Arial"/>
          <w:sz w:val="21"/>
          <w:szCs w:val="21"/>
          <w:color w:val="auto"/>
        </w:rPr>
      </w:pPr>
      <w:r>
        <w:rPr>
          <w:rFonts w:ascii="Arial" w:cs="Arial" w:eastAsia="Arial" w:hAnsi="Arial"/>
          <w:sz w:val="22"/>
          <w:szCs w:val="22"/>
          <w:color w:val="auto"/>
        </w:rPr>
        <w:t>manufacturing processes, (C) preform engineering starting from a Technology Readiness Level 5 (including converting the applicable preform’s pattern into loom instructions), (D) preform manufacturing</w:t>
      </w:r>
    </w:p>
    <w:p>
      <w:pPr>
        <w:spacing w:after="0" w:line="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713" w:right="279" w:bottom="1440" w:gutter="0" w:footer="0" w:header="0"/>
        </w:sectPr>
      </w:pPr>
    </w:p>
    <w:bookmarkStart w:id="159" w:name="page160"/>
    <w:bookmarkEnd w:id="159"/>
    <w:p>
      <w:pPr>
        <w:ind w:left="400" w:right="160"/>
        <w:spacing w:after="0" w:line="236" w:lineRule="auto"/>
        <w:rPr>
          <w:sz w:val="20"/>
          <w:szCs w:val="20"/>
          <w:color w:val="auto"/>
        </w:rPr>
      </w:pPr>
      <w:r>
        <w:rPr>
          <w:rFonts w:ascii="Arial" w:cs="Arial" w:eastAsia="Arial" w:hAnsi="Arial"/>
          <w:sz w:val="22"/>
          <w:szCs w:val="22"/>
          <w:color w:val="auto"/>
        </w:rPr>
        <w:t>(including production of development samples), excluding any activities pursuant to the Existing Supply Agreement, (E) unless otherwise decided by the Parties on a case-by-case basis, preform injection (</w:t>
      </w:r>
      <w:r>
        <w:rPr>
          <w:rFonts w:ascii="Arial" w:cs="Arial" w:eastAsia="Arial" w:hAnsi="Arial"/>
          <w:sz w:val="22"/>
          <w:szCs w:val="22"/>
          <w:u w:val="single" w:color="auto"/>
          <w:color w:val="auto"/>
        </w:rPr>
        <w:t>provided</w:t>
      </w:r>
      <w:r>
        <w:rPr>
          <w:rFonts w:ascii="Arial" w:cs="Arial" w:eastAsia="Arial" w:hAnsi="Arial"/>
          <w:sz w:val="22"/>
          <w:szCs w:val="22"/>
          <w:color w:val="auto"/>
        </w:rPr>
        <w:t>, that, for the avoidance of doubt, preform injection will not be provided by the Company for the activities performed pursuant to the Existing Supply Agreement), and (F) any related process industrialization and cost improvement initiatives undertaken in respect of such new potential application.</w:t>
      </w:r>
    </w:p>
    <w:p>
      <w:pPr>
        <w:spacing w:after="0" w:line="80" w:lineRule="exact"/>
        <w:rPr>
          <w:sz w:val="20"/>
          <w:szCs w:val="20"/>
          <w:color w:val="auto"/>
        </w:rPr>
      </w:pPr>
    </w:p>
    <w:p>
      <w:pPr>
        <w:ind w:left="400" w:right="420" w:firstLine="400"/>
        <w:spacing w:after="0" w:line="251" w:lineRule="auto"/>
        <w:tabs>
          <w:tab w:leader="none" w:pos="1114" w:val="left"/>
        </w:tabs>
        <w:numPr>
          <w:ilvl w:val="0"/>
          <w:numId w:val="106"/>
        </w:numPr>
        <w:rPr>
          <w:rFonts w:ascii="Arial" w:cs="Arial" w:eastAsia="Arial" w:hAnsi="Arial"/>
          <w:sz w:val="22"/>
          <w:szCs w:val="22"/>
          <w:color w:val="auto"/>
        </w:rPr>
      </w:pPr>
      <w:r>
        <w:rPr>
          <w:rFonts w:ascii="Arial" w:cs="Arial" w:eastAsia="Arial" w:hAnsi="Arial"/>
          <w:sz w:val="22"/>
          <w:szCs w:val="22"/>
          <w:color w:val="auto"/>
        </w:rPr>
        <w:t>Safran shall be responsible for final quality monitoring in the manner and to the extent provided in the Long Term Supply Agreement in respect of current applications; and</w:t>
      </w:r>
    </w:p>
    <w:p>
      <w:pPr>
        <w:spacing w:after="0" w:line="65" w:lineRule="exact"/>
        <w:rPr>
          <w:rFonts w:ascii="Arial" w:cs="Arial" w:eastAsia="Arial" w:hAnsi="Arial"/>
          <w:sz w:val="22"/>
          <w:szCs w:val="22"/>
          <w:color w:val="auto"/>
        </w:rPr>
      </w:pPr>
    </w:p>
    <w:p>
      <w:pPr>
        <w:ind w:left="400" w:right="880" w:firstLine="400"/>
        <w:spacing w:after="0" w:line="251" w:lineRule="auto"/>
        <w:tabs>
          <w:tab w:leader="none" w:pos="1174" w:val="left"/>
        </w:tabs>
        <w:numPr>
          <w:ilvl w:val="0"/>
          <w:numId w:val="106"/>
        </w:numPr>
        <w:rPr>
          <w:rFonts w:ascii="Arial" w:cs="Arial" w:eastAsia="Arial" w:hAnsi="Arial"/>
          <w:sz w:val="22"/>
          <w:szCs w:val="22"/>
          <w:color w:val="auto"/>
        </w:rPr>
      </w:pPr>
      <w:r>
        <w:rPr>
          <w:rFonts w:ascii="Arial" w:cs="Arial" w:eastAsia="Arial" w:hAnsi="Arial"/>
          <w:sz w:val="22"/>
          <w:szCs w:val="22"/>
          <w:color w:val="auto"/>
        </w:rPr>
        <w:t>Each Member shall provide all necessary preliminary design specifications and manufacturing processes, as appropriate (including geometry and weaving patterns).</w:t>
      </w:r>
    </w:p>
    <w:p>
      <w:pPr>
        <w:spacing w:after="0" w:line="65" w:lineRule="exact"/>
        <w:rPr>
          <w:sz w:val="20"/>
          <w:szCs w:val="20"/>
          <w:color w:val="auto"/>
        </w:rPr>
      </w:pPr>
    </w:p>
    <w:p>
      <w:pPr>
        <w:ind w:left="400"/>
        <w:spacing w:after="0"/>
        <w:rPr>
          <w:sz w:val="20"/>
          <w:szCs w:val="20"/>
          <w:color w:val="auto"/>
        </w:rPr>
      </w:pPr>
      <w:r>
        <w:rPr>
          <w:rFonts w:ascii="Arial" w:cs="Arial" w:eastAsia="Arial" w:hAnsi="Arial"/>
          <w:sz w:val="22"/>
          <w:szCs w:val="22"/>
          <w:color w:val="auto"/>
        </w:rPr>
        <w:t xml:space="preserve">Section 11.05. </w:t>
      </w:r>
      <w:r>
        <w:rPr>
          <w:rFonts w:ascii="Arial" w:cs="Arial" w:eastAsia="Arial" w:hAnsi="Arial"/>
          <w:sz w:val="22"/>
          <w:szCs w:val="22"/>
          <w:u w:val="single" w:color="auto"/>
          <w:color w:val="auto"/>
        </w:rPr>
        <w:t>Covenants of the Company</w:t>
      </w:r>
      <w:r>
        <w:rPr>
          <w:rFonts w:ascii="Arial" w:cs="Arial" w:eastAsia="Arial" w:hAnsi="Arial"/>
          <w:sz w:val="22"/>
          <w:szCs w:val="22"/>
          <w:color w:val="auto"/>
        </w:rPr>
        <w:t>.</w:t>
      </w:r>
    </w:p>
    <w:p>
      <w:pPr>
        <w:spacing w:after="0" w:line="98" w:lineRule="exact"/>
        <w:rPr>
          <w:sz w:val="20"/>
          <w:szCs w:val="20"/>
          <w:color w:val="auto"/>
        </w:rPr>
      </w:pPr>
    </w:p>
    <w:p>
      <w:pPr>
        <w:ind w:firstLine="404"/>
        <w:spacing w:after="0"/>
        <w:tabs>
          <w:tab w:leader="none" w:pos="690" w:val="left"/>
        </w:tabs>
        <w:numPr>
          <w:ilvl w:val="1"/>
          <w:numId w:val="107"/>
        </w:numPr>
        <w:rPr>
          <w:rFonts w:ascii="Arial" w:cs="Arial" w:eastAsia="Arial" w:hAnsi="Arial"/>
          <w:sz w:val="22"/>
          <w:szCs w:val="22"/>
          <w:color w:val="auto"/>
        </w:rPr>
      </w:pPr>
      <w:r>
        <w:rPr>
          <w:rFonts w:ascii="Arial" w:cs="Arial" w:eastAsia="Arial" w:hAnsi="Arial"/>
          <w:sz w:val="22"/>
          <w:szCs w:val="22"/>
          <w:color w:val="auto"/>
        </w:rPr>
        <w:t>The Company shall (i) inform each Member of the amount, if any, of Taxes paid by the Company during each calendar year to non-U.S. jurisdictions that are attributable to income that is allocable to such Member and (ii) provide such information to such Member within ninety (90) days of the end of the relevant calendar year.</w:t>
      </w:r>
    </w:p>
    <w:p>
      <w:pPr>
        <w:spacing w:after="0" w:line="78" w:lineRule="exact"/>
        <w:rPr>
          <w:rFonts w:ascii="Arial" w:cs="Arial" w:eastAsia="Arial" w:hAnsi="Arial"/>
          <w:sz w:val="22"/>
          <w:szCs w:val="22"/>
          <w:color w:val="auto"/>
        </w:rPr>
      </w:pPr>
    </w:p>
    <w:p>
      <w:pPr>
        <w:jc w:val="both"/>
        <w:ind w:right="140" w:firstLine="404"/>
        <w:spacing w:after="0" w:line="297" w:lineRule="auto"/>
        <w:tabs>
          <w:tab w:leader="none" w:pos="702" w:val="left"/>
        </w:tabs>
        <w:numPr>
          <w:ilvl w:val="1"/>
          <w:numId w:val="107"/>
        </w:numPr>
        <w:rPr>
          <w:rFonts w:ascii="Arial" w:cs="Arial" w:eastAsia="Arial" w:hAnsi="Arial"/>
          <w:sz w:val="19"/>
          <w:szCs w:val="19"/>
          <w:color w:val="auto"/>
        </w:rPr>
      </w:pPr>
      <w:r>
        <w:rPr>
          <w:rFonts w:ascii="Arial" w:cs="Arial" w:eastAsia="Arial" w:hAnsi="Arial"/>
          <w:sz w:val="19"/>
          <w:szCs w:val="19"/>
          <w:color w:val="auto"/>
        </w:rPr>
        <w:t>Pricing policies with respect to any products developed by the Company following the Agreement Date shall be based on the pricing mechanism set forth in the Long Term Supply Agreement, subject to negotiation of a definitive agreement between the Company and Safran with respect to such products and with cost parameters to be based on prevailing economic conditions.</w:t>
      </w:r>
    </w:p>
    <w:p>
      <w:pPr>
        <w:spacing w:after="0" w:line="26" w:lineRule="exact"/>
        <w:rPr>
          <w:rFonts w:ascii="Arial" w:cs="Arial" w:eastAsia="Arial" w:hAnsi="Arial"/>
          <w:sz w:val="19"/>
          <w:szCs w:val="19"/>
          <w:color w:val="auto"/>
        </w:rPr>
      </w:pPr>
    </w:p>
    <w:p>
      <w:pPr>
        <w:ind w:right="200" w:firstLine="404"/>
        <w:spacing w:after="0" w:line="273" w:lineRule="auto"/>
        <w:tabs>
          <w:tab w:leader="none" w:pos="690" w:val="left"/>
        </w:tabs>
        <w:numPr>
          <w:ilvl w:val="1"/>
          <w:numId w:val="107"/>
        </w:numPr>
        <w:rPr>
          <w:rFonts w:ascii="Arial" w:cs="Arial" w:eastAsia="Arial" w:hAnsi="Arial"/>
          <w:sz w:val="19"/>
          <w:szCs w:val="19"/>
          <w:color w:val="auto"/>
        </w:rPr>
      </w:pPr>
      <w:r>
        <w:rPr>
          <w:rFonts w:ascii="Arial" w:cs="Arial" w:eastAsia="Arial" w:hAnsi="Arial"/>
          <w:sz w:val="19"/>
          <w:szCs w:val="19"/>
          <w:color w:val="auto"/>
        </w:rPr>
        <w:t>The Company shall use commercially reasonable efforts to (i) comply at all times with each applicable Law, including all applicable federal, state, foreign, and local Laws relating to, Tax, zoning and land use, environmental, occupational health and safety, product quality, product labeling, import and export laws (including ITAR) and safety and employment and labor matters,</w:t>
      </w:r>
    </w:p>
    <w:p>
      <w:pPr>
        <w:spacing w:after="0" w:line="1" w:lineRule="exact"/>
        <w:rPr>
          <w:rFonts w:ascii="Arial" w:cs="Arial" w:eastAsia="Arial" w:hAnsi="Arial"/>
          <w:sz w:val="19"/>
          <w:szCs w:val="19"/>
          <w:color w:val="auto"/>
        </w:rPr>
      </w:pPr>
    </w:p>
    <w:p>
      <w:pPr>
        <w:ind w:right="140" w:firstLine="8"/>
        <w:spacing w:after="0" w:line="232" w:lineRule="auto"/>
        <w:tabs>
          <w:tab w:leader="none" w:pos="318" w:val="left"/>
        </w:tabs>
        <w:numPr>
          <w:ilvl w:val="0"/>
          <w:numId w:val="108"/>
        </w:numPr>
        <w:rPr>
          <w:rFonts w:ascii="Arial" w:cs="Arial" w:eastAsia="Arial" w:hAnsi="Arial"/>
          <w:sz w:val="22"/>
          <w:szCs w:val="22"/>
          <w:color w:val="auto"/>
        </w:rPr>
      </w:pPr>
      <w:r>
        <w:rPr>
          <w:rFonts w:ascii="Arial" w:cs="Arial" w:eastAsia="Arial" w:hAnsi="Arial"/>
          <w:sz w:val="22"/>
          <w:szCs w:val="22"/>
          <w:color w:val="auto"/>
        </w:rPr>
        <w:t>maintain and possess from each appropriate Governmental Authority all right, title and interest in and to all permits, licenses, authorizations, approvals, quality certifications, franchises or rights issued by any Governmental Authority necessary to conduct the Business, and (iii) maintain in full force and effect all insurance for the protection of the assets of the Company required to be maintained by the Company pursuant to any Long Term Supply Agreement, except, in the case of clauses (i) and (ii), to the extent that the failure to do so would not reasonably be expected to have a material adverse effect on the Company and its Subsidiaries, taken as a whole.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XII</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RESTRICTIVE COVENANTS</w:t>
      </w:r>
    </w:p>
    <w:p>
      <w:pPr>
        <w:spacing w:after="0" w:line="206" w:lineRule="exact"/>
        <w:rPr>
          <w:sz w:val="20"/>
          <w:szCs w:val="20"/>
          <w:color w:val="auto"/>
        </w:rPr>
      </w:pPr>
    </w:p>
    <w:p>
      <w:pPr>
        <w:ind w:right="200" w:firstLine="396"/>
        <w:spacing w:after="0"/>
        <w:rPr>
          <w:sz w:val="20"/>
          <w:szCs w:val="20"/>
          <w:color w:val="auto"/>
        </w:rPr>
      </w:pPr>
      <w:r>
        <w:rPr>
          <w:rFonts w:ascii="Arial" w:cs="Arial" w:eastAsia="Arial" w:hAnsi="Arial"/>
          <w:sz w:val="22"/>
          <w:szCs w:val="22"/>
          <w:color w:val="auto"/>
        </w:rPr>
        <w:t xml:space="preserve">Section 12.01. </w:t>
      </w:r>
      <w:r>
        <w:rPr>
          <w:rFonts w:ascii="Arial" w:cs="Arial" w:eastAsia="Arial" w:hAnsi="Arial"/>
          <w:sz w:val="22"/>
          <w:szCs w:val="22"/>
          <w:u w:val="single" w:color="auto"/>
          <w:color w:val="auto"/>
        </w:rPr>
        <w:t>Exclusive Supplier to Safran</w:t>
      </w:r>
      <w:r>
        <w:rPr>
          <w:rFonts w:ascii="Arial" w:cs="Arial" w:eastAsia="Arial" w:hAnsi="Arial"/>
          <w:sz w:val="22"/>
          <w:szCs w:val="22"/>
          <w:color w:val="auto"/>
        </w:rPr>
        <w:t>. The Company shall be the exclusive manufacturer and supplier of Advanced Composite 3D Parts to Safran S.A. and its Affiliates in the Agreed Space and Safran S.A. agrees not to, and to cause its Affiliates not to,</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712" w:right="259" w:bottom="1440" w:gutter="0" w:footer="0" w:header="0"/>
        </w:sectPr>
      </w:pPr>
    </w:p>
    <w:bookmarkStart w:id="160" w:name="page161"/>
    <w:bookmarkEnd w:id="160"/>
    <w:p>
      <w:pPr>
        <w:ind w:right="240"/>
        <w:spacing w:after="0" w:line="251" w:lineRule="auto"/>
        <w:rPr>
          <w:sz w:val="20"/>
          <w:szCs w:val="20"/>
          <w:color w:val="auto"/>
        </w:rPr>
      </w:pPr>
      <w:r>
        <w:rPr>
          <w:rFonts w:ascii="Arial" w:cs="Arial" w:eastAsia="Arial" w:hAnsi="Arial"/>
          <w:sz w:val="22"/>
          <w:szCs w:val="22"/>
          <w:color w:val="auto"/>
        </w:rPr>
        <w:t>procure Advanced Composite 3D Parts in the Agreed Space from any Person (including Safran S.A. and its Affiliates) other than the Company except to the extent that:</w:t>
      </w:r>
    </w:p>
    <w:p>
      <w:pPr>
        <w:spacing w:after="0" w:line="173" w:lineRule="exact"/>
        <w:rPr>
          <w:sz w:val="20"/>
          <w:szCs w:val="20"/>
          <w:color w:val="auto"/>
        </w:rPr>
      </w:pPr>
    </w:p>
    <w:p>
      <w:pPr>
        <w:ind w:left="700" w:hanging="296"/>
        <w:spacing w:after="0"/>
        <w:tabs>
          <w:tab w:leader="none" w:pos="700" w:val="left"/>
        </w:tabs>
        <w:numPr>
          <w:ilvl w:val="0"/>
          <w:numId w:val="109"/>
        </w:numPr>
        <w:rPr>
          <w:rFonts w:ascii="Arial" w:cs="Arial" w:eastAsia="Arial" w:hAnsi="Arial"/>
          <w:sz w:val="22"/>
          <w:szCs w:val="22"/>
          <w:color w:val="auto"/>
        </w:rPr>
      </w:pPr>
      <w:r>
        <w:rPr>
          <w:rFonts w:ascii="Arial" w:cs="Arial" w:eastAsia="Arial" w:hAnsi="Arial"/>
          <w:sz w:val="22"/>
          <w:szCs w:val="22"/>
          <w:color w:val="auto"/>
        </w:rPr>
        <w:t>applicable Law prohibits Safran S.A. from engaging in such activities with the Company;</w:t>
      </w:r>
    </w:p>
    <w:p>
      <w:pPr>
        <w:spacing w:after="0" w:line="98" w:lineRule="exact"/>
        <w:rPr>
          <w:rFonts w:ascii="Arial" w:cs="Arial" w:eastAsia="Arial" w:hAnsi="Arial"/>
          <w:sz w:val="22"/>
          <w:szCs w:val="22"/>
          <w:color w:val="auto"/>
        </w:rPr>
      </w:pPr>
    </w:p>
    <w:p>
      <w:pPr>
        <w:jc w:val="both"/>
        <w:ind w:right="40" w:firstLine="404"/>
        <w:spacing w:after="0" w:line="238" w:lineRule="auto"/>
        <w:tabs>
          <w:tab w:leader="none" w:pos="702" w:val="left"/>
        </w:tabs>
        <w:numPr>
          <w:ilvl w:val="0"/>
          <w:numId w:val="109"/>
        </w:numPr>
        <w:rPr>
          <w:rFonts w:ascii="Arial" w:cs="Arial" w:eastAsia="Arial" w:hAnsi="Arial"/>
          <w:sz w:val="22"/>
          <w:szCs w:val="22"/>
          <w:color w:val="auto"/>
        </w:rPr>
      </w:pPr>
      <w:r>
        <w:rPr>
          <w:rFonts w:ascii="Arial" w:cs="Arial" w:eastAsia="Arial" w:hAnsi="Arial"/>
          <w:sz w:val="22"/>
          <w:szCs w:val="22"/>
          <w:color w:val="auto"/>
        </w:rPr>
        <w:t xml:space="preserve">a Governmental Authority in France requires that Safran S.A. purchase Advanced Composite 3D Parts from a Person other than the Company in connection with a sale by Safran of products or services to the French Armed Forces or to Société Air France, S.A.; </w:t>
      </w:r>
      <w:r>
        <w:rPr>
          <w:rFonts w:ascii="Arial" w:cs="Arial" w:eastAsia="Arial" w:hAnsi="Arial"/>
          <w:sz w:val="22"/>
          <w:szCs w:val="22"/>
          <w:u w:val="single" w:color="auto"/>
          <w:color w:val="auto"/>
        </w:rPr>
        <w:t>provided</w:t>
      </w:r>
      <w:r>
        <w:rPr>
          <w:rFonts w:ascii="Arial" w:cs="Arial" w:eastAsia="Arial" w:hAnsi="Arial"/>
          <w:sz w:val="22"/>
          <w:szCs w:val="22"/>
          <w:color w:val="auto"/>
        </w:rPr>
        <w:t>, that Safran S.A. shall have used commercially reasonable efforts to permit such preforms to be sourced from the Company; or</w:t>
      </w:r>
    </w:p>
    <w:p>
      <w:pPr>
        <w:spacing w:after="0" w:line="76" w:lineRule="exact"/>
        <w:rPr>
          <w:rFonts w:ascii="Arial" w:cs="Arial" w:eastAsia="Arial" w:hAnsi="Arial"/>
          <w:sz w:val="22"/>
          <w:szCs w:val="22"/>
          <w:color w:val="auto"/>
        </w:rPr>
      </w:pPr>
    </w:p>
    <w:p>
      <w:pPr>
        <w:ind w:right="20" w:firstLine="404"/>
        <w:spacing w:after="0" w:line="238" w:lineRule="auto"/>
        <w:tabs>
          <w:tab w:leader="none" w:pos="690" w:val="left"/>
        </w:tabs>
        <w:numPr>
          <w:ilvl w:val="0"/>
          <w:numId w:val="109"/>
        </w:numPr>
        <w:rPr>
          <w:rFonts w:ascii="Arial" w:cs="Arial" w:eastAsia="Arial" w:hAnsi="Arial"/>
          <w:sz w:val="22"/>
          <w:szCs w:val="22"/>
          <w:color w:val="auto"/>
        </w:rPr>
      </w:pPr>
      <w:r>
        <w:rPr>
          <w:rFonts w:ascii="Arial" w:cs="Arial" w:eastAsia="Arial" w:hAnsi="Arial"/>
          <w:sz w:val="22"/>
          <w:szCs w:val="22"/>
          <w:color w:val="auto"/>
        </w:rPr>
        <w:t xml:space="preserve">an Existing Supply Agreement by which Safran S.A. continues to be bound requires Safran S.A. to procure Advanced Composite 3D Parts from a Person other than the Company; </w:t>
      </w:r>
      <w:r>
        <w:rPr>
          <w:rFonts w:ascii="Arial" w:cs="Arial" w:eastAsia="Arial" w:hAnsi="Arial"/>
          <w:sz w:val="22"/>
          <w:szCs w:val="22"/>
          <w:u w:val="single" w:color="auto"/>
          <w:color w:val="auto"/>
        </w:rPr>
        <w:t>provided</w:t>
      </w:r>
      <w:r>
        <w:rPr>
          <w:rFonts w:ascii="Arial" w:cs="Arial" w:eastAsia="Arial" w:hAnsi="Arial"/>
          <w:sz w:val="22"/>
          <w:szCs w:val="22"/>
          <w:color w:val="auto"/>
        </w:rPr>
        <w:t>, that Safran S.A. shall not renew or otherwise extend the term of the Existing Supply Agreement and shall use its commercially reasonable efforts to promptly terminate the Existing Supply Agreement.</w:t>
      </w:r>
    </w:p>
    <w:p>
      <w:pPr>
        <w:spacing w:after="0" w:line="185"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 xml:space="preserve">For the avoidance of doubt, (x) this </w:t>
      </w:r>
      <w:r>
        <w:rPr>
          <w:rFonts w:ascii="Arial" w:cs="Arial" w:eastAsia="Arial" w:hAnsi="Arial"/>
          <w:sz w:val="19"/>
          <w:szCs w:val="19"/>
          <w:u w:val="single" w:color="auto"/>
          <w:color w:val="auto"/>
        </w:rPr>
        <w:t>Section 12.01</w:t>
      </w:r>
      <w:r>
        <w:rPr>
          <w:rFonts w:ascii="Arial" w:cs="Arial" w:eastAsia="Arial" w:hAnsi="Arial"/>
          <w:sz w:val="19"/>
          <w:szCs w:val="19"/>
          <w:color w:val="auto"/>
        </w:rPr>
        <w:t xml:space="preserve"> shall not apply to the design, manufacture or supply to Safran S.A. by any Person other than the Company of parts for non-3D woven preforms and composites for any applications and (y) Safran will remain free to source parts from another supplier for non 3D-woven preforms and composites for any applications.</w:t>
      </w:r>
    </w:p>
    <w:p>
      <w:pPr>
        <w:spacing w:after="0" w:line="134" w:lineRule="exact"/>
        <w:rPr>
          <w:sz w:val="20"/>
          <w:szCs w:val="20"/>
          <w:color w:val="auto"/>
        </w:rPr>
      </w:pPr>
    </w:p>
    <w:p>
      <w:pPr>
        <w:ind w:right="40" w:firstLine="396"/>
        <w:spacing w:after="0" w:line="270" w:lineRule="auto"/>
        <w:rPr>
          <w:sz w:val="20"/>
          <w:szCs w:val="20"/>
          <w:color w:val="auto"/>
        </w:rPr>
      </w:pPr>
      <w:r>
        <w:rPr>
          <w:rFonts w:ascii="Arial" w:cs="Arial" w:eastAsia="Arial" w:hAnsi="Arial"/>
          <w:sz w:val="19"/>
          <w:szCs w:val="19"/>
          <w:color w:val="auto"/>
        </w:rPr>
        <w:t xml:space="preserve">Section 12.02. </w:t>
      </w:r>
      <w:r>
        <w:rPr>
          <w:rFonts w:ascii="Arial" w:cs="Arial" w:eastAsia="Arial" w:hAnsi="Arial"/>
          <w:sz w:val="19"/>
          <w:szCs w:val="19"/>
          <w:u w:val="single" w:color="auto"/>
          <w:color w:val="auto"/>
        </w:rPr>
        <w:t>Non-Competition</w:t>
      </w:r>
      <w:r>
        <w:rPr>
          <w:rFonts w:ascii="Arial" w:cs="Arial" w:eastAsia="Arial" w:hAnsi="Arial"/>
          <w:sz w:val="19"/>
          <w:szCs w:val="19"/>
          <w:color w:val="auto"/>
        </w:rPr>
        <w:t xml:space="preserve">. Except as otherwise provided in the Transaction Documents, each of Albany International and Safran S.A. hereby acknowledges and recognizes the highly competitive nature of the businesses of the Company and its Affiliates and accordingly agrees that it will not, and will cause its Affiliates not to, directly or indirectly, engage in the Business. The Company shall not directly or indirectly engage in the Business other than with Safran S.A. or its Affiliates without the approval of the Safran Manager in accordance with </w:t>
      </w:r>
      <w:r>
        <w:rPr>
          <w:rFonts w:ascii="Arial" w:cs="Arial" w:eastAsia="Arial" w:hAnsi="Arial"/>
          <w:sz w:val="19"/>
          <w:szCs w:val="19"/>
          <w:u w:val="single" w:color="auto"/>
          <w:color w:val="auto"/>
        </w:rPr>
        <w:t>Section 5.02(f)</w:t>
      </w:r>
      <w:r>
        <w:rPr>
          <w:rFonts w:ascii="Arial" w:cs="Arial" w:eastAsia="Arial" w:hAnsi="Arial"/>
          <w:sz w:val="19"/>
          <w:szCs w:val="19"/>
          <w:color w:val="auto"/>
        </w:rPr>
        <w:t xml:space="preserve">, as applicable. Notwithstanding the foregoing or anything to the contrary in this Agreement, (a) Albany International and its Affiliates may engage in any of the activities contemplated by the Albany Permitted Contracts to the extent required pursuant to the applicable Albany Permitted Contract, (b) Safran S.A. and its Affiliates may engage in any of the activities contemplated by the Safran Permitted Contracts to the extent required pursuant to the applicable Safran Permitted Contract, (c) without limiting </w:t>
      </w:r>
      <w:r>
        <w:rPr>
          <w:rFonts w:ascii="Arial" w:cs="Arial" w:eastAsia="Arial" w:hAnsi="Arial"/>
          <w:sz w:val="19"/>
          <w:szCs w:val="19"/>
          <w:u w:val="single" w:color="auto"/>
          <w:color w:val="auto"/>
        </w:rPr>
        <w:t>Section 12.01</w:t>
      </w:r>
      <w:r>
        <w:rPr>
          <w:rFonts w:ascii="Arial" w:cs="Arial" w:eastAsia="Arial" w:hAnsi="Arial"/>
          <w:sz w:val="19"/>
          <w:szCs w:val="19"/>
          <w:color w:val="auto"/>
        </w:rPr>
        <w:t xml:space="preserve">, the prohibitions in this </w:t>
      </w:r>
      <w:r>
        <w:rPr>
          <w:rFonts w:ascii="Arial" w:cs="Arial" w:eastAsia="Arial" w:hAnsi="Arial"/>
          <w:sz w:val="19"/>
          <w:szCs w:val="19"/>
          <w:u w:val="single" w:color="auto"/>
          <w:color w:val="auto"/>
        </w:rPr>
        <w:t>Section 12.02</w:t>
      </w:r>
      <w:r>
        <w:rPr>
          <w:rFonts w:ascii="Arial" w:cs="Arial" w:eastAsia="Arial" w:hAnsi="Arial"/>
          <w:sz w:val="19"/>
          <w:szCs w:val="19"/>
          <w:color w:val="auto"/>
        </w:rPr>
        <w:t xml:space="preserve"> shall not apply to any acquisition by Safran S.A. or any of its Affiliates of all or a portion of the equity interests in any Person engaged in the Business (any such Person, a “</w:t>
      </w:r>
      <w:r>
        <w:rPr>
          <w:rFonts w:ascii="Arial" w:cs="Arial" w:eastAsia="Arial" w:hAnsi="Arial"/>
          <w:sz w:val="19"/>
          <w:szCs w:val="19"/>
          <w:u w:val="single" w:color="auto"/>
          <w:color w:val="auto"/>
        </w:rPr>
        <w:t>Competing Entity</w:t>
      </w:r>
      <w:r>
        <w:rPr>
          <w:rFonts w:ascii="Arial" w:cs="Arial" w:eastAsia="Arial" w:hAnsi="Arial"/>
          <w:sz w:val="19"/>
          <w:szCs w:val="19"/>
          <w:color w:val="auto"/>
        </w:rPr>
        <w:t xml:space="preserve">”) if the revenues of such Competing Entity attributable to the Business represent no more than thirty percent (30%) of the aggregate consolidated revenues of such Competing Entity for such Competing Entity’s most recently completed fiscal year; </w:t>
      </w:r>
      <w:r>
        <w:rPr>
          <w:rFonts w:ascii="Arial" w:cs="Arial" w:eastAsia="Arial" w:hAnsi="Arial"/>
          <w:sz w:val="19"/>
          <w:szCs w:val="19"/>
          <w:u w:val="single" w:color="auto"/>
          <w:color w:val="auto"/>
        </w:rPr>
        <w:t>provided</w:t>
      </w:r>
      <w:r>
        <w:rPr>
          <w:rFonts w:ascii="Arial" w:cs="Arial" w:eastAsia="Arial" w:hAnsi="Arial"/>
          <w:sz w:val="19"/>
          <w:szCs w:val="19"/>
          <w:color w:val="auto"/>
        </w:rPr>
        <w:t>, in the case of this clause (c), that Safran S.A. shall promptly (i) notify Albany in writing of the entry into any definitive agreement in respect of any acquisition of a Competing Entity and (ii) if so requested by Albany within sixty (60) days following Albany’s receipt of such written notice, participate in good faith negotiations with Albany to facilitate the acquisition by Albany, the Company, or any of their respective Affiliates of all or a portion of the assets of the Competing Entity relating to the Business (such assets, the “</w:t>
      </w:r>
      <w:r>
        <w:rPr>
          <w:rFonts w:ascii="Arial" w:cs="Arial" w:eastAsia="Arial" w:hAnsi="Arial"/>
          <w:sz w:val="19"/>
          <w:szCs w:val="19"/>
          <w:u w:val="single" w:color="auto"/>
          <w:color w:val="auto"/>
        </w:rPr>
        <w:t>Competing Assets</w:t>
      </w:r>
      <w:r>
        <w:rPr>
          <w:rFonts w:ascii="Arial" w:cs="Arial" w:eastAsia="Arial" w:hAnsi="Arial"/>
          <w:sz w:val="19"/>
          <w:szCs w:val="19"/>
          <w:color w:val="auto"/>
        </w:rPr>
        <w:t xml:space="preserve">”) on terms to be agreed between Albany and Safran S.A.;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if Albany determines not to acquire, and not to cause any of its Affiliates or the Company or any of the Company’s Affiliates to acquire,</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929" w:right="259" w:bottom="1440" w:gutter="0" w:footer="0" w:header="0"/>
        </w:sectPr>
      </w:pPr>
    </w:p>
    <w:bookmarkStart w:id="161" w:name="page162"/>
    <w:bookmarkEnd w:id="161"/>
    <w:p>
      <w:pPr>
        <w:ind w:right="180"/>
        <w:spacing w:after="0" w:line="246" w:lineRule="auto"/>
        <w:rPr>
          <w:sz w:val="20"/>
          <w:szCs w:val="20"/>
          <w:color w:val="auto"/>
        </w:rPr>
      </w:pPr>
      <w:r>
        <w:rPr>
          <w:rFonts w:ascii="Arial" w:cs="Arial" w:eastAsia="Arial" w:hAnsi="Arial"/>
          <w:sz w:val="21"/>
          <w:szCs w:val="21"/>
          <w:color w:val="auto"/>
        </w:rPr>
        <w:t>the Competing Assets, Safran S.A. shall use its best efforts, as soon as reasonably practicable following (and in any event within twenty-four (24) months of) Safran S.A.’s receipt of written notice from Albany of Albany’s determination not to so acquire or cause the acquisition of the Competing Assets, to (x) sell or otherwise dispose of the Competing Assets or (y) cease and discontinue the design, development and manufacturing of Advanced Composite 3D Parts within the Agreed Space by the Competing Entity. Notwithstanding anything to the contrary in this Agreement, Albany International and its Affiliates will remain free to develop and supply (A) non 3D-woven preforms and parts derived from non 3D-woven composites for aerospace applications in any thrust class for other aerospace companies and (B) 3D-woven preforms and parts to customers for any applications outside the Agreed Space.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XIII</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MISCELLANEOUS</w:t>
      </w:r>
    </w:p>
    <w:p>
      <w:pPr>
        <w:spacing w:after="0" w:line="206" w:lineRule="exact"/>
        <w:rPr>
          <w:sz w:val="20"/>
          <w:szCs w:val="20"/>
          <w:color w:val="auto"/>
        </w:rPr>
      </w:pPr>
    </w:p>
    <w:p>
      <w:pPr>
        <w:ind w:firstLine="396"/>
        <w:spacing w:after="0" w:line="272" w:lineRule="auto"/>
        <w:rPr>
          <w:sz w:val="20"/>
          <w:szCs w:val="20"/>
          <w:color w:val="auto"/>
        </w:rPr>
      </w:pPr>
      <w:r>
        <w:rPr>
          <w:rFonts w:ascii="Arial" w:cs="Arial" w:eastAsia="Arial" w:hAnsi="Arial"/>
          <w:sz w:val="19"/>
          <w:szCs w:val="19"/>
          <w:color w:val="auto"/>
        </w:rPr>
        <w:t xml:space="preserve">Section 13.01. </w:t>
      </w:r>
      <w:r>
        <w:rPr>
          <w:rFonts w:ascii="Arial" w:cs="Arial" w:eastAsia="Arial" w:hAnsi="Arial"/>
          <w:sz w:val="19"/>
          <w:szCs w:val="19"/>
          <w:u w:val="single" w:color="auto"/>
          <w:color w:val="auto"/>
        </w:rPr>
        <w:t>Notices</w:t>
      </w:r>
      <w:r>
        <w:rPr>
          <w:rFonts w:ascii="Arial" w:cs="Arial" w:eastAsia="Arial" w:hAnsi="Arial"/>
          <w:sz w:val="19"/>
          <w:szCs w:val="19"/>
          <w:color w:val="auto"/>
        </w:rPr>
        <w:t xml:space="preserve">. In the event a notice or other document is required to be sent hereunder to the Company, the Board or to any Party, such notice or other document shall be in writing and shall be considered given and received, in all respects when personally delivered, or when sent by express or courier service or United States registered or certified mail, return receipt requested and postage and other fees prepaid, or by electronic mail, on the day such notice or document is personally delivered or delivered by electronic mail or on the third Business Day following the day on which such notice or other document is deposited in the mail or delivered to any such commercial delivery service as aforesaid. Any notice and document shall be addressed: (i) if to the Board or the Company, to 85 Innovation Drive, Rochester, New Hampshire 03867; (ii) if to such Party entitled to receive such notice or other document at the addresses shown on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hereto or at such other address as any such Party shall request in a written notice sent to the Company. The Company or any Party or their respective legal representatives may effect a change of address for purposes of this Agreement by giving written notice of such change to the Company, and the Company shall, upon the request of any Party, notify such Party of such change in the manner provided herein. Until such notice of change of address is properly given, the addresses set forth herein shall be effective for all purposes.</w:t>
      </w:r>
    </w:p>
    <w:p>
      <w:pPr>
        <w:spacing w:after="0" w:line="54" w:lineRule="exact"/>
        <w:rPr>
          <w:sz w:val="20"/>
          <w:szCs w:val="20"/>
          <w:color w:val="auto"/>
        </w:rPr>
      </w:pPr>
    </w:p>
    <w:p>
      <w:pPr>
        <w:ind w:right="180" w:firstLine="396"/>
        <w:spacing w:after="0" w:line="272" w:lineRule="auto"/>
        <w:rPr>
          <w:sz w:val="20"/>
          <w:szCs w:val="20"/>
          <w:color w:val="auto"/>
        </w:rPr>
      </w:pPr>
      <w:r>
        <w:rPr>
          <w:rFonts w:ascii="Arial" w:cs="Arial" w:eastAsia="Arial" w:hAnsi="Arial"/>
          <w:sz w:val="19"/>
          <w:szCs w:val="19"/>
          <w:color w:val="auto"/>
        </w:rPr>
        <w:t xml:space="preserve">Section 13.02. </w:t>
      </w:r>
      <w:r>
        <w:rPr>
          <w:rFonts w:ascii="Arial" w:cs="Arial" w:eastAsia="Arial" w:hAnsi="Arial"/>
          <w:sz w:val="19"/>
          <w:szCs w:val="19"/>
          <w:u w:val="single" w:color="auto"/>
          <w:color w:val="auto"/>
        </w:rPr>
        <w:t>Publicity and Confidentiality</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Article XII</w:t>
      </w:r>
      <w:r>
        <w:rPr>
          <w:rFonts w:ascii="Arial" w:cs="Arial" w:eastAsia="Arial" w:hAnsi="Arial"/>
          <w:sz w:val="19"/>
          <w:szCs w:val="19"/>
          <w:color w:val="auto"/>
        </w:rPr>
        <w:t xml:space="preserve">, each Member agrees that it shall (and shall cause its Affiliates to) keep confidential, and shall not disclose to any third Person or use for its own benefit, without prior approval of the Board, any non-public information with respect to the Company or its Subsidiaries (including any Person in which the Company holds, or contemplates acquiring, an investment) that is in such Member’s or any of its Affiliate’s possession on the Agreement Date or disclosed after the date of this Agreement to such Member or any of its Affiliates by or on behalf of the Company or its Subsidiaries;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each Member or any such Affiliate may disclose any such information (i) as has become generally available to the public, was or has come into such Member’s or such Affiliate’s possession on a non-confidential basis, without a breach of any confidentiality obligations by the Person disclosing such information, or has been independently developed by such Member or any such Affiliate, without use of the non-public information, (ii) to its Affiliates, directors, managers, officers, representatives, agents and employees and professional advisers who need to know such information and agree to keep it confidential on terms consistent with this </w:t>
      </w:r>
      <w:r>
        <w:rPr>
          <w:rFonts w:ascii="Arial" w:cs="Arial" w:eastAsia="Arial" w:hAnsi="Arial"/>
          <w:sz w:val="19"/>
          <w:szCs w:val="19"/>
          <w:u w:val="single" w:color="auto"/>
          <w:color w:val="auto"/>
        </w:rPr>
        <w:t>Section 13.02</w:t>
      </w:r>
      <w:r>
        <w:rPr>
          <w:rFonts w:ascii="Arial" w:cs="Arial" w:eastAsia="Arial" w:hAnsi="Arial"/>
          <w:sz w:val="19"/>
          <w:szCs w:val="19"/>
          <w:color w:val="auto"/>
        </w:rPr>
        <w:t>, (iii) to potential transferees of their Membership Units, in each case who have agreed to keep such information confidential on terms consistent with this</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162" w:name="page163"/>
    <w:bookmarkEnd w:id="162"/>
    <w:p>
      <w:pPr>
        <w:ind w:right="40"/>
        <w:spacing w:after="0" w:line="272" w:lineRule="auto"/>
        <w:rPr>
          <w:sz w:val="20"/>
          <w:szCs w:val="20"/>
          <w:color w:val="auto"/>
        </w:rPr>
      </w:pPr>
      <w:r>
        <w:rPr>
          <w:rFonts w:ascii="Arial" w:cs="Arial" w:eastAsia="Arial" w:hAnsi="Arial"/>
          <w:sz w:val="19"/>
          <w:szCs w:val="19"/>
          <w:u w:val="single" w:color="auto"/>
          <w:color w:val="auto"/>
        </w:rPr>
        <w:t>Section 13.02</w:t>
      </w:r>
      <w:r>
        <w:rPr>
          <w:rFonts w:ascii="Arial" w:cs="Arial" w:eastAsia="Arial" w:hAnsi="Arial"/>
          <w:sz w:val="19"/>
          <w:szCs w:val="19"/>
          <w:color w:val="auto"/>
        </w:rPr>
        <w:t>, (iv) to the extent necessary in order to comply with any Law applicable to such Member or its Affiliates, or to a regulatory agency with applicable jurisdiction, or (v) as may be required in response to any summons or subpoena or in connection with any litigation or arbitration, it being agreed that, unless such information has been generally available to the public, if such information is being requested pursuant to a summons or subpoena or a discovery request in connection with a litigation, then (x) such Member shall give the Company notice of such request and shall cooperate with the Company at the Company’s request so that the Company may, in its discretion, seek a protective order or other appropriate remedy, if available, and (y) in the event that such protective order is not obtained (or sought by the Company after notice), such Member (a) shall furnish only that portion of the information which, in accordance with the advice of counsel, is legally required to be furnished and (b) will exercise its reasonable efforts to obtain assurances that confidential treatment will be accorded such information. No news releases, public announcements, advertisements or other publicity shall be released by any Party or its Affiliates concerning the Company, the Business or any activities related thereto without the prior written approval of the other Parties (such approval not to be unreasonably conditioned, delayed or withheld), except to the extent necessary in order to comply with any Law applicable to such Party or its Affiliates, or to a regulatory agency with applicable jurisdiction.</w:t>
      </w:r>
    </w:p>
    <w:p>
      <w:pPr>
        <w:spacing w:after="0" w:line="157" w:lineRule="exact"/>
        <w:rPr>
          <w:sz w:val="20"/>
          <w:szCs w:val="20"/>
          <w:color w:val="auto"/>
        </w:rPr>
      </w:pPr>
    </w:p>
    <w:p>
      <w:pPr>
        <w:ind w:right="220" w:firstLine="396"/>
        <w:spacing w:after="0" w:line="238" w:lineRule="auto"/>
        <w:rPr>
          <w:sz w:val="20"/>
          <w:szCs w:val="20"/>
          <w:color w:val="auto"/>
        </w:rPr>
      </w:pPr>
      <w:r>
        <w:rPr>
          <w:rFonts w:ascii="Arial" w:cs="Arial" w:eastAsia="Arial" w:hAnsi="Arial"/>
          <w:sz w:val="22"/>
          <w:szCs w:val="22"/>
          <w:color w:val="auto"/>
        </w:rPr>
        <w:t xml:space="preserve">Section 13.03. </w:t>
      </w:r>
      <w:r>
        <w:rPr>
          <w:rFonts w:ascii="Arial" w:cs="Arial" w:eastAsia="Arial" w:hAnsi="Arial"/>
          <w:sz w:val="22"/>
          <w:szCs w:val="22"/>
          <w:u w:val="single" w:color="auto"/>
          <w:color w:val="auto"/>
        </w:rPr>
        <w:t>Amendments</w:t>
      </w:r>
      <w:r>
        <w:rPr>
          <w:rFonts w:ascii="Arial" w:cs="Arial" w:eastAsia="Arial" w:hAnsi="Arial"/>
          <w:sz w:val="22"/>
          <w:szCs w:val="22"/>
          <w:color w:val="auto"/>
        </w:rPr>
        <w:t xml:space="preserve">. Except as provided in </w:t>
      </w:r>
      <w:r>
        <w:rPr>
          <w:rFonts w:ascii="Arial" w:cs="Arial" w:eastAsia="Arial" w:hAnsi="Arial"/>
          <w:sz w:val="22"/>
          <w:szCs w:val="22"/>
          <w:u w:val="single" w:color="auto"/>
          <w:color w:val="auto"/>
        </w:rPr>
        <w:t>Section 2.02(c)</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3.02(c)</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3.04</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3.06</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7.01(c)</w:t>
      </w:r>
      <w:r>
        <w:rPr>
          <w:rFonts w:ascii="Arial" w:cs="Arial" w:eastAsia="Arial" w:hAnsi="Arial"/>
          <w:sz w:val="22"/>
          <w:szCs w:val="22"/>
          <w:color w:val="auto"/>
        </w:rPr>
        <w:t xml:space="preserve">, the terms and provisions of this Agreement may be modified or amended at any time and from time to time only by unanimous approval of the Board in accordance with </w:t>
      </w:r>
      <w:r>
        <w:rPr>
          <w:rFonts w:ascii="Arial" w:cs="Arial" w:eastAsia="Arial" w:hAnsi="Arial"/>
          <w:sz w:val="22"/>
          <w:szCs w:val="22"/>
          <w:u w:val="single" w:color="auto"/>
          <w:color w:val="auto"/>
        </w:rPr>
        <w:t>Section 5.02(j)</w:t>
      </w:r>
      <w:r>
        <w:rPr>
          <w:rFonts w:ascii="Arial" w:cs="Arial" w:eastAsia="Arial" w:hAnsi="Arial"/>
          <w:sz w:val="22"/>
          <w:szCs w:val="22"/>
          <w:color w:val="auto"/>
        </w:rPr>
        <w:t>. All Members shall receive notice of any amendment to this Agreement.</w:t>
      </w:r>
    </w:p>
    <w:p>
      <w:pPr>
        <w:spacing w:after="0" w:line="77" w:lineRule="exact"/>
        <w:rPr>
          <w:sz w:val="20"/>
          <w:szCs w:val="20"/>
          <w:color w:val="auto"/>
        </w:rPr>
      </w:pPr>
    </w:p>
    <w:p>
      <w:pPr>
        <w:ind w:left="400"/>
        <w:spacing w:after="0"/>
        <w:rPr>
          <w:sz w:val="20"/>
          <w:szCs w:val="20"/>
          <w:color w:val="auto"/>
        </w:rPr>
      </w:pPr>
      <w:r>
        <w:rPr>
          <w:rFonts w:ascii="Arial" w:cs="Arial" w:eastAsia="Arial" w:hAnsi="Arial"/>
          <w:sz w:val="22"/>
          <w:szCs w:val="22"/>
          <w:color w:val="auto"/>
        </w:rPr>
        <w:t xml:space="preserve">Section 13.04. </w:t>
      </w:r>
      <w:r>
        <w:rPr>
          <w:rFonts w:ascii="Arial" w:cs="Arial" w:eastAsia="Arial" w:hAnsi="Arial"/>
          <w:sz w:val="22"/>
          <w:szCs w:val="22"/>
          <w:u w:val="single" w:color="auto"/>
          <w:color w:val="auto"/>
        </w:rPr>
        <w:t>Governing Law; Jurisdiction</w:t>
      </w:r>
      <w:r>
        <w:rPr>
          <w:rFonts w:ascii="Arial" w:cs="Arial" w:eastAsia="Arial" w:hAnsi="Arial"/>
          <w:sz w:val="22"/>
          <w:szCs w:val="22"/>
          <w:color w:val="auto"/>
        </w:rPr>
        <w:t>.</w:t>
      </w:r>
    </w:p>
    <w:p>
      <w:pPr>
        <w:spacing w:after="0" w:line="98" w:lineRule="exact"/>
        <w:rPr>
          <w:sz w:val="20"/>
          <w:szCs w:val="20"/>
          <w:color w:val="auto"/>
        </w:rPr>
      </w:pPr>
    </w:p>
    <w:p>
      <w:pPr>
        <w:ind w:firstLine="404"/>
        <w:spacing w:after="0" w:line="274" w:lineRule="auto"/>
        <w:tabs>
          <w:tab w:leader="none" w:pos="690" w:val="left"/>
        </w:tabs>
        <w:numPr>
          <w:ilvl w:val="0"/>
          <w:numId w:val="110"/>
        </w:numPr>
        <w:rPr>
          <w:rFonts w:ascii="Arial" w:cs="Arial" w:eastAsia="Arial" w:hAnsi="Arial"/>
          <w:sz w:val="19"/>
          <w:szCs w:val="19"/>
          <w:color w:val="auto"/>
        </w:rPr>
      </w:pPr>
      <w:r>
        <w:rPr>
          <w:rFonts w:ascii="Arial" w:cs="Arial" w:eastAsia="Arial" w:hAnsi="Arial"/>
          <w:sz w:val="19"/>
          <w:szCs w:val="19"/>
          <w:color w:val="auto"/>
        </w:rPr>
        <w:t>This Agreement and any dispute arising out of, relating to or in connection with this agreement, shall be construed (both as to validity and performance), interpreted and enforced in accordance with the Laws of the State of Delaware, without regard to any conflicts of law provisions thereof that would result in the application of the Laws of any other jurisdiction. This Agreement shall be construed in accordance with Section 18-1101 of the Act. Any action against any Party relating to the foregoing shall be brought exclusively in the Chancery Court of the State of Delaware located in Wilmington, Delaware (or, if the Chancery Court of the State of Delaware declines to accept jurisdiction over a particular matter, any state court located in Wilmington, Delaware or the United States District Court for the District of Delaware) and appellate courts thereof. The Parties hereby irrevocably waive, to the fullest extent permitted by applicable Law, any objection that they may now or hereafter have to the laying of venue of any such action brought in such court or any defense of inconvenient forum for the maintenance of such action.</w:t>
      </w:r>
    </w:p>
    <w:p>
      <w:pPr>
        <w:spacing w:after="0" w:line="50" w:lineRule="exact"/>
        <w:rPr>
          <w:rFonts w:ascii="Arial" w:cs="Arial" w:eastAsia="Arial" w:hAnsi="Arial"/>
          <w:sz w:val="19"/>
          <w:szCs w:val="19"/>
          <w:color w:val="auto"/>
        </w:rPr>
      </w:pPr>
    </w:p>
    <w:p>
      <w:pPr>
        <w:ind w:right="100" w:firstLine="404"/>
        <w:spacing w:after="0" w:line="235" w:lineRule="auto"/>
        <w:tabs>
          <w:tab w:leader="none" w:pos="702" w:val="left"/>
        </w:tabs>
        <w:numPr>
          <w:ilvl w:val="0"/>
          <w:numId w:val="110"/>
        </w:numPr>
        <w:rPr>
          <w:rFonts w:ascii="Arial" w:cs="Arial" w:eastAsia="Arial" w:hAnsi="Arial"/>
          <w:sz w:val="22"/>
          <w:szCs w:val="22"/>
          <w:color w:val="auto"/>
        </w:rPr>
      </w:pPr>
      <w:r>
        <w:rPr>
          <w:rFonts w:ascii="Arial" w:cs="Arial" w:eastAsia="Arial" w:hAnsi="Arial"/>
          <w:sz w:val="22"/>
          <w:szCs w:val="22"/>
          <w:color w:val="auto"/>
        </w:rPr>
        <w:t xml:space="preserve">Except as otherwise set forth in this </w:t>
      </w:r>
      <w:r>
        <w:rPr>
          <w:rFonts w:ascii="Arial" w:cs="Arial" w:eastAsia="Arial" w:hAnsi="Arial"/>
          <w:sz w:val="22"/>
          <w:szCs w:val="22"/>
          <w:u w:val="single" w:color="auto"/>
          <w:color w:val="auto"/>
        </w:rPr>
        <w:t>Section 13.04(b)</w:t>
      </w:r>
      <w:r>
        <w:rPr>
          <w:rFonts w:ascii="Arial" w:cs="Arial" w:eastAsia="Arial" w:hAnsi="Arial"/>
          <w:sz w:val="22"/>
          <w:szCs w:val="22"/>
          <w:color w:val="auto"/>
        </w:rPr>
        <w:t xml:space="preserve">, each Party agrees that service of summons and complaint or any other process that might be served in any action may be made on such Party by sending or delivering a copy of the process to such Party by registered mail, return receipt requested, at the address provided for the giving of notices to such Party in </w:t>
      </w:r>
      <w:r>
        <w:rPr>
          <w:rFonts w:ascii="Arial" w:cs="Arial" w:eastAsia="Arial" w:hAnsi="Arial"/>
          <w:sz w:val="22"/>
          <w:szCs w:val="22"/>
          <w:u w:val="single" w:color="auto"/>
          <w:color w:val="auto"/>
        </w:rPr>
        <w:t>Section 13.01</w:t>
      </w:r>
      <w:r>
        <w:rPr>
          <w:rFonts w:ascii="Arial" w:cs="Arial" w:eastAsia="Arial" w:hAnsi="Arial"/>
          <w:sz w:val="22"/>
          <w:szCs w:val="22"/>
          <w:color w:val="auto"/>
        </w:rPr>
        <w:t>. Safran S.A. hereby appoints Safran (the “</w:t>
      </w:r>
      <w:r>
        <w:rPr>
          <w:rFonts w:ascii="Arial" w:cs="Arial" w:eastAsia="Arial" w:hAnsi="Arial"/>
          <w:sz w:val="22"/>
          <w:szCs w:val="22"/>
          <w:u w:val="single" w:color="auto"/>
          <w:color w:val="auto"/>
        </w:rPr>
        <w:t>Safran Authorized Agent</w:t>
      </w:r>
      <w:r>
        <w:rPr>
          <w:rFonts w:ascii="Arial" w:cs="Arial" w:eastAsia="Arial" w:hAnsi="Arial"/>
          <w:sz w:val="22"/>
          <w:szCs w:val="22"/>
          <w:color w:val="auto"/>
        </w:rPr>
        <w:t>”) as its authorized agent, upon whom service of summons and complaint or any other process that might be served in any action may be made by sending or delivering a copy of the process to the</w:t>
      </w:r>
    </w:p>
    <w:p>
      <w:pPr>
        <w:spacing w:after="0" w:line="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929" w:right="279" w:bottom="1440" w:gutter="0" w:footer="0" w:header="0"/>
        </w:sectPr>
      </w:pPr>
    </w:p>
    <w:bookmarkStart w:id="163" w:name="page164"/>
    <w:bookmarkEnd w:id="163"/>
    <w:p>
      <w:pPr>
        <w:ind w:right="20"/>
        <w:spacing w:after="0" w:line="279" w:lineRule="auto"/>
        <w:rPr>
          <w:sz w:val="20"/>
          <w:szCs w:val="20"/>
          <w:color w:val="auto"/>
        </w:rPr>
      </w:pPr>
      <w:r>
        <w:rPr>
          <w:rFonts w:ascii="Arial" w:cs="Arial" w:eastAsia="Arial" w:hAnsi="Arial"/>
          <w:sz w:val="19"/>
          <w:szCs w:val="19"/>
          <w:color w:val="auto"/>
        </w:rPr>
        <w:t xml:space="preserve">Safran Authorized Agent by registered mail, return receipt requested, at the following address (or at such other address as Safran S.A. shall request in a written notice sent to the Company): CT Corporation System, 9 Capitol Street, Concord, New Hampshire 03301. Safran S.A. hereby agrees to take any and all action, including the filing of any and all documents that may be necessary to establish and continue such appointment in full force and effect as aforesaid. Safran S.A. hereby agrees that service of process upon the Safran Authorized Agent shall be, in every respect, effective service of process upon Safran S.A.. Nothing in this </w:t>
      </w:r>
      <w:r>
        <w:rPr>
          <w:rFonts w:ascii="Arial" w:cs="Arial" w:eastAsia="Arial" w:hAnsi="Arial"/>
          <w:sz w:val="19"/>
          <w:szCs w:val="19"/>
          <w:u w:val="single" w:color="auto"/>
          <w:color w:val="auto"/>
        </w:rPr>
        <w:t>Section 13.04</w:t>
      </w:r>
      <w:r>
        <w:rPr>
          <w:rFonts w:ascii="Arial" w:cs="Arial" w:eastAsia="Arial" w:hAnsi="Arial"/>
          <w:sz w:val="19"/>
          <w:szCs w:val="19"/>
          <w:color w:val="auto"/>
        </w:rPr>
        <w:t xml:space="preserve"> shall affect the right of any Party to serve legal process in any other manner permitted by Law.</w:t>
      </w:r>
    </w:p>
    <w:p>
      <w:pPr>
        <w:spacing w:after="0" w:line="151" w:lineRule="exact"/>
        <w:rPr>
          <w:sz w:val="20"/>
          <w:szCs w:val="20"/>
          <w:color w:val="auto"/>
        </w:rPr>
      </w:pPr>
    </w:p>
    <w:p>
      <w:pPr>
        <w:ind w:right="260" w:firstLine="396"/>
        <w:spacing w:after="0" w:line="244" w:lineRule="auto"/>
        <w:rPr>
          <w:sz w:val="20"/>
          <w:szCs w:val="20"/>
          <w:color w:val="auto"/>
        </w:rPr>
      </w:pPr>
      <w:r>
        <w:rPr>
          <w:rFonts w:ascii="Arial" w:cs="Arial" w:eastAsia="Arial" w:hAnsi="Arial"/>
          <w:sz w:val="21"/>
          <w:szCs w:val="21"/>
          <w:color w:val="auto"/>
        </w:rPr>
        <w:t xml:space="preserve">Section 13.05. </w:t>
      </w:r>
      <w:r>
        <w:rPr>
          <w:rFonts w:ascii="Arial" w:cs="Arial" w:eastAsia="Arial" w:hAnsi="Arial"/>
          <w:sz w:val="21"/>
          <w:szCs w:val="21"/>
          <w:u w:val="single" w:color="auto"/>
          <w:color w:val="auto"/>
        </w:rPr>
        <w:t>Waiver of Jury Trial</w:t>
      </w:r>
      <w:r>
        <w:rPr>
          <w:rFonts w:ascii="Arial" w:cs="Arial" w:eastAsia="Arial" w:hAnsi="Arial"/>
          <w:sz w:val="21"/>
          <w:szCs w:val="21"/>
          <w:color w:val="auto"/>
        </w:rPr>
        <w:t xml:space="preserve">. THE PARTIES ACKNOWLEDGE AND AGREE THAT ANY CONTROVERSY WHICH MAY ARISE UNDER THIS AGREEMENT IS LIKELY TO INVOLVE COMPLICATED AND DIFFICULT ISSUES, AND THEREFORE THE PARTIES HEREBY IRREVOCABLY AND UNCONDITIONALLY WAIVE ANY RIGHT SUCH PARTY MAY HAVE TO A TRIAL BY JURY IN RESPECT OF ANY LITIGATION DIRECTLY OR INDIRECTLY ARISING OUT OF OR RELATING TO THIS AGREEMENT. EACH PARTY CERTIFIES AND ACKNOWLEDGES THAT (A) NO REPRESENTATIVE, AGENT OR ATTORNEY OF ANY OTHER PARTY HERETO HAS REPRESENTED, EXPRESSLY OR OTHERWISE, THAT SUCH OTHER PARTY WOULD NOT, IN THE EVENT OF LITIGATION, SEEK TO ENFORCE THE FOREGOING WAIVER, (B) EACH SUCH PARTY UNDERSTANDS AND HAS CONSIDERED THE IMPLICATIONS OF THIS WAIVER, (C) EACH SUCH PARTY MAKES THIS WAIVER VOLUNTARILY, AND (D) EACH SUCH PARTY HAS BEEN INDUCED TO ENTER INTO THIS AGREEMENT BY, AMONG OTHER THINGS, THE MUTUAL WAIVERS AND CERTIFICATIONS IN THIS </w:t>
      </w:r>
      <w:r>
        <w:rPr>
          <w:rFonts w:ascii="Arial" w:cs="Arial" w:eastAsia="Arial" w:hAnsi="Arial"/>
          <w:sz w:val="21"/>
          <w:szCs w:val="21"/>
          <w:u w:val="single" w:color="auto"/>
          <w:color w:val="auto"/>
        </w:rPr>
        <w:t>SECTION 13.05</w:t>
      </w:r>
      <w:r>
        <w:rPr>
          <w:rFonts w:ascii="Arial" w:cs="Arial" w:eastAsia="Arial" w:hAnsi="Arial"/>
          <w:sz w:val="21"/>
          <w:szCs w:val="21"/>
          <w:color w:val="auto"/>
        </w:rPr>
        <w:t>.</w:t>
      </w:r>
    </w:p>
    <w:p>
      <w:pPr>
        <w:spacing w:after="0" w:line="82" w:lineRule="exact"/>
        <w:rPr>
          <w:sz w:val="20"/>
          <w:szCs w:val="20"/>
          <w:color w:val="auto"/>
        </w:rPr>
      </w:pPr>
    </w:p>
    <w:p>
      <w:pPr>
        <w:jc w:val="both"/>
        <w:ind w:right="640" w:firstLine="396"/>
        <w:spacing w:after="0"/>
        <w:rPr>
          <w:sz w:val="20"/>
          <w:szCs w:val="20"/>
          <w:color w:val="auto"/>
        </w:rPr>
      </w:pPr>
      <w:r>
        <w:rPr>
          <w:rFonts w:ascii="Arial" w:cs="Arial" w:eastAsia="Arial" w:hAnsi="Arial"/>
          <w:sz w:val="22"/>
          <w:szCs w:val="22"/>
          <w:color w:val="auto"/>
        </w:rPr>
        <w:t xml:space="preserve">Section 13.06. </w:t>
      </w: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together with the other Transaction Documents, embodies the entire agreement and understanding of the Parties and supersedes all prior agreements and understandings between the Parties with respect to the subject matter hereof.</w:t>
      </w:r>
    </w:p>
    <w:p>
      <w:pPr>
        <w:spacing w:after="0" w:line="78" w:lineRule="exact"/>
        <w:rPr>
          <w:sz w:val="20"/>
          <w:szCs w:val="20"/>
          <w:color w:val="auto"/>
        </w:rPr>
      </w:pPr>
    </w:p>
    <w:p>
      <w:pPr>
        <w:ind w:right="120" w:firstLine="396"/>
        <w:spacing w:after="0" w:line="326" w:lineRule="auto"/>
        <w:rPr>
          <w:sz w:val="20"/>
          <w:szCs w:val="20"/>
          <w:color w:val="auto"/>
        </w:rPr>
      </w:pPr>
      <w:r>
        <w:rPr>
          <w:rFonts w:ascii="Arial" w:cs="Arial" w:eastAsia="Arial" w:hAnsi="Arial"/>
          <w:sz w:val="19"/>
          <w:szCs w:val="19"/>
          <w:color w:val="auto"/>
        </w:rPr>
        <w:t xml:space="preserve">Section 13.07. </w:t>
      </w:r>
      <w:r>
        <w:rPr>
          <w:rFonts w:ascii="Arial" w:cs="Arial" w:eastAsia="Arial" w:hAnsi="Arial"/>
          <w:sz w:val="19"/>
          <w:szCs w:val="19"/>
          <w:u w:val="single" w:color="auto"/>
          <w:color w:val="auto"/>
        </w:rPr>
        <w:t>Other Instruments and Acts</w:t>
      </w:r>
      <w:r>
        <w:rPr>
          <w:rFonts w:ascii="Arial" w:cs="Arial" w:eastAsia="Arial" w:hAnsi="Arial"/>
          <w:sz w:val="19"/>
          <w:szCs w:val="19"/>
          <w:color w:val="auto"/>
        </w:rPr>
        <w:t>. The Parties agree to execute any other instruments and perform any other acts that are or may be necessary to effectuate and carry on the Company, as determined in good faith by the Board.</w:t>
      </w:r>
    </w:p>
    <w:p>
      <w:pPr>
        <w:spacing w:after="0" w:line="1" w:lineRule="exact"/>
        <w:rPr>
          <w:sz w:val="20"/>
          <w:szCs w:val="20"/>
          <w:color w:val="auto"/>
        </w:rPr>
      </w:pPr>
    </w:p>
    <w:p>
      <w:pPr>
        <w:ind w:right="40" w:firstLine="396"/>
        <w:spacing w:after="0" w:line="247" w:lineRule="auto"/>
        <w:rPr>
          <w:sz w:val="20"/>
          <w:szCs w:val="20"/>
          <w:color w:val="auto"/>
        </w:rPr>
      </w:pPr>
      <w:r>
        <w:rPr>
          <w:rFonts w:ascii="Arial" w:cs="Arial" w:eastAsia="Arial" w:hAnsi="Arial"/>
          <w:sz w:val="21"/>
          <w:szCs w:val="21"/>
          <w:color w:val="auto"/>
        </w:rPr>
        <w:t xml:space="preserve">Section 13.08. </w:t>
      </w:r>
      <w:r>
        <w:rPr>
          <w:rFonts w:ascii="Arial" w:cs="Arial" w:eastAsia="Arial" w:hAnsi="Arial"/>
          <w:sz w:val="21"/>
          <w:szCs w:val="21"/>
          <w:u w:val="single" w:color="auto"/>
          <w:color w:val="auto"/>
        </w:rPr>
        <w:t>Waivers</w:t>
      </w:r>
      <w:r>
        <w:rPr>
          <w:rFonts w:ascii="Arial" w:cs="Arial" w:eastAsia="Arial" w:hAnsi="Arial"/>
          <w:sz w:val="21"/>
          <w:szCs w:val="21"/>
          <w:color w:val="auto"/>
        </w:rPr>
        <w:t>. No waiver of any breach of any of the terms of this Agreement shall be effective unless such waiver is made expressly in writing and executed and delivered by the Party against whom such waiver is claimed. No waiver of any breach shall be deemed to be a further or continuing waiver of such breach or a waiver of any other or subsequent breach. Except as otherwise expressly provided herein, no failure on the part of any Party to exercise, and no delay in exercising, any right, power or remedy hereunder, or otherwise available in respect hereof at law or in equity, shall operate as a waiver thereof, nor shall any single or partial exercise of such right, power or remedy by such Party preclude any other or further exercise thereof, or the exercise of any other right, power or remedy.</w:t>
      </w:r>
    </w:p>
    <w:p>
      <w:pPr>
        <w:spacing w:after="0" w:line="70" w:lineRule="exact"/>
        <w:rPr>
          <w:sz w:val="20"/>
          <w:szCs w:val="20"/>
          <w:color w:val="auto"/>
        </w:rPr>
      </w:pPr>
    </w:p>
    <w:p>
      <w:pPr>
        <w:ind w:firstLine="396"/>
        <w:spacing w:after="0" w:line="274" w:lineRule="auto"/>
        <w:rPr>
          <w:sz w:val="20"/>
          <w:szCs w:val="20"/>
          <w:color w:val="auto"/>
        </w:rPr>
      </w:pPr>
      <w:r>
        <w:rPr>
          <w:rFonts w:ascii="Arial" w:cs="Arial" w:eastAsia="Arial" w:hAnsi="Arial"/>
          <w:sz w:val="21"/>
          <w:szCs w:val="21"/>
          <w:color w:val="auto"/>
        </w:rPr>
        <w:t xml:space="preserve">Section 13.09. </w:t>
      </w:r>
      <w:r>
        <w:rPr>
          <w:rFonts w:ascii="Arial" w:cs="Arial" w:eastAsia="Arial" w:hAnsi="Arial"/>
          <w:sz w:val="21"/>
          <w:szCs w:val="21"/>
          <w:u w:val="single" w:color="auto"/>
          <w:color w:val="auto"/>
        </w:rPr>
        <w:t>Severability</w:t>
      </w:r>
      <w:r>
        <w:rPr>
          <w:rFonts w:ascii="Arial" w:cs="Arial" w:eastAsia="Arial" w:hAnsi="Arial"/>
          <w:sz w:val="21"/>
          <w:szCs w:val="21"/>
          <w:color w:val="auto"/>
        </w:rPr>
        <w:t>. If any provision of this Agreement shall be held to be invalid, illegal or unenforceable, the validity, legality and enforceability of the remaining provisions shall not in any way be affected or impaired thereby.</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29" w:right="239" w:bottom="1440" w:gutter="0" w:footer="0" w:header="0"/>
        </w:sectPr>
      </w:pPr>
    </w:p>
    <w:bookmarkStart w:id="164" w:name="page165"/>
    <w:bookmarkEnd w:id="164"/>
    <w:p>
      <w:pPr>
        <w:ind w:right="160" w:firstLine="396"/>
        <w:spacing w:after="0" w:line="297" w:lineRule="auto"/>
        <w:rPr>
          <w:sz w:val="20"/>
          <w:szCs w:val="20"/>
          <w:color w:val="auto"/>
        </w:rPr>
      </w:pPr>
      <w:r>
        <w:rPr>
          <w:rFonts w:ascii="Arial" w:cs="Arial" w:eastAsia="Arial" w:hAnsi="Arial"/>
          <w:sz w:val="19"/>
          <w:szCs w:val="19"/>
          <w:color w:val="auto"/>
        </w:rPr>
        <w:t xml:space="preserve">Section 13.10. </w:t>
      </w:r>
      <w:r>
        <w:rPr>
          <w:rFonts w:ascii="Arial" w:cs="Arial" w:eastAsia="Arial" w:hAnsi="Arial"/>
          <w:sz w:val="19"/>
          <w:szCs w:val="19"/>
          <w:u w:val="single" w:color="auto"/>
          <w:color w:val="auto"/>
        </w:rPr>
        <w:t>Further Assurances</w:t>
      </w:r>
      <w:r>
        <w:rPr>
          <w:rFonts w:ascii="Arial" w:cs="Arial" w:eastAsia="Arial" w:hAnsi="Arial"/>
          <w:sz w:val="19"/>
          <w:szCs w:val="19"/>
          <w:color w:val="auto"/>
        </w:rPr>
        <w:t>. In connection with this Agreement and the transactions contemplated hereby, each Party shall execute and deliver any additional documents and instruments and perform any additional acts that the Company determines to be necessary or appropriate to effectuate and perform the provisions of this Agreement and those transactions.</w:t>
      </w:r>
    </w:p>
    <w:p>
      <w:pPr>
        <w:spacing w:after="0" w:line="26" w:lineRule="exact"/>
        <w:rPr>
          <w:sz w:val="20"/>
          <w:szCs w:val="20"/>
          <w:color w:val="auto"/>
        </w:rPr>
      </w:pPr>
    </w:p>
    <w:p>
      <w:pPr>
        <w:ind w:firstLine="396"/>
        <w:spacing w:after="0" w:line="235" w:lineRule="auto"/>
        <w:rPr>
          <w:sz w:val="20"/>
          <w:szCs w:val="20"/>
          <w:color w:val="auto"/>
        </w:rPr>
      </w:pPr>
      <w:r>
        <w:rPr>
          <w:rFonts w:ascii="Arial" w:cs="Arial" w:eastAsia="Arial" w:hAnsi="Arial"/>
          <w:sz w:val="22"/>
          <w:szCs w:val="22"/>
          <w:color w:val="auto"/>
        </w:rPr>
        <w:t xml:space="preserve">Section 13.11. </w:t>
      </w:r>
      <w:r>
        <w:rPr>
          <w:rFonts w:ascii="Arial" w:cs="Arial" w:eastAsia="Arial" w:hAnsi="Arial"/>
          <w:sz w:val="22"/>
          <w:szCs w:val="22"/>
          <w:u w:val="single" w:color="auto"/>
          <w:color w:val="auto"/>
        </w:rPr>
        <w:t>No Partnership</w:t>
      </w:r>
      <w:r>
        <w:rPr>
          <w:rFonts w:ascii="Arial" w:cs="Arial" w:eastAsia="Arial" w:hAnsi="Arial"/>
          <w:sz w:val="22"/>
          <w:szCs w:val="22"/>
          <w:color w:val="auto"/>
        </w:rPr>
        <w:t>. The Members intend that the Company not be a partnership (including a limited partnership), joint venture, association or other co-operative entity and nothing in this Agreement nor any other document entered into by the Company or any Member relating to the subject matter hereof and no actions taken by the Parties under this Agreement or any such other document shall constitute a partnership (including a limited partnership), joint venture, association or other co-operative entity between any of the Parties or constitute any Party the agent of any other Party for any purpose, other than for U.S. federal, state and local tax purposes.</w:t>
      </w:r>
    </w:p>
    <w:p>
      <w:pPr>
        <w:spacing w:after="0" w:line="80" w:lineRule="exact"/>
        <w:rPr>
          <w:sz w:val="20"/>
          <w:szCs w:val="20"/>
          <w:color w:val="auto"/>
        </w:rPr>
      </w:pPr>
    </w:p>
    <w:p>
      <w:pPr>
        <w:ind w:right="200" w:firstLine="396"/>
        <w:spacing w:after="0" w:line="258" w:lineRule="auto"/>
        <w:rPr>
          <w:sz w:val="20"/>
          <w:szCs w:val="20"/>
          <w:color w:val="auto"/>
        </w:rPr>
      </w:pPr>
      <w:r>
        <w:rPr>
          <w:rFonts w:ascii="Arial" w:cs="Arial" w:eastAsia="Arial" w:hAnsi="Arial"/>
          <w:sz w:val="21"/>
          <w:szCs w:val="21"/>
          <w:color w:val="auto"/>
        </w:rPr>
        <w:t xml:space="preserve">Section 13.12. </w:t>
      </w:r>
      <w:r>
        <w:rPr>
          <w:rFonts w:ascii="Arial" w:cs="Arial" w:eastAsia="Arial" w:hAnsi="Arial"/>
          <w:sz w:val="21"/>
          <w:szCs w:val="21"/>
          <w:u w:val="single" w:color="auto"/>
          <w:color w:val="auto"/>
        </w:rPr>
        <w:t>Counterparts; Electronic Signatures</w:t>
      </w:r>
      <w:r>
        <w:rPr>
          <w:rFonts w:ascii="Arial" w:cs="Arial" w:eastAsia="Arial" w:hAnsi="Arial"/>
          <w:sz w:val="21"/>
          <w:szCs w:val="21"/>
          <w:color w:val="auto"/>
        </w:rPr>
        <w:t>. This Agreement may be executed in any number of counterparts, each of which shall be deemed an original, but all of which shall constitute one and the same instrument. Facsimile, .pdf and other electronic signatures to this Agreement shall have the same effect as original signatures.</w:t>
      </w:r>
    </w:p>
    <w:p>
      <w:pPr>
        <w:spacing w:after="0" w:line="59" w:lineRule="exact"/>
        <w:rPr>
          <w:sz w:val="20"/>
          <w:szCs w:val="20"/>
          <w:color w:val="auto"/>
        </w:rPr>
      </w:pPr>
    </w:p>
    <w:p>
      <w:pPr>
        <w:ind w:right="280" w:firstLine="396"/>
        <w:spacing w:after="0"/>
        <w:rPr>
          <w:sz w:val="20"/>
          <w:szCs w:val="20"/>
          <w:color w:val="auto"/>
        </w:rPr>
      </w:pPr>
      <w:r>
        <w:rPr>
          <w:rFonts w:ascii="Arial" w:cs="Arial" w:eastAsia="Arial" w:hAnsi="Arial"/>
          <w:sz w:val="22"/>
          <w:szCs w:val="22"/>
          <w:color w:val="auto"/>
        </w:rPr>
        <w:t xml:space="preserve">Section 13.13. </w:t>
      </w:r>
      <w:r>
        <w:rPr>
          <w:rFonts w:ascii="Arial" w:cs="Arial" w:eastAsia="Arial" w:hAnsi="Arial"/>
          <w:sz w:val="22"/>
          <w:szCs w:val="22"/>
          <w:u w:val="single" w:color="auto"/>
          <w:color w:val="auto"/>
        </w:rPr>
        <w:t>Third Party Beneficiaries</w:t>
      </w:r>
      <w:r>
        <w:rPr>
          <w:rFonts w:ascii="Arial" w:cs="Arial" w:eastAsia="Arial" w:hAnsi="Arial"/>
          <w:sz w:val="22"/>
          <w:szCs w:val="22"/>
          <w:color w:val="auto"/>
        </w:rPr>
        <w:t xml:space="preserve">. Except as provided in </w:t>
      </w:r>
      <w:r>
        <w:rPr>
          <w:rFonts w:ascii="Arial" w:cs="Arial" w:eastAsia="Arial" w:hAnsi="Arial"/>
          <w:sz w:val="22"/>
          <w:szCs w:val="22"/>
          <w:u w:val="single" w:color="auto"/>
          <w:color w:val="auto"/>
        </w:rPr>
        <w:t>Article IX</w:t>
      </w:r>
      <w:r>
        <w:rPr>
          <w:rFonts w:ascii="Arial" w:cs="Arial" w:eastAsia="Arial" w:hAnsi="Arial"/>
          <w:sz w:val="22"/>
          <w:szCs w:val="22"/>
          <w:color w:val="auto"/>
        </w:rPr>
        <w:t xml:space="preserve"> and the Intellectual Property Agreements, this Agreement does not create any rights, claims or benefits inuring to any Person that is not a party hereto, and it does not create or establish any third party beneficiary hereto.</w:t>
      </w:r>
    </w:p>
    <w:p>
      <w:pPr>
        <w:spacing w:after="0" w:line="78" w:lineRule="exact"/>
        <w:rPr>
          <w:sz w:val="20"/>
          <w:szCs w:val="20"/>
          <w:color w:val="auto"/>
        </w:rPr>
      </w:pPr>
    </w:p>
    <w:p>
      <w:pPr>
        <w:ind w:right="20" w:firstLine="396"/>
        <w:spacing w:after="0" w:line="274" w:lineRule="auto"/>
        <w:rPr>
          <w:sz w:val="20"/>
          <w:szCs w:val="20"/>
          <w:color w:val="auto"/>
        </w:rPr>
      </w:pPr>
      <w:r>
        <w:rPr>
          <w:rFonts w:ascii="Arial" w:cs="Arial" w:eastAsia="Arial" w:hAnsi="Arial"/>
          <w:sz w:val="19"/>
          <w:szCs w:val="19"/>
          <w:color w:val="auto"/>
        </w:rPr>
        <w:t xml:space="preserve">Section 13.14. </w:t>
      </w:r>
      <w:r>
        <w:rPr>
          <w:rFonts w:ascii="Arial" w:cs="Arial" w:eastAsia="Arial" w:hAnsi="Arial"/>
          <w:sz w:val="19"/>
          <w:szCs w:val="19"/>
          <w:u w:val="single" w:color="auto"/>
          <w:color w:val="auto"/>
        </w:rPr>
        <w:t>No Third Party Liability</w:t>
      </w:r>
      <w:r>
        <w:rPr>
          <w:rFonts w:ascii="Arial" w:cs="Arial" w:eastAsia="Arial" w:hAnsi="Arial"/>
          <w:sz w:val="19"/>
          <w:szCs w:val="19"/>
          <w:color w:val="auto"/>
        </w:rPr>
        <w:t>. This Agreement may only be enforced against the Parties. All claims or causes of action (whether in contract or tort) that may be based upon, arise out of or relate to this Agreement, or the negotiation, execution or performance of this Agreement (including any representation or warranty made in or in connection with this Agreement or as an inducement to enter into this Agreement), may be made only against the Parties; and no past, present or future director, manager, officer, employee, incorporator, member, partner, stockholder, Affiliate, agent, attorney or representative of any Party (including any Person negotiating or executing this Agreement on behalf of a Party), unless party to this Agreement, shall have any liability or obligation with respect to this Agreement or with respect to any claim or cause of action (whether in contract or tort) that may arise out of or relate to this Agreement, or the negotiation, execution or performance of this Agreement (including a representation or warranty made in or in connection with this Agreement or as an inducement to enter into this Agreement).</w:t>
      </w:r>
    </w:p>
    <w:p>
      <w:pPr>
        <w:spacing w:after="0" w:line="51" w:lineRule="exact"/>
        <w:rPr>
          <w:sz w:val="20"/>
          <w:szCs w:val="20"/>
          <w:color w:val="auto"/>
        </w:rPr>
      </w:pPr>
    </w:p>
    <w:p>
      <w:pPr>
        <w:jc w:val="both"/>
        <w:ind w:firstLine="396"/>
        <w:spacing w:after="0"/>
        <w:rPr>
          <w:sz w:val="20"/>
          <w:szCs w:val="20"/>
          <w:color w:val="auto"/>
        </w:rPr>
      </w:pPr>
      <w:r>
        <w:rPr>
          <w:rFonts w:ascii="Arial" w:cs="Arial" w:eastAsia="Arial" w:hAnsi="Arial"/>
          <w:sz w:val="22"/>
          <w:szCs w:val="22"/>
          <w:color w:val="auto"/>
        </w:rPr>
        <w:t xml:space="preserve">Section 13.15. </w:t>
      </w:r>
      <w:r>
        <w:rPr>
          <w:rFonts w:ascii="Arial" w:cs="Arial" w:eastAsia="Arial" w:hAnsi="Arial"/>
          <w:sz w:val="22"/>
          <w:szCs w:val="22"/>
          <w:u w:val="single" w:color="auto"/>
          <w:color w:val="auto"/>
        </w:rPr>
        <w:t>Binding Effect</w:t>
      </w:r>
      <w:r>
        <w:rPr>
          <w:rFonts w:ascii="Arial" w:cs="Arial" w:eastAsia="Arial" w:hAnsi="Arial"/>
          <w:sz w:val="22"/>
          <w:szCs w:val="22"/>
          <w:color w:val="auto"/>
        </w:rPr>
        <w:t>. Except as otherwise provided in this Agreement to the contrary, this Agreement shall be binding upon and inure to the benefit of the Parties, their distributees, heirs, legal representatives, executors, administrators, successors and permitted assigns.</w:t>
      </w:r>
    </w:p>
    <w:p>
      <w:pPr>
        <w:spacing w:after="0" w:line="78" w:lineRule="exact"/>
        <w:rPr>
          <w:sz w:val="20"/>
          <w:szCs w:val="20"/>
          <w:color w:val="auto"/>
        </w:rPr>
      </w:pPr>
    </w:p>
    <w:p>
      <w:pPr>
        <w:ind w:right="80" w:firstLine="396"/>
        <w:spacing w:after="0" w:line="297" w:lineRule="auto"/>
        <w:rPr>
          <w:sz w:val="20"/>
          <w:szCs w:val="20"/>
          <w:color w:val="auto"/>
        </w:rPr>
      </w:pPr>
      <w:r>
        <w:rPr>
          <w:rFonts w:ascii="Arial" w:cs="Arial" w:eastAsia="Arial" w:hAnsi="Arial"/>
          <w:sz w:val="19"/>
          <w:szCs w:val="19"/>
          <w:color w:val="auto"/>
        </w:rPr>
        <w:t xml:space="preserve">Section 13.16. </w:t>
      </w:r>
      <w:r>
        <w:rPr>
          <w:rFonts w:ascii="Arial" w:cs="Arial" w:eastAsia="Arial" w:hAnsi="Arial"/>
          <w:sz w:val="19"/>
          <w:szCs w:val="19"/>
          <w:u w:val="single" w:color="auto"/>
          <w:color w:val="auto"/>
        </w:rPr>
        <w:t>Specific Performance</w:t>
      </w:r>
      <w:r>
        <w:rPr>
          <w:rFonts w:ascii="Arial" w:cs="Arial" w:eastAsia="Arial" w:hAnsi="Arial"/>
          <w:sz w:val="19"/>
          <w:szCs w:val="19"/>
          <w:color w:val="auto"/>
        </w:rPr>
        <w:t>. It is hereby agreed and acknowledged that it will be impossible to measure in money the damages that would be suffered if the Parties fail to comply with any of the obligations herein imposed on them and that, in the event of any such failure, an aggrieved Person will be irreparably damaged and will not have an adequate</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712" w:right="259" w:bottom="1440" w:gutter="0" w:footer="0" w:header="0"/>
        </w:sectPr>
      </w:pPr>
    </w:p>
    <w:bookmarkStart w:id="165" w:name="page166"/>
    <w:bookmarkEnd w:id="165"/>
    <w:p>
      <w:pPr>
        <w:jc w:val="both"/>
        <w:ind w:right="140"/>
        <w:spacing w:after="0" w:line="238" w:lineRule="auto"/>
        <w:rPr>
          <w:sz w:val="20"/>
          <w:szCs w:val="20"/>
          <w:color w:val="auto"/>
        </w:rPr>
      </w:pPr>
      <w:r>
        <w:rPr>
          <w:rFonts w:ascii="Arial" w:cs="Arial" w:eastAsia="Arial" w:hAnsi="Arial"/>
          <w:sz w:val="22"/>
          <w:szCs w:val="22"/>
          <w:color w:val="auto"/>
        </w:rPr>
        <w:t>remedy at law. Any such Party shall, therefore, be entitled (in addition to any other remedy to which such Party may be entitled at law or in equity) to injunctive relief, including specific performance, to enforce such obligations, without the posting of any bond and if any action should be brought in equity to enforce any of the provisions of this Agreement, none of the Parties shall raise the defense that there is an adequate remedy at law.</w:t>
      </w:r>
    </w:p>
    <w:p>
      <w:pPr>
        <w:spacing w:after="0" w:line="185" w:lineRule="exact"/>
        <w:rPr>
          <w:sz w:val="20"/>
          <w:szCs w:val="20"/>
          <w:color w:val="auto"/>
        </w:rPr>
      </w:pPr>
    </w:p>
    <w:p>
      <w:pPr>
        <w:ind w:left="400"/>
        <w:spacing w:after="0"/>
        <w:rPr>
          <w:sz w:val="20"/>
          <w:szCs w:val="20"/>
          <w:color w:val="auto"/>
        </w:rPr>
      </w:pPr>
      <w:r>
        <w:rPr>
          <w:rFonts w:ascii="Arial" w:cs="Arial" w:eastAsia="Arial" w:hAnsi="Arial"/>
          <w:sz w:val="19"/>
          <w:szCs w:val="19"/>
          <w:color w:val="auto"/>
        </w:rPr>
        <w:t xml:space="preserve">Section 13.17. </w:t>
      </w:r>
      <w:r>
        <w:rPr>
          <w:rFonts w:ascii="Arial" w:cs="Arial" w:eastAsia="Arial" w:hAnsi="Arial"/>
          <w:sz w:val="19"/>
          <w:szCs w:val="19"/>
          <w:u w:val="single" w:color="auto"/>
          <w:color w:val="auto"/>
        </w:rPr>
        <w:t>Time of the Essence</w:t>
      </w:r>
      <w:r>
        <w:rPr>
          <w:rFonts w:ascii="Arial" w:cs="Arial" w:eastAsia="Arial" w:hAnsi="Arial"/>
          <w:sz w:val="19"/>
          <w:szCs w:val="19"/>
          <w:color w:val="auto"/>
        </w:rPr>
        <w:t>. The Parties agree that time shall be of the essence in the performance of this Agreement.</w:t>
      </w:r>
    </w:p>
    <w:p>
      <w:pPr>
        <w:spacing w:after="0" w:line="133" w:lineRule="exact"/>
        <w:rPr>
          <w:sz w:val="20"/>
          <w:szCs w:val="20"/>
          <w:color w:val="auto"/>
        </w:rPr>
      </w:pPr>
    </w:p>
    <w:p>
      <w:pPr>
        <w:ind w:firstLine="396"/>
        <w:spacing w:after="0" w:line="235" w:lineRule="auto"/>
        <w:rPr>
          <w:sz w:val="20"/>
          <w:szCs w:val="20"/>
          <w:color w:val="auto"/>
        </w:rPr>
      </w:pPr>
      <w:r>
        <w:rPr>
          <w:rFonts w:ascii="Arial" w:cs="Arial" w:eastAsia="Arial" w:hAnsi="Arial"/>
          <w:sz w:val="22"/>
          <w:szCs w:val="22"/>
          <w:color w:val="auto"/>
        </w:rPr>
        <w:t xml:space="preserve">Section 13.18. </w:t>
      </w:r>
      <w:r>
        <w:rPr>
          <w:rFonts w:ascii="Arial" w:cs="Arial" w:eastAsia="Arial" w:hAnsi="Arial"/>
          <w:sz w:val="22"/>
          <w:szCs w:val="22"/>
          <w:u w:val="single" w:color="auto"/>
          <w:color w:val="auto"/>
        </w:rPr>
        <w:t>Exculpation Among Members</w:t>
      </w:r>
      <w:r>
        <w:rPr>
          <w:rFonts w:ascii="Arial" w:cs="Arial" w:eastAsia="Arial" w:hAnsi="Arial"/>
          <w:sz w:val="22"/>
          <w:szCs w:val="22"/>
          <w:color w:val="auto"/>
        </w:rPr>
        <w:t>. Each Member acknowledges that it is not relying upon any other Person in making its investment or decision to invest in the Company (other than the Company pursuant to any written agreement). Each Member agrees that no Member nor their respective Affiliates, controlling persons, officers, directors, managers, partners, agents or employees of any Member shall be liable to any other Member for any action heretofore or hereafter taken or omitted to be taken by any of them in connection with their purchase or acquisition of any Membership Units, except with respect to breaches of any Transaction Documents.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PAGES TO FOLLOW]</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929" w:right="259" w:bottom="1440" w:gutter="0" w:footer="0" w:header="0"/>
        </w:sectPr>
      </w:pPr>
    </w:p>
    <w:bookmarkStart w:id="166" w:name="page167"/>
    <w:bookmarkEnd w:id="166"/>
    <w:p>
      <w:pPr>
        <w:spacing w:after="0"/>
        <w:rPr>
          <w:sz w:val="20"/>
          <w:szCs w:val="20"/>
          <w:color w:val="auto"/>
        </w:rPr>
      </w:pPr>
      <w:r>
        <w:rPr>
          <w:rFonts w:ascii="Arial" w:cs="Arial" w:eastAsia="Arial" w:hAnsi="Arial"/>
          <w:sz w:val="22"/>
          <w:szCs w:val="22"/>
          <w:color w:val="auto"/>
        </w:rPr>
        <w:t>IN WITNESS HEREOF, the Parties have duly executed this Agreement as of the date first above written.</w:t>
      </w:r>
    </w:p>
    <w:p>
      <w:pPr>
        <w:spacing w:after="0" w:line="101" w:lineRule="exact"/>
        <w:rPr>
          <w:sz w:val="20"/>
          <w:szCs w:val="20"/>
          <w:color w:val="auto"/>
        </w:rPr>
      </w:pPr>
    </w:p>
    <w:p>
      <w:pPr>
        <w:ind w:left="7600"/>
        <w:spacing w:after="0"/>
        <w:rPr>
          <w:sz w:val="20"/>
          <w:szCs w:val="20"/>
          <w:color w:val="auto"/>
        </w:rPr>
      </w:pPr>
      <w:r>
        <w:rPr>
          <w:rFonts w:ascii="Arial" w:cs="Arial" w:eastAsia="Arial" w:hAnsi="Arial"/>
          <w:sz w:val="18"/>
          <w:szCs w:val="18"/>
          <w:b w:val="1"/>
          <w:bCs w:val="1"/>
          <w:u w:val="single" w:color="auto"/>
          <w:color w:val="auto"/>
        </w:rPr>
        <w:t>THE COMPANY</w:t>
      </w:r>
    </w:p>
    <w:p>
      <w:pPr>
        <w:spacing w:after="0" w:line="225" w:lineRule="exact"/>
        <w:rPr>
          <w:sz w:val="20"/>
          <w:szCs w:val="20"/>
          <w:color w:val="auto"/>
        </w:rPr>
      </w:pPr>
    </w:p>
    <w:p>
      <w:pPr>
        <w:ind w:left="7600"/>
        <w:spacing w:after="0"/>
        <w:rPr>
          <w:sz w:val="20"/>
          <w:szCs w:val="20"/>
          <w:color w:val="auto"/>
        </w:rPr>
      </w:pPr>
      <w:r>
        <w:rPr>
          <w:rFonts w:ascii="Arial" w:cs="Arial" w:eastAsia="Arial" w:hAnsi="Arial"/>
          <w:sz w:val="17"/>
          <w:szCs w:val="17"/>
          <w:b w:val="1"/>
          <w:bCs w:val="1"/>
          <w:color w:val="auto"/>
        </w:rPr>
        <w:t>ALBANY SAFRAN COMPOSITES, LLC</w:t>
      </w:r>
    </w:p>
    <w:p>
      <w:pPr>
        <w:spacing w:after="0" w:line="241"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By: /s/ Joseph G. Morone</w:t>
      </w:r>
    </w:p>
    <w:p>
      <w:pPr>
        <w:spacing w:after="0" w:line="36"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Name: Joseph G. Morone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5050790</wp:posOffset>
            </wp:positionH>
            <wp:positionV relativeFrom="paragraph">
              <wp:posOffset>-130175</wp:posOffset>
            </wp:positionV>
            <wp:extent cx="194691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3" w:lineRule="exact"/>
        <w:rPr>
          <w:sz w:val="20"/>
          <w:szCs w:val="20"/>
          <w:color w:val="auto"/>
        </w:rPr>
      </w:pPr>
    </w:p>
    <w:p>
      <w:pPr>
        <w:ind w:left="7960"/>
        <w:spacing w:after="0"/>
        <w:tabs>
          <w:tab w:leader="none" w:pos="8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w:t>
      </w:r>
    </w:p>
    <w:p>
      <w:pPr>
        <w:spacing w:after="0" w:line="204" w:lineRule="exact"/>
        <w:rPr>
          <w:sz w:val="20"/>
          <w:szCs w:val="20"/>
          <w:color w:val="auto"/>
        </w:rPr>
      </w:pPr>
    </w:p>
    <w:p>
      <w:pPr>
        <w:jc w:val="center"/>
        <w:ind w:right="160"/>
        <w:spacing w:after="0"/>
        <w:rPr>
          <w:sz w:val="20"/>
          <w:szCs w:val="20"/>
          <w:color w:val="auto"/>
        </w:rPr>
      </w:pPr>
      <w:r>
        <w:rPr>
          <w:rFonts w:ascii="Arial" w:cs="Arial" w:eastAsia="Arial" w:hAnsi="Arial"/>
          <w:sz w:val="22"/>
          <w:szCs w:val="22"/>
          <w:i w:val="1"/>
          <w:iCs w:val="1"/>
          <w:color w:val="auto"/>
        </w:rPr>
        <w:t>[Signature Page to A&amp;R LLC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281940</wp:posOffset>
            </wp:positionV>
            <wp:extent cx="7246620" cy="431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840"/>
          </w:cols>
          <w:pgMar w:left="640" w:top="712" w:right="419" w:bottom="1440" w:gutter="0" w:footer="0" w:header="0"/>
        </w:sectPr>
      </w:pPr>
    </w:p>
    <w:bookmarkStart w:id="167" w:name="page168"/>
    <w:bookmarkEnd w:id="167"/>
    <w:p>
      <w:pPr>
        <w:ind w:left="5660"/>
        <w:spacing w:after="0"/>
        <w:rPr>
          <w:sz w:val="20"/>
          <w:szCs w:val="20"/>
          <w:color w:val="auto"/>
        </w:rPr>
      </w:pPr>
      <w:r>
        <w:rPr>
          <w:rFonts w:ascii="Arial" w:cs="Arial" w:eastAsia="Arial" w:hAnsi="Arial"/>
          <w:sz w:val="18"/>
          <w:szCs w:val="18"/>
          <w:b w:val="1"/>
          <w:bCs w:val="1"/>
          <w:u w:val="single" w:color="auto"/>
          <w:color w:val="auto"/>
        </w:rPr>
        <w:t>MEMBERS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ALBANY ENGINEERED COMPOSITES, INC.</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Brian S. Coffenberry</w:t>
      </w:r>
    </w:p>
    <w:p>
      <w:pPr>
        <w:spacing w:after="0" w:line="3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Brian S. Coffenberry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3813810</wp:posOffset>
            </wp:positionH>
            <wp:positionV relativeFrom="paragraph">
              <wp:posOffset>-130175</wp:posOffset>
            </wp:positionV>
            <wp:extent cx="267589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 w:lineRule="exact"/>
        <w:rPr>
          <w:sz w:val="20"/>
          <w:szCs w:val="20"/>
          <w:color w:val="auto"/>
        </w:rPr>
      </w:pPr>
    </w:p>
    <w:p>
      <w:pPr>
        <w:ind w:left="6000"/>
        <w:spacing w:after="0"/>
        <w:tabs>
          <w:tab w:leader="none" w:pos="6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President</w:t>
      </w:r>
    </w:p>
    <w:p>
      <w:pPr>
        <w:spacing w:after="0" w:line="204" w:lineRule="exact"/>
        <w:rPr>
          <w:sz w:val="20"/>
          <w:szCs w:val="20"/>
          <w:color w:val="auto"/>
        </w:rPr>
      </w:pPr>
    </w:p>
    <w:p>
      <w:pPr>
        <w:ind w:left="2720"/>
        <w:spacing w:after="0"/>
        <w:rPr>
          <w:sz w:val="20"/>
          <w:szCs w:val="20"/>
          <w:color w:val="auto"/>
        </w:rPr>
      </w:pPr>
      <w:r>
        <w:rPr>
          <w:rFonts w:ascii="Arial" w:cs="Arial" w:eastAsia="Arial" w:hAnsi="Arial"/>
          <w:sz w:val="22"/>
          <w:szCs w:val="22"/>
          <w:i w:val="1"/>
          <w:iCs w:val="1"/>
          <w:color w:val="auto"/>
        </w:rPr>
        <w:t>[Signature Page to A&amp;R LLC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281940</wp:posOffset>
            </wp:positionV>
            <wp:extent cx="7246620" cy="4318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9400"/>
          </w:cols>
          <w:pgMar w:left="1440" w:top="1148" w:right="1059" w:bottom="1440" w:gutter="0" w:footer="0" w:header="0"/>
        </w:sectPr>
      </w:pPr>
    </w:p>
    <w:bookmarkStart w:id="168" w:name="page169"/>
    <w:bookmarkEnd w:id="168"/>
    <w:p>
      <w:pPr>
        <w:ind w:left="5660"/>
        <w:spacing w:after="0"/>
        <w:rPr>
          <w:sz w:val="20"/>
          <w:szCs w:val="20"/>
          <w:color w:val="auto"/>
        </w:rPr>
      </w:pPr>
      <w:r>
        <w:rPr>
          <w:rFonts w:ascii="Arial" w:cs="Arial" w:eastAsia="Arial" w:hAnsi="Arial"/>
          <w:sz w:val="17"/>
          <w:szCs w:val="17"/>
          <w:b w:val="1"/>
          <w:bCs w:val="1"/>
          <w:color w:val="auto"/>
        </w:rPr>
        <w:t>SAFRAN AEROSPACE COMPOSITES, INC.</w:t>
      </w:r>
    </w:p>
    <w:p>
      <w:pPr>
        <w:spacing w:after="0" w:line="24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Orsini Jean-Jacques</w:t>
      </w:r>
    </w:p>
    <w:p>
      <w:pPr>
        <w:spacing w:after="0" w:line="3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Orsini Jean-Jacques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3813810</wp:posOffset>
            </wp:positionH>
            <wp:positionV relativeFrom="paragraph">
              <wp:posOffset>-130175</wp:posOffset>
            </wp:positionV>
            <wp:extent cx="267589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 w:lineRule="exact"/>
        <w:rPr>
          <w:sz w:val="20"/>
          <w:szCs w:val="20"/>
          <w:color w:val="auto"/>
        </w:rPr>
      </w:pPr>
    </w:p>
    <w:p>
      <w:pPr>
        <w:ind w:left="6000"/>
        <w:spacing w:after="0"/>
        <w:tabs>
          <w:tab w:leader="none" w:pos="6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President</w:t>
      </w:r>
    </w:p>
    <w:p>
      <w:pPr>
        <w:spacing w:after="0" w:line="204" w:lineRule="exact"/>
        <w:rPr>
          <w:sz w:val="20"/>
          <w:szCs w:val="20"/>
          <w:color w:val="auto"/>
        </w:rPr>
      </w:pPr>
    </w:p>
    <w:p>
      <w:pPr>
        <w:jc w:val="center"/>
        <w:ind w:right="180"/>
        <w:spacing w:after="0"/>
        <w:rPr>
          <w:sz w:val="20"/>
          <w:szCs w:val="20"/>
          <w:color w:val="auto"/>
        </w:rPr>
      </w:pPr>
      <w:r>
        <w:rPr>
          <w:rFonts w:ascii="Arial" w:cs="Arial" w:eastAsia="Arial" w:hAnsi="Arial"/>
          <w:sz w:val="19"/>
          <w:szCs w:val="19"/>
          <w:i w:val="1"/>
          <w:iCs w:val="1"/>
          <w:color w:val="auto"/>
        </w:rPr>
        <w:t>[Signature Page to A&amp;R LLC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372110</wp:posOffset>
            </wp:positionV>
            <wp:extent cx="7246620" cy="4318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9260"/>
          </w:cols>
          <w:pgMar w:left="1440" w:top="1256" w:right="1199" w:bottom="1440" w:gutter="0" w:footer="0" w:header="0"/>
        </w:sectPr>
      </w:pPr>
    </w:p>
    <w:bookmarkStart w:id="169" w:name="page170"/>
    <w:bookmarkEnd w:id="169"/>
    <w:p>
      <w:pPr>
        <w:spacing w:after="0"/>
        <w:rPr>
          <w:sz w:val="20"/>
          <w:szCs w:val="20"/>
          <w:color w:val="auto"/>
        </w:rPr>
      </w:pPr>
      <w:r>
        <w:rPr>
          <w:rFonts w:ascii="Arial" w:cs="Arial" w:eastAsia="Arial" w:hAnsi="Arial"/>
          <w:sz w:val="18"/>
          <w:szCs w:val="18"/>
          <w:color w:val="auto"/>
        </w:rPr>
        <w:t xml:space="preserve">And solely with respect to its obligations under </w:t>
      </w:r>
      <w:r>
        <w:rPr>
          <w:rFonts w:ascii="Arial" w:cs="Arial" w:eastAsia="Arial" w:hAnsi="Arial"/>
          <w:sz w:val="18"/>
          <w:szCs w:val="18"/>
          <w:u w:val="single" w:color="auto"/>
          <w:color w:val="auto"/>
        </w:rPr>
        <w:t>Section 3.09</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12.02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XIII</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ALBANY INTERNATIONAL CORP.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Joseph G. Morone</w:t>
      </w:r>
    </w:p>
    <w:p>
      <w:pPr>
        <w:spacing w:after="0" w:line="3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Name: Joseph G. Morone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-130175</wp:posOffset>
            </wp:positionV>
            <wp:extent cx="26670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3" w:lineRule="exact"/>
        <w:rPr>
          <w:sz w:val="20"/>
          <w:szCs w:val="20"/>
          <w:color w:val="auto"/>
        </w:rPr>
      </w:pPr>
    </w:p>
    <w:p>
      <w:pPr>
        <w:ind w:left="320"/>
        <w:spacing w:after="0"/>
        <w:tabs>
          <w:tab w:leader="none" w:pos="8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Chief Executive Officer</w:t>
      </w:r>
    </w:p>
    <w:p>
      <w:pPr>
        <w:spacing w:after="0" w:line="204" w:lineRule="exact"/>
        <w:rPr>
          <w:sz w:val="20"/>
          <w:szCs w:val="20"/>
          <w:color w:val="auto"/>
        </w:rPr>
      </w:pPr>
    </w:p>
    <w:p>
      <w:pPr>
        <w:jc w:val="right"/>
        <w:ind w:right="2659"/>
        <w:spacing w:after="0"/>
        <w:rPr>
          <w:sz w:val="20"/>
          <w:szCs w:val="20"/>
          <w:color w:val="auto"/>
        </w:rPr>
      </w:pPr>
      <w:r>
        <w:rPr>
          <w:rFonts w:ascii="Arial" w:cs="Arial" w:eastAsia="Arial" w:hAnsi="Arial"/>
          <w:sz w:val="22"/>
          <w:szCs w:val="22"/>
          <w:i w:val="1"/>
          <w:iCs w:val="1"/>
          <w:color w:val="auto"/>
        </w:rPr>
        <w:t>[Signature Page to A&amp;R LLC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350520</wp:posOffset>
            </wp:positionV>
            <wp:extent cx="7246620" cy="4318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159"/>
          </w:cols>
          <w:pgMar w:left="300" w:top="692" w:right="1440" w:bottom="1440" w:gutter="0" w:footer="0" w:header="0"/>
        </w:sectPr>
      </w:pPr>
    </w:p>
    <w:bookmarkStart w:id="170" w:name="page171"/>
    <w:bookmarkEnd w:id="170"/>
    <w:p>
      <w:pPr>
        <w:spacing w:after="0"/>
        <w:rPr>
          <w:sz w:val="20"/>
          <w:szCs w:val="20"/>
          <w:color w:val="auto"/>
        </w:rPr>
      </w:pPr>
      <w:r>
        <w:rPr>
          <w:rFonts w:ascii="Arial" w:cs="Arial" w:eastAsia="Arial" w:hAnsi="Arial"/>
          <w:sz w:val="18"/>
          <w:szCs w:val="18"/>
          <w:color w:val="auto"/>
        </w:rPr>
        <w:t>And solely with respect to its obligations under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7.05(h)</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7.05(i)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XII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XIII</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SAFRAN S.A.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M. Ventre</w:t>
      </w:r>
    </w:p>
    <w:p>
      <w:pPr>
        <w:spacing w:after="0" w:line="3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Name: M. Ventre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-130175</wp:posOffset>
            </wp:positionV>
            <wp:extent cx="26670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3" w:lineRule="exact"/>
        <w:rPr>
          <w:sz w:val="20"/>
          <w:szCs w:val="20"/>
          <w:color w:val="auto"/>
        </w:rPr>
      </w:pPr>
    </w:p>
    <w:p>
      <w:pPr>
        <w:ind w:left="320"/>
        <w:spacing w:after="0"/>
        <w:tabs>
          <w:tab w:leader="none" w:pos="8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Safran COO</w:t>
      </w:r>
    </w:p>
    <w:p>
      <w:pPr>
        <w:spacing w:after="0" w:line="204" w:lineRule="exact"/>
        <w:rPr>
          <w:sz w:val="20"/>
          <w:szCs w:val="20"/>
          <w:color w:val="auto"/>
        </w:rPr>
      </w:pPr>
    </w:p>
    <w:p>
      <w:pPr>
        <w:jc w:val="right"/>
        <w:ind w:right="2659"/>
        <w:spacing w:after="0"/>
        <w:rPr>
          <w:sz w:val="20"/>
          <w:szCs w:val="20"/>
          <w:color w:val="auto"/>
        </w:rPr>
      </w:pPr>
      <w:r>
        <w:rPr>
          <w:rFonts w:ascii="Arial" w:cs="Arial" w:eastAsia="Arial" w:hAnsi="Arial"/>
          <w:sz w:val="22"/>
          <w:szCs w:val="22"/>
          <w:i w:val="1"/>
          <w:iCs w:val="1"/>
          <w:color w:val="auto"/>
        </w:rPr>
        <w:t>[Signature Page to A&amp;R LLC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350520</wp:posOffset>
            </wp:positionV>
            <wp:extent cx="7246620" cy="4318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159"/>
          </w:cols>
          <w:pgMar w:left="300" w:top="693" w:right="1440" w:bottom="1440" w:gutter="0" w:footer="0" w:header="0"/>
        </w:sectPr>
      </w:pPr>
    </w:p>
    <w:bookmarkStart w:id="171" w:name="page172"/>
    <w:bookmarkEnd w:id="171"/>
    <w:tbl>
      <w:tblPr>
        <w:tblLayout w:type="fixed"/>
        <w:tblInd w:w="10" w:type="dxa"/>
        <w:tblCellMar>
          <w:top w:w="0" w:type="dxa"/>
          <w:left w:w="0" w:type="dxa"/>
          <w:bottom w:w="0" w:type="dxa"/>
          <w:right w:w="0" w:type="dxa"/>
        </w:tblCellMar>
      </w:tblPr>
      <w:tr>
        <w:trPr>
          <w:trHeight w:val="281"/>
        </w:trPr>
        <w:tc>
          <w:tcPr>
            <w:tcW w:w="3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0" w:type="dxa"/>
            <w:vAlign w:val="bottom"/>
          </w:tcPr>
          <w:p>
            <w:pPr>
              <w:jc w:val="center"/>
              <w:ind w:right="3907"/>
              <w:spacing w:after="0"/>
              <w:rPr>
                <w:sz w:val="20"/>
                <w:szCs w:val="20"/>
                <w:color w:val="auto"/>
              </w:rPr>
            </w:pPr>
            <w:r>
              <w:rPr>
                <w:rFonts w:ascii="Arial" w:cs="Arial" w:eastAsia="Arial" w:hAnsi="Arial"/>
                <w:sz w:val="22"/>
                <w:szCs w:val="22"/>
                <w:b w:val="1"/>
                <w:bCs w:val="1"/>
                <w:color w:val="auto"/>
                <w:w w:val="97"/>
              </w:rPr>
              <w:t>SCHEDULE A</w:t>
            </w:r>
          </w:p>
        </w:tc>
      </w:tr>
      <w:tr>
        <w:trPr>
          <w:trHeight w:val="486"/>
        </w:trPr>
        <w:tc>
          <w:tcPr>
            <w:tcW w:w="3220" w:type="dxa"/>
            <w:vAlign w:val="bottom"/>
          </w:tcPr>
          <w:p>
            <w:pPr>
              <w:spacing w:after="0"/>
              <w:rPr>
                <w:sz w:val="24"/>
                <w:szCs w:val="24"/>
                <w:color w:val="auto"/>
              </w:rPr>
            </w:pPr>
          </w:p>
        </w:tc>
        <w:tc>
          <w:tcPr>
            <w:tcW w:w="8200" w:type="dxa"/>
            <w:vAlign w:val="bottom"/>
            <w:gridSpan w:val="2"/>
          </w:tcPr>
          <w:p>
            <w:pPr>
              <w:jc w:val="center"/>
              <w:ind w:right="3127"/>
              <w:spacing w:after="0"/>
              <w:rPr>
                <w:sz w:val="20"/>
                <w:szCs w:val="20"/>
                <w:color w:val="auto"/>
              </w:rPr>
            </w:pPr>
            <w:r>
              <w:rPr>
                <w:rFonts w:ascii="Arial" w:cs="Arial" w:eastAsia="Arial" w:hAnsi="Arial"/>
                <w:sz w:val="22"/>
                <w:szCs w:val="22"/>
                <w:b w:val="1"/>
                <w:bCs w:val="1"/>
                <w:color w:val="auto"/>
                <w:w w:val="95"/>
              </w:rPr>
              <w:t>NAMES AND ADDRESSES OF PARTIES</w:t>
            </w:r>
          </w:p>
        </w:tc>
      </w:tr>
      <w:tr>
        <w:trPr>
          <w:trHeight w:val="216"/>
        </w:trPr>
        <w:tc>
          <w:tcPr>
            <w:tcW w:w="3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7400" w:type="dxa"/>
            <w:vAlign w:val="bottom"/>
            <w:tcBorders>
              <w:bottom w:val="single" w:sz="8" w:color="auto"/>
            </w:tcBorders>
          </w:tcPr>
          <w:p>
            <w:pPr>
              <w:spacing w:after="0"/>
              <w:rPr>
                <w:sz w:val="18"/>
                <w:szCs w:val="18"/>
                <w:color w:val="auto"/>
              </w:rPr>
            </w:pPr>
          </w:p>
        </w:tc>
      </w:tr>
      <w:tr>
        <w:trPr>
          <w:trHeight w:val="240"/>
        </w:trPr>
        <w:tc>
          <w:tcPr>
            <w:tcW w:w="3220" w:type="dxa"/>
            <w:vAlign w:val="bottom"/>
            <w:tcBorders>
              <w:left w:val="single" w:sz="8" w:color="auto"/>
            </w:tcBorders>
          </w:tcPr>
          <w:p>
            <w:pPr>
              <w:ind w:left="1800"/>
              <w:spacing w:after="0"/>
              <w:rPr>
                <w:sz w:val="20"/>
                <w:szCs w:val="20"/>
                <w:color w:val="auto"/>
              </w:rPr>
            </w:pPr>
            <w:r>
              <w:rPr>
                <w:rFonts w:ascii="Arial" w:cs="Arial" w:eastAsia="Arial" w:hAnsi="Arial"/>
                <w:sz w:val="18"/>
                <w:szCs w:val="18"/>
                <w:b w:val="1"/>
                <w:bCs w:val="1"/>
                <w:color w:val="auto"/>
              </w:rPr>
              <w:t>Party</w:t>
            </w:r>
          </w:p>
        </w:tc>
        <w:tc>
          <w:tcPr>
            <w:tcW w:w="800" w:type="dxa"/>
            <w:vAlign w:val="bottom"/>
            <w:tcBorders>
              <w:right w:val="single" w:sz="8" w:color="auto"/>
            </w:tcBorders>
          </w:tcPr>
          <w:p>
            <w:pPr>
              <w:spacing w:after="0"/>
              <w:rPr>
                <w:sz w:val="20"/>
                <w:szCs w:val="20"/>
                <w:color w:val="auto"/>
              </w:rPr>
            </w:pPr>
          </w:p>
        </w:tc>
        <w:tc>
          <w:tcPr>
            <w:tcW w:w="7400" w:type="dxa"/>
            <w:vAlign w:val="bottom"/>
            <w:tcBorders>
              <w:right w:val="single" w:sz="8" w:color="auto"/>
            </w:tcBorders>
          </w:tcPr>
          <w:p>
            <w:pPr>
              <w:ind w:left="2060"/>
              <w:spacing w:after="0"/>
              <w:rPr>
                <w:sz w:val="20"/>
                <w:szCs w:val="20"/>
                <w:color w:val="auto"/>
              </w:rPr>
            </w:pPr>
            <w:r>
              <w:rPr>
                <w:rFonts w:ascii="Arial" w:cs="Arial" w:eastAsia="Arial" w:hAnsi="Arial"/>
                <w:sz w:val="18"/>
                <w:szCs w:val="18"/>
                <w:b w:val="1"/>
                <w:bCs w:val="1"/>
                <w:color w:val="auto"/>
              </w:rPr>
              <w:t>Address</w:t>
            </w:r>
          </w:p>
        </w:tc>
      </w:tr>
      <w:tr>
        <w:trPr>
          <w:trHeight w:val="37"/>
        </w:trPr>
        <w:tc>
          <w:tcPr>
            <w:tcW w:w="3220" w:type="dxa"/>
            <w:vAlign w:val="bottom"/>
            <w:tcBorders>
              <w:left w:val="single" w:sz="8" w:color="auto"/>
              <w:bottom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7400" w:type="dxa"/>
            <w:vAlign w:val="bottom"/>
            <w:tcBorders>
              <w:bottom w:val="single" w:sz="8" w:color="auto"/>
              <w:right w:val="single" w:sz="8" w:color="auto"/>
            </w:tcBorders>
          </w:tcPr>
          <w:p>
            <w:pPr>
              <w:spacing w:after="0"/>
              <w:rPr>
                <w:sz w:val="3"/>
                <w:szCs w:val="3"/>
                <w:color w:val="auto"/>
              </w:rPr>
            </w:pPr>
          </w:p>
        </w:tc>
      </w:tr>
      <w:tr>
        <w:trPr>
          <w:trHeight w:val="240"/>
        </w:trPr>
        <w:tc>
          <w:tcPr>
            <w:tcW w:w="322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Albany Engineered Composites, Inc.</w:t>
            </w:r>
          </w:p>
        </w:tc>
        <w:tc>
          <w:tcPr>
            <w:tcW w:w="800" w:type="dxa"/>
            <w:vAlign w:val="bottom"/>
            <w:tcBorders>
              <w:right w:val="single" w:sz="8" w:color="auto"/>
            </w:tcBorders>
          </w:tcPr>
          <w:p>
            <w:pPr>
              <w:spacing w:after="0"/>
              <w:rPr>
                <w:sz w:val="20"/>
                <w:szCs w:val="20"/>
                <w:color w:val="auto"/>
              </w:rPr>
            </w:pPr>
          </w:p>
        </w:tc>
        <w:tc>
          <w:tcPr>
            <w:tcW w:w="7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85 Innovation Drive, Rochester, NH 03867</w:t>
            </w:r>
          </w:p>
        </w:tc>
      </w:tr>
      <w:tr>
        <w:trPr>
          <w:trHeight w:val="37"/>
        </w:trPr>
        <w:tc>
          <w:tcPr>
            <w:tcW w:w="3220" w:type="dxa"/>
            <w:vAlign w:val="bottom"/>
            <w:tcBorders>
              <w:left w:val="single" w:sz="8" w:color="auto"/>
              <w:bottom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7400" w:type="dxa"/>
            <w:vAlign w:val="bottom"/>
            <w:tcBorders>
              <w:bottom w:val="single" w:sz="8" w:color="auto"/>
              <w:right w:val="single" w:sz="8" w:color="auto"/>
            </w:tcBorders>
          </w:tcPr>
          <w:p>
            <w:pPr>
              <w:spacing w:after="0"/>
              <w:rPr>
                <w:sz w:val="3"/>
                <w:szCs w:val="3"/>
                <w:color w:val="auto"/>
              </w:rPr>
            </w:pPr>
          </w:p>
        </w:tc>
      </w:tr>
      <w:tr>
        <w:trPr>
          <w:trHeight w:val="240"/>
        </w:trPr>
        <w:tc>
          <w:tcPr>
            <w:tcW w:w="322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Safran Aerospace Composites, Inc.</w:t>
            </w:r>
          </w:p>
        </w:tc>
        <w:tc>
          <w:tcPr>
            <w:tcW w:w="800" w:type="dxa"/>
            <w:vAlign w:val="bottom"/>
            <w:tcBorders>
              <w:right w:val="single" w:sz="8" w:color="auto"/>
            </w:tcBorders>
          </w:tcPr>
          <w:p>
            <w:pPr>
              <w:spacing w:after="0"/>
              <w:rPr>
                <w:sz w:val="20"/>
                <w:szCs w:val="20"/>
                <w:color w:val="auto"/>
              </w:rPr>
            </w:pPr>
          </w:p>
        </w:tc>
        <w:tc>
          <w:tcPr>
            <w:tcW w:w="7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85 Innovation Drive, Rochester, NH 03867</w:t>
            </w:r>
          </w:p>
        </w:tc>
      </w:tr>
      <w:tr>
        <w:trPr>
          <w:trHeight w:val="37"/>
        </w:trPr>
        <w:tc>
          <w:tcPr>
            <w:tcW w:w="3220" w:type="dxa"/>
            <w:vAlign w:val="bottom"/>
            <w:tcBorders>
              <w:left w:val="single" w:sz="8" w:color="auto"/>
              <w:bottom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7400" w:type="dxa"/>
            <w:vAlign w:val="bottom"/>
            <w:tcBorders>
              <w:bottom w:val="single" w:sz="8" w:color="auto"/>
              <w:right w:val="single" w:sz="8" w:color="auto"/>
            </w:tcBorders>
          </w:tcPr>
          <w:p>
            <w:pPr>
              <w:spacing w:after="0"/>
              <w:rPr>
                <w:sz w:val="3"/>
                <w:szCs w:val="3"/>
                <w:color w:val="auto"/>
              </w:rPr>
            </w:pPr>
          </w:p>
        </w:tc>
      </w:tr>
      <w:tr>
        <w:trPr>
          <w:trHeight w:val="240"/>
        </w:trPr>
        <w:tc>
          <w:tcPr>
            <w:tcW w:w="322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Albany International Corp.</w:t>
            </w:r>
          </w:p>
        </w:tc>
        <w:tc>
          <w:tcPr>
            <w:tcW w:w="800" w:type="dxa"/>
            <w:vAlign w:val="bottom"/>
            <w:tcBorders>
              <w:right w:val="single" w:sz="8" w:color="auto"/>
            </w:tcBorders>
          </w:tcPr>
          <w:p>
            <w:pPr>
              <w:spacing w:after="0"/>
              <w:rPr>
                <w:sz w:val="20"/>
                <w:szCs w:val="20"/>
                <w:color w:val="auto"/>
              </w:rPr>
            </w:pPr>
          </w:p>
        </w:tc>
        <w:tc>
          <w:tcPr>
            <w:tcW w:w="7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216 Airport Drive, Rochester, NH 03867</w:t>
            </w:r>
          </w:p>
        </w:tc>
      </w:tr>
      <w:tr>
        <w:trPr>
          <w:trHeight w:val="37"/>
        </w:trPr>
        <w:tc>
          <w:tcPr>
            <w:tcW w:w="3220" w:type="dxa"/>
            <w:vAlign w:val="bottom"/>
            <w:tcBorders>
              <w:left w:val="single" w:sz="8" w:color="auto"/>
              <w:bottom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7400" w:type="dxa"/>
            <w:vAlign w:val="bottom"/>
            <w:tcBorders>
              <w:bottom w:val="single" w:sz="8" w:color="auto"/>
              <w:right w:val="single" w:sz="8" w:color="auto"/>
            </w:tcBorders>
          </w:tcPr>
          <w:p>
            <w:pPr>
              <w:spacing w:after="0"/>
              <w:rPr>
                <w:sz w:val="3"/>
                <w:szCs w:val="3"/>
                <w:color w:val="auto"/>
              </w:rPr>
            </w:pPr>
          </w:p>
        </w:tc>
      </w:tr>
      <w:tr>
        <w:trPr>
          <w:trHeight w:val="240"/>
        </w:trPr>
        <w:tc>
          <w:tcPr>
            <w:tcW w:w="322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Safran S.A.</w:t>
            </w:r>
          </w:p>
        </w:tc>
        <w:tc>
          <w:tcPr>
            <w:tcW w:w="800" w:type="dxa"/>
            <w:vAlign w:val="bottom"/>
            <w:tcBorders>
              <w:right w:val="single" w:sz="8" w:color="auto"/>
            </w:tcBorders>
          </w:tcPr>
          <w:p>
            <w:pPr>
              <w:spacing w:after="0"/>
              <w:rPr>
                <w:sz w:val="20"/>
                <w:szCs w:val="20"/>
                <w:color w:val="auto"/>
              </w:rPr>
            </w:pPr>
          </w:p>
        </w:tc>
        <w:tc>
          <w:tcPr>
            <w:tcW w:w="7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 boulevard du Général Martial Valin, 75724 Paris Cedex 15, France</w:t>
            </w:r>
          </w:p>
        </w:tc>
      </w:tr>
      <w:tr>
        <w:trPr>
          <w:trHeight w:val="37"/>
        </w:trPr>
        <w:tc>
          <w:tcPr>
            <w:tcW w:w="3220" w:type="dxa"/>
            <w:vAlign w:val="bottom"/>
            <w:tcBorders>
              <w:left w:val="single" w:sz="8" w:color="auto"/>
              <w:bottom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7400" w:type="dxa"/>
            <w:vAlign w:val="bottom"/>
            <w:tcBorders>
              <w:bottom w:val="single" w:sz="8" w:color="auto"/>
              <w:right w:val="single" w:sz="8" w:color="auto"/>
            </w:tcBorders>
          </w:tcPr>
          <w:p>
            <w:pPr>
              <w:spacing w:after="0"/>
              <w:rPr>
                <w:sz w:val="3"/>
                <w:szCs w:val="3"/>
                <w:color w:val="auto"/>
              </w:rPr>
            </w:pPr>
          </w:p>
        </w:tc>
      </w:tr>
      <w:tr>
        <w:trPr>
          <w:trHeight w:val="456"/>
        </w:trPr>
        <w:tc>
          <w:tcPr>
            <w:tcW w:w="3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0" w:type="dxa"/>
            <w:vAlign w:val="bottom"/>
          </w:tcPr>
          <w:p>
            <w:pPr>
              <w:jc w:val="center"/>
              <w:ind w:right="3907"/>
              <w:spacing w:after="0"/>
              <w:rPr>
                <w:sz w:val="20"/>
                <w:szCs w:val="20"/>
                <w:color w:val="auto"/>
              </w:rPr>
            </w:pPr>
            <w:r>
              <w:rPr>
                <w:rFonts w:ascii="Arial" w:cs="Arial" w:eastAsia="Arial" w:hAnsi="Arial"/>
                <w:sz w:val="18"/>
                <w:szCs w:val="18"/>
                <w:color w:val="auto"/>
                <w:w w:val="99"/>
              </w:rPr>
              <w:t>A-1</w:t>
            </w:r>
          </w:p>
        </w:tc>
      </w:tr>
      <w:tr>
        <w:trPr>
          <w:trHeight w:val="108"/>
        </w:trPr>
        <w:tc>
          <w:tcPr>
            <w:tcW w:w="3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0" w:type="dxa"/>
            <w:vAlign w:val="bottom"/>
          </w:tcPr>
          <w:p>
            <w:pPr>
              <w:spacing w:after="0"/>
              <w:rPr>
                <w:sz w:val="9"/>
                <w:szCs w:val="9"/>
                <w:color w:val="auto"/>
              </w:rPr>
            </w:pPr>
          </w:p>
        </w:tc>
      </w:tr>
      <w:tr>
        <w:trPr>
          <w:trHeight w:val="68"/>
        </w:trPr>
        <w:tc>
          <w:tcPr>
            <w:tcW w:w="3220" w:type="dxa"/>
            <w:vAlign w:val="bottom"/>
            <w:tcBorders>
              <w:left w:val="single" w:sz="8" w:color="auto"/>
            </w:tcBorders>
            <w:shd w:val="clear" w:color="auto" w:fill="000000"/>
          </w:tcPr>
          <w:p>
            <w:pPr>
              <w:spacing w:after="0"/>
              <w:rPr>
                <w:sz w:val="5"/>
                <w:szCs w:val="5"/>
                <w:color w:val="auto"/>
              </w:rPr>
            </w:pPr>
          </w:p>
        </w:tc>
        <w:tc>
          <w:tcPr>
            <w:tcW w:w="800" w:type="dxa"/>
            <w:vAlign w:val="bottom"/>
            <w:tcBorders>
              <w:right w:val="single" w:sz="8" w:color="auto"/>
            </w:tcBorders>
            <w:shd w:val="clear" w:color="auto" w:fill="000000"/>
          </w:tcPr>
          <w:p>
            <w:pPr>
              <w:spacing w:after="0"/>
              <w:rPr>
                <w:sz w:val="5"/>
                <w:szCs w:val="5"/>
                <w:color w:val="auto"/>
              </w:rPr>
            </w:pPr>
          </w:p>
        </w:tc>
        <w:tc>
          <w:tcPr>
            <w:tcW w:w="7400" w:type="dxa"/>
            <w:vAlign w:val="bottom"/>
            <w:tcBorders>
              <w:right w:val="single" w:sz="8" w:color="auto"/>
            </w:tcBorders>
            <w:shd w:val="clear" w:color="auto" w:fill="000000"/>
          </w:tcPr>
          <w:p>
            <w:pPr>
              <w:spacing w:after="0"/>
              <w:rPr>
                <w:sz w:val="5"/>
                <w:szCs w:val="5"/>
                <w:color w:val="auto"/>
              </w:rPr>
            </w:pPr>
          </w:p>
        </w:tc>
      </w:tr>
    </w:tbl>
    <w:p>
      <w:pPr>
        <w:sectPr>
          <w:pgSz w:w="11900" w:h="16838" w:orient="portrait"/>
          <w:cols w:equalWidth="0" w:num="1">
            <w:col w:w="11420"/>
          </w:cols>
          <w:pgMar w:left="240" w:top="679" w:right="239" w:bottom="1440" w:gutter="0" w:footer="0" w:header="0"/>
        </w:sectPr>
      </w:pPr>
    </w:p>
    <w:bookmarkStart w:id="172" w:name="page173"/>
    <w:bookmarkEnd w:id="172"/>
    <w:p>
      <w:pPr>
        <w:jc w:val="center"/>
        <w:spacing w:after="0"/>
        <w:rPr>
          <w:sz w:val="20"/>
          <w:szCs w:val="20"/>
          <w:color w:val="auto"/>
        </w:rPr>
      </w:pPr>
      <w:r>
        <w:rPr>
          <w:rFonts w:ascii="Arial" w:cs="Arial" w:eastAsia="Arial" w:hAnsi="Arial"/>
          <w:sz w:val="22"/>
          <w:szCs w:val="22"/>
          <w:b w:val="1"/>
          <w:bCs w:val="1"/>
          <w:color w:val="auto"/>
        </w:rPr>
        <w:t>SCHEDULE B</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CAPITAL CONTRIBUTIONS AND MEMBERSHIP UNITS</w:t>
      </w:r>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255"/>
        </w:trPr>
        <w:tc>
          <w:tcPr>
            <w:tcW w:w="940" w:type="dxa"/>
            <w:vAlign w:val="bottom"/>
            <w:tcBorders>
              <w:top w:val="single" w:sz="8" w:color="auto"/>
              <w:left w:val="single" w:sz="8" w:color="auto"/>
              <w:right w:val="single" w:sz="8" w:color="auto"/>
            </w:tcBorders>
            <w:shd w:val="clear" w:color="auto" w:fill="E5E5E5"/>
          </w:tcPr>
          <w:p>
            <w:pPr>
              <w:spacing w:after="0"/>
              <w:rPr>
                <w:sz w:val="22"/>
                <w:szCs w:val="22"/>
                <w:color w:val="auto"/>
              </w:rPr>
            </w:pPr>
          </w:p>
        </w:tc>
        <w:tc>
          <w:tcPr>
            <w:tcW w:w="1340" w:type="dxa"/>
            <w:vAlign w:val="bottom"/>
            <w:tcBorders>
              <w:top w:val="single" w:sz="8" w:color="auto"/>
              <w:right w:val="single" w:sz="8" w:color="auto"/>
            </w:tcBorders>
            <w:shd w:val="clear" w:color="auto" w:fill="E5E5E5"/>
          </w:tcPr>
          <w:p>
            <w:pPr>
              <w:jc w:val="center"/>
              <w:spacing w:after="0"/>
              <w:rPr>
                <w:sz w:val="20"/>
                <w:szCs w:val="20"/>
                <w:color w:val="auto"/>
              </w:rPr>
            </w:pPr>
            <w:r>
              <w:rPr>
                <w:rFonts w:ascii="Arial" w:cs="Arial" w:eastAsia="Arial" w:hAnsi="Arial"/>
                <w:sz w:val="18"/>
                <w:szCs w:val="18"/>
                <w:b w:val="1"/>
                <w:bCs w:val="1"/>
                <w:color w:val="auto"/>
                <w:w w:val="88"/>
              </w:rPr>
              <w:t>Value of</w:t>
            </w:r>
          </w:p>
        </w:tc>
        <w:tc>
          <w:tcPr>
            <w:tcW w:w="1200" w:type="dxa"/>
            <w:vAlign w:val="bottom"/>
            <w:tcBorders>
              <w:top w:val="single" w:sz="8" w:color="auto"/>
              <w:right w:val="single" w:sz="8" w:color="auto"/>
            </w:tcBorders>
            <w:shd w:val="clear" w:color="auto" w:fill="E5E5E5"/>
          </w:tcPr>
          <w:p>
            <w:pPr>
              <w:spacing w:after="0"/>
              <w:rPr>
                <w:sz w:val="22"/>
                <w:szCs w:val="22"/>
                <w:color w:val="auto"/>
              </w:rPr>
            </w:pPr>
          </w:p>
        </w:tc>
        <w:tc>
          <w:tcPr>
            <w:tcW w:w="1320" w:type="dxa"/>
            <w:vAlign w:val="bottom"/>
            <w:tcBorders>
              <w:top w:val="single" w:sz="8" w:color="auto"/>
              <w:right w:val="single" w:sz="8" w:color="auto"/>
            </w:tcBorders>
            <w:shd w:val="clear" w:color="auto" w:fill="E5E5E5"/>
          </w:tcPr>
          <w:p>
            <w:pPr>
              <w:spacing w:after="0"/>
              <w:rPr>
                <w:sz w:val="22"/>
                <w:szCs w:val="22"/>
                <w:color w:val="auto"/>
              </w:rPr>
            </w:pPr>
          </w:p>
        </w:tc>
        <w:tc>
          <w:tcPr>
            <w:tcW w:w="1340" w:type="dxa"/>
            <w:vAlign w:val="bottom"/>
            <w:tcBorders>
              <w:top w:val="single" w:sz="8" w:color="auto"/>
              <w:right w:val="single" w:sz="8" w:color="auto"/>
            </w:tcBorders>
            <w:shd w:val="clear" w:color="auto" w:fill="E5E5E5"/>
          </w:tcPr>
          <w:p>
            <w:pPr>
              <w:jc w:val="center"/>
              <w:spacing w:after="0"/>
              <w:rPr>
                <w:sz w:val="20"/>
                <w:szCs w:val="20"/>
                <w:color w:val="auto"/>
              </w:rPr>
            </w:pPr>
            <w:r>
              <w:rPr>
                <w:rFonts w:ascii="Arial" w:cs="Arial" w:eastAsia="Arial" w:hAnsi="Arial"/>
                <w:sz w:val="18"/>
                <w:szCs w:val="18"/>
                <w:b w:val="1"/>
                <w:bCs w:val="1"/>
                <w:color w:val="auto"/>
                <w:w w:val="92"/>
              </w:rPr>
              <w:t>Form of</w:t>
            </w:r>
          </w:p>
        </w:tc>
        <w:tc>
          <w:tcPr>
            <w:tcW w:w="1360" w:type="dxa"/>
            <w:vAlign w:val="bottom"/>
            <w:tcBorders>
              <w:top w:val="single" w:sz="8" w:color="auto"/>
              <w:right w:val="single" w:sz="8" w:color="auto"/>
            </w:tcBorders>
            <w:shd w:val="clear" w:color="auto" w:fill="E5E5E5"/>
          </w:tcPr>
          <w:p>
            <w:pPr>
              <w:jc w:val="center"/>
              <w:spacing w:after="0"/>
              <w:rPr>
                <w:sz w:val="20"/>
                <w:szCs w:val="20"/>
                <w:color w:val="auto"/>
              </w:rPr>
            </w:pPr>
            <w:r>
              <w:rPr>
                <w:rFonts w:ascii="Arial" w:cs="Arial" w:eastAsia="Arial" w:hAnsi="Arial"/>
                <w:sz w:val="18"/>
                <w:szCs w:val="18"/>
                <w:b w:val="1"/>
                <w:bCs w:val="1"/>
                <w:color w:val="auto"/>
                <w:w w:val="94"/>
              </w:rPr>
              <w:t>Preferred</w:t>
            </w:r>
          </w:p>
        </w:tc>
        <w:tc>
          <w:tcPr>
            <w:tcW w:w="1280" w:type="dxa"/>
            <w:vAlign w:val="bottom"/>
            <w:tcBorders>
              <w:top w:val="single" w:sz="8" w:color="auto"/>
              <w:right w:val="single" w:sz="8" w:color="auto"/>
            </w:tcBorders>
            <w:shd w:val="clear" w:color="auto" w:fill="E5E5E5"/>
          </w:tcPr>
          <w:p>
            <w:pPr>
              <w:spacing w:after="0"/>
              <w:rPr>
                <w:sz w:val="22"/>
                <w:szCs w:val="22"/>
                <w:color w:val="auto"/>
              </w:rPr>
            </w:pPr>
          </w:p>
        </w:tc>
        <w:tc>
          <w:tcPr>
            <w:tcW w:w="1380" w:type="dxa"/>
            <w:vAlign w:val="bottom"/>
            <w:tcBorders>
              <w:top w:val="single" w:sz="8" w:color="auto"/>
              <w:right w:val="single" w:sz="8" w:color="auto"/>
            </w:tcBorders>
            <w:shd w:val="clear" w:color="auto" w:fill="E5E5E5"/>
          </w:tcPr>
          <w:p>
            <w:pPr>
              <w:jc w:val="center"/>
              <w:spacing w:after="0"/>
              <w:rPr>
                <w:sz w:val="20"/>
                <w:szCs w:val="20"/>
                <w:color w:val="auto"/>
              </w:rPr>
            </w:pPr>
            <w:r>
              <w:rPr>
                <w:rFonts w:ascii="Arial" w:cs="Arial" w:eastAsia="Arial" w:hAnsi="Arial"/>
                <w:sz w:val="18"/>
                <w:szCs w:val="18"/>
                <w:b w:val="1"/>
                <w:bCs w:val="1"/>
                <w:color w:val="auto"/>
                <w:w w:val="89"/>
              </w:rPr>
              <w:t>Common</w:t>
            </w:r>
          </w:p>
        </w:tc>
        <w:tc>
          <w:tcPr>
            <w:tcW w:w="1260" w:type="dxa"/>
            <w:vAlign w:val="bottom"/>
            <w:tcBorders>
              <w:top w:val="single" w:sz="8" w:color="auto"/>
              <w:right w:val="single" w:sz="8" w:color="auto"/>
            </w:tcBorders>
            <w:shd w:val="clear" w:color="auto" w:fill="E5E5E5"/>
          </w:tcPr>
          <w:p>
            <w:pPr>
              <w:spacing w:after="0"/>
              <w:rPr>
                <w:sz w:val="22"/>
                <w:szCs w:val="22"/>
                <w:color w:val="auto"/>
              </w:rPr>
            </w:pPr>
          </w:p>
        </w:tc>
      </w:tr>
      <w:tr>
        <w:trPr>
          <w:trHeight w:val="216"/>
        </w:trPr>
        <w:tc>
          <w:tcPr>
            <w:tcW w:w="940" w:type="dxa"/>
            <w:vAlign w:val="bottom"/>
            <w:tcBorders>
              <w:left w:val="single" w:sz="8" w:color="auto"/>
              <w:right w:val="single" w:sz="8" w:color="auto"/>
            </w:tcBorders>
            <w:shd w:val="clear" w:color="auto" w:fill="E5E5E5"/>
          </w:tcPr>
          <w:p>
            <w:pPr>
              <w:spacing w:after="0"/>
              <w:rPr>
                <w:sz w:val="18"/>
                <w:szCs w:val="18"/>
                <w:color w:val="auto"/>
              </w:rPr>
            </w:pPr>
          </w:p>
        </w:tc>
        <w:tc>
          <w:tcPr>
            <w:tcW w:w="1340" w:type="dxa"/>
            <w:vAlign w:val="bottom"/>
            <w:tcBorders>
              <w:right w:val="single" w:sz="8" w:color="auto"/>
            </w:tcBorders>
            <w:shd w:val="clear" w:color="auto" w:fill="E5E5E5"/>
          </w:tcPr>
          <w:p>
            <w:pPr>
              <w:jc w:val="center"/>
              <w:spacing w:after="0"/>
              <w:rPr>
                <w:sz w:val="20"/>
                <w:szCs w:val="20"/>
                <w:color w:val="auto"/>
              </w:rPr>
            </w:pPr>
            <w:r>
              <w:rPr>
                <w:rFonts w:ascii="Arial" w:cs="Arial" w:eastAsia="Arial" w:hAnsi="Arial"/>
                <w:sz w:val="18"/>
                <w:szCs w:val="18"/>
                <w:b w:val="1"/>
                <w:bCs w:val="1"/>
                <w:color w:val="auto"/>
                <w:w w:val="96"/>
              </w:rPr>
              <w:t>Capital</w:t>
            </w:r>
          </w:p>
        </w:tc>
        <w:tc>
          <w:tcPr>
            <w:tcW w:w="1200" w:type="dxa"/>
            <w:vAlign w:val="bottom"/>
            <w:tcBorders>
              <w:right w:val="single" w:sz="8" w:color="auto"/>
            </w:tcBorders>
            <w:shd w:val="clear" w:color="auto" w:fill="E5E5E5"/>
          </w:tcPr>
          <w:p>
            <w:pPr>
              <w:jc w:val="center"/>
              <w:spacing w:after="0"/>
              <w:rPr>
                <w:sz w:val="20"/>
                <w:szCs w:val="20"/>
                <w:color w:val="auto"/>
              </w:rPr>
            </w:pPr>
            <w:r>
              <w:rPr>
                <w:rFonts w:ascii="Arial" w:cs="Arial" w:eastAsia="Arial" w:hAnsi="Arial"/>
                <w:sz w:val="18"/>
                <w:szCs w:val="18"/>
                <w:b w:val="1"/>
                <w:bCs w:val="1"/>
                <w:color w:val="auto"/>
                <w:w w:val="92"/>
              </w:rPr>
              <w:t>Preferred</w:t>
            </w:r>
          </w:p>
        </w:tc>
        <w:tc>
          <w:tcPr>
            <w:tcW w:w="1320" w:type="dxa"/>
            <w:vAlign w:val="bottom"/>
            <w:tcBorders>
              <w:right w:val="single" w:sz="8" w:color="auto"/>
            </w:tcBorders>
            <w:shd w:val="clear" w:color="auto" w:fill="E5E5E5"/>
          </w:tcPr>
          <w:p>
            <w:pPr>
              <w:jc w:val="center"/>
              <w:spacing w:after="0"/>
              <w:rPr>
                <w:sz w:val="20"/>
                <w:szCs w:val="20"/>
                <w:color w:val="auto"/>
              </w:rPr>
            </w:pPr>
            <w:r>
              <w:rPr>
                <w:rFonts w:ascii="Arial" w:cs="Arial" w:eastAsia="Arial" w:hAnsi="Arial"/>
                <w:sz w:val="18"/>
                <w:szCs w:val="18"/>
                <w:b w:val="1"/>
                <w:bCs w:val="1"/>
                <w:color w:val="auto"/>
                <w:w w:val="92"/>
              </w:rPr>
              <w:t>Common</w:t>
            </w:r>
          </w:p>
        </w:tc>
        <w:tc>
          <w:tcPr>
            <w:tcW w:w="1340" w:type="dxa"/>
            <w:vAlign w:val="bottom"/>
            <w:tcBorders>
              <w:right w:val="single" w:sz="8" w:color="auto"/>
            </w:tcBorders>
            <w:shd w:val="clear" w:color="auto" w:fill="E5E5E5"/>
          </w:tcPr>
          <w:p>
            <w:pPr>
              <w:jc w:val="center"/>
              <w:spacing w:after="0"/>
              <w:rPr>
                <w:sz w:val="20"/>
                <w:szCs w:val="20"/>
                <w:color w:val="auto"/>
              </w:rPr>
            </w:pPr>
            <w:r>
              <w:rPr>
                <w:rFonts w:ascii="Arial" w:cs="Arial" w:eastAsia="Arial" w:hAnsi="Arial"/>
                <w:sz w:val="18"/>
                <w:szCs w:val="18"/>
                <w:b w:val="1"/>
                <w:bCs w:val="1"/>
                <w:color w:val="auto"/>
                <w:w w:val="93"/>
              </w:rPr>
              <w:t>Capital</w:t>
            </w:r>
          </w:p>
        </w:tc>
        <w:tc>
          <w:tcPr>
            <w:tcW w:w="1360" w:type="dxa"/>
            <w:vAlign w:val="bottom"/>
            <w:tcBorders>
              <w:right w:val="single" w:sz="8" w:color="auto"/>
            </w:tcBorders>
            <w:shd w:val="clear" w:color="auto" w:fill="E5E5E5"/>
          </w:tcPr>
          <w:p>
            <w:pPr>
              <w:jc w:val="center"/>
              <w:ind w:right="10"/>
              <w:spacing w:after="0"/>
              <w:rPr>
                <w:sz w:val="20"/>
                <w:szCs w:val="20"/>
                <w:color w:val="auto"/>
              </w:rPr>
            </w:pPr>
            <w:r>
              <w:rPr>
                <w:rFonts w:ascii="Arial" w:cs="Arial" w:eastAsia="Arial" w:hAnsi="Arial"/>
                <w:sz w:val="18"/>
                <w:szCs w:val="18"/>
                <w:b w:val="1"/>
                <w:bCs w:val="1"/>
                <w:color w:val="auto"/>
                <w:w w:val="92"/>
              </w:rPr>
              <w:t>Membership</w:t>
            </w:r>
          </w:p>
        </w:tc>
        <w:tc>
          <w:tcPr>
            <w:tcW w:w="1280" w:type="dxa"/>
            <w:vAlign w:val="bottom"/>
            <w:tcBorders>
              <w:right w:val="single" w:sz="8" w:color="auto"/>
            </w:tcBorders>
            <w:shd w:val="clear" w:color="auto" w:fill="E5E5E5"/>
          </w:tcPr>
          <w:p>
            <w:pPr>
              <w:spacing w:after="0"/>
              <w:rPr>
                <w:sz w:val="18"/>
                <w:szCs w:val="18"/>
                <w:color w:val="auto"/>
              </w:rPr>
            </w:pPr>
          </w:p>
        </w:tc>
        <w:tc>
          <w:tcPr>
            <w:tcW w:w="1380" w:type="dxa"/>
            <w:vAlign w:val="bottom"/>
            <w:tcBorders>
              <w:right w:val="single" w:sz="8" w:color="auto"/>
            </w:tcBorders>
            <w:shd w:val="clear" w:color="auto" w:fill="E5E5E5"/>
          </w:tcPr>
          <w:p>
            <w:pPr>
              <w:jc w:val="center"/>
              <w:spacing w:after="0"/>
              <w:rPr>
                <w:sz w:val="20"/>
                <w:szCs w:val="20"/>
                <w:color w:val="auto"/>
              </w:rPr>
            </w:pPr>
            <w:r>
              <w:rPr>
                <w:rFonts w:ascii="Arial" w:cs="Arial" w:eastAsia="Arial" w:hAnsi="Arial"/>
                <w:sz w:val="18"/>
                <w:szCs w:val="18"/>
                <w:b w:val="1"/>
                <w:bCs w:val="1"/>
                <w:color w:val="auto"/>
                <w:w w:val="92"/>
              </w:rPr>
              <w:t>Membership</w:t>
            </w:r>
          </w:p>
        </w:tc>
        <w:tc>
          <w:tcPr>
            <w:tcW w:w="1260" w:type="dxa"/>
            <w:vAlign w:val="bottom"/>
            <w:tcBorders>
              <w:right w:val="single" w:sz="8" w:color="auto"/>
            </w:tcBorders>
            <w:shd w:val="clear" w:color="auto" w:fill="E5E5E5"/>
          </w:tcPr>
          <w:p>
            <w:pPr>
              <w:spacing w:after="0"/>
              <w:rPr>
                <w:sz w:val="18"/>
                <w:szCs w:val="18"/>
                <w:color w:val="auto"/>
              </w:rPr>
            </w:pPr>
          </w:p>
        </w:tc>
      </w:tr>
      <w:tr>
        <w:trPr>
          <w:trHeight w:val="277"/>
        </w:trPr>
        <w:tc>
          <w:tcPr>
            <w:tcW w:w="940" w:type="dxa"/>
            <w:vAlign w:val="bottom"/>
            <w:tcBorders>
              <w:left w:val="single" w:sz="8" w:color="auto"/>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8"/>
                <w:szCs w:val="18"/>
                <w:b w:val="1"/>
                <w:bCs w:val="1"/>
                <w:color w:val="auto"/>
                <w:w w:val="95"/>
              </w:rPr>
              <w:t>Member</w:t>
            </w:r>
          </w:p>
        </w:tc>
        <w:tc>
          <w:tcPr>
            <w:tcW w:w="134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8"/>
                <w:szCs w:val="18"/>
                <w:b w:val="1"/>
                <w:bCs w:val="1"/>
                <w:color w:val="auto"/>
                <w:w w:val="94"/>
              </w:rPr>
              <w:t>Contribution</w:t>
            </w:r>
          </w:p>
        </w:tc>
        <w:tc>
          <w:tcPr>
            <w:tcW w:w="120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8"/>
                <w:szCs w:val="18"/>
                <w:b w:val="1"/>
                <w:bCs w:val="1"/>
                <w:color w:val="auto"/>
                <w:w w:val="93"/>
              </w:rPr>
              <w:t>Capital</w:t>
            </w:r>
          </w:p>
        </w:tc>
        <w:tc>
          <w:tcPr>
            <w:tcW w:w="132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8"/>
                <w:szCs w:val="18"/>
                <w:b w:val="1"/>
                <w:bCs w:val="1"/>
                <w:color w:val="auto"/>
                <w:w w:val="96"/>
              </w:rPr>
              <w:t>Capital</w:t>
            </w:r>
          </w:p>
        </w:tc>
        <w:tc>
          <w:tcPr>
            <w:tcW w:w="134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8"/>
                <w:szCs w:val="18"/>
                <w:b w:val="1"/>
                <w:bCs w:val="1"/>
                <w:color w:val="auto"/>
                <w:w w:val="92"/>
              </w:rPr>
              <w:t>Contribution</w:t>
            </w:r>
          </w:p>
        </w:tc>
        <w:tc>
          <w:tcPr>
            <w:tcW w:w="136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8"/>
                <w:szCs w:val="18"/>
                <w:b w:val="1"/>
                <w:bCs w:val="1"/>
                <w:color w:val="auto"/>
                <w:w w:val="88"/>
              </w:rPr>
              <w:t>Units</w:t>
            </w:r>
          </w:p>
        </w:tc>
        <w:tc>
          <w:tcPr>
            <w:tcW w:w="1280" w:type="dxa"/>
            <w:vAlign w:val="bottom"/>
            <w:tcBorders>
              <w:bottom w:val="single" w:sz="8" w:color="E5E5E5"/>
              <w:right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rPr>
              <w:t>% Preferred</w:t>
            </w:r>
          </w:p>
        </w:tc>
        <w:tc>
          <w:tcPr>
            <w:tcW w:w="138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8"/>
                <w:szCs w:val="18"/>
                <w:b w:val="1"/>
                <w:bCs w:val="1"/>
                <w:color w:val="auto"/>
                <w:w w:val="93"/>
              </w:rPr>
              <w:t>Units</w:t>
            </w:r>
          </w:p>
        </w:tc>
        <w:tc>
          <w:tcPr>
            <w:tcW w:w="126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8"/>
                <w:szCs w:val="18"/>
                <w:b w:val="1"/>
                <w:bCs w:val="1"/>
                <w:color w:val="auto"/>
                <w:w w:val="94"/>
              </w:rPr>
              <w:t>% Common</w:t>
            </w:r>
          </w:p>
        </w:tc>
      </w:tr>
      <w:tr>
        <w:trPr>
          <w:trHeight w:val="240"/>
        </w:trPr>
        <w:tc>
          <w:tcPr>
            <w:tcW w:w="9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Albany</w:t>
            </w:r>
          </w:p>
        </w:tc>
        <w:tc>
          <w:tcPr>
            <w:tcW w:w="1340" w:type="dxa"/>
            <w:vAlign w:val="bottom"/>
            <w:tcBorders>
              <w:top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$280,000,000</w:t>
            </w:r>
          </w:p>
        </w:tc>
        <w:tc>
          <w:tcPr>
            <w:tcW w:w="1200" w:type="dxa"/>
            <w:vAlign w:val="bottom"/>
            <w:tcBorders>
              <w:top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$28,000,000</w:t>
            </w:r>
          </w:p>
        </w:tc>
        <w:tc>
          <w:tcPr>
            <w:tcW w:w="1320" w:type="dxa"/>
            <w:vAlign w:val="bottom"/>
            <w:tcBorders>
              <w:top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$252,000,000</w:t>
            </w:r>
          </w:p>
        </w:tc>
        <w:tc>
          <w:tcPr>
            <w:tcW w:w="13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Property</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1280" w:type="dxa"/>
            <w:vAlign w:val="bottom"/>
            <w:tcBorders>
              <w:top w:val="single" w:sz="8" w:color="auto"/>
              <w:right w:val="single" w:sz="8" w:color="auto"/>
            </w:tcBorders>
          </w:tcPr>
          <w:p>
            <w:pPr>
              <w:jc w:val="right"/>
              <w:ind w:right="350"/>
              <w:spacing w:after="0"/>
              <w:rPr>
                <w:sz w:val="20"/>
                <w:szCs w:val="20"/>
                <w:color w:val="auto"/>
              </w:rPr>
            </w:pPr>
            <w:r>
              <w:rPr>
                <w:rFonts w:ascii="Arial" w:cs="Arial" w:eastAsia="Arial" w:hAnsi="Arial"/>
                <w:sz w:val="18"/>
                <w:szCs w:val="18"/>
                <w:color w:val="auto"/>
              </w:rPr>
              <w:t>100%</w:t>
            </w:r>
          </w:p>
        </w:tc>
        <w:tc>
          <w:tcPr>
            <w:tcW w:w="1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900</w:t>
            </w:r>
          </w:p>
        </w:tc>
        <w:tc>
          <w:tcPr>
            <w:tcW w:w="12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90%</w:t>
            </w:r>
          </w:p>
        </w:tc>
      </w:tr>
      <w:tr>
        <w:trPr>
          <w:trHeight w:val="37"/>
        </w:trPr>
        <w:tc>
          <w:tcPr>
            <w:tcW w:w="940" w:type="dxa"/>
            <w:vAlign w:val="bottom"/>
            <w:tcBorders>
              <w:left w:val="single" w:sz="8" w:color="auto"/>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r>
      <w:tr>
        <w:trPr>
          <w:trHeight w:val="240"/>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Safran</w:t>
            </w:r>
          </w:p>
        </w:tc>
        <w:tc>
          <w:tcPr>
            <w:tcW w:w="134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$28,000,000</w:t>
            </w:r>
          </w:p>
        </w:tc>
        <w:tc>
          <w:tcPr>
            <w:tcW w:w="1200" w:type="dxa"/>
            <w:vAlign w:val="bottom"/>
            <w:tcBorders>
              <w:right w:val="single" w:sz="8" w:color="auto"/>
            </w:tcBorders>
          </w:tcPr>
          <w:p>
            <w:pPr>
              <w:jc w:val="right"/>
              <w:ind w:right="490"/>
              <w:spacing w:after="0"/>
              <w:rPr>
                <w:sz w:val="20"/>
                <w:szCs w:val="20"/>
                <w:color w:val="auto"/>
              </w:rPr>
            </w:pPr>
            <w:r>
              <w:rPr>
                <w:rFonts w:ascii="Arial" w:cs="Arial" w:eastAsia="Arial" w:hAnsi="Arial"/>
                <w:sz w:val="18"/>
                <w:szCs w:val="18"/>
                <w:color w:val="auto"/>
              </w:rPr>
              <w:t>0</w:t>
            </w:r>
          </w:p>
        </w:tc>
        <w:tc>
          <w:tcPr>
            <w:tcW w:w="132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$28,000,000</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5"/>
              </w:rPr>
              <w:t>Cash</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0</w:t>
            </w:r>
          </w:p>
        </w:tc>
        <w:tc>
          <w:tcPr>
            <w:tcW w:w="1280" w:type="dxa"/>
            <w:vAlign w:val="bottom"/>
            <w:tcBorders>
              <w:right w:val="single" w:sz="8" w:color="auto"/>
            </w:tcBorders>
          </w:tcPr>
          <w:p>
            <w:pPr>
              <w:jc w:val="right"/>
              <w:ind w:right="450"/>
              <w:spacing w:after="0"/>
              <w:rPr>
                <w:sz w:val="20"/>
                <w:szCs w:val="20"/>
                <w:color w:val="auto"/>
              </w:rPr>
            </w:pPr>
            <w:r>
              <w:rPr>
                <w:rFonts w:ascii="Arial" w:cs="Arial" w:eastAsia="Arial" w:hAnsi="Arial"/>
                <w:sz w:val="18"/>
                <w:szCs w:val="18"/>
                <w:color w:val="auto"/>
              </w:rPr>
              <w:t>0%</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100</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10%</w:t>
            </w:r>
          </w:p>
        </w:tc>
      </w:tr>
      <w:tr>
        <w:trPr>
          <w:trHeight w:val="37"/>
        </w:trPr>
        <w:tc>
          <w:tcPr>
            <w:tcW w:w="940" w:type="dxa"/>
            <w:vAlign w:val="bottom"/>
            <w:tcBorders>
              <w:left w:val="single" w:sz="8" w:color="auto"/>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r>
      <w:tr>
        <w:trPr>
          <w:trHeight w:val="456"/>
        </w:trPr>
        <w:tc>
          <w:tcPr>
            <w:tcW w:w="9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40" w:type="dxa"/>
            <w:vAlign w:val="bottom"/>
          </w:tcPr>
          <w:p>
            <w:pPr>
              <w:ind w:left="780"/>
              <w:spacing w:after="0"/>
              <w:rPr>
                <w:sz w:val="20"/>
                <w:szCs w:val="20"/>
                <w:color w:val="auto"/>
              </w:rPr>
            </w:pPr>
            <w:r>
              <w:rPr>
                <w:rFonts w:ascii="Arial" w:cs="Arial" w:eastAsia="Arial" w:hAnsi="Arial"/>
                <w:sz w:val="18"/>
                <w:szCs w:val="18"/>
                <w:color w:val="auto"/>
              </w:rPr>
              <w:t>B-1</w:t>
            </w: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08"/>
        </w:trPr>
        <w:tc>
          <w:tcPr>
            <w:tcW w:w="9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60" w:type="dxa"/>
            <w:vAlign w:val="bottom"/>
          </w:tcPr>
          <w:p>
            <w:pPr>
              <w:spacing w:after="0"/>
              <w:rPr>
                <w:sz w:val="9"/>
                <w:szCs w:val="9"/>
                <w:color w:val="auto"/>
              </w:rPr>
            </w:pPr>
          </w:p>
        </w:tc>
      </w:tr>
      <w:tr>
        <w:trPr>
          <w:trHeight w:val="68"/>
        </w:trPr>
        <w:tc>
          <w:tcPr>
            <w:tcW w:w="940" w:type="dxa"/>
            <w:vAlign w:val="bottom"/>
            <w:tcBorders>
              <w:left w:val="single" w:sz="8" w:color="auto"/>
              <w:right w:val="single" w:sz="8" w:color="auto"/>
            </w:tcBorders>
            <w:shd w:val="clear" w:color="auto" w:fill="000000"/>
          </w:tcPr>
          <w:p>
            <w:pPr>
              <w:spacing w:after="0"/>
              <w:rPr>
                <w:sz w:val="5"/>
                <w:szCs w:val="5"/>
                <w:color w:val="auto"/>
              </w:rPr>
            </w:pPr>
          </w:p>
        </w:tc>
        <w:tc>
          <w:tcPr>
            <w:tcW w:w="1340" w:type="dxa"/>
            <w:vAlign w:val="bottom"/>
            <w:tcBorders>
              <w:right w:val="single" w:sz="8" w:color="auto"/>
            </w:tcBorders>
            <w:shd w:val="clear" w:color="auto" w:fill="000000"/>
          </w:tcPr>
          <w:p>
            <w:pPr>
              <w:spacing w:after="0"/>
              <w:rPr>
                <w:sz w:val="5"/>
                <w:szCs w:val="5"/>
                <w:color w:val="auto"/>
              </w:rPr>
            </w:pPr>
          </w:p>
        </w:tc>
        <w:tc>
          <w:tcPr>
            <w:tcW w:w="1200" w:type="dxa"/>
            <w:vAlign w:val="bottom"/>
            <w:tcBorders>
              <w:right w:val="single" w:sz="8" w:color="auto"/>
            </w:tcBorders>
            <w:shd w:val="clear" w:color="auto" w:fill="000000"/>
          </w:tcPr>
          <w:p>
            <w:pPr>
              <w:spacing w:after="0"/>
              <w:rPr>
                <w:sz w:val="5"/>
                <w:szCs w:val="5"/>
                <w:color w:val="auto"/>
              </w:rPr>
            </w:pPr>
          </w:p>
        </w:tc>
        <w:tc>
          <w:tcPr>
            <w:tcW w:w="1320" w:type="dxa"/>
            <w:vAlign w:val="bottom"/>
            <w:tcBorders>
              <w:right w:val="single" w:sz="8" w:color="auto"/>
            </w:tcBorders>
            <w:shd w:val="clear" w:color="auto" w:fill="000000"/>
          </w:tcPr>
          <w:p>
            <w:pPr>
              <w:spacing w:after="0"/>
              <w:rPr>
                <w:sz w:val="5"/>
                <w:szCs w:val="5"/>
                <w:color w:val="auto"/>
              </w:rPr>
            </w:pPr>
          </w:p>
        </w:tc>
        <w:tc>
          <w:tcPr>
            <w:tcW w:w="1340" w:type="dxa"/>
            <w:vAlign w:val="bottom"/>
            <w:tcBorders>
              <w:right w:val="single" w:sz="8" w:color="auto"/>
            </w:tcBorders>
            <w:shd w:val="clear" w:color="auto" w:fill="000000"/>
          </w:tcPr>
          <w:p>
            <w:pPr>
              <w:spacing w:after="0"/>
              <w:rPr>
                <w:sz w:val="5"/>
                <w:szCs w:val="5"/>
                <w:color w:val="auto"/>
              </w:rPr>
            </w:pPr>
          </w:p>
        </w:tc>
        <w:tc>
          <w:tcPr>
            <w:tcW w:w="1360" w:type="dxa"/>
            <w:vAlign w:val="bottom"/>
            <w:tcBorders>
              <w:right w:val="single" w:sz="8" w:color="auto"/>
            </w:tcBorders>
            <w:shd w:val="clear" w:color="auto" w:fill="000000"/>
          </w:tcPr>
          <w:p>
            <w:pPr>
              <w:spacing w:after="0"/>
              <w:rPr>
                <w:sz w:val="5"/>
                <w:szCs w:val="5"/>
                <w:color w:val="auto"/>
              </w:rPr>
            </w:pPr>
          </w:p>
        </w:tc>
        <w:tc>
          <w:tcPr>
            <w:tcW w:w="1280" w:type="dxa"/>
            <w:vAlign w:val="bottom"/>
            <w:tcBorders>
              <w:right w:val="single" w:sz="8" w:color="auto"/>
            </w:tcBorders>
            <w:shd w:val="clear" w:color="auto" w:fill="000000"/>
          </w:tcPr>
          <w:p>
            <w:pPr>
              <w:spacing w:after="0"/>
              <w:rPr>
                <w:sz w:val="5"/>
                <w:szCs w:val="5"/>
                <w:color w:val="auto"/>
              </w:rPr>
            </w:pPr>
          </w:p>
        </w:tc>
        <w:tc>
          <w:tcPr>
            <w:tcW w:w="1380" w:type="dxa"/>
            <w:vAlign w:val="bottom"/>
            <w:tcBorders>
              <w:right w:val="single" w:sz="8" w:color="auto"/>
            </w:tcBorders>
            <w:shd w:val="clear" w:color="auto" w:fill="000000"/>
          </w:tcPr>
          <w:p>
            <w:pPr>
              <w:spacing w:after="0"/>
              <w:rPr>
                <w:sz w:val="5"/>
                <w:szCs w:val="5"/>
                <w:color w:val="auto"/>
              </w:rPr>
            </w:pPr>
          </w:p>
        </w:tc>
        <w:tc>
          <w:tcPr>
            <w:tcW w:w="1260" w:type="dxa"/>
            <w:vAlign w:val="bottom"/>
            <w:tcBorders>
              <w:right w:val="single" w:sz="8" w:color="auto"/>
            </w:tcBorders>
            <w:shd w:val="clear" w:color="auto" w:fill="000000"/>
          </w:tcPr>
          <w:p>
            <w:pPr>
              <w:spacing w:after="0"/>
              <w:rPr>
                <w:sz w:val="5"/>
                <w:szCs w:val="5"/>
                <w:color w:val="auto"/>
              </w:rPr>
            </w:pPr>
          </w:p>
        </w:tc>
      </w:tr>
    </w:tbl>
    <w:p>
      <w:pPr>
        <w:sectPr>
          <w:pgSz w:w="11900" w:h="16838" w:orient="portrait"/>
          <w:cols w:equalWidth="0" w:num="1">
            <w:col w:w="11420"/>
          </w:cols>
          <w:pgMar w:left="240" w:top="923" w:right="239" w:bottom="1440" w:gutter="0" w:footer="0" w:header="0"/>
        </w:sectPr>
      </w:pPr>
    </w:p>
    <w:bookmarkStart w:id="173" w:name="page174"/>
    <w:bookmarkEnd w:id="173"/>
    <w:p>
      <w:pPr>
        <w:jc w:val="center"/>
        <w:ind w:right="-29"/>
        <w:spacing w:after="0"/>
        <w:rPr>
          <w:sz w:val="20"/>
          <w:szCs w:val="20"/>
          <w:color w:val="auto"/>
        </w:rPr>
      </w:pPr>
      <w:r>
        <w:rPr>
          <w:rFonts w:ascii="Arial" w:cs="Arial" w:eastAsia="Arial" w:hAnsi="Arial"/>
          <w:sz w:val="22"/>
          <w:szCs w:val="22"/>
          <w:color w:val="auto"/>
        </w:rPr>
        <w:t>ANNEX I</w:t>
      </w:r>
    </w:p>
    <w:p>
      <w:pPr>
        <w:spacing w:after="0" w:line="233" w:lineRule="exact"/>
        <w:rPr>
          <w:sz w:val="20"/>
          <w:szCs w:val="20"/>
          <w:color w:val="auto"/>
        </w:rPr>
      </w:pPr>
    </w:p>
    <w:p>
      <w:pPr>
        <w:jc w:val="center"/>
        <w:ind w:right="-29"/>
        <w:spacing w:after="0"/>
        <w:rPr>
          <w:sz w:val="20"/>
          <w:szCs w:val="20"/>
          <w:color w:val="auto"/>
        </w:rPr>
      </w:pPr>
      <w:r>
        <w:rPr>
          <w:rFonts w:ascii="Arial" w:cs="Arial" w:eastAsia="Arial" w:hAnsi="Arial"/>
          <w:sz w:val="22"/>
          <w:szCs w:val="22"/>
          <w:u w:val="single" w:color="auto"/>
          <w:color w:val="auto"/>
        </w:rPr>
        <w:t>Existing Supply Agreement</w:t>
      </w:r>
    </w:p>
    <w:p>
      <w:pPr>
        <w:spacing w:after="0" w:line="213" w:lineRule="exact"/>
        <w:rPr>
          <w:sz w:val="20"/>
          <w:szCs w:val="20"/>
          <w:color w:val="auto"/>
        </w:rPr>
      </w:pPr>
    </w:p>
    <w:p>
      <w:pPr>
        <w:ind w:left="210" w:hanging="210"/>
        <w:spacing w:after="0" w:line="277" w:lineRule="auto"/>
        <w:tabs>
          <w:tab w:leader="none" w:pos="21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Long Term Supply Agreement, dated as of June 1, 2008, between Messier-Dowty LTD, Albany Engineered Composites, Inc. and Albany International Corp.</w:t>
      </w:r>
    </w:p>
    <w:p>
      <w:pPr>
        <w:spacing w:after="0" w:line="62" w:lineRule="exact"/>
        <w:rPr>
          <w:sz w:val="20"/>
          <w:szCs w:val="20"/>
          <w:color w:val="auto"/>
        </w:rPr>
      </w:pPr>
    </w:p>
    <w:p>
      <w:pPr>
        <w:jc w:val="center"/>
        <w:ind w:right="-29"/>
        <w:spacing w:after="0"/>
        <w:rPr>
          <w:sz w:val="20"/>
          <w:szCs w:val="20"/>
          <w:color w:val="auto"/>
        </w:rPr>
      </w:pPr>
      <w:r>
        <w:rPr>
          <w:rFonts w:ascii="Arial" w:cs="Arial" w:eastAsia="Arial" w:hAnsi="Arial"/>
          <w:sz w:val="18"/>
          <w:szCs w:val="18"/>
          <w:color w:val="auto"/>
        </w:rPr>
        <w:t>Annex I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83185</wp:posOffset>
            </wp:positionV>
            <wp:extent cx="7246620" cy="4318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070"/>
          </w:cols>
          <w:pgMar w:left="410" w:top="929" w:right="419" w:bottom="1440" w:gutter="0" w:footer="0" w:header="0"/>
        </w:sectPr>
      </w:pPr>
    </w:p>
    <w:bookmarkStart w:id="174" w:name="page175"/>
    <w:bookmarkEnd w:id="174"/>
    <w:tbl>
      <w:tblPr>
        <w:tblLayout w:type="fixed"/>
        <w:tblInd w:w="1670" w:type="dxa"/>
        <w:tblCellMar>
          <w:top w:w="0" w:type="dxa"/>
          <w:left w:w="0" w:type="dxa"/>
          <w:bottom w:w="0" w:type="dxa"/>
          <w:right w:w="0" w:type="dxa"/>
        </w:tblCellMar>
      </w:tblPr>
      <w:tr>
        <w:trPr>
          <w:trHeight w:val="275"/>
        </w:trPr>
        <w:tc>
          <w:tcPr>
            <w:tcW w:w="13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660" w:type="dxa"/>
            <w:vAlign w:val="bottom"/>
            <w:gridSpan w:val="3"/>
          </w:tcPr>
          <w:p>
            <w:pPr>
              <w:jc w:val="center"/>
              <w:ind w:right="2060"/>
              <w:spacing w:after="0"/>
              <w:rPr>
                <w:sz w:val="20"/>
                <w:szCs w:val="20"/>
                <w:color w:val="auto"/>
              </w:rPr>
            </w:pPr>
            <w:r>
              <w:rPr>
                <w:rFonts w:ascii="Arial" w:cs="Arial" w:eastAsia="Arial" w:hAnsi="Arial"/>
                <w:sz w:val="22"/>
                <w:szCs w:val="22"/>
                <w:color w:val="auto"/>
              </w:rPr>
              <w:t>ANNEX II</w:t>
            </w:r>
          </w:p>
        </w:tc>
      </w:tr>
      <w:tr>
        <w:trPr>
          <w:trHeight w:val="409"/>
        </w:trPr>
        <w:tc>
          <w:tcPr>
            <w:tcW w:w="5720" w:type="dxa"/>
            <w:vAlign w:val="bottom"/>
            <w:gridSpan w:val="5"/>
          </w:tcPr>
          <w:p>
            <w:pPr>
              <w:jc w:val="center"/>
              <w:spacing w:after="0"/>
              <w:rPr>
                <w:sz w:val="20"/>
                <w:szCs w:val="20"/>
                <w:color w:val="auto"/>
              </w:rPr>
            </w:pPr>
            <w:r>
              <w:rPr>
                <w:rFonts w:ascii="Arial" w:cs="Arial" w:eastAsia="Arial" w:hAnsi="Arial"/>
                <w:sz w:val="22"/>
                <w:szCs w:val="22"/>
                <w:color w:val="auto"/>
                <w:w w:val="88"/>
              </w:rPr>
              <w:t>Enterprise Values of the Company</w:t>
            </w:r>
          </w:p>
        </w:tc>
      </w:tr>
      <w:tr>
        <w:trPr>
          <w:trHeight w:val="247"/>
        </w:trPr>
        <w:tc>
          <w:tcPr>
            <w:tcW w:w="1380" w:type="dxa"/>
            <w:vAlign w:val="bottom"/>
            <w:tcBorders>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r>
      <w:tr>
        <w:trPr>
          <w:trHeight w:val="222"/>
        </w:trPr>
        <w:tc>
          <w:tcPr>
            <w:tcW w:w="2060" w:type="dxa"/>
            <w:vAlign w:val="bottom"/>
            <w:tcBorders>
              <w:left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Quarter</w:t>
            </w:r>
          </w:p>
        </w:tc>
        <w:tc>
          <w:tcPr>
            <w:tcW w:w="1160" w:type="dxa"/>
            <w:vAlign w:val="bottom"/>
            <w:tcBorders>
              <w:right w:val="single" w:sz="8" w:color="auto"/>
            </w:tcBorders>
          </w:tcPr>
          <w:p>
            <w:pPr>
              <w:spacing w:after="0"/>
              <w:rPr>
                <w:sz w:val="19"/>
                <w:szCs w:val="19"/>
                <w:color w:val="auto"/>
              </w:rPr>
            </w:pPr>
          </w:p>
        </w:tc>
        <w:tc>
          <w:tcPr>
            <w:tcW w:w="250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b w:val="1"/>
                <w:bCs w:val="1"/>
                <w:color w:val="auto"/>
                <w:w w:val="91"/>
              </w:rPr>
              <w:t>Enterprise Value</w:t>
            </w:r>
          </w:p>
        </w:tc>
      </w:tr>
      <w:tr>
        <w:trPr>
          <w:trHeight w:val="234"/>
        </w:trPr>
        <w:tc>
          <w:tcPr>
            <w:tcW w:w="1380" w:type="dxa"/>
            <w:vAlign w:val="bottom"/>
            <w:tcBorders>
              <w:left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gridSpan w:val="2"/>
          </w:tcPr>
          <w:p>
            <w:pPr>
              <w:jc w:val="center"/>
              <w:ind w:right="60"/>
              <w:spacing w:after="0"/>
              <w:rPr>
                <w:sz w:val="20"/>
                <w:szCs w:val="20"/>
                <w:color w:val="auto"/>
              </w:rPr>
            </w:pPr>
            <w:r>
              <w:rPr>
                <w:rFonts w:ascii="Arial" w:cs="Arial" w:eastAsia="Arial" w:hAnsi="Arial"/>
                <w:sz w:val="18"/>
                <w:szCs w:val="18"/>
                <w:b w:val="1"/>
                <w:bCs w:val="1"/>
                <w:color w:val="auto"/>
                <w:w w:val="92"/>
              </w:rPr>
              <w:t>($ millions)</w:t>
            </w:r>
          </w:p>
        </w:tc>
      </w:tr>
      <w:tr>
        <w:trPr>
          <w:trHeight w:val="37"/>
        </w:trPr>
        <w:tc>
          <w:tcPr>
            <w:tcW w:w="1380" w:type="dxa"/>
            <w:vAlign w:val="bottom"/>
            <w:tcBorders>
              <w:left w:val="single" w:sz="8" w:color="auto"/>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r>
      <w:tr>
        <w:trPr>
          <w:trHeight w:val="240"/>
        </w:trPr>
        <w:tc>
          <w:tcPr>
            <w:tcW w:w="2060" w:type="dxa"/>
            <w:vAlign w:val="bottom"/>
            <w:tcBorders>
              <w:left w:val="single" w:sz="8" w:color="auto"/>
            </w:tcBorders>
            <w:gridSpan w:val="2"/>
          </w:tcPr>
          <w:p>
            <w:pPr>
              <w:ind w:left="440"/>
              <w:spacing w:after="0"/>
              <w:rPr>
                <w:sz w:val="20"/>
                <w:szCs w:val="20"/>
                <w:color w:val="auto"/>
              </w:rPr>
            </w:pPr>
            <w:r>
              <w:rPr>
                <w:rFonts w:ascii="Arial" w:cs="Arial" w:eastAsia="Arial" w:hAnsi="Arial"/>
                <w:sz w:val="18"/>
                <w:szCs w:val="18"/>
                <w:color w:val="auto"/>
              </w:rPr>
              <w:t>4Q 2012</w:t>
            </w:r>
          </w:p>
        </w:tc>
        <w:tc>
          <w:tcPr>
            <w:tcW w:w="116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gridSpan w:val="2"/>
          </w:tcPr>
          <w:p>
            <w:pPr>
              <w:jc w:val="center"/>
              <w:ind w:right="60"/>
              <w:spacing w:after="0"/>
              <w:rPr>
                <w:sz w:val="20"/>
                <w:szCs w:val="20"/>
                <w:color w:val="auto"/>
              </w:rPr>
            </w:pPr>
            <w:r>
              <w:rPr>
                <w:rFonts w:ascii="Arial" w:cs="Arial" w:eastAsia="Arial" w:hAnsi="Arial"/>
                <w:sz w:val="18"/>
                <w:szCs w:val="18"/>
                <w:color w:val="auto"/>
                <w:w w:val="88"/>
              </w:rPr>
              <w:t>280.0</w:t>
            </w:r>
          </w:p>
        </w:tc>
      </w:tr>
      <w:tr>
        <w:trPr>
          <w:trHeight w:val="37"/>
        </w:trPr>
        <w:tc>
          <w:tcPr>
            <w:tcW w:w="1380" w:type="dxa"/>
            <w:vAlign w:val="bottom"/>
            <w:tcBorders>
              <w:left w:val="single" w:sz="8" w:color="auto"/>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r>
      <w:tr>
        <w:trPr>
          <w:trHeight w:val="240"/>
        </w:trPr>
        <w:tc>
          <w:tcPr>
            <w:tcW w:w="2060" w:type="dxa"/>
            <w:vAlign w:val="bottom"/>
            <w:tcBorders>
              <w:left w:val="single" w:sz="8" w:color="auto"/>
            </w:tcBorders>
            <w:gridSpan w:val="2"/>
          </w:tcPr>
          <w:p>
            <w:pPr>
              <w:ind w:left="440"/>
              <w:spacing w:after="0"/>
              <w:rPr>
                <w:sz w:val="20"/>
                <w:szCs w:val="20"/>
                <w:color w:val="auto"/>
              </w:rPr>
            </w:pPr>
            <w:r>
              <w:rPr>
                <w:rFonts w:ascii="Arial" w:cs="Arial" w:eastAsia="Arial" w:hAnsi="Arial"/>
                <w:sz w:val="18"/>
                <w:szCs w:val="18"/>
                <w:color w:val="auto"/>
              </w:rPr>
              <w:t>1Q 2013</w:t>
            </w:r>
          </w:p>
        </w:tc>
        <w:tc>
          <w:tcPr>
            <w:tcW w:w="116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gridSpan w:val="2"/>
          </w:tcPr>
          <w:p>
            <w:pPr>
              <w:jc w:val="center"/>
              <w:ind w:right="60"/>
              <w:spacing w:after="0"/>
              <w:rPr>
                <w:sz w:val="20"/>
                <w:szCs w:val="20"/>
                <w:color w:val="auto"/>
              </w:rPr>
            </w:pPr>
            <w:r>
              <w:rPr>
                <w:rFonts w:ascii="Arial" w:cs="Arial" w:eastAsia="Arial" w:hAnsi="Arial"/>
                <w:sz w:val="18"/>
                <w:szCs w:val="18"/>
                <w:color w:val="auto"/>
                <w:w w:val="88"/>
              </w:rPr>
              <w:t>281.5</w:t>
            </w:r>
          </w:p>
        </w:tc>
      </w:tr>
      <w:tr>
        <w:trPr>
          <w:trHeight w:val="37"/>
        </w:trPr>
        <w:tc>
          <w:tcPr>
            <w:tcW w:w="1380" w:type="dxa"/>
            <w:vAlign w:val="bottom"/>
            <w:tcBorders>
              <w:left w:val="single" w:sz="8" w:color="auto"/>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r>
      <w:tr>
        <w:trPr>
          <w:trHeight w:val="240"/>
        </w:trPr>
        <w:tc>
          <w:tcPr>
            <w:tcW w:w="2060" w:type="dxa"/>
            <w:vAlign w:val="bottom"/>
            <w:tcBorders>
              <w:left w:val="single" w:sz="8" w:color="auto"/>
            </w:tcBorders>
            <w:gridSpan w:val="2"/>
          </w:tcPr>
          <w:p>
            <w:pPr>
              <w:ind w:left="440"/>
              <w:spacing w:after="0"/>
              <w:rPr>
                <w:sz w:val="20"/>
                <w:szCs w:val="20"/>
                <w:color w:val="auto"/>
              </w:rPr>
            </w:pPr>
            <w:r>
              <w:rPr>
                <w:rFonts w:ascii="Arial" w:cs="Arial" w:eastAsia="Arial" w:hAnsi="Arial"/>
                <w:sz w:val="18"/>
                <w:szCs w:val="18"/>
                <w:color w:val="auto"/>
              </w:rPr>
              <w:t>2Q 2013</w:t>
            </w:r>
          </w:p>
        </w:tc>
        <w:tc>
          <w:tcPr>
            <w:tcW w:w="116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gridSpan w:val="2"/>
          </w:tcPr>
          <w:p>
            <w:pPr>
              <w:jc w:val="center"/>
              <w:ind w:right="60"/>
              <w:spacing w:after="0"/>
              <w:rPr>
                <w:sz w:val="20"/>
                <w:szCs w:val="20"/>
                <w:color w:val="auto"/>
              </w:rPr>
            </w:pPr>
            <w:r>
              <w:rPr>
                <w:rFonts w:ascii="Arial" w:cs="Arial" w:eastAsia="Arial" w:hAnsi="Arial"/>
                <w:sz w:val="18"/>
                <w:szCs w:val="18"/>
                <w:color w:val="auto"/>
                <w:w w:val="88"/>
              </w:rPr>
              <w:t>283.1</w:t>
            </w:r>
          </w:p>
        </w:tc>
      </w:tr>
      <w:tr>
        <w:trPr>
          <w:trHeight w:val="37"/>
        </w:trPr>
        <w:tc>
          <w:tcPr>
            <w:tcW w:w="1380" w:type="dxa"/>
            <w:vAlign w:val="bottom"/>
            <w:tcBorders>
              <w:left w:val="single" w:sz="8" w:color="auto"/>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r>
      <w:tr>
        <w:trPr>
          <w:trHeight w:val="240"/>
        </w:trPr>
        <w:tc>
          <w:tcPr>
            <w:tcW w:w="2060" w:type="dxa"/>
            <w:vAlign w:val="bottom"/>
            <w:tcBorders>
              <w:left w:val="single" w:sz="8" w:color="auto"/>
            </w:tcBorders>
            <w:gridSpan w:val="2"/>
          </w:tcPr>
          <w:p>
            <w:pPr>
              <w:ind w:left="440"/>
              <w:spacing w:after="0"/>
              <w:rPr>
                <w:sz w:val="20"/>
                <w:szCs w:val="20"/>
                <w:color w:val="auto"/>
              </w:rPr>
            </w:pPr>
            <w:r>
              <w:rPr>
                <w:rFonts w:ascii="Arial" w:cs="Arial" w:eastAsia="Arial" w:hAnsi="Arial"/>
                <w:sz w:val="18"/>
                <w:szCs w:val="18"/>
                <w:color w:val="auto"/>
              </w:rPr>
              <w:t>3Q 2013</w:t>
            </w:r>
          </w:p>
        </w:tc>
        <w:tc>
          <w:tcPr>
            <w:tcW w:w="116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gridSpan w:val="2"/>
          </w:tcPr>
          <w:p>
            <w:pPr>
              <w:jc w:val="center"/>
              <w:ind w:right="60"/>
              <w:spacing w:after="0"/>
              <w:rPr>
                <w:sz w:val="20"/>
                <w:szCs w:val="20"/>
                <w:color w:val="auto"/>
              </w:rPr>
            </w:pPr>
            <w:r>
              <w:rPr>
                <w:rFonts w:ascii="Arial" w:cs="Arial" w:eastAsia="Arial" w:hAnsi="Arial"/>
                <w:sz w:val="18"/>
                <w:szCs w:val="18"/>
                <w:color w:val="auto"/>
                <w:w w:val="88"/>
              </w:rPr>
              <w:t>284.6</w:t>
            </w:r>
          </w:p>
        </w:tc>
      </w:tr>
      <w:tr>
        <w:trPr>
          <w:trHeight w:val="37"/>
        </w:trPr>
        <w:tc>
          <w:tcPr>
            <w:tcW w:w="1380" w:type="dxa"/>
            <w:vAlign w:val="bottom"/>
            <w:tcBorders>
              <w:left w:val="single" w:sz="8" w:color="auto"/>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r>
      <w:tr>
        <w:trPr>
          <w:trHeight w:val="240"/>
        </w:trPr>
        <w:tc>
          <w:tcPr>
            <w:tcW w:w="2060" w:type="dxa"/>
            <w:vAlign w:val="bottom"/>
            <w:tcBorders>
              <w:left w:val="single" w:sz="8" w:color="auto"/>
            </w:tcBorders>
            <w:gridSpan w:val="2"/>
          </w:tcPr>
          <w:p>
            <w:pPr>
              <w:ind w:left="440"/>
              <w:spacing w:after="0"/>
              <w:rPr>
                <w:sz w:val="20"/>
                <w:szCs w:val="20"/>
                <w:color w:val="auto"/>
              </w:rPr>
            </w:pPr>
            <w:r>
              <w:rPr>
                <w:rFonts w:ascii="Arial" w:cs="Arial" w:eastAsia="Arial" w:hAnsi="Arial"/>
                <w:sz w:val="18"/>
                <w:szCs w:val="18"/>
                <w:color w:val="auto"/>
              </w:rPr>
              <w:t>4Q 2013</w:t>
            </w:r>
          </w:p>
        </w:tc>
        <w:tc>
          <w:tcPr>
            <w:tcW w:w="116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gridSpan w:val="2"/>
          </w:tcPr>
          <w:p>
            <w:pPr>
              <w:jc w:val="center"/>
              <w:ind w:right="60"/>
              <w:spacing w:after="0"/>
              <w:rPr>
                <w:sz w:val="20"/>
                <w:szCs w:val="20"/>
                <w:color w:val="auto"/>
              </w:rPr>
            </w:pPr>
            <w:r>
              <w:rPr>
                <w:rFonts w:ascii="Arial" w:cs="Arial" w:eastAsia="Arial" w:hAnsi="Arial"/>
                <w:sz w:val="18"/>
                <w:szCs w:val="18"/>
                <w:color w:val="auto"/>
                <w:w w:val="88"/>
              </w:rPr>
              <w:t>286.1</w:t>
            </w:r>
          </w:p>
        </w:tc>
      </w:tr>
      <w:tr>
        <w:trPr>
          <w:trHeight w:val="37"/>
        </w:trPr>
        <w:tc>
          <w:tcPr>
            <w:tcW w:w="1380" w:type="dxa"/>
            <w:vAlign w:val="bottom"/>
            <w:tcBorders>
              <w:left w:val="single" w:sz="8" w:color="auto"/>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r>
      <w:tr>
        <w:trPr>
          <w:trHeight w:val="240"/>
        </w:trPr>
        <w:tc>
          <w:tcPr>
            <w:tcW w:w="2060" w:type="dxa"/>
            <w:vAlign w:val="bottom"/>
            <w:tcBorders>
              <w:left w:val="single" w:sz="8" w:color="auto"/>
            </w:tcBorders>
            <w:gridSpan w:val="2"/>
          </w:tcPr>
          <w:p>
            <w:pPr>
              <w:ind w:left="440"/>
              <w:spacing w:after="0"/>
              <w:rPr>
                <w:sz w:val="20"/>
                <w:szCs w:val="20"/>
                <w:color w:val="auto"/>
              </w:rPr>
            </w:pPr>
            <w:r>
              <w:rPr>
                <w:rFonts w:ascii="Arial" w:cs="Arial" w:eastAsia="Arial" w:hAnsi="Arial"/>
                <w:sz w:val="18"/>
                <w:szCs w:val="18"/>
                <w:color w:val="auto"/>
              </w:rPr>
              <w:t>1Q 2014</w:t>
            </w:r>
          </w:p>
        </w:tc>
        <w:tc>
          <w:tcPr>
            <w:tcW w:w="116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gridSpan w:val="2"/>
          </w:tcPr>
          <w:p>
            <w:pPr>
              <w:jc w:val="center"/>
              <w:ind w:right="60"/>
              <w:spacing w:after="0"/>
              <w:rPr>
                <w:sz w:val="20"/>
                <w:szCs w:val="20"/>
                <w:color w:val="auto"/>
              </w:rPr>
            </w:pPr>
            <w:r>
              <w:rPr>
                <w:rFonts w:ascii="Arial" w:cs="Arial" w:eastAsia="Arial" w:hAnsi="Arial"/>
                <w:sz w:val="18"/>
                <w:szCs w:val="18"/>
                <w:color w:val="auto"/>
                <w:w w:val="88"/>
              </w:rPr>
              <w:t>286.3</w:t>
            </w:r>
          </w:p>
        </w:tc>
      </w:tr>
      <w:tr>
        <w:trPr>
          <w:trHeight w:val="37"/>
        </w:trPr>
        <w:tc>
          <w:tcPr>
            <w:tcW w:w="1380" w:type="dxa"/>
            <w:vAlign w:val="bottom"/>
            <w:tcBorders>
              <w:left w:val="single" w:sz="8" w:color="auto"/>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r>
      <w:tr>
        <w:trPr>
          <w:trHeight w:val="240"/>
        </w:trPr>
        <w:tc>
          <w:tcPr>
            <w:tcW w:w="2060" w:type="dxa"/>
            <w:vAlign w:val="bottom"/>
            <w:tcBorders>
              <w:left w:val="single" w:sz="8" w:color="auto"/>
            </w:tcBorders>
            <w:gridSpan w:val="2"/>
          </w:tcPr>
          <w:p>
            <w:pPr>
              <w:ind w:left="440"/>
              <w:spacing w:after="0"/>
              <w:rPr>
                <w:sz w:val="20"/>
                <w:szCs w:val="20"/>
                <w:color w:val="auto"/>
              </w:rPr>
            </w:pPr>
            <w:r>
              <w:rPr>
                <w:rFonts w:ascii="Arial" w:cs="Arial" w:eastAsia="Arial" w:hAnsi="Arial"/>
                <w:sz w:val="18"/>
                <w:szCs w:val="18"/>
                <w:color w:val="auto"/>
              </w:rPr>
              <w:t>2Q 2014</w:t>
            </w:r>
          </w:p>
        </w:tc>
        <w:tc>
          <w:tcPr>
            <w:tcW w:w="116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gridSpan w:val="2"/>
          </w:tcPr>
          <w:p>
            <w:pPr>
              <w:jc w:val="center"/>
              <w:ind w:right="60"/>
              <w:spacing w:after="0"/>
              <w:rPr>
                <w:sz w:val="20"/>
                <w:szCs w:val="20"/>
                <w:color w:val="auto"/>
              </w:rPr>
            </w:pPr>
            <w:r>
              <w:rPr>
                <w:rFonts w:ascii="Arial" w:cs="Arial" w:eastAsia="Arial" w:hAnsi="Arial"/>
                <w:sz w:val="18"/>
                <w:szCs w:val="18"/>
                <w:color w:val="auto"/>
                <w:w w:val="88"/>
              </w:rPr>
              <w:t>286.4</w:t>
            </w:r>
          </w:p>
        </w:tc>
      </w:tr>
      <w:tr>
        <w:trPr>
          <w:trHeight w:val="37"/>
        </w:trPr>
        <w:tc>
          <w:tcPr>
            <w:tcW w:w="1380" w:type="dxa"/>
            <w:vAlign w:val="bottom"/>
            <w:tcBorders>
              <w:left w:val="single" w:sz="8" w:color="auto"/>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r>
      <w:tr>
        <w:trPr>
          <w:trHeight w:val="240"/>
        </w:trPr>
        <w:tc>
          <w:tcPr>
            <w:tcW w:w="2060" w:type="dxa"/>
            <w:vAlign w:val="bottom"/>
            <w:tcBorders>
              <w:left w:val="single" w:sz="8" w:color="auto"/>
            </w:tcBorders>
            <w:gridSpan w:val="2"/>
          </w:tcPr>
          <w:p>
            <w:pPr>
              <w:ind w:left="440"/>
              <w:spacing w:after="0"/>
              <w:rPr>
                <w:sz w:val="20"/>
                <w:szCs w:val="20"/>
                <w:color w:val="auto"/>
              </w:rPr>
            </w:pPr>
            <w:r>
              <w:rPr>
                <w:rFonts w:ascii="Arial" w:cs="Arial" w:eastAsia="Arial" w:hAnsi="Arial"/>
                <w:sz w:val="18"/>
                <w:szCs w:val="18"/>
                <w:color w:val="auto"/>
              </w:rPr>
              <w:t>3Q 2014</w:t>
            </w:r>
          </w:p>
        </w:tc>
        <w:tc>
          <w:tcPr>
            <w:tcW w:w="116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gridSpan w:val="2"/>
          </w:tcPr>
          <w:p>
            <w:pPr>
              <w:jc w:val="center"/>
              <w:ind w:right="60"/>
              <w:spacing w:after="0"/>
              <w:rPr>
                <w:sz w:val="20"/>
                <w:szCs w:val="20"/>
                <w:color w:val="auto"/>
              </w:rPr>
            </w:pPr>
            <w:r>
              <w:rPr>
                <w:rFonts w:ascii="Arial" w:cs="Arial" w:eastAsia="Arial" w:hAnsi="Arial"/>
                <w:sz w:val="18"/>
                <w:szCs w:val="18"/>
                <w:color w:val="auto"/>
                <w:w w:val="88"/>
              </w:rPr>
              <w:t>286.6</w:t>
            </w:r>
          </w:p>
        </w:tc>
      </w:tr>
      <w:tr>
        <w:trPr>
          <w:trHeight w:val="37"/>
        </w:trPr>
        <w:tc>
          <w:tcPr>
            <w:tcW w:w="1380" w:type="dxa"/>
            <w:vAlign w:val="bottom"/>
            <w:tcBorders>
              <w:left w:val="single" w:sz="8" w:color="auto"/>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r>
      <w:tr>
        <w:trPr>
          <w:trHeight w:val="240"/>
        </w:trPr>
        <w:tc>
          <w:tcPr>
            <w:tcW w:w="2060" w:type="dxa"/>
            <w:vAlign w:val="bottom"/>
            <w:tcBorders>
              <w:left w:val="single" w:sz="8" w:color="auto"/>
            </w:tcBorders>
            <w:gridSpan w:val="2"/>
          </w:tcPr>
          <w:p>
            <w:pPr>
              <w:ind w:left="440"/>
              <w:spacing w:after="0"/>
              <w:rPr>
                <w:sz w:val="20"/>
                <w:szCs w:val="20"/>
                <w:color w:val="auto"/>
              </w:rPr>
            </w:pPr>
            <w:r>
              <w:rPr>
                <w:rFonts w:ascii="Arial" w:cs="Arial" w:eastAsia="Arial" w:hAnsi="Arial"/>
                <w:sz w:val="18"/>
                <w:szCs w:val="18"/>
                <w:color w:val="auto"/>
              </w:rPr>
              <w:t>4Q 2014</w:t>
            </w:r>
          </w:p>
        </w:tc>
        <w:tc>
          <w:tcPr>
            <w:tcW w:w="116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gridSpan w:val="2"/>
          </w:tcPr>
          <w:p>
            <w:pPr>
              <w:jc w:val="center"/>
              <w:ind w:right="60"/>
              <w:spacing w:after="0"/>
              <w:rPr>
                <w:sz w:val="20"/>
                <w:szCs w:val="20"/>
                <w:color w:val="auto"/>
              </w:rPr>
            </w:pPr>
            <w:r>
              <w:rPr>
                <w:rFonts w:ascii="Arial" w:cs="Arial" w:eastAsia="Arial" w:hAnsi="Arial"/>
                <w:sz w:val="18"/>
                <w:szCs w:val="18"/>
                <w:color w:val="auto"/>
                <w:w w:val="88"/>
              </w:rPr>
              <w:t>286.7</w:t>
            </w:r>
          </w:p>
        </w:tc>
      </w:tr>
      <w:tr>
        <w:trPr>
          <w:trHeight w:val="37"/>
        </w:trPr>
        <w:tc>
          <w:tcPr>
            <w:tcW w:w="1380" w:type="dxa"/>
            <w:vAlign w:val="bottom"/>
            <w:tcBorders>
              <w:left w:val="single" w:sz="8" w:color="auto"/>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r>
      <w:tr>
        <w:trPr>
          <w:trHeight w:val="240"/>
        </w:trPr>
        <w:tc>
          <w:tcPr>
            <w:tcW w:w="2060" w:type="dxa"/>
            <w:vAlign w:val="bottom"/>
            <w:tcBorders>
              <w:left w:val="single" w:sz="8" w:color="auto"/>
            </w:tcBorders>
            <w:gridSpan w:val="2"/>
          </w:tcPr>
          <w:p>
            <w:pPr>
              <w:ind w:left="440"/>
              <w:spacing w:after="0"/>
              <w:rPr>
                <w:sz w:val="20"/>
                <w:szCs w:val="20"/>
                <w:color w:val="auto"/>
              </w:rPr>
            </w:pPr>
            <w:r>
              <w:rPr>
                <w:rFonts w:ascii="Arial" w:cs="Arial" w:eastAsia="Arial" w:hAnsi="Arial"/>
                <w:sz w:val="18"/>
                <w:szCs w:val="18"/>
                <w:color w:val="auto"/>
              </w:rPr>
              <w:t>1Q 2015</w:t>
            </w:r>
          </w:p>
        </w:tc>
        <w:tc>
          <w:tcPr>
            <w:tcW w:w="116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gridSpan w:val="2"/>
          </w:tcPr>
          <w:p>
            <w:pPr>
              <w:jc w:val="center"/>
              <w:ind w:right="60"/>
              <w:spacing w:after="0"/>
              <w:rPr>
                <w:sz w:val="20"/>
                <w:szCs w:val="20"/>
                <w:color w:val="auto"/>
              </w:rPr>
            </w:pPr>
            <w:r>
              <w:rPr>
                <w:rFonts w:ascii="Arial" w:cs="Arial" w:eastAsia="Arial" w:hAnsi="Arial"/>
                <w:sz w:val="18"/>
                <w:szCs w:val="18"/>
                <w:color w:val="auto"/>
                <w:w w:val="88"/>
              </w:rPr>
              <w:t>288.5</w:t>
            </w:r>
          </w:p>
        </w:tc>
      </w:tr>
      <w:tr>
        <w:trPr>
          <w:trHeight w:val="37"/>
        </w:trPr>
        <w:tc>
          <w:tcPr>
            <w:tcW w:w="1380" w:type="dxa"/>
            <w:vAlign w:val="bottom"/>
            <w:tcBorders>
              <w:left w:val="single" w:sz="8" w:color="auto"/>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r>
      <w:tr>
        <w:trPr>
          <w:trHeight w:val="240"/>
        </w:trPr>
        <w:tc>
          <w:tcPr>
            <w:tcW w:w="2060" w:type="dxa"/>
            <w:vAlign w:val="bottom"/>
            <w:tcBorders>
              <w:left w:val="single" w:sz="8" w:color="auto"/>
            </w:tcBorders>
            <w:gridSpan w:val="2"/>
          </w:tcPr>
          <w:p>
            <w:pPr>
              <w:ind w:left="440"/>
              <w:spacing w:after="0"/>
              <w:rPr>
                <w:sz w:val="20"/>
                <w:szCs w:val="20"/>
                <w:color w:val="auto"/>
              </w:rPr>
            </w:pPr>
            <w:r>
              <w:rPr>
                <w:rFonts w:ascii="Arial" w:cs="Arial" w:eastAsia="Arial" w:hAnsi="Arial"/>
                <w:sz w:val="18"/>
                <w:szCs w:val="18"/>
                <w:color w:val="auto"/>
              </w:rPr>
              <w:t>2Q 2015</w:t>
            </w:r>
          </w:p>
        </w:tc>
        <w:tc>
          <w:tcPr>
            <w:tcW w:w="116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gridSpan w:val="2"/>
          </w:tcPr>
          <w:p>
            <w:pPr>
              <w:jc w:val="center"/>
              <w:ind w:right="60"/>
              <w:spacing w:after="0"/>
              <w:rPr>
                <w:sz w:val="20"/>
                <w:szCs w:val="20"/>
                <w:color w:val="auto"/>
              </w:rPr>
            </w:pPr>
            <w:r>
              <w:rPr>
                <w:rFonts w:ascii="Arial" w:cs="Arial" w:eastAsia="Arial" w:hAnsi="Arial"/>
                <w:sz w:val="18"/>
                <w:szCs w:val="18"/>
                <w:color w:val="auto"/>
                <w:w w:val="88"/>
              </w:rPr>
              <w:t>290.3</w:t>
            </w:r>
          </w:p>
        </w:tc>
      </w:tr>
      <w:tr>
        <w:trPr>
          <w:trHeight w:val="37"/>
        </w:trPr>
        <w:tc>
          <w:tcPr>
            <w:tcW w:w="1380" w:type="dxa"/>
            <w:vAlign w:val="bottom"/>
            <w:tcBorders>
              <w:left w:val="single" w:sz="8" w:color="auto"/>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r>
      <w:tr>
        <w:trPr>
          <w:trHeight w:val="240"/>
        </w:trPr>
        <w:tc>
          <w:tcPr>
            <w:tcW w:w="2060" w:type="dxa"/>
            <w:vAlign w:val="bottom"/>
            <w:tcBorders>
              <w:left w:val="single" w:sz="8" w:color="auto"/>
            </w:tcBorders>
            <w:gridSpan w:val="2"/>
          </w:tcPr>
          <w:p>
            <w:pPr>
              <w:ind w:left="440"/>
              <w:spacing w:after="0"/>
              <w:rPr>
                <w:sz w:val="20"/>
                <w:szCs w:val="20"/>
                <w:color w:val="auto"/>
              </w:rPr>
            </w:pPr>
            <w:r>
              <w:rPr>
                <w:rFonts w:ascii="Arial" w:cs="Arial" w:eastAsia="Arial" w:hAnsi="Arial"/>
                <w:sz w:val="18"/>
                <w:szCs w:val="18"/>
                <w:color w:val="auto"/>
              </w:rPr>
              <w:t>3Q 2015</w:t>
            </w:r>
          </w:p>
        </w:tc>
        <w:tc>
          <w:tcPr>
            <w:tcW w:w="116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gridSpan w:val="2"/>
          </w:tcPr>
          <w:p>
            <w:pPr>
              <w:jc w:val="center"/>
              <w:ind w:right="60"/>
              <w:spacing w:after="0"/>
              <w:rPr>
                <w:sz w:val="20"/>
                <w:szCs w:val="20"/>
                <w:color w:val="auto"/>
              </w:rPr>
            </w:pPr>
            <w:r>
              <w:rPr>
                <w:rFonts w:ascii="Arial" w:cs="Arial" w:eastAsia="Arial" w:hAnsi="Arial"/>
                <w:sz w:val="18"/>
                <w:szCs w:val="18"/>
                <w:color w:val="auto"/>
                <w:w w:val="88"/>
              </w:rPr>
              <w:t>292.0</w:t>
            </w:r>
          </w:p>
        </w:tc>
      </w:tr>
      <w:tr>
        <w:trPr>
          <w:trHeight w:val="37"/>
        </w:trPr>
        <w:tc>
          <w:tcPr>
            <w:tcW w:w="1380" w:type="dxa"/>
            <w:vAlign w:val="bottom"/>
            <w:tcBorders>
              <w:left w:val="single" w:sz="8" w:color="auto"/>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r>
      <w:tr>
        <w:trPr>
          <w:trHeight w:val="240"/>
        </w:trPr>
        <w:tc>
          <w:tcPr>
            <w:tcW w:w="2060" w:type="dxa"/>
            <w:vAlign w:val="bottom"/>
            <w:tcBorders>
              <w:left w:val="single" w:sz="8" w:color="auto"/>
            </w:tcBorders>
            <w:gridSpan w:val="2"/>
          </w:tcPr>
          <w:p>
            <w:pPr>
              <w:ind w:left="440"/>
              <w:spacing w:after="0"/>
              <w:rPr>
                <w:sz w:val="20"/>
                <w:szCs w:val="20"/>
                <w:color w:val="auto"/>
              </w:rPr>
            </w:pPr>
            <w:r>
              <w:rPr>
                <w:rFonts w:ascii="Arial" w:cs="Arial" w:eastAsia="Arial" w:hAnsi="Arial"/>
                <w:sz w:val="18"/>
                <w:szCs w:val="18"/>
                <w:color w:val="auto"/>
              </w:rPr>
              <w:t>4Q 2015</w:t>
            </w:r>
          </w:p>
        </w:tc>
        <w:tc>
          <w:tcPr>
            <w:tcW w:w="116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gridSpan w:val="2"/>
          </w:tcPr>
          <w:p>
            <w:pPr>
              <w:jc w:val="center"/>
              <w:ind w:right="60"/>
              <w:spacing w:after="0"/>
              <w:rPr>
                <w:sz w:val="20"/>
                <w:szCs w:val="20"/>
                <w:color w:val="auto"/>
              </w:rPr>
            </w:pPr>
            <w:r>
              <w:rPr>
                <w:rFonts w:ascii="Arial" w:cs="Arial" w:eastAsia="Arial" w:hAnsi="Arial"/>
                <w:sz w:val="18"/>
                <w:szCs w:val="18"/>
                <w:color w:val="auto"/>
                <w:w w:val="88"/>
              </w:rPr>
              <w:t>293.8</w:t>
            </w:r>
          </w:p>
        </w:tc>
      </w:tr>
      <w:tr>
        <w:trPr>
          <w:trHeight w:val="37"/>
        </w:trPr>
        <w:tc>
          <w:tcPr>
            <w:tcW w:w="1380" w:type="dxa"/>
            <w:vAlign w:val="bottom"/>
            <w:tcBorders>
              <w:left w:val="single" w:sz="8" w:color="auto"/>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r>
      <w:tr>
        <w:trPr>
          <w:trHeight w:val="240"/>
        </w:trPr>
        <w:tc>
          <w:tcPr>
            <w:tcW w:w="2060" w:type="dxa"/>
            <w:vAlign w:val="bottom"/>
            <w:tcBorders>
              <w:left w:val="single" w:sz="8" w:color="auto"/>
            </w:tcBorders>
            <w:gridSpan w:val="2"/>
          </w:tcPr>
          <w:p>
            <w:pPr>
              <w:ind w:left="440"/>
              <w:spacing w:after="0"/>
              <w:rPr>
                <w:sz w:val="20"/>
                <w:szCs w:val="20"/>
                <w:color w:val="auto"/>
              </w:rPr>
            </w:pPr>
            <w:r>
              <w:rPr>
                <w:rFonts w:ascii="Arial" w:cs="Arial" w:eastAsia="Arial" w:hAnsi="Arial"/>
                <w:sz w:val="18"/>
                <w:szCs w:val="18"/>
                <w:color w:val="auto"/>
              </w:rPr>
              <w:t>1Q 2016</w:t>
            </w:r>
          </w:p>
        </w:tc>
        <w:tc>
          <w:tcPr>
            <w:tcW w:w="116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gridSpan w:val="2"/>
          </w:tcPr>
          <w:p>
            <w:pPr>
              <w:jc w:val="center"/>
              <w:ind w:right="60"/>
              <w:spacing w:after="0"/>
              <w:rPr>
                <w:sz w:val="20"/>
                <w:szCs w:val="20"/>
                <w:color w:val="auto"/>
              </w:rPr>
            </w:pPr>
            <w:r>
              <w:rPr>
                <w:rFonts w:ascii="Arial" w:cs="Arial" w:eastAsia="Arial" w:hAnsi="Arial"/>
                <w:sz w:val="18"/>
                <w:szCs w:val="18"/>
                <w:color w:val="auto"/>
                <w:w w:val="88"/>
              </w:rPr>
              <w:t>297.0</w:t>
            </w:r>
          </w:p>
        </w:tc>
      </w:tr>
      <w:tr>
        <w:trPr>
          <w:trHeight w:val="37"/>
        </w:trPr>
        <w:tc>
          <w:tcPr>
            <w:tcW w:w="1380" w:type="dxa"/>
            <w:vAlign w:val="bottom"/>
            <w:tcBorders>
              <w:left w:val="single" w:sz="8" w:color="auto"/>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r>
      <w:tr>
        <w:trPr>
          <w:trHeight w:val="240"/>
        </w:trPr>
        <w:tc>
          <w:tcPr>
            <w:tcW w:w="2060" w:type="dxa"/>
            <w:vAlign w:val="bottom"/>
            <w:tcBorders>
              <w:left w:val="single" w:sz="8" w:color="auto"/>
            </w:tcBorders>
            <w:gridSpan w:val="2"/>
          </w:tcPr>
          <w:p>
            <w:pPr>
              <w:ind w:left="440"/>
              <w:spacing w:after="0"/>
              <w:rPr>
                <w:sz w:val="20"/>
                <w:szCs w:val="20"/>
                <w:color w:val="auto"/>
              </w:rPr>
            </w:pPr>
            <w:r>
              <w:rPr>
                <w:rFonts w:ascii="Arial" w:cs="Arial" w:eastAsia="Arial" w:hAnsi="Arial"/>
                <w:sz w:val="18"/>
                <w:szCs w:val="18"/>
                <w:color w:val="auto"/>
              </w:rPr>
              <w:t>2Q 2016</w:t>
            </w:r>
          </w:p>
        </w:tc>
        <w:tc>
          <w:tcPr>
            <w:tcW w:w="116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gridSpan w:val="2"/>
          </w:tcPr>
          <w:p>
            <w:pPr>
              <w:jc w:val="center"/>
              <w:ind w:right="60"/>
              <w:spacing w:after="0"/>
              <w:rPr>
                <w:sz w:val="20"/>
                <w:szCs w:val="20"/>
                <w:color w:val="auto"/>
              </w:rPr>
            </w:pPr>
            <w:r>
              <w:rPr>
                <w:rFonts w:ascii="Arial" w:cs="Arial" w:eastAsia="Arial" w:hAnsi="Arial"/>
                <w:sz w:val="18"/>
                <w:szCs w:val="18"/>
                <w:color w:val="auto"/>
                <w:w w:val="88"/>
              </w:rPr>
              <w:t>300.2</w:t>
            </w:r>
          </w:p>
        </w:tc>
      </w:tr>
      <w:tr>
        <w:trPr>
          <w:trHeight w:val="37"/>
        </w:trPr>
        <w:tc>
          <w:tcPr>
            <w:tcW w:w="1380" w:type="dxa"/>
            <w:vAlign w:val="bottom"/>
            <w:tcBorders>
              <w:left w:val="single" w:sz="8" w:color="auto"/>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r>
      <w:tr>
        <w:trPr>
          <w:trHeight w:val="240"/>
        </w:trPr>
        <w:tc>
          <w:tcPr>
            <w:tcW w:w="2060" w:type="dxa"/>
            <w:vAlign w:val="bottom"/>
            <w:tcBorders>
              <w:left w:val="single" w:sz="8" w:color="auto"/>
            </w:tcBorders>
            <w:gridSpan w:val="2"/>
          </w:tcPr>
          <w:p>
            <w:pPr>
              <w:ind w:left="440"/>
              <w:spacing w:after="0"/>
              <w:rPr>
                <w:sz w:val="20"/>
                <w:szCs w:val="20"/>
                <w:color w:val="auto"/>
              </w:rPr>
            </w:pPr>
            <w:r>
              <w:rPr>
                <w:rFonts w:ascii="Arial" w:cs="Arial" w:eastAsia="Arial" w:hAnsi="Arial"/>
                <w:sz w:val="18"/>
                <w:szCs w:val="18"/>
                <w:color w:val="auto"/>
              </w:rPr>
              <w:t>3Q 2016</w:t>
            </w:r>
          </w:p>
        </w:tc>
        <w:tc>
          <w:tcPr>
            <w:tcW w:w="116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gridSpan w:val="2"/>
          </w:tcPr>
          <w:p>
            <w:pPr>
              <w:jc w:val="center"/>
              <w:ind w:right="60"/>
              <w:spacing w:after="0"/>
              <w:rPr>
                <w:sz w:val="20"/>
                <w:szCs w:val="20"/>
                <w:color w:val="auto"/>
              </w:rPr>
            </w:pPr>
            <w:r>
              <w:rPr>
                <w:rFonts w:ascii="Arial" w:cs="Arial" w:eastAsia="Arial" w:hAnsi="Arial"/>
                <w:sz w:val="18"/>
                <w:szCs w:val="18"/>
                <w:color w:val="auto"/>
                <w:w w:val="88"/>
              </w:rPr>
              <w:t>303.4</w:t>
            </w:r>
          </w:p>
        </w:tc>
      </w:tr>
      <w:tr>
        <w:trPr>
          <w:trHeight w:val="37"/>
        </w:trPr>
        <w:tc>
          <w:tcPr>
            <w:tcW w:w="1380" w:type="dxa"/>
            <w:vAlign w:val="bottom"/>
            <w:tcBorders>
              <w:left w:val="single" w:sz="8" w:color="auto"/>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r>
      <w:tr>
        <w:trPr>
          <w:trHeight w:val="240"/>
        </w:trPr>
        <w:tc>
          <w:tcPr>
            <w:tcW w:w="2060" w:type="dxa"/>
            <w:vAlign w:val="bottom"/>
            <w:tcBorders>
              <w:left w:val="single" w:sz="8" w:color="auto"/>
            </w:tcBorders>
            <w:gridSpan w:val="2"/>
          </w:tcPr>
          <w:p>
            <w:pPr>
              <w:ind w:left="440"/>
              <w:spacing w:after="0"/>
              <w:rPr>
                <w:sz w:val="20"/>
                <w:szCs w:val="20"/>
                <w:color w:val="auto"/>
              </w:rPr>
            </w:pPr>
            <w:r>
              <w:rPr>
                <w:rFonts w:ascii="Arial" w:cs="Arial" w:eastAsia="Arial" w:hAnsi="Arial"/>
                <w:sz w:val="18"/>
                <w:szCs w:val="18"/>
                <w:color w:val="auto"/>
              </w:rPr>
              <w:t>4Q 2016</w:t>
            </w:r>
          </w:p>
        </w:tc>
        <w:tc>
          <w:tcPr>
            <w:tcW w:w="116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gridSpan w:val="2"/>
          </w:tcPr>
          <w:p>
            <w:pPr>
              <w:jc w:val="center"/>
              <w:ind w:right="60"/>
              <w:spacing w:after="0"/>
              <w:rPr>
                <w:sz w:val="20"/>
                <w:szCs w:val="20"/>
                <w:color w:val="auto"/>
              </w:rPr>
            </w:pPr>
            <w:r>
              <w:rPr>
                <w:rFonts w:ascii="Arial" w:cs="Arial" w:eastAsia="Arial" w:hAnsi="Arial"/>
                <w:sz w:val="18"/>
                <w:szCs w:val="18"/>
                <w:color w:val="auto"/>
                <w:w w:val="88"/>
              </w:rPr>
              <w:t>306.6</w:t>
            </w:r>
          </w:p>
        </w:tc>
      </w:tr>
      <w:tr>
        <w:trPr>
          <w:trHeight w:val="37"/>
        </w:trPr>
        <w:tc>
          <w:tcPr>
            <w:tcW w:w="1380" w:type="dxa"/>
            <w:vAlign w:val="bottom"/>
            <w:tcBorders>
              <w:left w:val="single" w:sz="8" w:color="auto"/>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r>
      <w:tr>
        <w:trPr>
          <w:trHeight w:val="240"/>
        </w:trPr>
        <w:tc>
          <w:tcPr>
            <w:tcW w:w="2060" w:type="dxa"/>
            <w:vAlign w:val="bottom"/>
            <w:tcBorders>
              <w:left w:val="single" w:sz="8" w:color="auto"/>
            </w:tcBorders>
            <w:gridSpan w:val="2"/>
          </w:tcPr>
          <w:p>
            <w:pPr>
              <w:ind w:left="440"/>
              <w:spacing w:after="0"/>
              <w:rPr>
                <w:sz w:val="20"/>
                <w:szCs w:val="20"/>
                <w:color w:val="auto"/>
              </w:rPr>
            </w:pPr>
            <w:r>
              <w:rPr>
                <w:rFonts w:ascii="Arial" w:cs="Arial" w:eastAsia="Arial" w:hAnsi="Arial"/>
                <w:sz w:val="18"/>
                <w:szCs w:val="18"/>
                <w:color w:val="auto"/>
              </w:rPr>
              <w:t>1Q 2017</w:t>
            </w:r>
          </w:p>
        </w:tc>
        <w:tc>
          <w:tcPr>
            <w:tcW w:w="116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gridSpan w:val="2"/>
          </w:tcPr>
          <w:p>
            <w:pPr>
              <w:jc w:val="center"/>
              <w:ind w:right="60"/>
              <w:spacing w:after="0"/>
              <w:rPr>
                <w:sz w:val="20"/>
                <w:szCs w:val="20"/>
                <w:color w:val="auto"/>
              </w:rPr>
            </w:pPr>
            <w:r>
              <w:rPr>
                <w:rFonts w:ascii="Arial" w:cs="Arial" w:eastAsia="Arial" w:hAnsi="Arial"/>
                <w:sz w:val="18"/>
                <w:szCs w:val="18"/>
                <w:color w:val="auto"/>
                <w:w w:val="88"/>
              </w:rPr>
              <w:t>311.8</w:t>
            </w:r>
          </w:p>
        </w:tc>
      </w:tr>
      <w:tr>
        <w:trPr>
          <w:trHeight w:val="37"/>
        </w:trPr>
        <w:tc>
          <w:tcPr>
            <w:tcW w:w="1380" w:type="dxa"/>
            <w:vAlign w:val="bottom"/>
            <w:tcBorders>
              <w:left w:val="single" w:sz="8" w:color="auto"/>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r>
      <w:tr>
        <w:trPr>
          <w:trHeight w:val="240"/>
        </w:trPr>
        <w:tc>
          <w:tcPr>
            <w:tcW w:w="2060" w:type="dxa"/>
            <w:vAlign w:val="bottom"/>
            <w:tcBorders>
              <w:left w:val="single" w:sz="8" w:color="auto"/>
            </w:tcBorders>
            <w:gridSpan w:val="2"/>
          </w:tcPr>
          <w:p>
            <w:pPr>
              <w:ind w:left="440"/>
              <w:spacing w:after="0"/>
              <w:rPr>
                <w:sz w:val="20"/>
                <w:szCs w:val="20"/>
                <w:color w:val="auto"/>
              </w:rPr>
            </w:pPr>
            <w:r>
              <w:rPr>
                <w:rFonts w:ascii="Arial" w:cs="Arial" w:eastAsia="Arial" w:hAnsi="Arial"/>
                <w:sz w:val="18"/>
                <w:szCs w:val="18"/>
                <w:color w:val="auto"/>
              </w:rPr>
              <w:t>2Q 2017</w:t>
            </w:r>
          </w:p>
        </w:tc>
        <w:tc>
          <w:tcPr>
            <w:tcW w:w="116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gridSpan w:val="2"/>
          </w:tcPr>
          <w:p>
            <w:pPr>
              <w:jc w:val="center"/>
              <w:ind w:right="60"/>
              <w:spacing w:after="0"/>
              <w:rPr>
                <w:sz w:val="20"/>
                <w:szCs w:val="20"/>
                <w:color w:val="auto"/>
              </w:rPr>
            </w:pPr>
            <w:r>
              <w:rPr>
                <w:rFonts w:ascii="Arial" w:cs="Arial" w:eastAsia="Arial" w:hAnsi="Arial"/>
                <w:sz w:val="18"/>
                <w:szCs w:val="18"/>
                <w:color w:val="auto"/>
                <w:w w:val="88"/>
              </w:rPr>
              <w:t>317.0</w:t>
            </w:r>
          </w:p>
        </w:tc>
      </w:tr>
      <w:tr>
        <w:trPr>
          <w:trHeight w:val="37"/>
        </w:trPr>
        <w:tc>
          <w:tcPr>
            <w:tcW w:w="1380" w:type="dxa"/>
            <w:vAlign w:val="bottom"/>
            <w:tcBorders>
              <w:left w:val="single" w:sz="8" w:color="auto"/>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r>
      <w:tr>
        <w:trPr>
          <w:trHeight w:val="240"/>
        </w:trPr>
        <w:tc>
          <w:tcPr>
            <w:tcW w:w="2060" w:type="dxa"/>
            <w:vAlign w:val="bottom"/>
            <w:tcBorders>
              <w:left w:val="single" w:sz="8" w:color="auto"/>
            </w:tcBorders>
            <w:gridSpan w:val="2"/>
          </w:tcPr>
          <w:p>
            <w:pPr>
              <w:ind w:left="440"/>
              <w:spacing w:after="0"/>
              <w:rPr>
                <w:sz w:val="20"/>
                <w:szCs w:val="20"/>
                <w:color w:val="auto"/>
              </w:rPr>
            </w:pPr>
            <w:r>
              <w:rPr>
                <w:rFonts w:ascii="Arial" w:cs="Arial" w:eastAsia="Arial" w:hAnsi="Arial"/>
                <w:sz w:val="18"/>
                <w:szCs w:val="18"/>
                <w:color w:val="auto"/>
              </w:rPr>
              <w:t>3Q 2017</w:t>
            </w:r>
          </w:p>
        </w:tc>
        <w:tc>
          <w:tcPr>
            <w:tcW w:w="116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gridSpan w:val="2"/>
          </w:tcPr>
          <w:p>
            <w:pPr>
              <w:jc w:val="center"/>
              <w:ind w:right="60"/>
              <w:spacing w:after="0"/>
              <w:rPr>
                <w:sz w:val="20"/>
                <w:szCs w:val="20"/>
                <w:color w:val="auto"/>
              </w:rPr>
            </w:pPr>
            <w:r>
              <w:rPr>
                <w:rFonts w:ascii="Arial" w:cs="Arial" w:eastAsia="Arial" w:hAnsi="Arial"/>
                <w:sz w:val="18"/>
                <w:szCs w:val="18"/>
                <w:color w:val="auto"/>
                <w:w w:val="88"/>
              </w:rPr>
              <w:t>322.1</w:t>
            </w:r>
          </w:p>
        </w:tc>
      </w:tr>
      <w:tr>
        <w:trPr>
          <w:trHeight w:val="37"/>
        </w:trPr>
        <w:tc>
          <w:tcPr>
            <w:tcW w:w="1380" w:type="dxa"/>
            <w:vAlign w:val="bottom"/>
            <w:tcBorders>
              <w:left w:val="single" w:sz="8" w:color="auto"/>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r>
      <w:tr>
        <w:trPr>
          <w:trHeight w:val="240"/>
        </w:trPr>
        <w:tc>
          <w:tcPr>
            <w:tcW w:w="2060" w:type="dxa"/>
            <w:vAlign w:val="bottom"/>
            <w:tcBorders>
              <w:left w:val="single" w:sz="8" w:color="auto"/>
            </w:tcBorders>
            <w:gridSpan w:val="2"/>
          </w:tcPr>
          <w:p>
            <w:pPr>
              <w:ind w:left="440"/>
              <w:spacing w:after="0"/>
              <w:rPr>
                <w:sz w:val="20"/>
                <w:szCs w:val="20"/>
                <w:color w:val="auto"/>
              </w:rPr>
            </w:pPr>
            <w:r>
              <w:rPr>
                <w:rFonts w:ascii="Arial" w:cs="Arial" w:eastAsia="Arial" w:hAnsi="Arial"/>
                <w:sz w:val="18"/>
                <w:szCs w:val="18"/>
                <w:color w:val="auto"/>
              </w:rPr>
              <w:t>4Q 2017</w:t>
            </w:r>
          </w:p>
        </w:tc>
        <w:tc>
          <w:tcPr>
            <w:tcW w:w="116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gridSpan w:val="2"/>
          </w:tcPr>
          <w:p>
            <w:pPr>
              <w:jc w:val="center"/>
              <w:ind w:right="60"/>
              <w:spacing w:after="0"/>
              <w:rPr>
                <w:sz w:val="20"/>
                <w:szCs w:val="20"/>
                <w:color w:val="auto"/>
              </w:rPr>
            </w:pPr>
            <w:r>
              <w:rPr>
                <w:rFonts w:ascii="Arial" w:cs="Arial" w:eastAsia="Arial" w:hAnsi="Arial"/>
                <w:sz w:val="18"/>
                <w:szCs w:val="18"/>
                <w:color w:val="auto"/>
                <w:w w:val="88"/>
              </w:rPr>
              <w:t>327.3</w:t>
            </w:r>
          </w:p>
        </w:tc>
      </w:tr>
      <w:tr>
        <w:trPr>
          <w:trHeight w:val="37"/>
        </w:trPr>
        <w:tc>
          <w:tcPr>
            <w:tcW w:w="1380" w:type="dxa"/>
            <w:vAlign w:val="bottom"/>
            <w:tcBorders>
              <w:left w:val="single" w:sz="8" w:color="auto"/>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r>
      <w:tr>
        <w:trPr>
          <w:trHeight w:val="240"/>
        </w:trPr>
        <w:tc>
          <w:tcPr>
            <w:tcW w:w="2060" w:type="dxa"/>
            <w:vAlign w:val="bottom"/>
            <w:tcBorders>
              <w:left w:val="single" w:sz="8" w:color="auto"/>
            </w:tcBorders>
            <w:gridSpan w:val="2"/>
          </w:tcPr>
          <w:p>
            <w:pPr>
              <w:ind w:left="440"/>
              <w:spacing w:after="0"/>
              <w:rPr>
                <w:sz w:val="20"/>
                <w:szCs w:val="20"/>
                <w:color w:val="auto"/>
              </w:rPr>
            </w:pPr>
            <w:r>
              <w:rPr>
                <w:rFonts w:ascii="Arial" w:cs="Arial" w:eastAsia="Arial" w:hAnsi="Arial"/>
                <w:sz w:val="18"/>
                <w:szCs w:val="18"/>
                <w:color w:val="auto"/>
              </w:rPr>
              <w:t>1Q 2018</w:t>
            </w:r>
          </w:p>
        </w:tc>
        <w:tc>
          <w:tcPr>
            <w:tcW w:w="116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gridSpan w:val="2"/>
          </w:tcPr>
          <w:p>
            <w:pPr>
              <w:jc w:val="center"/>
              <w:ind w:right="60"/>
              <w:spacing w:after="0"/>
              <w:rPr>
                <w:sz w:val="20"/>
                <w:szCs w:val="20"/>
                <w:color w:val="auto"/>
              </w:rPr>
            </w:pPr>
            <w:r>
              <w:rPr>
                <w:rFonts w:ascii="Arial" w:cs="Arial" w:eastAsia="Arial" w:hAnsi="Arial"/>
                <w:sz w:val="18"/>
                <w:szCs w:val="18"/>
                <w:color w:val="auto"/>
                <w:w w:val="88"/>
              </w:rPr>
              <w:t>334.0</w:t>
            </w:r>
          </w:p>
        </w:tc>
      </w:tr>
      <w:tr>
        <w:trPr>
          <w:trHeight w:val="37"/>
        </w:trPr>
        <w:tc>
          <w:tcPr>
            <w:tcW w:w="1380" w:type="dxa"/>
            <w:vAlign w:val="bottom"/>
            <w:tcBorders>
              <w:left w:val="single" w:sz="8" w:color="auto"/>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r>
      <w:tr>
        <w:trPr>
          <w:trHeight w:val="240"/>
        </w:trPr>
        <w:tc>
          <w:tcPr>
            <w:tcW w:w="2060" w:type="dxa"/>
            <w:vAlign w:val="bottom"/>
            <w:tcBorders>
              <w:left w:val="single" w:sz="8" w:color="auto"/>
            </w:tcBorders>
            <w:gridSpan w:val="2"/>
          </w:tcPr>
          <w:p>
            <w:pPr>
              <w:ind w:left="440"/>
              <w:spacing w:after="0"/>
              <w:rPr>
                <w:sz w:val="20"/>
                <w:szCs w:val="20"/>
                <w:color w:val="auto"/>
              </w:rPr>
            </w:pPr>
            <w:r>
              <w:rPr>
                <w:rFonts w:ascii="Arial" w:cs="Arial" w:eastAsia="Arial" w:hAnsi="Arial"/>
                <w:sz w:val="18"/>
                <w:szCs w:val="18"/>
                <w:color w:val="auto"/>
              </w:rPr>
              <w:t>2Q 2018</w:t>
            </w:r>
          </w:p>
        </w:tc>
        <w:tc>
          <w:tcPr>
            <w:tcW w:w="116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gridSpan w:val="2"/>
          </w:tcPr>
          <w:p>
            <w:pPr>
              <w:jc w:val="center"/>
              <w:ind w:right="60"/>
              <w:spacing w:after="0"/>
              <w:rPr>
                <w:sz w:val="20"/>
                <w:szCs w:val="20"/>
                <w:color w:val="auto"/>
              </w:rPr>
            </w:pPr>
            <w:r>
              <w:rPr>
                <w:rFonts w:ascii="Arial" w:cs="Arial" w:eastAsia="Arial" w:hAnsi="Arial"/>
                <w:sz w:val="18"/>
                <w:szCs w:val="18"/>
                <w:color w:val="auto"/>
                <w:w w:val="88"/>
              </w:rPr>
              <w:t>340.7</w:t>
            </w:r>
          </w:p>
        </w:tc>
      </w:tr>
      <w:tr>
        <w:trPr>
          <w:trHeight w:val="37"/>
        </w:trPr>
        <w:tc>
          <w:tcPr>
            <w:tcW w:w="1380" w:type="dxa"/>
            <w:vAlign w:val="bottom"/>
            <w:tcBorders>
              <w:left w:val="single" w:sz="8" w:color="auto"/>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r>
      <w:tr>
        <w:trPr>
          <w:trHeight w:val="240"/>
        </w:trPr>
        <w:tc>
          <w:tcPr>
            <w:tcW w:w="2060" w:type="dxa"/>
            <w:vAlign w:val="bottom"/>
            <w:tcBorders>
              <w:left w:val="single" w:sz="8" w:color="auto"/>
            </w:tcBorders>
            <w:gridSpan w:val="2"/>
          </w:tcPr>
          <w:p>
            <w:pPr>
              <w:ind w:left="440"/>
              <w:spacing w:after="0"/>
              <w:rPr>
                <w:sz w:val="20"/>
                <w:szCs w:val="20"/>
                <w:color w:val="auto"/>
              </w:rPr>
            </w:pPr>
            <w:r>
              <w:rPr>
                <w:rFonts w:ascii="Arial" w:cs="Arial" w:eastAsia="Arial" w:hAnsi="Arial"/>
                <w:sz w:val="18"/>
                <w:szCs w:val="18"/>
                <w:color w:val="auto"/>
              </w:rPr>
              <w:t>3Q 2018</w:t>
            </w:r>
          </w:p>
        </w:tc>
        <w:tc>
          <w:tcPr>
            <w:tcW w:w="116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gridSpan w:val="2"/>
          </w:tcPr>
          <w:p>
            <w:pPr>
              <w:jc w:val="center"/>
              <w:ind w:right="60"/>
              <w:spacing w:after="0"/>
              <w:rPr>
                <w:sz w:val="20"/>
                <w:szCs w:val="20"/>
                <w:color w:val="auto"/>
              </w:rPr>
            </w:pPr>
            <w:r>
              <w:rPr>
                <w:rFonts w:ascii="Arial" w:cs="Arial" w:eastAsia="Arial" w:hAnsi="Arial"/>
                <w:sz w:val="18"/>
                <w:szCs w:val="18"/>
                <w:color w:val="auto"/>
                <w:w w:val="88"/>
              </w:rPr>
              <w:t>347.4</w:t>
            </w:r>
          </w:p>
        </w:tc>
      </w:tr>
      <w:tr>
        <w:trPr>
          <w:trHeight w:val="37"/>
        </w:trPr>
        <w:tc>
          <w:tcPr>
            <w:tcW w:w="1380" w:type="dxa"/>
            <w:vAlign w:val="bottom"/>
            <w:tcBorders>
              <w:left w:val="single" w:sz="8" w:color="auto"/>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r>
      <w:tr>
        <w:trPr>
          <w:trHeight w:val="240"/>
        </w:trPr>
        <w:tc>
          <w:tcPr>
            <w:tcW w:w="2060" w:type="dxa"/>
            <w:vAlign w:val="bottom"/>
            <w:tcBorders>
              <w:left w:val="single" w:sz="8" w:color="auto"/>
            </w:tcBorders>
            <w:gridSpan w:val="2"/>
          </w:tcPr>
          <w:p>
            <w:pPr>
              <w:ind w:left="440"/>
              <w:spacing w:after="0"/>
              <w:rPr>
                <w:sz w:val="20"/>
                <w:szCs w:val="20"/>
                <w:color w:val="auto"/>
              </w:rPr>
            </w:pPr>
            <w:r>
              <w:rPr>
                <w:rFonts w:ascii="Arial" w:cs="Arial" w:eastAsia="Arial" w:hAnsi="Arial"/>
                <w:sz w:val="18"/>
                <w:szCs w:val="18"/>
                <w:color w:val="auto"/>
              </w:rPr>
              <w:t>4Q 2018</w:t>
            </w:r>
          </w:p>
        </w:tc>
        <w:tc>
          <w:tcPr>
            <w:tcW w:w="116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gridSpan w:val="2"/>
          </w:tcPr>
          <w:p>
            <w:pPr>
              <w:jc w:val="center"/>
              <w:ind w:right="60"/>
              <w:spacing w:after="0"/>
              <w:rPr>
                <w:sz w:val="20"/>
                <w:szCs w:val="20"/>
                <w:color w:val="auto"/>
              </w:rPr>
            </w:pPr>
            <w:r>
              <w:rPr>
                <w:rFonts w:ascii="Arial" w:cs="Arial" w:eastAsia="Arial" w:hAnsi="Arial"/>
                <w:sz w:val="18"/>
                <w:szCs w:val="18"/>
                <w:color w:val="auto"/>
                <w:w w:val="88"/>
              </w:rPr>
              <w:t>354.0</w:t>
            </w:r>
          </w:p>
        </w:tc>
      </w:tr>
      <w:tr>
        <w:trPr>
          <w:trHeight w:val="37"/>
        </w:trPr>
        <w:tc>
          <w:tcPr>
            <w:tcW w:w="1380" w:type="dxa"/>
            <w:vAlign w:val="bottom"/>
            <w:tcBorders>
              <w:left w:val="single" w:sz="8" w:color="auto"/>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r>
      <w:tr>
        <w:trPr>
          <w:trHeight w:val="240"/>
        </w:trPr>
        <w:tc>
          <w:tcPr>
            <w:tcW w:w="2060" w:type="dxa"/>
            <w:vAlign w:val="bottom"/>
            <w:tcBorders>
              <w:left w:val="single" w:sz="8" w:color="auto"/>
            </w:tcBorders>
            <w:gridSpan w:val="2"/>
          </w:tcPr>
          <w:p>
            <w:pPr>
              <w:ind w:left="440"/>
              <w:spacing w:after="0"/>
              <w:rPr>
                <w:sz w:val="20"/>
                <w:szCs w:val="20"/>
                <w:color w:val="auto"/>
              </w:rPr>
            </w:pPr>
            <w:r>
              <w:rPr>
                <w:rFonts w:ascii="Arial" w:cs="Arial" w:eastAsia="Arial" w:hAnsi="Arial"/>
                <w:sz w:val="18"/>
                <w:szCs w:val="18"/>
                <w:color w:val="auto"/>
              </w:rPr>
              <w:t>1Q 2019</w:t>
            </w:r>
          </w:p>
        </w:tc>
        <w:tc>
          <w:tcPr>
            <w:tcW w:w="116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gridSpan w:val="2"/>
          </w:tcPr>
          <w:p>
            <w:pPr>
              <w:jc w:val="center"/>
              <w:ind w:right="60"/>
              <w:spacing w:after="0"/>
              <w:rPr>
                <w:sz w:val="20"/>
                <w:szCs w:val="20"/>
                <w:color w:val="auto"/>
              </w:rPr>
            </w:pPr>
            <w:r>
              <w:rPr>
                <w:rFonts w:ascii="Arial" w:cs="Arial" w:eastAsia="Arial" w:hAnsi="Arial"/>
                <w:sz w:val="18"/>
                <w:szCs w:val="18"/>
                <w:color w:val="auto"/>
                <w:w w:val="88"/>
              </w:rPr>
              <w:t>357.3</w:t>
            </w:r>
          </w:p>
        </w:tc>
      </w:tr>
      <w:tr>
        <w:trPr>
          <w:trHeight w:val="37"/>
        </w:trPr>
        <w:tc>
          <w:tcPr>
            <w:tcW w:w="1380" w:type="dxa"/>
            <w:vAlign w:val="bottom"/>
            <w:tcBorders>
              <w:left w:val="single" w:sz="8" w:color="auto"/>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r>
      <w:tr>
        <w:trPr>
          <w:trHeight w:val="240"/>
        </w:trPr>
        <w:tc>
          <w:tcPr>
            <w:tcW w:w="2060" w:type="dxa"/>
            <w:vAlign w:val="bottom"/>
            <w:tcBorders>
              <w:left w:val="single" w:sz="8" w:color="auto"/>
            </w:tcBorders>
            <w:gridSpan w:val="2"/>
          </w:tcPr>
          <w:p>
            <w:pPr>
              <w:ind w:left="440"/>
              <w:spacing w:after="0"/>
              <w:rPr>
                <w:sz w:val="20"/>
                <w:szCs w:val="20"/>
                <w:color w:val="auto"/>
              </w:rPr>
            </w:pPr>
            <w:r>
              <w:rPr>
                <w:rFonts w:ascii="Arial" w:cs="Arial" w:eastAsia="Arial" w:hAnsi="Arial"/>
                <w:sz w:val="18"/>
                <w:szCs w:val="18"/>
                <w:color w:val="auto"/>
              </w:rPr>
              <w:t>2Q 2019</w:t>
            </w:r>
          </w:p>
        </w:tc>
        <w:tc>
          <w:tcPr>
            <w:tcW w:w="116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gridSpan w:val="2"/>
          </w:tcPr>
          <w:p>
            <w:pPr>
              <w:jc w:val="center"/>
              <w:ind w:right="60"/>
              <w:spacing w:after="0"/>
              <w:rPr>
                <w:sz w:val="20"/>
                <w:szCs w:val="20"/>
                <w:color w:val="auto"/>
              </w:rPr>
            </w:pPr>
            <w:r>
              <w:rPr>
                <w:rFonts w:ascii="Arial" w:cs="Arial" w:eastAsia="Arial" w:hAnsi="Arial"/>
                <w:sz w:val="18"/>
                <w:szCs w:val="18"/>
                <w:color w:val="auto"/>
                <w:w w:val="88"/>
              </w:rPr>
              <w:t>360.5</w:t>
            </w:r>
          </w:p>
        </w:tc>
      </w:tr>
      <w:tr>
        <w:trPr>
          <w:trHeight w:val="37"/>
        </w:trPr>
        <w:tc>
          <w:tcPr>
            <w:tcW w:w="1380" w:type="dxa"/>
            <w:vAlign w:val="bottom"/>
            <w:tcBorders>
              <w:left w:val="single" w:sz="8" w:color="auto"/>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r>
      <w:tr>
        <w:trPr>
          <w:trHeight w:val="240"/>
        </w:trPr>
        <w:tc>
          <w:tcPr>
            <w:tcW w:w="2060" w:type="dxa"/>
            <w:vAlign w:val="bottom"/>
            <w:tcBorders>
              <w:left w:val="single" w:sz="8" w:color="auto"/>
            </w:tcBorders>
            <w:gridSpan w:val="2"/>
          </w:tcPr>
          <w:p>
            <w:pPr>
              <w:ind w:left="440"/>
              <w:spacing w:after="0"/>
              <w:rPr>
                <w:sz w:val="20"/>
                <w:szCs w:val="20"/>
                <w:color w:val="auto"/>
              </w:rPr>
            </w:pPr>
            <w:r>
              <w:rPr>
                <w:rFonts w:ascii="Arial" w:cs="Arial" w:eastAsia="Arial" w:hAnsi="Arial"/>
                <w:sz w:val="18"/>
                <w:szCs w:val="18"/>
                <w:color w:val="auto"/>
              </w:rPr>
              <w:t>3Q 2019</w:t>
            </w:r>
          </w:p>
        </w:tc>
        <w:tc>
          <w:tcPr>
            <w:tcW w:w="116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gridSpan w:val="2"/>
          </w:tcPr>
          <w:p>
            <w:pPr>
              <w:jc w:val="center"/>
              <w:ind w:right="60"/>
              <w:spacing w:after="0"/>
              <w:rPr>
                <w:sz w:val="20"/>
                <w:szCs w:val="20"/>
                <w:color w:val="auto"/>
              </w:rPr>
            </w:pPr>
            <w:r>
              <w:rPr>
                <w:rFonts w:ascii="Arial" w:cs="Arial" w:eastAsia="Arial" w:hAnsi="Arial"/>
                <w:sz w:val="18"/>
                <w:szCs w:val="18"/>
                <w:color w:val="auto"/>
                <w:w w:val="88"/>
              </w:rPr>
              <w:t>363.7</w:t>
            </w:r>
          </w:p>
        </w:tc>
      </w:tr>
      <w:tr>
        <w:trPr>
          <w:trHeight w:val="37"/>
        </w:trPr>
        <w:tc>
          <w:tcPr>
            <w:tcW w:w="1380" w:type="dxa"/>
            <w:vAlign w:val="bottom"/>
            <w:tcBorders>
              <w:left w:val="single" w:sz="8" w:color="auto"/>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r>
      <w:tr>
        <w:trPr>
          <w:trHeight w:val="240"/>
        </w:trPr>
        <w:tc>
          <w:tcPr>
            <w:tcW w:w="2060" w:type="dxa"/>
            <w:vAlign w:val="bottom"/>
            <w:tcBorders>
              <w:left w:val="single" w:sz="8" w:color="auto"/>
            </w:tcBorders>
            <w:gridSpan w:val="2"/>
          </w:tcPr>
          <w:p>
            <w:pPr>
              <w:ind w:left="440"/>
              <w:spacing w:after="0"/>
              <w:rPr>
                <w:sz w:val="20"/>
                <w:szCs w:val="20"/>
                <w:color w:val="auto"/>
              </w:rPr>
            </w:pPr>
            <w:r>
              <w:rPr>
                <w:rFonts w:ascii="Arial" w:cs="Arial" w:eastAsia="Arial" w:hAnsi="Arial"/>
                <w:sz w:val="18"/>
                <w:szCs w:val="18"/>
                <w:color w:val="auto"/>
              </w:rPr>
              <w:t>4Q2019</w:t>
            </w:r>
          </w:p>
        </w:tc>
        <w:tc>
          <w:tcPr>
            <w:tcW w:w="116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gridSpan w:val="2"/>
          </w:tcPr>
          <w:p>
            <w:pPr>
              <w:jc w:val="center"/>
              <w:ind w:right="60"/>
              <w:spacing w:after="0"/>
              <w:rPr>
                <w:sz w:val="20"/>
                <w:szCs w:val="20"/>
                <w:color w:val="auto"/>
              </w:rPr>
            </w:pPr>
            <w:r>
              <w:rPr>
                <w:rFonts w:ascii="Arial" w:cs="Arial" w:eastAsia="Arial" w:hAnsi="Arial"/>
                <w:sz w:val="18"/>
                <w:szCs w:val="18"/>
                <w:color w:val="auto"/>
                <w:w w:val="88"/>
              </w:rPr>
              <w:t>367.0</w:t>
            </w:r>
          </w:p>
        </w:tc>
      </w:tr>
      <w:tr>
        <w:trPr>
          <w:trHeight w:val="37"/>
        </w:trPr>
        <w:tc>
          <w:tcPr>
            <w:tcW w:w="1380" w:type="dxa"/>
            <w:vAlign w:val="bottom"/>
            <w:tcBorders>
              <w:left w:val="single" w:sz="8" w:color="auto"/>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r>
      <w:tr>
        <w:trPr>
          <w:trHeight w:val="240"/>
        </w:trPr>
        <w:tc>
          <w:tcPr>
            <w:tcW w:w="2060" w:type="dxa"/>
            <w:vAlign w:val="bottom"/>
            <w:tcBorders>
              <w:left w:val="single" w:sz="8" w:color="auto"/>
            </w:tcBorders>
            <w:gridSpan w:val="2"/>
          </w:tcPr>
          <w:p>
            <w:pPr>
              <w:ind w:left="440"/>
              <w:spacing w:after="0"/>
              <w:rPr>
                <w:sz w:val="20"/>
                <w:szCs w:val="20"/>
                <w:color w:val="auto"/>
              </w:rPr>
            </w:pPr>
            <w:r>
              <w:rPr>
                <w:rFonts w:ascii="Arial" w:cs="Arial" w:eastAsia="Arial" w:hAnsi="Arial"/>
                <w:sz w:val="18"/>
                <w:szCs w:val="18"/>
                <w:color w:val="auto"/>
              </w:rPr>
              <w:t>2020 and onwards</w:t>
            </w:r>
          </w:p>
        </w:tc>
        <w:tc>
          <w:tcPr>
            <w:tcW w:w="116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gridSpan w:val="2"/>
          </w:tcPr>
          <w:p>
            <w:pPr>
              <w:jc w:val="center"/>
              <w:ind w:right="60"/>
              <w:spacing w:after="0"/>
              <w:rPr>
                <w:sz w:val="20"/>
                <w:szCs w:val="20"/>
                <w:color w:val="auto"/>
              </w:rPr>
            </w:pPr>
            <w:r>
              <w:rPr>
                <w:rFonts w:ascii="Arial" w:cs="Arial" w:eastAsia="Arial" w:hAnsi="Arial"/>
                <w:sz w:val="18"/>
                <w:szCs w:val="18"/>
                <w:color w:val="auto"/>
                <w:w w:val="88"/>
              </w:rPr>
              <w:t>367.0</w:t>
            </w:r>
          </w:p>
        </w:tc>
      </w:tr>
      <w:tr>
        <w:trPr>
          <w:trHeight w:val="37"/>
        </w:trPr>
        <w:tc>
          <w:tcPr>
            <w:tcW w:w="1380" w:type="dxa"/>
            <w:vAlign w:val="bottom"/>
            <w:tcBorders>
              <w:left w:val="single" w:sz="8" w:color="auto"/>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r>
    </w:tbl>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II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83185</wp:posOffset>
            </wp:positionV>
            <wp:extent cx="7246620" cy="4318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9019"/>
          </w:cols>
          <w:pgMar w:left="1440" w:top="929" w:right="1440" w:bottom="1440" w:gutter="0" w:footer="0" w:header="0"/>
        </w:sectPr>
      </w:pPr>
    </w:p>
    <w:bookmarkStart w:id="175" w:name="page176"/>
    <w:bookmarkEnd w:id="175"/>
    <w:p>
      <w:pPr>
        <w:jc w:val="center"/>
        <w:ind w:right="-1200"/>
        <w:spacing w:after="0"/>
        <w:rPr>
          <w:sz w:val="20"/>
          <w:szCs w:val="20"/>
          <w:color w:val="auto"/>
        </w:rPr>
      </w:pPr>
      <w:r>
        <w:rPr>
          <w:rFonts w:ascii="Arial" w:cs="Arial" w:eastAsia="Arial" w:hAnsi="Arial"/>
          <w:sz w:val="22"/>
          <w:szCs w:val="22"/>
          <w:color w:val="auto"/>
        </w:rPr>
        <w:t>ANNEX III</w:t>
      </w:r>
    </w:p>
    <w:p>
      <w:pPr>
        <w:spacing w:after="0" w:line="233" w:lineRule="exact"/>
        <w:rPr>
          <w:sz w:val="20"/>
          <w:szCs w:val="20"/>
          <w:color w:val="auto"/>
        </w:rPr>
      </w:pPr>
    </w:p>
    <w:p>
      <w:pPr>
        <w:jc w:val="right"/>
        <w:ind w:right="3359"/>
        <w:spacing w:after="0"/>
        <w:rPr>
          <w:sz w:val="20"/>
          <w:szCs w:val="20"/>
          <w:color w:val="auto"/>
        </w:rPr>
      </w:pPr>
      <w:r>
        <w:rPr>
          <w:rFonts w:ascii="Arial" w:cs="Arial" w:eastAsia="Arial" w:hAnsi="Arial"/>
          <w:sz w:val="22"/>
          <w:szCs w:val="22"/>
          <w:u w:val="single" w:color="auto"/>
          <w:color w:val="auto"/>
        </w:rPr>
        <w:t>Initial Material Milestones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Capital Expenditure Targets</w:t>
      </w:r>
    </w:p>
    <w:p>
      <w:pPr>
        <w:spacing w:after="0" w:line="204" w:lineRule="exact"/>
        <w:rPr>
          <w:sz w:val="20"/>
          <w:szCs w:val="20"/>
          <w:color w:val="auto"/>
        </w:rPr>
      </w:pPr>
    </w:p>
    <w:tbl>
      <w:tblPr>
        <w:tblLayout w:type="fixed"/>
        <w:tblInd w:w="10" w:type="dxa"/>
        <w:tblCellMar>
          <w:top w:w="0" w:type="dxa"/>
          <w:left w:w="0" w:type="dxa"/>
          <w:bottom w:w="0" w:type="dxa"/>
          <w:right w:w="0" w:type="dxa"/>
        </w:tblCellMar>
      </w:tblPr>
      <w:tr>
        <w:trPr>
          <w:trHeight w:val="273"/>
        </w:trPr>
        <w:tc>
          <w:tcPr>
            <w:tcW w:w="560" w:type="dxa"/>
            <w:vAlign w:val="bottom"/>
            <w:tcBorders>
              <w:top w:val="single" w:sz="8" w:color="auto"/>
              <w:left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w w:val="99"/>
              </w:rPr>
              <w:t>2014</w:t>
            </w:r>
          </w:p>
        </w:tc>
        <w:tc>
          <w:tcPr>
            <w:tcW w:w="1160" w:type="dxa"/>
            <w:vAlign w:val="bottom"/>
            <w:tcBorders>
              <w:top w:val="single" w:sz="8" w:color="auto"/>
              <w:right w:val="single" w:sz="8" w:color="auto"/>
            </w:tcBorders>
          </w:tcPr>
          <w:p>
            <w:pPr>
              <w:jc w:val="right"/>
              <w:ind w:right="250"/>
              <w:spacing w:after="0"/>
              <w:rPr>
                <w:sz w:val="20"/>
                <w:szCs w:val="20"/>
                <w:color w:val="auto"/>
              </w:rPr>
            </w:pPr>
            <w:r>
              <w:rPr>
                <w:rFonts w:ascii="Arial" w:cs="Arial" w:eastAsia="Arial" w:hAnsi="Arial"/>
                <w:sz w:val="18"/>
                <w:szCs w:val="18"/>
                <w:color w:val="auto"/>
                <w:w w:val="88"/>
              </w:rPr>
              <w:t>$8,300,000</w:t>
            </w:r>
          </w:p>
        </w:tc>
      </w:tr>
      <w:tr>
        <w:trPr>
          <w:trHeight w:val="37"/>
        </w:trPr>
        <w:tc>
          <w:tcPr>
            <w:tcW w:w="560" w:type="dxa"/>
            <w:vAlign w:val="bottom"/>
            <w:tcBorders>
              <w:left w:val="single" w:sz="8" w:color="auto"/>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r>
      <w:tr>
        <w:trPr>
          <w:trHeight w:val="240"/>
        </w:trPr>
        <w:tc>
          <w:tcPr>
            <w:tcW w:w="560" w:type="dxa"/>
            <w:vAlign w:val="bottom"/>
            <w:tcBorders>
              <w:left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w w:val="99"/>
              </w:rPr>
              <w:t>2015</w:t>
            </w:r>
          </w:p>
        </w:tc>
        <w:tc>
          <w:tcPr>
            <w:tcW w:w="116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w w:val="88"/>
              </w:rPr>
              <w:t>$4,900,000</w:t>
            </w:r>
          </w:p>
        </w:tc>
      </w:tr>
      <w:tr>
        <w:trPr>
          <w:trHeight w:val="37"/>
        </w:trPr>
        <w:tc>
          <w:tcPr>
            <w:tcW w:w="560" w:type="dxa"/>
            <w:vAlign w:val="bottom"/>
            <w:tcBorders>
              <w:left w:val="single" w:sz="8" w:color="auto"/>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r>
      <w:tr>
        <w:trPr>
          <w:trHeight w:val="240"/>
        </w:trPr>
        <w:tc>
          <w:tcPr>
            <w:tcW w:w="560" w:type="dxa"/>
            <w:vAlign w:val="bottom"/>
            <w:tcBorders>
              <w:left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w w:val="99"/>
              </w:rPr>
              <w:t>2016</w:t>
            </w:r>
          </w:p>
        </w:tc>
        <w:tc>
          <w:tcPr>
            <w:tcW w:w="116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w w:val="88"/>
              </w:rPr>
              <w:t>$2,700,000</w:t>
            </w:r>
          </w:p>
        </w:tc>
      </w:tr>
      <w:tr>
        <w:trPr>
          <w:trHeight w:val="37"/>
        </w:trPr>
        <w:tc>
          <w:tcPr>
            <w:tcW w:w="560" w:type="dxa"/>
            <w:vAlign w:val="bottom"/>
            <w:tcBorders>
              <w:left w:val="single" w:sz="8" w:color="auto"/>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r>
      <w:tr>
        <w:trPr>
          <w:trHeight w:val="240"/>
        </w:trPr>
        <w:tc>
          <w:tcPr>
            <w:tcW w:w="560" w:type="dxa"/>
            <w:vAlign w:val="bottom"/>
            <w:tcBorders>
              <w:left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w w:val="99"/>
              </w:rPr>
              <w:t>2017</w:t>
            </w:r>
          </w:p>
        </w:tc>
        <w:tc>
          <w:tcPr>
            <w:tcW w:w="116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w w:val="88"/>
              </w:rPr>
              <w:t>$2,000,000</w:t>
            </w:r>
          </w:p>
        </w:tc>
      </w:tr>
      <w:tr>
        <w:trPr>
          <w:trHeight w:val="37"/>
        </w:trPr>
        <w:tc>
          <w:tcPr>
            <w:tcW w:w="560" w:type="dxa"/>
            <w:vAlign w:val="bottom"/>
            <w:tcBorders>
              <w:left w:val="single" w:sz="8" w:color="auto"/>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r>
      <w:tr>
        <w:trPr>
          <w:trHeight w:val="240"/>
        </w:trPr>
        <w:tc>
          <w:tcPr>
            <w:tcW w:w="560" w:type="dxa"/>
            <w:vAlign w:val="bottom"/>
            <w:tcBorders>
              <w:left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w w:val="99"/>
              </w:rPr>
              <w:t>2018</w:t>
            </w:r>
          </w:p>
        </w:tc>
        <w:tc>
          <w:tcPr>
            <w:tcW w:w="116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w w:val="88"/>
              </w:rPr>
              <w:t>$9,200,000</w:t>
            </w:r>
          </w:p>
        </w:tc>
      </w:tr>
      <w:tr>
        <w:trPr>
          <w:trHeight w:val="37"/>
        </w:trPr>
        <w:tc>
          <w:tcPr>
            <w:tcW w:w="560" w:type="dxa"/>
            <w:vAlign w:val="bottom"/>
            <w:tcBorders>
              <w:left w:val="single" w:sz="8" w:color="auto"/>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r>
    </w:tbl>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Minimum Hiring Targets (FTE)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1084580" cy="96456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084580" cy="964565"/>
                    </a:xfrm>
                    <a:prstGeom prst="rect">
                      <a:avLst/>
                    </a:prstGeom>
                    <a:noFill/>
                  </pic:spPr>
                </pic:pic>
              </a:graphicData>
            </a:graphic>
          </wp:anchor>
        </w:drawing>
      </w:r>
    </w:p>
    <w:p>
      <w:pPr>
        <w:spacing w:after="0" w:line="247" w:lineRule="exact"/>
        <w:rPr>
          <w:sz w:val="20"/>
          <w:szCs w:val="20"/>
          <w:color w:val="auto"/>
        </w:rPr>
      </w:pPr>
    </w:p>
    <w:p>
      <w:pPr>
        <w:ind w:left="60"/>
        <w:spacing w:after="0"/>
        <w:tabs>
          <w:tab w:leader="none" w:pos="560" w:val="left"/>
        </w:tabs>
        <w:rPr>
          <w:sz w:val="20"/>
          <w:szCs w:val="20"/>
          <w:color w:val="auto"/>
        </w:rPr>
      </w:pPr>
      <w:r>
        <w:rPr>
          <w:rFonts w:ascii="Arial" w:cs="Arial" w:eastAsia="Arial" w:hAnsi="Arial"/>
          <w:sz w:val="18"/>
          <w:szCs w:val="18"/>
          <w:color w:val="auto"/>
        </w:rPr>
        <w:t>2014</w:t>
      </w:r>
      <w:r>
        <w:rPr>
          <w:sz w:val="20"/>
          <w:szCs w:val="20"/>
          <w:color w:val="auto"/>
        </w:rPr>
        <w:tab/>
      </w:r>
      <w:r>
        <w:rPr>
          <w:rFonts w:ascii="Arial" w:cs="Arial" w:eastAsia="Arial" w:hAnsi="Arial"/>
          <w:sz w:val="16"/>
          <w:szCs w:val="16"/>
          <w:color w:val="auto"/>
        </w:rPr>
        <w:t>20</w:t>
      </w:r>
    </w:p>
    <w:p>
      <w:pPr>
        <w:spacing w:after="0" w:line="90" w:lineRule="exact"/>
        <w:rPr>
          <w:sz w:val="20"/>
          <w:szCs w:val="20"/>
          <w:color w:val="auto"/>
        </w:rPr>
      </w:pPr>
    </w:p>
    <w:p>
      <w:pPr>
        <w:ind w:left="60"/>
        <w:spacing w:after="0"/>
        <w:tabs>
          <w:tab w:leader="none" w:pos="560" w:val="left"/>
        </w:tabs>
        <w:rPr>
          <w:sz w:val="20"/>
          <w:szCs w:val="20"/>
          <w:color w:val="auto"/>
        </w:rPr>
      </w:pPr>
      <w:r>
        <w:rPr>
          <w:rFonts w:ascii="Arial" w:cs="Arial" w:eastAsia="Arial" w:hAnsi="Arial"/>
          <w:sz w:val="18"/>
          <w:szCs w:val="18"/>
          <w:color w:val="auto"/>
        </w:rPr>
        <w:t>2015</w:t>
      </w:r>
      <w:r>
        <w:rPr>
          <w:sz w:val="20"/>
          <w:szCs w:val="20"/>
          <w:color w:val="auto"/>
        </w:rPr>
        <w:tab/>
      </w:r>
      <w:r>
        <w:rPr>
          <w:rFonts w:ascii="Arial" w:cs="Arial" w:eastAsia="Arial" w:hAnsi="Arial"/>
          <w:sz w:val="16"/>
          <w:szCs w:val="16"/>
          <w:color w:val="auto"/>
        </w:rPr>
        <w:t>28</w:t>
      </w:r>
    </w:p>
    <w:p>
      <w:pPr>
        <w:spacing w:after="0" w:line="90" w:lineRule="exact"/>
        <w:rPr>
          <w:sz w:val="20"/>
          <w:szCs w:val="20"/>
          <w:color w:val="auto"/>
        </w:rPr>
      </w:pPr>
    </w:p>
    <w:p>
      <w:pPr>
        <w:ind w:left="60"/>
        <w:spacing w:after="0"/>
        <w:tabs>
          <w:tab w:leader="none" w:pos="560" w:val="left"/>
        </w:tabs>
        <w:rPr>
          <w:sz w:val="20"/>
          <w:szCs w:val="20"/>
          <w:color w:val="auto"/>
        </w:rPr>
      </w:pPr>
      <w:r>
        <w:rPr>
          <w:rFonts w:ascii="Arial" w:cs="Arial" w:eastAsia="Arial" w:hAnsi="Arial"/>
          <w:sz w:val="18"/>
          <w:szCs w:val="18"/>
          <w:color w:val="auto"/>
        </w:rPr>
        <w:t>2016</w:t>
      </w:r>
      <w:r>
        <w:rPr>
          <w:sz w:val="20"/>
          <w:szCs w:val="20"/>
          <w:color w:val="auto"/>
        </w:rPr>
        <w:tab/>
      </w:r>
      <w:r>
        <w:rPr>
          <w:rFonts w:ascii="Arial" w:cs="Arial" w:eastAsia="Arial" w:hAnsi="Arial"/>
          <w:sz w:val="16"/>
          <w:szCs w:val="16"/>
          <w:color w:val="auto"/>
        </w:rPr>
        <w:t>67</w:t>
      </w:r>
    </w:p>
    <w:p>
      <w:pPr>
        <w:spacing w:after="0" w:line="90" w:lineRule="exact"/>
        <w:rPr>
          <w:sz w:val="20"/>
          <w:szCs w:val="20"/>
          <w:color w:val="auto"/>
        </w:rPr>
      </w:pPr>
    </w:p>
    <w:p>
      <w:pPr>
        <w:ind w:left="60"/>
        <w:spacing w:after="0"/>
        <w:tabs>
          <w:tab w:leader="none" w:pos="560" w:val="left"/>
        </w:tabs>
        <w:rPr>
          <w:sz w:val="20"/>
          <w:szCs w:val="20"/>
          <w:color w:val="auto"/>
        </w:rPr>
      </w:pPr>
      <w:r>
        <w:rPr>
          <w:rFonts w:ascii="Arial" w:cs="Arial" w:eastAsia="Arial" w:hAnsi="Arial"/>
          <w:sz w:val="18"/>
          <w:szCs w:val="18"/>
          <w:color w:val="auto"/>
        </w:rPr>
        <w:t>2017</w:t>
      </w:r>
      <w:r>
        <w:rPr>
          <w:sz w:val="20"/>
          <w:szCs w:val="20"/>
          <w:color w:val="auto"/>
        </w:rPr>
        <w:tab/>
      </w:r>
      <w:r>
        <w:rPr>
          <w:rFonts w:ascii="Arial" w:cs="Arial" w:eastAsia="Arial" w:hAnsi="Arial"/>
          <w:sz w:val="16"/>
          <w:szCs w:val="16"/>
          <w:color w:val="auto"/>
        </w:rPr>
        <w:t>71</w:t>
      </w:r>
    </w:p>
    <w:p>
      <w:pPr>
        <w:spacing w:after="0" w:line="90" w:lineRule="exact"/>
        <w:rPr>
          <w:sz w:val="20"/>
          <w:szCs w:val="20"/>
          <w:color w:val="auto"/>
        </w:rPr>
      </w:pPr>
    </w:p>
    <w:p>
      <w:pPr>
        <w:ind w:left="60"/>
        <w:spacing w:after="0"/>
        <w:tabs>
          <w:tab w:leader="none" w:pos="560" w:val="left"/>
        </w:tabs>
        <w:rPr>
          <w:sz w:val="20"/>
          <w:szCs w:val="20"/>
          <w:color w:val="auto"/>
        </w:rPr>
      </w:pPr>
      <w:r>
        <w:rPr>
          <w:rFonts w:ascii="Arial" w:cs="Arial" w:eastAsia="Arial" w:hAnsi="Arial"/>
          <w:sz w:val="18"/>
          <w:szCs w:val="18"/>
          <w:color w:val="auto"/>
        </w:rPr>
        <w:t>2018</w:t>
      </w:r>
      <w:r>
        <w:rPr>
          <w:sz w:val="20"/>
          <w:szCs w:val="20"/>
          <w:color w:val="auto"/>
        </w:rPr>
        <w:tab/>
      </w:r>
      <w:r>
        <w:rPr>
          <w:rFonts w:ascii="Arial" w:cs="Arial" w:eastAsia="Arial" w:hAnsi="Arial"/>
          <w:sz w:val="15"/>
          <w:szCs w:val="15"/>
          <w:color w:val="auto"/>
        </w:rPr>
        <w:t>160</w:t>
      </w:r>
    </w:p>
    <w:p>
      <w:pPr>
        <w:spacing w:after="0" w:line="30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Annex III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219"/>
          </w:cols>
          <w:pgMar w:left="240" w:top="928" w:right="1440" w:bottom="1440" w:gutter="0" w:footer="0" w:header="0"/>
        </w:sectPr>
      </w:pPr>
    </w:p>
    <w:bookmarkStart w:id="176" w:name="page177"/>
    <w:bookmarkEnd w:id="176"/>
    <w:tbl>
      <w:tblPr>
        <w:tblLayout w:type="fixed"/>
        <w:tblInd w:w="0" w:type="dxa"/>
        <w:tblCellMar>
          <w:top w:w="0" w:type="dxa"/>
          <w:left w:w="0" w:type="dxa"/>
          <w:bottom w:w="0" w:type="dxa"/>
          <w:right w:w="0" w:type="dxa"/>
        </w:tblCellMar>
      </w:tblPr>
      <w:tr>
        <w:trPr>
          <w:trHeight w:val="239"/>
        </w:trPr>
        <w:tc>
          <w:tcPr>
            <w:tcW w:w="5360" w:type="dxa"/>
            <w:vAlign w:val="bottom"/>
          </w:tcPr>
          <w:p>
            <w:pPr>
              <w:spacing w:after="0"/>
              <w:rPr>
                <w:sz w:val="20"/>
                <w:szCs w:val="20"/>
                <w:color w:val="auto"/>
              </w:rPr>
            </w:pPr>
            <w:r>
              <w:rPr>
                <w:rFonts w:ascii="Arial" w:cs="Arial" w:eastAsia="Arial" w:hAnsi="Arial"/>
                <w:sz w:val="18"/>
                <w:szCs w:val="18"/>
                <w:b w:val="1"/>
                <w:bCs w:val="1"/>
                <w:color w:val="auto"/>
              </w:rPr>
              <w:t>SUBSIDIARIES OF REGISTRANT</w:t>
            </w:r>
          </w:p>
        </w:tc>
        <w:tc>
          <w:tcPr>
            <w:tcW w:w="16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100" w:type="dxa"/>
            <w:vAlign w:val="bottom"/>
          </w:tcPr>
          <w:p>
            <w:pPr>
              <w:ind w:left="140"/>
              <w:spacing w:after="0"/>
              <w:rPr>
                <w:sz w:val="20"/>
                <w:szCs w:val="20"/>
                <w:color w:val="auto"/>
              </w:rPr>
            </w:pPr>
            <w:r>
              <w:rPr>
                <w:rFonts w:ascii="Arial" w:cs="Arial" w:eastAsia="Arial" w:hAnsi="Arial"/>
                <w:sz w:val="18"/>
                <w:szCs w:val="18"/>
                <w:b w:val="1"/>
                <w:bCs w:val="1"/>
                <w:color w:val="auto"/>
              </w:rPr>
              <w:t>Exhibit 21</w:t>
            </w:r>
          </w:p>
        </w:tc>
      </w:tr>
      <w:tr>
        <w:trPr>
          <w:trHeight w:val="571"/>
        </w:trPr>
        <w:tc>
          <w:tcPr>
            <w:tcW w:w="5360" w:type="dxa"/>
            <w:vAlign w:val="bottom"/>
          </w:tcPr>
          <w:p>
            <w:pPr>
              <w:spacing w:after="0"/>
              <w:rPr>
                <w:sz w:val="24"/>
                <w:szCs w:val="24"/>
                <w:color w:val="auto"/>
              </w:rPr>
            </w:pPr>
          </w:p>
        </w:tc>
        <w:tc>
          <w:tcPr>
            <w:tcW w:w="1620" w:type="dxa"/>
            <w:vAlign w:val="bottom"/>
          </w:tcPr>
          <w:p>
            <w:pPr>
              <w:jc w:val="center"/>
              <w:ind w:left="30"/>
              <w:spacing w:after="0"/>
              <w:rPr>
                <w:sz w:val="20"/>
                <w:szCs w:val="20"/>
                <w:color w:val="auto"/>
              </w:rPr>
            </w:pPr>
            <w:r>
              <w:rPr>
                <w:rFonts w:ascii="Arial" w:cs="Arial" w:eastAsia="Arial" w:hAnsi="Arial"/>
                <w:sz w:val="18"/>
                <w:szCs w:val="18"/>
                <w:b w:val="1"/>
                <w:bCs w:val="1"/>
                <w:color w:val="auto"/>
                <w:w w:val="99"/>
              </w:rPr>
              <w:t>Percent</w:t>
            </w:r>
          </w:p>
        </w:tc>
        <w:tc>
          <w:tcPr>
            <w:tcW w:w="1340" w:type="dxa"/>
            <w:vAlign w:val="bottom"/>
          </w:tcPr>
          <w:p>
            <w:pPr>
              <w:jc w:val="center"/>
              <w:ind w:left="30"/>
              <w:spacing w:after="0"/>
              <w:rPr>
                <w:sz w:val="20"/>
                <w:szCs w:val="20"/>
                <w:color w:val="auto"/>
              </w:rPr>
            </w:pPr>
            <w:r>
              <w:rPr>
                <w:rFonts w:ascii="Arial" w:cs="Arial" w:eastAsia="Arial" w:hAnsi="Arial"/>
                <w:sz w:val="18"/>
                <w:szCs w:val="18"/>
                <w:b w:val="1"/>
                <w:bCs w:val="1"/>
                <w:color w:val="auto"/>
                <w:w w:val="99"/>
              </w:rPr>
              <w:t>Percent</w:t>
            </w:r>
          </w:p>
        </w:tc>
        <w:tc>
          <w:tcPr>
            <w:tcW w:w="3100" w:type="dxa"/>
            <w:vAlign w:val="bottom"/>
          </w:tcPr>
          <w:p>
            <w:pPr>
              <w:spacing w:after="0"/>
              <w:rPr>
                <w:sz w:val="24"/>
                <w:szCs w:val="24"/>
                <w:color w:val="auto"/>
              </w:rPr>
            </w:pPr>
          </w:p>
        </w:tc>
      </w:tr>
      <w:tr>
        <w:trPr>
          <w:trHeight w:val="225"/>
        </w:trPr>
        <w:tc>
          <w:tcPr>
            <w:tcW w:w="5360" w:type="dxa"/>
            <w:vAlign w:val="bottom"/>
            <w:tcBorders>
              <w:bottom w:val="single" w:sz="8" w:color="auto"/>
            </w:tcBorders>
          </w:tcPr>
          <w:p>
            <w:pPr>
              <w:ind w:left="2420"/>
              <w:spacing w:after="0"/>
              <w:rPr>
                <w:sz w:val="20"/>
                <w:szCs w:val="20"/>
                <w:color w:val="auto"/>
              </w:rPr>
            </w:pPr>
            <w:r>
              <w:rPr>
                <w:rFonts w:ascii="Arial" w:cs="Arial" w:eastAsia="Arial" w:hAnsi="Arial"/>
                <w:sz w:val="18"/>
                <w:szCs w:val="18"/>
                <w:b w:val="1"/>
                <w:bCs w:val="1"/>
                <w:color w:val="auto"/>
              </w:rPr>
              <w:t>Affiliate</w:t>
            </w:r>
          </w:p>
        </w:tc>
        <w:tc>
          <w:tcPr>
            <w:tcW w:w="162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rPr>
              <w:t>Ownership</w:t>
            </w:r>
          </w:p>
        </w:tc>
        <w:tc>
          <w:tcPr>
            <w:tcW w:w="134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8"/>
              </w:rPr>
              <w:t>Ownership</w:t>
            </w:r>
          </w:p>
        </w:tc>
        <w:tc>
          <w:tcPr>
            <w:tcW w:w="3100" w:type="dxa"/>
            <w:vAlign w:val="bottom"/>
            <w:tcBorders>
              <w:bottom w:val="single" w:sz="8" w:color="auto"/>
            </w:tcBorders>
          </w:tcPr>
          <w:p>
            <w:pPr>
              <w:ind w:left="560"/>
              <w:spacing w:after="0"/>
              <w:rPr>
                <w:sz w:val="20"/>
                <w:szCs w:val="20"/>
                <w:color w:val="auto"/>
              </w:rPr>
            </w:pPr>
            <w:r>
              <w:rPr>
                <w:rFonts w:ascii="Arial" w:cs="Arial" w:eastAsia="Arial" w:hAnsi="Arial"/>
                <w:sz w:val="18"/>
                <w:szCs w:val="18"/>
                <w:b w:val="1"/>
                <w:bCs w:val="1"/>
                <w:color w:val="auto"/>
              </w:rPr>
              <w:t>Country of Incorporation</w:t>
            </w:r>
          </w:p>
        </w:tc>
      </w:tr>
      <w:tr>
        <w:trPr>
          <w:trHeight w:val="232"/>
        </w:trPr>
        <w:tc>
          <w:tcPr>
            <w:tcW w:w="5360" w:type="dxa"/>
            <w:vAlign w:val="bottom"/>
          </w:tcPr>
          <w:p>
            <w:pPr>
              <w:spacing w:after="0"/>
              <w:rPr>
                <w:sz w:val="20"/>
                <w:szCs w:val="20"/>
                <w:color w:val="auto"/>
              </w:rPr>
            </w:pPr>
          </w:p>
        </w:tc>
        <w:tc>
          <w:tcPr>
            <w:tcW w:w="1620" w:type="dxa"/>
            <w:vAlign w:val="bottom"/>
          </w:tcPr>
          <w:p>
            <w:pPr>
              <w:jc w:val="center"/>
              <w:ind w:left="30"/>
              <w:spacing w:after="0"/>
              <w:rPr>
                <w:sz w:val="20"/>
                <w:szCs w:val="20"/>
                <w:color w:val="auto"/>
              </w:rPr>
            </w:pPr>
            <w:r>
              <w:rPr>
                <w:rFonts w:ascii="Arial" w:cs="Arial" w:eastAsia="Arial" w:hAnsi="Arial"/>
                <w:sz w:val="18"/>
                <w:szCs w:val="18"/>
                <w:b w:val="1"/>
                <w:bCs w:val="1"/>
                <w:color w:val="auto"/>
                <w:w w:val="97"/>
              </w:rPr>
              <w:t>Direct</w:t>
            </w:r>
          </w:p>
        </w:tc>
        <w:tc>
          <w:tcPr>
            <w:tcW w:w="1340" w:type="dxa"/>
            <w:vAlign w:val="bottom"/>
          </w:tcPr>
          <w:p>
            <w:pPr>
              <w:jc w:val="center"/>
              <w:ind w:left="50"/>
              <w:spacing w:after="0"/>
              <w:rPr>
                <w:sz w:val="20"/>
                <w:szCs w:val="20"/>
                <w:color w:val="auto"/>
              </w:rPr>
            </w:pPr>
            <w:r>
              <w:rPr>
                <w:rFonts w:ascii="Arial" w:cs="Arial" w:eastAsia="Arial" w:hAnsi="Arial"/>
                <w:sz w:val="18"/>
                <w:szCs w:val="18"/>
                <w:b w:val="1"/>
                <w:bCs w:val="1"/>
                <w:color w:val="auto"/>
                <w:w w:val="98"/>
              </w:rPr>
              <w:t>Indirect</w:t>
            </w:r>
          </w:p>
        </w:tc>
        <w:tc>
          <w:tcPr>
            <w:tcW w:w="3100" w:type="dxa"/>
            <w:vAlign w:val="bottom"/>
          </w:tcPr>
          <w:p>
            <w:pPr>
              <w:spacing w:after="0"/>
              <w:rPr>
                <w:sz w:val="20"/>
                <w:szCs w:val="20"/>
                <w:color w:val="auto"/>
              </w:rPr>
            </w:pPr>
          </w:p>
        </w:tc>
      </w:tr>
      <w:tr>
        <w:trPr>
          <w:trHeight w:val="368"/>
        </w:trPr>
        <w:tc>
          <w:tcPr>
            <w:tcW w:w="5360" w:type="dxa"/>
            <w:vAlign w:val="bottom"/>
          </w:tcPr>
          <w:p>
            <w:pPr>
              <w:spacing w:after="0"/>
              <w:rPr>
                <w:sz w:val="20"/>
                <w:szCs w:val="20"/>
                <w:color w:val="auto"/>
              </w:rPr>
            </w:pPr>
            <w:r>
              <w:rPr>
                <w:rFonts w:ascii="Arial" w:cs="Arial" w:eastAsia="Arial" w:hAnsi="Arial"/>
                <w:sz w:val="18"/>
                <w:szCs w:val="18"/>
                <w:color w:val="auto"/>
              </w:rPr>
              <w:t>Albany International Corp.</w:t>
            </w:r>
          </w:p>
        </w:tc>
        <w:tc>
          <w:tcPr>
            <w:tcW w:w="16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100" w:type="dxa"/>
            <w:vAlign w:val="bottom"/>
          </w:tcPr>
          <w:p>
            <w:pPr>
              <w:ind w:left="140"/>
              <w:spacing w:after="0"/>
              <w:rPr>
                <w:sz w:val="20"/>
                <w:szCs w:val="20"/>
                <w:color w:val="auto"/>
              </w:rPr>
            </w:pPr>
            <w:r>
              <w:rPr>
                <w:rFonts w:ascii="Arial" w:cs="Arial" w:eastAsia="Arial" w:hAnsi="Arial"/>
                <w:sz w:val="18"/>
                <w:szCs w:val="18"/>
                <w:color w:val="auto"/>
              </w:rPr>
              <w:t>United States</w:t>
            </w: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Albany International Holdings Two, Inc.</w:t>
            </w:r>
          </w:p>
        </w:tc>
        <w:tc>
          <w:tcPr>
            <w:tcW w:w="1620" w:type="dxa"/>
            <w:vAlign w:val="bottom"/>
          </w:tcPr>
          <w:p>
            <w:pPr>
              <w:jc w:val="center"/>
              <w:ind w:left="30"/>
              <w:spacing w:after="0" w:line="202" w:lineRule="exact"/>
              <w:rPr>
                <w:sz w:val="20"/>
                <w:szCs w:val="20"/>
                <w:color w:val="auto"/>
              </w:rPr>
            </w:pPr>
            <w:r>
              <w:rPr>
                <w:rFonts w:ascii="Arial" w:cs="Arial" w:eastAsia="Arial" w:hAnsi="Arial"/>
                <w:sz w:val="18"/>
                <w:szCs w:val="18"/>
                <w:color w:val="auto"/>
                <w:w w:val="99"/>
              </w:rPr>
              <w:t>100%</w:t>
            </w:r>
          </w:p>
        </w:tc>
        <w:tc>
          <w:tcPr>
            <w:tcW w:w="1340" w:type="dxa"/>
            <w:vAlign w:val="bottom"/>
          </w:tcPr>
          <w:p>
            <w:pPr>
              <w:spacing w:after="0"/>
              <w:rPr>
                <w:sz w:val="17"/>
                <w:szCs w:val="17"/>
                <w:color w:val="auto"/>
              </w:rPr>
            </w:pPr>
          </w:p>
        </w:tc>
        <w:tc>
          <w:tcPr>
            <w:tcW w:w="3100" w:type="dxa"/>
            <w:vAlign w:val="bottom"/>
          </w:tcPr>
          <w:p>
            <w:pPr>
              <w:ind w:left="140"/>
              <w:spacing w:after="0" w:line="202" w:lineRule="exact"/>
              <w:rPr>
                <w:sz w:val="20"/>
                <w:szCs w:val="20"/>
                <w:color w:val="auto"/>
              </w:rPr>
            </w:pPr>
            <w:r>
              <w:rPr>
                <w:rFonts w:ascii="Arial" w:cs="Arial" w:eastAsia="Arial" w:hAnsi="Arial"/>
                <w:sz w:val="18"/>
                <w:szCs w:val="18"/>
                <w:color w:val="auto"/>
              </w:rPr>
              <w:t>United States</w:t>
            </w: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Albany International Research Co.</w:t>
            </w:r>
          </w:p>
        </w:tc>
        <w:tc>
          <w:tcPr>
            <w:tcW w:w="1620" w:type="dxa"/>
            <w:vAlign w:val="bottom"/>
          </w:tcPr>
          <w:p>
            <w:pPr>
              <w:jc w:val="center"/>
              <w:ind w:left="30"/>
              <w:spacing w:after="0" w:line="202" w:lineRule="exact"/>
              <w:rPr>
                <w:sz w:val="20"/>
                <w:szCs w:val="20"/>
                <w:color w:val="auto"/>
              </w:rPr>
            </w:pPr>
            <w:r>
              <w:rPr>
                <w:rFonts w:ascii="Arial" w:cs="Arial" w:eastAsia="Arial" w:hAnsi="Arial"/>
                <w:sz w:val="18"/>
                <w:szCs w:val="18"/>
                <w:color w:val="auto"/>
                <w:w w:val="99"/>
              </w:rPr>
              <w:t>100%</w:t>
            </w:r>
          </w:p>
        </w:tc>
        <w:tc>
          <w:tcPr>
            <w:tcW w:w="1340" w:type="dxa"/>
            <w:vAlign w:val="bottom"/>
          </w:tcPr>
          <w:p>
            <w:pPr>
              <w:spacing w:after="0"/>
              <w:rPr>
                <w:sz w:val="17"/>
                <w:szCs w:val="17"/>
                <w:color w:val="auto"/>
              </w:rPr>
            </w:pPr>
          </w:p>
        </w:tc>
        <w:tc>
          <w:tcPr>
            <w:tcW w:w="3100" w:type="dxa"/>
            <w:vAlign w:val="bottom"/>
          </w:tcPr>
          <w:p>
            <w:pPr>
              <w:ind w:left="140"/>
              <w:spacing w:after="0" w:line="202" w:lineRule="exact"/>
              <w:rPr>
                <w:sz w:val="20"/>
                <w:szCs w:val="20"/>
                <w:color w:val="auto"/>
              </w:rPr>
            </w:pPr>
            <w:r>
              <w:rPr>
                <w:rFonts w:ascii="Arial" w:cs="Arial" w:eastAsia="Arial" w:hAnsi="Arial"/>
                <w:sz w:val="18"/>
                <w:szCs w:val="18"/>
                <w:color w:val="auto"/>
              </w:rPr>
              <w:t>United States</w:t>
            </w: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Albany Engineered Composites, Inc.</w:t>
            </w:r>
          </w:p>
        </w:tc>
        <w:tc>
          <w:tcPr>
            <w:tcW w:w="1620" w:type="dxa"/>
            <w:vAlign w:val="bottom"/>
          </w:tcPr>
          <w:p>
            <w:pPr>
              <w:jc w:val="center"/>
              <w:ind w:left="30"/>
              <w:spacing w:after="0" w:line="202" w:lineRule="exact"/>
              <w:rPr>
                <w:sz w:val="20"/>
                <w:szCs w:val="20"/>
                <w:color w:val="auto"/>
              </w:rPr>
            </w:pPr>
            <w:r>
              <w:rPr>
                <w:rFonts w:ascii="Arial" w:cs="Arial" w:eastAsia="Arial" w:hAnsi="Arial"/>
                <w:sz w:val="18"/>
                <w:szCs w:val="18"/>
                <w:color w:val="auto"/>
                <w:w w:val="99"/>
              </w:rPr>
              <w:t>100%</w:t>
            </w:r>
          </w:p>
        </w:tc>
        <w:tc>
          <w:tcPr>
            <w:tcW w:w="1340" w:type="dxa"/>
            <w:vAlign w:val="bottom"/>
          </w:tcPr>
          <w:p>
            <w:pPr>
              <w:spacing w:after="0"/>
              <w:rPr>
                <w:sz w:val="17"/>
                <w:szCs w:val="17"/>
                <w:color w:val="auto"/>
              </w:rPr>
            </w:pPr>
          </w:p>
        </w:tc>
        <w:tc>
          <w:tcPr>
            <w:tcW w:w="3100" w:type="dxa"/>
            <w:vAlign w:val="bottom"/>
          </w:tcPr>
          <w:p>
            <w:pPr>
              <w:ind w:left="140"/>
              <w:spacing w:after="0" w:line="202" w:lineRule="exact"/>
              <w:rPr>
                <w:sz w:val="20"/>
                <w:szCs w:val="20"/>
                <w:color w:val="auto"/>
              </w:rPr>
            </w:pPr>
            <w:r>
              <w:rPr>
                <w:rFonts w:ascii="Arial" w:cs="Arial" w:eastAsia="Arial" w:hAnsi="Arial"/>
                <w:sz w:val="18"/>
                <w:szCs w:val="18"/>
                <w:color w:val="auto"/>
              </w:rPr>
              <w:t>United States</w:t>
            </w: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Albany Safran Composites, LLC</w:t>
            </w:r>
          </w:p>
        </w:tc>
        <w:tc>
          <w:tcPr>
            <w:tcW w:w="1620" w:type="dxa"/>
            <w:vAlign w:val="bottom"/>
          </w:tcPr>
          <w:p>
            <w:pPr>
              <w:jc w:val="center"/>
              <w:ind w:left="50"/>
              <w:spacing w:after="0" w:line="202" w:lineRule="exact"/>
              <w:rPr>
                <w:sz w:val="20"/>
                <w:szCs w:val="20"/>
                <w:color w:val="auto"/>
              </w:rPr>
            </w:pPr>
            <w:r>
              <w:rPr>
                <w:rFonts w:ascii="Arial" w:cs="Arial" w:eastAsia="Arial" w:hAnsi="Arial"/>
                <w:sz w:val="18"/>
                <w:szCs w:val="18"/>
                <w:color w:val="auto"/>
                <w:w w:val="99"/>
              </w:rPr>
              <w:t>90%</w:t>
            </w:r>
          </w:p>
        </w:tc>
        <w:tc>
          <w:tcPr>
            <w:tcW w:w="1340" w:type="dxa"/>
            <w:vAlign w:val="bottom"/>
          </w:tcPr>
          <w:p>
            <w:pPr>
              <w:spacing w:after="0"/>
              <w:rPr>
                <w:sz w:val="17"/>
                <w:szCs w:val="17"/>
                <w:color w:val="auto"/>
              </w:rPr>
            </w:pPr>
          </w:p>
        </w:tc>
        <w:tc>
          <w:tcPr>
            <w:tcW w:w="3100" w:type="dxa"/>
            <w:vAlign w:val="bottom"/>
          </w:tcPr>
          <w:p>
            <w:pPr>
              <w:ind w:left="140"/>
              <w:spacing w:after="0" w:line="202" w:lineRule="exact"/>
              <w:rPr>
                <w:sz w:val="20"/>
                <w:szCs w:val="20"/>
                <w:color w:val="auto"/>
              </w:rPr>
            </w:pPr>
            <w:r>
              <w:rPr>
                <w:rFonts w:ascii="Arial" w:cs="Arial" w:eastAsia="Arial" w:hAnsi="Arial"/>
                <w:sz w:val="18"/>
                <w:szCs w:val="18"/>
                <w:color w:val="auto"/>
              </w:rPr>
              <w:t>United States</w:t>
            </w: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Geschmay Corp.</w:t>
            </w:r>
          </w:p>
        </w:tc>
        <w:tc>
          <w:tcPr>
            <w:tcW w:w="1620" w:type="dxa"/>
            <w:vAlign w:val="bottom"/>
          </w:tcPr>
          <w:p>
            <w:pPr>
              <w:jc w:val="center"/>
              <w:ind w:left="30"/>
              <w:spacing w:after="0" w:line="202" w:lineRule="exact"/>
              <w:rPr>
                <w:sz w:val="20"/>
                <w:szCs w:val="20"/>
                <w:color w:val="auto"/>
              </w:rPr>
            </w:pPr>
            <w:r>
              <w:rPr>
                <w:rFonts w:ascii="Arial" w:cs="Arial" w:eastAsia="Arial" w:hAnsi="Arial"/>
                <w:sz w:val="18"/>
                <w:szCs w:val="18"/>
                <w:color w:val="auto"/>
                <w:w w:val="99"/>
              </w:rPr>
              <w:t>100%</w:t>
            </w:r>
          </w:p>
        </w:tc>
        <w:tc>
          <w:tcPr>
            <w:tcW w:w="1340" w:type="dxa"/>
            <w:vAlign w:val="bottom"/>
          </w:tcPr>
          <w:p>
            <w:pPr>
              <w:spacing w:after="0"/>
              <w:rPr>
                <w:sz w:val="17"/>
                <w:szCs w:val="17"/>
                <w:color w:val="auto"/>
              </w:rPr>
            </w:pPr>
          </w:p>
        </w:tc>
        <w:tc>
          <w:tcPr>
            <w:tcW w:w="3100" w:type="dxa"/>
            <w:vAlign w:val="bottom"/>
          </w:tcPr>
          <w:p>
            <w:pPr>
              <w:ind w:left="140"/>
              <w:spacing w:after="0" w:line="202" w:lineRule="exact"/>
              <w:rPr>
                <w:sz w:val="20"/>
                <w:szCs w:val="20"/>
                <w:color w:val="auto"/>
              </w:rPr>
            </w:pPr>
            <w:r>
              <w:rPr>
                <w:rFonts w:ascii="Arial" w:cs="Arial" w:eastAsia="Arial" w:hAnsi="Arial"/>
                <w:sz w:val="18"/>
                <w:szCs w:val="18"/>
                <w:color w:val="auto"/>
              </w:rPr>
              <w:t>United States</w:t>
            </w: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Transamerican Manufacturing, Inc.</w:t>
            </w:r>
          </w:p>
        </w:tc>
        <w:tc>
          <w:tcPr>
            <w:tcW w:w="1620" w:type="dxa"/>
            <w:vAlign w:val="bottom"/>
          </w:tcPr>
          <w:p>
            <w:pPr>
              <w:jc w:val="center"/>
              <w:ind w:left="30"/>
              <w:spacing w:after="0" w:line="202" w:lineRule="exact"/>
              <w:rPr>
                <w:sz w:val="20"/>
                <w:szCs w:val="20"/>
                <w:color w:val="auto"/>
              </w:rPr>
            </w:pPr>
            <w:r>
              <w:rPr>
                <w:rFonts w:ascii="Arial" w:cs="Arial" w:eastAsia="Arial" w:hAnsi="Arial"/>
                <w:sz w:val="18"/>
                <w:szCs w:val="18"/>
                <w:color w:val="auto"/>
                <w:w w:val="99"/>
              </w:rPr>
              <w:t>100%</w:t>
            </w:r>
          </w:p>
        </w:tc>
        <w:tc>
          <w:tcPr>
            <w:tcW w:w="1340" w:type="dxa"/>
            <w:vAlign w:val="bottom"/>
          </w:tcPr>
          <w:p>
            <w:pPr>
              <w:spacing w:after="0"/>
              <w:rPr>
                <w:sz w:val="17"/>
                <w:szCs w:val="17"/>
                <w:color w:val="auto"/>
              </w:rPr>
            </w:pPr>
          </w:p>
        </w:tc>
        <w:tc>
          <w:tcPr>
            <w:tcW w:w="3100" w:type="dxa"/>
            <w:vAlign w:val="bottom"/>
          </w:tcPr>
          <w:p>
            <w:pPr>
              <w:ind w:left="140"/>
              <w:spacing w:after="0" w:line="202" w:lineRule="exact"/>
              <w:rPr>
                <w:sz w:val="20"/>
                <w:szCs w:val="20"/>
                <w:color w:val="auto"/>
              </w:rPr>
            </w:pPr>
            <w:r>
              <w:rPr>
                <w:rFonts w:ascii="Arial" w:cs="Arial" w:eastAsia="Arial" w:hAnsi="Arial"/>
                <w:sz w:val="18"/>
                <w:szCs w:val="18"/>
                <w:color w:val="auto"/>
              </w:rPr>
              <w:t>United States</w:t>
            </w: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Transglobal Enterprises, Inc.</w:t>
            </w:r>
          </w:p>
        </w:tc>
        <w:tc>
          <w:tcPr>
            <w:tcW w:w="1620" w:type="dxa"/>
            <w:vAlign w:val="bottom"/>
          </w:tcPr>
          <w:p>
            <w:pPr>
              <w:jc w:val="center"/>
              <w:ind w:left="30"/>
              <w:spacing w:after="0" w:line="202" w:lineRule="exact"/>
              <w:rPr>
                <w:sz w:val="20"/>
                <w:szCs w:val="20"/>
                <w:color w:val="auto"/>
              </w:rPr>
            </w:pPr>
            <w:r>
              <w:rPr>
                <w:rFonts w:ascii="Arial" w:cs="Arial" w:eastAsia="Arial" w:hAnsi="Arial"/>
                <w:sz w:val="18"/>
                <w:szCs w:val="18"/>
                <w:color w:val="auto"/>
                <w:w w:val="99"/>
              </w:rPr>
              <w:t>100%</w:t>
            </w:r>
          </w:p>
        </w:tc>
        <w:tc>
          <w:tcPr>
            <w:tcW w:w="1340" w:type="dxa"/>
            <w:vAlign w:val="bottom"/>
          </w:tcPr>
          <w:p>
            <w:pPr>
              <w:spacing w:after="0"/>
              <w:rPr>
                <w:sz w:val="17"/>
                <w:szCs w:val="17"/>
                <w:color w:val="auto"/>
              </w:rPr>
            </w:pPr>
          </w:p>
        </w:tc>
        <w:tc>
          <w:tcPr>
            <w:tcW w:w="3100" w:type="dxa"/>
            <w:vAlign w:val="bottom"/>
          </w:tcPr>
          <w:p>
            <w:pPr>
              <w:ind w:left="140"/>
              <w:spacing w:after="0" w:line="202" w:lineRule="exact"/>
              <w:rPr>
                <w:sz w:val="20"/>
                <w:szCs w:val="20"/>
                <w:color w:val="auto"/>
              </w:rPr>
            </w:pPr>
            <w:r>
              <w:rPr>
                <w:rFonts w:ascii="Arial" w:cs="Arial" w:eastAsia="Arial" w:hAnsi="Arial"/>
                <w:sz w:val="18"/>
                <w:szCs w:val="18"/>
                <w:color w:val="auto"/>
              </w:rPr>
              <w:t>United States</w:t>
            </w: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Brandon Drying Fabrics, Inc.</w:t>
            </w:r>
          </w:p>
        </w:tc>
        <w:tc>
          <w:tcPr>
            <w:tcW w:w="1620" w:type="dxa"/>
            <w:vAlign w:val="bottom"/>
          </w:tcPr>
          <w:p>
            <w:pPr>
              <w:spacing w:after="0"/>
              <w:rPr>
                <w:sz w:val="17"/>
                <w:szCs w:val="17"/>
                <w:color w:val="auto"/>
              </w:rPr>
            </w:pPr>
          </w:p>
        </w:tc>
        <w:tc>
          <w:tcPr>
            <w:tcW w:w="1340" w:type="dxa"/>
            <w:vAlign w:val="bottom"/>
          </w:tcPr>
          <w:p>
            <w:pPr>
              <w:jc w:val="center"/>
              <w:ind w:left="30"/>
              <w:spacing w:after="0" w:line="202" w:lineRule="exact"/>
              <w:rPr>
                <w:sz w:val="20"/>
                <w:szCs w:val="20"/>
                <w:color w:val="auto"/>
              </w:rPr>
            </w:pPr>
            <w:r>
              <w:rPr>
                <w:rFonts w:ascii="Arial" w:cs="Arial" w:eastAsia="Arial" w:hAnsi="Arial"/>
                <w:sz w:val="18"/>
                <w:szCs w:val="18"/>
                <w:color w:val="auto"/>
                <w:w w:val="99"/>
              </w:rPr>
              <w:t>100%</w:t>
            </w:r>
          </w:p>
        </w:tc>
        <w:tc>
          <w:tcPr>
            <w:tcW w:w="3100" w:type="dxa"/>
            <w:vAlign w:val="bottom"/>
          </w:tcPr>
          <w:p>
            <w:pPr>
              <w:ind w:left="140"/>
              <w:spacing w:after="0" w:line="202" w:lineRule="exact"/>
              <w:rPr>
                <w:sz w:val="20"/>
                <w:szCs w:val="20"/>
                <w:color w:val="auto"/>
              </w:rPr>
            </w:pPr>
            <w:r>
              <w:rPr>
                <w:rFonts w:ascii="Arial" w:cs="Arial" w:eastAsia="Arial" w:hAnsi="Arial"/>
                <w:sz w:val="18"/>
                <w:szCs w:val="18"/>
                <w:color w:val="auto"/>
              </w:rPr>
              <w:t>United States</w:t>
            </w: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Geschmay Forming Fabrics Corp.</w:t>
            </w:r>
          </w:p>
        </w:tc>
        <w:tc>
          <w:tcPr>
            <w:tcW w:w="1620" w:type="dxa"/>
            <w:vAlign w:val="bottom"/>
          </w:tcPr>
          <w:p>
            <w:pPr>
              <w:spacing w:after="0"/>
              <w:rPr>
                <w:sz w:val="17"/>
                <w:szCs w:val="17"/>
                <w:color w:val="auto"/>
              </w:rPr>
            </w:pPr>
          </w:p>
        </w:tc>
        <w:tc>
          <w:tcPr>
            <w:tcW w:w="1340" w:type="dxa"/>
            <w:vAlign w:val="bottom"/>
          </w:tcPr>
          <w:p>
            <w:pPr>
              <w:jc w:val="center"/>
              <w:ind w:left="30"/>
              <w:spacing w:after="0" w:line="202" w:lineRule="exact"/>
              <w:rPr>
                <w:sz w:val="20"/>
                <w:szCs w:val="20"/>
                <w:color w:val="auto"/>
              </w:rPr>
            </w:pPr>
            <w:r>
              <w:rPr>
                <w:rFonts w:ascii="Arial" w:cs="Arial" w:eastAsia="Arial" w:hAnsi="Arial"/>
                <w:sz w:val="18"/>
                <w:szCs w:val="18"/>
                <w:color w:val="auto"/>
                <w:w w:val="99"/>
              </w:rPr>
              <w:t>100%</w:t>
            </w:r>
          </w:p>
        </w:tc>
        <w:tc>
          <w:tcPr>
            <w:tcW w:w="3100" w:type="dxa"/>
            <w:vAlign w:val="bottom"/>
          </w:tcPr>
          <w:p>
            <w:pPr>
              <w:ind w:left="140"/>
              <w:spacing w:after="0" w:line="202" w:lineRule="exact"/>
              <w:rPr>
                <w:sz w:val="20"/>
                <w:szCs w:val="20"/>
                <w:color w:val="auto"/>
              </w:rPr>
            </w:pPr>
            <w:r>
              <w:rPr>
                <w:rFonts w:ascii="Arial" w:cs="Arial" w:eastAsia="Arial" w:hAnsi="Arial"/>
                <w:sz w:val="18"/>
                <w:szCs w:val="18"/>
                <w:color w:val="auto"/>
              </w:rPr>
              <w:t>United States</w:t>
            </w: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Geschmay Wet Felts, Inc.</w:t>
            </w:r>
          </w:p>
        </w:tc>
        <w:tc>
          <w:tcPr>
            <w:tcW w:w="1620" w:type="dxa"/>
            <w:vAlign w:val="bottom"/>
          </w:tcPr>
          <w:p>
            <w:pPr>
              <w:spacing w:after="0"/>
              <w:rPr>
                <w:sz w:val="17"/>
                <w:szCs w:val="17"/>
                <w:color w:val="auto"/>
              </w:rPr>
            </w:pPr>
          </w:p>
        </w:tc>
        <w:tc>
          <w:tcPr>
            <w:tcW w:w="1340" w:type="dxa"/>
            <w:vAlign w:val="bottom"/>
          </w:tcPr>
          <w:p>
            <w:pPr>
              <w:jc w:val="center"/>
              <w:ind w:left="30"/>
              <w:spacing w:after="0" w:line="202" w:lineRule="exact"/>
              <w:rPr>
                <w:sz w:val="20"/>
                <w:szCs w:val="20"/>
                <w:color w:val="auto"/>
              </w:rPr>
            </w:pPr>
            <w:r>
              <w:rPr>
                <w:rFonts w:ascii="Arial" w:cs="Arial" w:eastAsia="Arial" w:hAnsi="Arial"/>
                <w:sz w:val="18"/>
                <w:szCs w:val="18"/>
                <w:color w:val="auto"/>
                <w:w w:val="99"/>
              </w:rPr>
              <w:t>100%</w:t>
            </w:r>
          </w:p>
        </w:tc>
        <w:tc>
          <w:tcPr>
            <w:tcW w:w="3100" w:type="dxa"/>
            <w:vAlign w:val="bottom"/>
          </w:tcPr>
          <w:p>
            <w:pPr>
              <w:ind w:left="140"/>
              <w:spacing w:after="0" w:line="202" w:lineRule="exact"/>
              <w:rPr>
                <w:sz w:val="20"/>
                <w:szCs w:val="20"/>
                <w:color w:val="auto"/>
              </w:rPr>
            </w:pPr>
            <w:r>
              <w:rPr>
                <w:rFonts w:ascii="Arial" w:cs="Arial" w:eastAsia="Arial" w:hAnsi="Arial"/>
                <w:sz w:val="18"/>
                <w:szCs w:val="18"/>
                <w:color w:val="auto"/>
              </w:rPr>
              <w:t>United States</w:t>
            </w: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Albany International Pty., Ltd.</w:t>
            </w:r>
          </w:p>
        </w:tc>
        <w:tc>
          <w:tcPr>
            <w:tcW w:w="1620" w:type="dxa"/>
            <w:vAlign w:val="bottom"/>
          </w:tcPr>
          <w:p>
            <w:pPr>
              <w:spacing w:after="0"/>
              <w:rPr>
                <w:sz w:val="17"/>
                <w:szCs w:val="17"/>
                <w:color w:val="auto"/>
              </w:rPr>
            </w:pPr>
          </w:p>
        </w:tc>
        <w:tc>
          <w:tcPr>
            <w:tcW w:w="1340" w:type="dxa"/>
            <w:vAlign w:val="bottom"/>
          </w:tcPr>
          <w:p>
            <w:pPr>
              <w:jc w:val="center"/>
              <w:ind w:left="30"/>
              <w:spacing w:after="0" w:line="202" w:lineRule="exact"/>
              <w:rPr>
                <w:sz w:val="20"/>
                <w:szCs w:val="20"/>
                <w:color w:val="auto"/>
              </w:rPr>
            </w:pPr>
            <w:r>
              <w:rPr>
                <w:rFonts w:ascii="Arial" w:cs="Arial" w:eastAsia="Arial" w:hAnsi="Arial"/>
                <w:sz w:val="18"/>
                <w:szCs w:val="18"/>
                <w:color w:val="auto"/>
                <w:w w:val="99"/>
              </w:rPr>
              <w:t>100%</w:t>
            </w:r>
          </w:p>
        </w:tc>
        <w:tc>
          <w:tcPr>
            <w:tcW w:w="3100" w:type="dxa"/>
            <w:vAlign w:val="bottom"/>
          </w:tcPr>
          <w:p>
            <w:pPr>
              <w:ind w:left="140"/>
              <w:spacing w:after="0" w:line="202" w:lineRule="exact"/>
              <w:rPr>
                <w:sz w:val="20"/>
                <w:szCs w:val="20"/>
                <w:color w:val="auto"/>
              </w:rPr>
            </w:pPr>
            <w:r>
              <w:rPr>
                <w:rFonts w:ascii="Arial" w:cs="Arial" w:eastAsia="Arial" w:hAnsi="Arial"/>
                <w:sz w:val="18"/>
                <w:szCs w:val="18"/>
                <w:color w:val="auto"/>
              </w:rPr>
              <w:t>Australia</w:t>
            </w: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Albany International Asia Pty., Ltd.</w:t>
            </w:r>
          </w:p>
        </w:tc>
        <w:tc>
          <w:tcPr>
            <w:tcW w:w="1620" w:type="dxa"/>
            <w:vAlign w:val="bottom"/>
          </w:tcPr>
          <w:p>
            <w:pPr>
              <w:spacing w:after="0"/>
              <w:rPr>
                <w:sz w:val="17"/>
                <w:szCs w:val="17"/>
                <w:color w:val="auto"/>
              </w:rPr>
            </w:pPr>
          </w:p>
        </w:tc>
        <w:tc>
          <w:tcPr>
            <w:tcW w:w="1340" w:type="dxa"/>
            <w:vAlign w:val="bottom"/>
          </w:tcPr>
          <w:p>
            <w:pPr>
              <w:jc w:val="center"/>
              <w:ind w:left="30"/>
              <w:spacing w:after="0" w:line="202" w:lineRule="exact"/>
              <w:rPr>
                <w:sz w:val="20"/>
                <w:szCs w:val="20"/>
                <w:color w:val="auto"/>
              </w:rPr>
            </w:pPr>
            <w:r>
              <w:rPr>
                <w:rFonts w:ascii="Arial" w:cs="Arial" w:eastAsia="Arial" w:hAnsi="Arial"/>
                <w:sz w:val="18"/>
                <w:szCs w:val="18"/>
                <w:color w:val="auto"/>
                <w:w w:val="99"/>
              </w:rPr>
              <w:t>100%</w:t>
            </w:r>
          </w:p>
        </w:tc>
        <w:tc>
          <w:tcPr>
            <w:tcW w:w="3100" w:type="dxa"/>
            <w:vAlign w:val="bottom"/>
          </w:tcPr>
          <w:p>
            <w:pPr>
              <w:ind w:left="140"/>
              <w:spacing w:after="0" w:line="202" w:lineRule="exact"/>
              <w:rPr>
                <w:sz w:val="20"/>
                <w:szCs w:val="20"/>
                <w:color w:val="auto"/>
              </w:rPr>
            </w:pPr>
            <w:r>
              <w:rPr>
                <w:rFonts w:ascii="Arial" w:cs="Arial" w:eastAsia="Arial" w:hAnsi="Arial"/>
                <w:sz w:val="18"/>
                <w:szCs w:val="18"/>
                <w:color w:val="auto"/>
              </w:rPr>
              <w:t>Australia</w:t>
            </w: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Albany International Tecidos Tecnicos Ltda.</w:t>
            </w:r>
          </w:p>
        </w:tc>
        <w:tc>
          <w:tcPr>
            <w:tcW w:w="1620" w:type="dxa"/>
            <w:vAlign w:val="bottom"/>
          </w:tcPr>
          <w:p>
            <w:pPr>
              <w:spacing w:after="0"/>
              <w:rPr>
                <w:sz w:val="17"/>
                <w:szCs w:val="17"/>
                <w:color w:val="auto"/>
              </w:rPr>
            </w:pPr>
          </w:p>
        </w:tc>
        <w:tc>
          <w:tcPr>
            <w:tcW w:w="1340" w:type="dxa"/>
            <w:vAlign w:val="bottom"/>
          </w:tcPr>
          <w:p>
            <w:pPr>
              <w:jc w:val="center"/>
              <w:ind w:left="30"/>
              <w:spacing w:after="0" w:line="202" w:lineRule="exact"/>
              <w:rPr>
                <w:sz w:val="20"/>
                <w:szCs w:val="20"/>
                <w:color w:val="auto"/>
              </w:rPr>
            </w:pPr>
            <w:r>
              <w:rPr>
                <w:rFonts w:ascii="Arial" w:cs="Arial" w:eastAsia="Arial" w:hAnsi="Arial"/>
                <w:sz w:val="18"/>
                <w:szCs w:val="18"/>
                <w:color w:val="auto"/>
                <w:w w:val="99"/>
              </w:rPr>
              <w:t>100%</w:t>
            </w:r>
          </w:p>
        </w:tc>
        <w:tc>
          <w:tcPr>
            <w:tcW w:w="3100" w:type="dxa"/>
            <w:vAlign w:val="bottom"/>
          </w:tcPr>
          <w:p>
            <w:pPr>
              <w:ind w:left="140"/>
              <w:spacing w:after="0" w:line="202" w:lineRule="exact"/>
              <w:rPr>
                <w:sz w:val="20"/>
                <w:szCs w:val="20"/>
                <w:color w:val="auto"/>
              </w:rPr>
            </w:pPr>
            <w:r>
              <w:rPr>
                <w:rFonts w:ascii="Arial" w:cs="Arial" w:eastAsia="Arial" w:hAnsi="Arial"/>
                <w:sz w:val="18"/>
                <w:szCs w:val="18"/>
                <w:color w:val="auto"/>
              </w:rPr>
              <w:t>Brazil</w:t>
            </w: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Albany International Canada Corp.</w:t>
            </w:r>
          </w:p>
        </w:tc>
        <w:tc>
          <w:tcPr>
            <w:tcW w:w="1620" w:type="dxa"/>
            <w:vAlign w:val="bottom"/>
          </w:tcPr>
          <w:p>
            <w:pPr>
              <w:spacing w:after="0"/>
              <w:rPr>
                <w:sz w:val="17"/>
                <w:szCs w:val="17"/>
                <w:color w:val="auto"/>
              </w:rPr>
            </w:pPr>
          </w:p>
        </w:tc>
        <w:tc>
          <w:tcPr>
            <w:tcW w:w="1340" w:type="dxa"/>
            <w:vAlign w:val="bottom"/>
          </w:tcPr>
          <w:p>
            <w:pPr>
              <w:jc w:val="center"/>
              <w:ind w:left="30"/>
              <w:spacing w:after="0" w:line="202" w:lineRule="exact"/>
              <w:rPr>
                <w:sz w:val="20"/>
                <w:szCs w:val="20"/>
                <w:color w:val="auto"/>
              </w:rPr>
            </w:pPr>
            <w:r>
              <w:rPr>
                <w:rFonts w:ascii="Arial" w:cs="Arial" w:eastAsia="Arial" w:hAnsi="Arial"/>
                <w:sz w:val="18"/>
                <w:szCs w:val="18"/>
                <w:color w:val="auto"/>
                <w:w w:val="99"/>
              </w:rPr>
              <w:t>100%</w:t>
            </w:r>
          </w:p>
        </w:tc>
        <w:tc>
          <w:tcPr>
            <w:tcW w:w="3100" w:type="dxa"/>
            <w:vAlign w:val="bottom"/>
          </w:tcPr>
          <w:p>
            <w:pPr>
              <w:ind w:left="140"/>
              <w:spacing w:after="0" w:line="202" w:lineRule="exact"/>
              <w:rPr>
                <w:sz w:val="20"/>
                <w:szCs w:val="20"/>
                <w:color w:val="auto"/>
              </w:rPr>
            </w:pPr>
            <w:r>
              <w:rPr>
                <w:rFonts w:ascii="Arial" w:cs="Arial" w:eastAsia="Arial" w:hAnsi="Arial"/>
                <w:sz w:val="18"/>
                <w:szCs w:val="18"/>
                <w:color w:val="auto"/>
              </w:rPr>
              <w:t>Canada</w:t>
            </w: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Albany International (China) Co., Ltd.</w:t>
            </w:r>
          </w:p>
        </w:tc>
        <w:tc>
          <w:tcPr>
            <w:tcW w:w="1620" w:type="dxa"/>
            <w:vAlign w:val="bottom"/>
          </w:tcPr>
          <w:p>
            <w:pPr>
              <w:spacing w:after="0"/>
              <w:rPr>
                <w:sz w:val="17"/>
                <w:szCs w:val="17"/>
                <w:color w:val="auto"/>
              </w:rPr>
            </w:pPr>
          </w:p>
        </w:tc>
        <w:tc>
          <w:tcPr>
            <w:tcW w:w="1340" w:type="dxa"/>
            <w:vAlign w:val="bottom"/>
          </w:tcPr>
          <w:p>
            <w:pPr>
              <w:jc w:val="center"/>
              <w:ind w:left="30"/>
              <w:spacing w:after="0" w:line="202" w:lineRule="exact"/>
              <w:rPr>
                <w:sz w:val="20"/>
                <w:szCs w:val="20"/>
                <w:color w:val="auto"/>
              </w:rPr>
            </w:pPr>
            <w:r>
              <w:rPr>
                <w:rFonts w:ascii="Arial" w:cs="Arial" w:eastAsia="Arial" w:hAnsi="Arial"/>
                <w:sz w:val="18"/>
                <w:szCs w:val="18"/>
                <w:color w:val="auto"/>
                <w:w w:val="99"/>
              </w:rPr>
              <w:t>100%</w:t>
            </w:r>
          </w:p>
        </w:tc>
        <w:tc>
          <w:tcPr>
            <w:tcW w:w="3100" w:type="dxa"/>
            <w:vAlign w:val="bottom"/>
          </w:tcPr>
          <w:p>
            <w:pPr>
              <w:ind w:left="140"/>
              <w:spacing w:after="0" w:line="202" w:lineRule="exact"/>
              <w:rPr>
                <w:sz w:val="20"/>
                <w:szCs w:val="20"/>
                <w:color w:val="auto"/>
              </w:rPr>
            </w:pPr>
            <w:r>
              <w:rPr>
                <w:rFonts w:ascii="Arial" w:cs="Arial" w:eastAsia="Arial" w:hAnsi="Arial"/>
                <w:sz w:val="18"/>
                <w:szCs w:val="18"/>
                <w:color w:val="auto"/>
              </w:rPr>
              <w:t>China</w:t>
            </w: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Albany International Engineered Textiles (Hangzhou) Co., Ltd.</w:t>
            </w:r>
          </w:p>
        </w:tc>
        <w:tc>
          <w:tcPr>
            <w:tcW w:w="1620" w:type="dxa"/>
            <w:vAlign w:val="bottom"/>
          </w:tcPr>
          <w:p>
            <w:pPr>
              <w:spacing w:after="0"/>
              <w:rPr>
                <w:sz w:val="17"/>
                <w:szCs w:val="17"/>
                <w:color w:val="auto"/>
              </w:rPr>
            </w:pPr>
          </w:p>
        </w:tc>
        <w:tc>
          <w:tcPr>
            <w:tcW w:w="1340" w:type="dxa"/>
            <w:vAlign w:val="bottom"/>
          </w:tcPr>
          <w:p>
            <w:pPr>
              <w:jc w:val="center"/>
              <w:ind w:left="30"/>
              <w:spacing w:after="0" w:line="202" w:lineRule="exact"/>
              <w:rPr>
                <w:sz w:val="20"/>
                <w:szCs w:val="20"/>
                <w:color w:val="auto"/>
              </w:rPr>
            </w:pPr>
            <w:r>
              <w:rPr>
                <w:rFonts w:ascii="Arial" w:cs="Arial" w:eastAsia="Arial" w:hAnsi="Arial"/>
                <w:sz w:val="18"/>
                <w:szCs w:val="18"/>
                <w:color w:val="auto"/>
                <w:w w:val="99"/>
              </w:rPr>
              <w:t>100%</w:t>
            </w:r>
          </w:p>
        </w:tc>
        <w:tc>
          <w:tcPr>
            <w:tcW w:w="3100" w:type="dxa"/>
            <w:vAlign w:val="bottom"/>
          </w:tcPr>
          <w:p>
            <w:pPr>
              <w:ind w:left="140"/>
              <w:spacing w:after="0" w:line="202" w:lineRule="exact"/>
              <w:rPr>
                <w:sz w:val="20"/>
                <w:szCs w:val="20"/>
                <w:color w:val="auto"/>
              </w:rPr>
            </w:pPr>
            <w:r>
              <w:rPr>
                <w:rFonts w:ascii="Arial" w:cs="Arial" w:eastAsia="Arial" w:hAnsi="Arial"/>
                <w:sz w:val="18"/>
                <w:szCs w:val="18"/>
                <w:color w:val="auto"/>
              </w:rPr>
              <w:t>China</w:t>
            </w: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Albany International Oy</w:t>
            </w:r>
          </w:p>
        </w:tc>
        <w:tc>
          <w:tcPr>
            <w:tcW w:w="1620" w:type="dxa"/>
            <w:vAlign w:val="bottom"/>
          </w:tcPr>
          <w:p>
            <w:pPr>
              <w:spacing w:after="0"/>
              <w:rPr>
                <w:sz w:val="17"/>
                <w:szCs w:val="17"/>
                <w:color w:val="auto"/>
              </w:rPr>
            </w:pPr>
          </w:p>
        </w:tc>
        <w:tc>
          <w:tcPr>
            <w:tcW w:w="1340" w:type="dxa"/>
            <w:vAlign w:val="bottom"/>
          </w:tcPr>
          <w:p>
            <w:pPr>
              <w:jc w:val="center"/>
              <w:ind w:left="30"/>
              <w:spacing w:after="0" w:line="202" w:lineRule="exact"/>
              <w:rPr>
                <w:sz w:val="20"/>
                <w:szCs w:val="20"/>
                <w:color w:val="auto"/>
              </w:rPr>
            </w:pPr>
            <w:r>
              <w:rPr>
                <w:rFonts w:ascii="Arial" w:cs="Arial" w:eastAsia="Arial" w:hAnsi="Arial"/>
                <w:sz w:val="18"/>
                <w:szCs w:val="18"/>
                <w:color w:val="auto"/>
                <w:w w:val="99"/>
              </w:rPr>
              <w:t>100%</w:t>
            </w:r>
          </w:p>
        </w:tc>
        <w:tc>
          <w:tcPr>
            <w:tcW w:w="3100" w:type="dxa"/>
            <w:vAlign w:val="bottom"/>
          </w:tcPr>
          <w:p>
            <w:pPr>
              <w:ind w:left="140"/>
              <w:spacing w:after="0" w:line="202" w:lineRule="exact"/>
              <w:rPr>
                <w:sz w:val="20"/>
                <w:szCs w:val="20"/>
                <w:color w:val="auto"/>
              </w:rPr>
            </w:pPr>
            <w:r>
              <w:rPr>
                <w:rFonts w:ascii="Arial" w:cs="Arial" w:eastAsia="Arial" w:hAnsi="Arial"/>
                <w:sz w:val="18"/>
                <w:szCs w:val="18"/>
                <w:color w:val="auto"/>
              </w:rPr>
              <w:t>Finland</w:t>
            </w: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Albany International France, S.A.S.</w:t>
            </w:r>
          </w:p>
        </w:tc>
        <w:tc>
          <w:tcPr>
            <w:tcW w:w="1620" w:type="dxa"/>
            <w:vAlign w:val="bottom"/>
          </w:tcPr>
          <w:p>
            <w:pPr>
              <w:spacing w:after="0"/>
              <w:rPr>
                <w:sz w:val="17"/>
                <w:szCs w:val="17"/>
                <w:color w:val="auto"/>
              </w:rPr>
            </w:pPr>
          </w:p>
        </w:tc>
        <w:tc>
          <w:tcPr>
            <w:tcW w:w="1340" w:type="dxa"/>
            <w:vAlign w:val="bottom"/>
          </w:tcPr>
          <w:p>
            <w:pPr>
              <w:jc w:val="center"/>
              <w:ind w:left="30"/>
              <w:spacing w:after="0" w:line="202" w:lineRule="exact"/>
              <w:rPr>
                <w:sz w:val="20"/>
                <w:szCs w:val="20"/>
                <w:color w:val="auto"/>
              </w:rPr>
            </w:pPr>
            <w:r>
              <w:rPr>
                <w:rFonts w:ascii="Arial" w:cs="Arial" w:eastAsia="Arial" w:hAnsi="Arial"/>
                <w:sz w:val="18"/>
                <w:szCs w:val="18"/>
                <w:color w:val="auto"/>
                <w:w w:val="99"/>
              </w:rPr>
              <w:t>100%</w:t>
            </w:r>
          </w:p>
        </w:tc>
        <w:tc>
          <w:tcPr>
            <w:tcW w:w="3100" w:type="dxa"/>
            <w:vAlign w:val="bottom"/>
          </w:tcPr>
          <w:p>
            <w:pPr>
              <w:ind w:left="140"/>
              <w:spacing w:after="0" w:line="202" w:lineRule="exact"/>
              <w:rPr>
                <w:sz w:val="20"/>
                <w:szCs w:val="20"/>
                <w:color w:val="auto"/>
              </w:rPr>
            </w:pPr>
            <w:r>
              <w:rPr>
                <w:rFonts w:ascii="Arial" w:cs="Arial" w:eastAsia="Arial" w:hAnsi="Arial"/>
                <w:sz w:val="18"/>
                <w:szCs w:val="18"/>
                <w:color w:val="auto"/>
              </w:rPr>
              <w:t>France</w:t>
            </w: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Albany Engineered Composites, S.A.S.</w:t>
            </w:r>
          </w:p>
        </w:tc>
        <w:tc>
          <w:tcPr>
            <w:tcW w:w="1620" w:type="dxa"/>
            <w:vAlign w:val="bottom"/>
          </w:tcPr>
          <w:p>
            <w:pPr>
              <w:spacing w:after="0"/>
              <w:rPr>
                <w:sz w:val="17"/>
                <w:szCs w:val="17"/>
                <w:color w:val="auto"/>
              </w:rPr>
            </w:pPr>
          </w:p>
        </w:tc>
        <w:tc>
          <w:tcPr>
            <w:tcW w:w="1340" w:type="dxa"/>
            <w:vAlign w:val="bottom"/>
          </w:tcPr>
          <w:p>
            <w:pPr>
              <w:jc w:val="center"/>
              <w:ind w:left="30"/>
              <w:spacing w:after="0" w:line="202" w:lineRule="exact"/>
              <w:rPr>
                <w:sz w:val="20"/>
                <w:szCs w:val="20"/>
                <w:color w:val="auto"/>
              </w:rPr>
            </w:pPr>
            <w:r>
              <w:rPr>
                <w:rFonts w:ascii="Arial" w:cs="Arial" w:eastAsia="Arial" w:hAnsi="Arial"/>
                <w:sz w:val="18"/>
                <w:szCs w:val="18"/>
                <w:color w:val="auto"/>
                <w:w w:val="99"/>
              </w:rPr>
              <w:t>100%</w:t>
            </w:r>
          </w:p>
        </w:tc>
        <w:tc>
          <w:tcPr>
            <w:tcW w:w="3100" w:type="dxa"/>
            <w:vAlign w:val="bottom"/>
          </w:tcPr>
          <w:p>
            <w:pPr>
              <w:ind w:left="140"/>
              <w:spacing w:after="0" w:line="202" w:lineRule="exact"/>
              <w:rPr>
                <w:sz w:val="20"/>
                <w:szCs w:val="20"/>
                <w:color w:val="auto"/>
              </w:rPr>
            </w:pPr>
            <w:r>
              <w:rPr>
                <w:rFonts w:ascii="Arial" w:cs="Arial" w:eastAsia="Arial" w:hAnsi="Arial"/>
                <w:sz w:val="18"/>
                <w:szCs w:val="18"/>
                <w:color w:val="auto"/>
              </w:rPr>
              <w:t>France</w:t>
            </w: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Albany International Germany Holding GmbH</w:t>
            </w:r>
          </w:p>
        </w:tc>
        <w:tc>
          <w:tcPr>
            <w:tcW w:w="1620" w:type="dxa"/>
            <w:vAlign w:val="bottom"/>
          </w:tcPr>
          <w:p>
            <w:pPr>
              <w:spacing w:after="0"/>
              <w:rPr>
                <w:sz w:val="17"/>
                <w:szCs w:val="17"/>
                <w:color w:val="auto"/>
              </w:rPr>
            </w:pPr>
          </w:p>
        </w:tc>
        <w:tc>
          <w:tcPr>
            <w:tcW w:w="1340" w:type="dxa"/>
            <w:vAlign w:val="bottom"/>
          </w:tcPr>
          <w:p>
            <w:pPr>
              <w:jc w:val="center"/>
              <w:ind w:left="30"/>
              <w:spacing w:after="0" w:line="202" w:lineRule="exact"/>
              <w:rPr>
                <w:sz w:val="20"/>
                <w:szCs w:val="20"/>
                <w:color w:val="auto"/>
              </w:rPr>
            </w:pPr>
            <w:r>
              <w:rPr>
                <w:rFonts w:ascii="Arial" w:cs="Arial" w:eastAsia="Arial" w:hAnsi="Arial"/>
                <w:sz w:val="18"/>
                <w:szCs w:val="18"/>
                <w:color w:val="auto"/>
                <w:w w:val="99"/>
              </w:rPr>
              <w:t>100%</w:t>
            </w:r>
          </w:p>
        </w:tc>
        <w:tc>
          <w:tcPr>
            <w:tcW w:w="3100" w:type="dxa"/>
            <w:vAlign w:val="bottom"/>
          </w:tcPr>
          <w:p>
            <w:pPr>
              <w:ind w:left="140"/>
              <w:spacing w:after="0" w:line="202" w:lineRule="exact"/>
              <w:rPr>
                <w:sz w:val="20"/>
                <w:szCs w:val="20"/>
                <w:color w:val="auto"/>
              </w:rPr>
            </w:pPr>
            <w:r>
              <w:rPr>
                <w:rFonts w:ascii="Arial" w:cs="Arial" w:eastAsia="Arial" w:hAnsi="Arial"/>
                <w:sz w:val="18"/>
                <w:szCs w:val="18"/>
                <w:color w:val="auto"/>
              </w:rPr>
              <w:t>Germany</w:t>
            </w: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Albany International GmbH</w:t>
            </w:r>
          </w:p>
        </w:tc>
        <w:tc>
          <w:tcPr>
            <w:tcW w:w="1620" w:type="dxa"/>
            <w:vAlign w:val="bottom"/>
          </w:tcPr>
          <w:p>
            <w:pPr>
              <w:spacing w:after="0"/>
              <w:rPr>
                <w:sz w:val="17"/>
                <w:szCs w:val="17"/>
                <w:color w:val="auto"/>
              </w:rPr>
            </w:pPr>
          </w:p>
        </w:tc>
        <w:tc>
          <w:tcPr>
            <w:tcW w:w="1340" w:type="dxa"/>
            <w:vAlign w:val="bottom"/>
          </w:tcPr>
          <w:p>
            <w:pPr>
              <w:jc w:val="center"/>
              <w:ind w:left="30"/>
              <w:spacing w:after="0" w:line="202" w:lineRule="exact"/>
              <w:rPr>
                <w:sz w:val="20"/>
                <w:szCs w:val="20"/>
                <w:color w:val="auto"/>
              </w:rPr>
            </w:pPr>
            <w:r>
              <w:rPr>
                <w:rFonts w:ascii="Arial" w:cs="Arial" w:eastAsia="Arial" w:hAnsi="Arial"/>
                <w:sz w:val="18"/>
                <w:szCs w:val="18"/>
                <w:color w:val="auto"/>
                <w:w w:val="99"/>
              </w:rPr>
              <w:t>100%</w:t>
            </w:r>
          </w:p>
        </w:tc>
        <w:tc>
          <w:tcPr>
            <w:tcW w:w="3100" w:type="dxa"/>
            <w:vAlign w:val="bottom"/>
          </w:tcPr>
          <w:p>
            <w:pPr>
              <w:ind w:left="140"/>
              <w:spacing w:after="0" w:line="202" w:lineRule="exact"/>
              <w:rPr>
                <w:sz w:val="20"/>
                <w:szCs w:val="20"/>
                <w:color w:val="auto"/>
              </w:rPr>
            </w:pPr>
            <w:r>
              <w:rPr>
                <w:rFonts w:ascii="Arial" w:cs="Arial" w:eastAsia="Arial" w:hAnsi="Arial"/>
                <w:sz w:val="18"/>
                <w:szCs w:val="18"/>
                <w:color w:val="auto"/>
              </w:rPr>
              <w:t>Germany</w:t>
            </w: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Wurttembergische Filztuchfabrik D. Geschmay GmbH</w:t>
            </w:r>
          </w:p>
        </w:tc>
        <w:tc>
          <w:tcPr>
            <w:tcW w:w="1620" w:type="dxa"/>
            <w:vAlign w:val="bottom"/>
          </w:tcPr>
          <w:p>
            <w:pPr>
              <w:spacing w:after="0"/>
              <w:rPr>
                <w:sz w:val="17"/>
                <w:szCs w:val="17"/>
                <w:color w:val="auto"/>
              </w:rPr>
            </w:pPr>
          </w:p>
        </w:tc>
        <w:tc>
          <w:tcPr>
            <w:tcW w:w="1340" w:type="dxa"/>
            <w:vAlign w:val="bottom"/>
          </w:tcPr>
          <w:p>
            <w:pPr>
              <w:jc w:val="center"/>
              <w:ind w:left="30"/>
              <w:spacing w:after="0" w:line="202" w:lineRule="exact"/>
              <w:rPr>
                <w:sz w:val="20"/>
                <w:szCs w:val="20"/>
                <w:color w:val="auto"/>
              </w:rPr>
            </w:pPr>
            <w:r>
              <w:rPr>
                <w:rFonts w:ascii="Arial" w:cs="Arial" w:eastAsia="Arial" w:hAnsi="Arial"/>
                <w:sz w:val="18"/>
                <w:szCs w:val="18"/>
                <w:color w:val="auto"/>
                <w:w w:val="99"/>
              </w:rPr>
              <w:t>100%</w:t>
            </w:r>
          </w:p>
        </w:tc>
        <w:tc>
          <w:tcPr>
            <w:tcW w:w="3100" w:type="dxa"/>
            <w:vAlign w:val="bottom"/>
          </w:tcPr>
          <w:p>
            <w:pPr>
              <w:ind w:left="140"/>
              <w:spacing w:after="0" w:line="202" w:lineRule="exact"/>
              <w:rPr>
                <w:sz w:val="20"/>
                <w:szCs w:val="20"/>
                <w:color w:val="auto"/>
              </w:rPr>
            </w:pPr>
            <w:r>
              <w:rPr>
                <w:rFonts w:ascii="Arial" w:cs="Arial" w:eastAsia="Arial" w:hAnsi="Arial"/>
                <w:sz w:val="18"/>
                <w:szCs w:val="18"/>
                <w:color w:val="auto"/>
              </w:rPr>
              <w:t>Germany</w:t>
            </w: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Albany International Italia S.r.l.</w:t>
            </w:r>
          </w:p>
        </w:tc>
        <w:tc>
          <w:tcPr>
            <w:tcW w:w="1620" w:type="dxa"/>
            <w:vAlign w:val="bottom"/>
          </w:tcPr>
          <w:p>
            <w:pPr>
              <w:spacing w:after="0"/>
              <w:rPr>
                <w:sz w:val="17"/>
                <w:szCs w:val="17"/>
                <w:color w:val="auto"/>
              </w:rPr>
            </w:pPr>
          </w:p>
        </w:tc>
        <w:tc>
          <w:tcPr>
            <w:tcW w:w="1340" w:type="dxa"/>
            <w:vAlign w:val="bottom"/>
          </w:tcPr>
          <w:p>
            <w:pPr>
              <w:jc w:val="center"/>
              <w:ind w:left="30"/>
              <w:spacing w:after="0" w:line="202" w:lineRule="exact"/>
              <w:rPr>
                <w:sz w:val="20"/>
                <w:szCs w:val="20"/>
                <w:color w:val="auto"/>
              </w:rPr>
            </w:pPr>
            <w:r>
              <w:rPr>
                <w:rFonts w:ascii="Arial" w:cs="Arial" w:eastAsia="Arial" w:hAnsi="Arial"/>
                <w:sz w:val="18"/>
                <w:szCs w:val="18"/>
                <w:color w:val="auto"/>
                <w:w w:val="99"/>
              </w:rPr>
              <w:t>100%</w:t>
            </w:r>
          </w:p>
        </w:tc>
        <w:tc>
          <w:tcPr>
            <w:tcW w:w="3100" w:type="dxa"/>
            <w:vAlign w:val="bottom"/>
          </w:tcPr>
          <w:p>
            <w:pPr>
              <w:ind w:left="140"/>
              <w:spacing w:after="0" w:line="202" w:lineRule="exact"/>
              <w:rPr>
                <w:sz w:val="20"/>
                <w:szCs w:val="20"/>
                <w:color w:val="auto"/>
              </w:rPr>
            </w:pPr>
            <w:r>
              <w:rPr>
                <w:rFonts w:ascii="Arial" w:cs="Arial" w:eastAsia="Arial" w:hAnsi="Arial"/>
                <w:sz w:val="18"/>
                <w:szCs w:val="18"/>
                <w:color w:val="auto"/>
              </w:rPr>
              <w:t>Italy</w:t>
            </w: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Albany Nordiskafilt Kabushiki Kaisha</w:t>
            </w:r>
          </w:p>
        </w:tc>
        <w:tc>
          <w:tcPr>
            <w:tcW w:w="1620" w:type="dxa"/>
            <w:vAlign w:val="bottom"/>
          </w:tcPr>
          <w:p>
            <w:pPr>
              <w:spacing w:after="0"/>
              <w:rPr>
                <w:sz w:val="17"/>
                <w:szCs w:val="17"/>
                <w:color w:val="auto"/>
              </w:rPr>
            </w:pPr>
          </w:p>
        </w:tc>
        <w:tc>
          <w:tcPr>
            <w:tcW w:w="1340" w:type="dxa"/>
            <w:vAlign w:val="bottom"/>
          </w:tcPr>
          <w:p>
            <w:pPr>
              <w:jc w:val="center"/>
              <w:ind w:left="30"/>
              <w:spacing w:after="0" w:line="202" w:lineRule="exact"/>
              <w:rPr>
                <w:sz w:val="20"/>
                <w:szCs w:val="20"/>
                <w:color w:val="auto"/>
              </w:rPr>
            </w:pPr>
            <w:r>
              <w:rPr>
                <w:rFonts w:ascii="Arial" w:cs="Arial" w:eastAsia="Arial" w:hAnsi="Arial"/>
                <w:sz w:val="18"/>
                <w:szCs w:val="18"/>
                <w:color w:val="auto"/>
                <w:w w:val="99"/>
              </w:rPr>
              <w:t>100%</w:t>
            </w:r>
          </w:p>
        </w:tc>
        <w:tc>
          <w:tcPr>
            <w:tcW w:w="3100" w:type="dxa"/>
            <w:vAlign w:val="bottom"/>
          </w:tcPr>
          <w:p>
            <w:pPr>
              <w:ind w:left="140"/>
              <w:spacing w:after="0" w:line="202" w:lineRule="exact"/>
              <w:rPr>
                <w:sz w:val="20"/>
                <w:szCs w:val="20"/>
                <w:color w:val="auto"/>
              </w:rPr>
            </w:pPr>
            <w:r>
              <w:rPr>
                <w:rFonts w:ascii="Arial" w:cs="Arial" w:eastAsia="Arial" w:hAnsi="Arial"/>
                <w:sz w:val="18"/>
                <w:szCs w:val="18"/>
                <w:color w:val="auto"/>
              </w:rPr>
              <w:t>Japan</w:t>
            </w: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Albany International Korea, Inc.</w:t>
            </w:r>
          </w:p>
        </w:tc>
        <w:tc>
          <w:tcPr>
            <w:tcW w:w="1620" w:type="dxa"/>
            <w:vAlign w:val="bottom"/>
          </w:tcPr>
          <w:p>
            <w:pPr>
              <w:spacing w:after="0"/>
              <w:rPr>
                <w:sz w:val="17"/>
                <w:szCs w:val="17"/>
                <w:color w:val="auto"/>
              </w:rPr>
            </w:pPr>
          </w:p>
        </w:tc>
        <w:tc>
          <w:tcPr>
            <w:tcW w:w="1340" w:type="dxa"/>
            <w:vAlign w:val="bottom"/>
          </w:tcPr>
          <w:p>
            <w:pPr>
              <w:jc w:val="center"/>
              <w:ind w:left="30"/>
              <w:spacing w:after="0" w:line="202" w:lineRule="exact"/>
              <w:rPr>
                <w:sz w:val="20"/>
                <w:szCs w:val="20"/>
                <w:color w:val="auto"/>
              </w:rPr>
            </w:pPr>
            <w:r>
              <w:rPr>
                <w:rFonts w:ascii="Arial" w:cs="Arial" w:eastAsia="Arial" w:hAnsi="Arial"/>
                <w:sz w:val="18"/>
                <w:szCs w:val="18"/>
                <w:color w:val="auto"/>
                <w:w w:val="99"/>
              </w:rPr>
              <w:t>100%</w:t>
            </w:r>
          </w:p>
        </w:tc>
        <w:tc>
          <w:tcPr>
            <w:tcW w:w="3100" w:type="dxa"/>
            <w:vAlign w:val="bottom"/>
          </w:tcPr>
          <w:p>
            <w:pPr>
              <w:ind w:left="140"/>
              <w:spacing w:after="0" w:line="202" w:lineRule="exact"/>
              <w:rPr>
                <w:sz w:val="20"/>
                <w:szCs w:val="20"/>
                <w:color w:val="auto"/>
              </w:rPr>
            </w:pPr>
            <w:r>
              <w:rPr>
                <w:rFonts w:ascii="Arial" w:cs="Arial" w:eastAsia="Arial" w:hAnsi="Arial"/>
                <w:sz w:val="18"/>
                <w:szCs w:val="18"/>
                <w:color w:val="auto"/>
              </w:rPr>
              <w:t>Korea</w:t>
            </w: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Albany International de Mexico S.A. de C.V.</w:t>
            </w:r>
          </w:p>
        </w:tc>
        <w:tc>
          <w:tcPr>
            <w:tcW w:w="1620" w:type="dxa"/>
            <w:vAlign w:val="bottom"/>
          </w:tcPr>
          <w:p>
            <w:pPr>
              <w:jc w:val="center"/>
              <w:ind w:left="30"/>
              <w:spacing w:after="0" w:line="202" w:lineRule="exact"/>
              <w:rPr>
                <w:sz w:val="20"/>
                <w:szCs w:val="20"/>
                <w:color w:val="auto"/>
              </w:rPr>
            </w:pPr>
            <w:r>
              <w:rPr>
                <w:rFonts w:ascii="Arial" w:cs="Arial" w:eastAsia="Arial" w:hAnsi="Arial"/>
                <w:sz w:val="18"/>
                <w:szCs w:val="18"/>
                <w:color w:val="auto"/>
                <w:w w:val="99"/>
              </w:rPr>
              <w:t>100%</w:t>
            </w:r>
          </w:p>
        </w:tc>
        <w:tc>
          <w:tcPr>
            <w:tcW w:w="1340" w:type="dxa"/>
            <w:vAlign w:val="bottom"/>
          </w:tcPr>
          <w:p>
            <w:pPr>
              <w:spacing w:after="0"/>
              <w:rPr>
                <w:sz w:val="17"/>
                <w:szCs w:val="17"/>
                <w:color w:val="auto"/>
              </w:rPr>
            </w:pPr>
          </w:p>
        </w:tc>
        <w:tc>
          <w:tcPr>
            <w:tcW w:w="3100" w:type="dxa"/>
            <w:vAlign w:val="bottom"/>
          </w:tcPr>
          <w:p>
            <w:pPr>
              <w:ind w:left="140"/>
              <w:spacing w:after="0" w:line="202" w:lineRule="exact"/>
              <w:rPr>
                <w:sz w:val="20"/>
                <w:szCs w:val="20"/>
                <w:color w:val="auto"/>
              </w:rPr>
            </w:pPr>
            <w:r>
              <w:rPr>
                <w:rFonts w:ascii="Arial" w:cs="Arial" w:eastAsia="Arial" w:hAnsi="Arial"/>
                <w:sz w:val="18"/>
                <w:szCs w:val="18"/>
                <w:color w:val="auto"/>
              </w:rPr>
              <w:t>Mexico</w:t>
            </w: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Albany International B.V.</w:t>
            </w:r>
          </w:p>
        </w:tc>
        <w:tc>
          <w:tcPr>
            <w:tcW w:w="1620" w:type="dxa"/>
            <w:vAlign w:val="bottom"/>
          </w:tcPr>
          <w:p>
            <w:pPr>
              <w:spacing w:after="0"/>
              <w:rPr>
                <w:sz w:val="17"/>
                <w:szCs w:val="17"/>
                <w:color w:val="auto"/>
              </w:rPr>
            </w:pPr>
          </w:p>
        </w:tc>
        <w:tc>
          <w:tcPr>
            <w:tcW w:w="1340" w:type="dxa"/>
            <w:vAlign w:val="bottom"/>
          </w:tcPr>
          <w:p>
            <w:pPr>
              <w:jc w:val="center"/>
              <w:ind w:left="30"/>
              <w:spacing w:after="0" w:line="202" w:lineRule="exact"/>
              <w:rPr>
                <w:sz w:val="20"/>
                <w:szCs w:val="20"/>
                <w:color w:val="auto"/>
              </w:rPr>
            </w:pPr>
            <w:r>
              <w:rPr>
                <w:rFonts w:ascii="Arial" w:cs="Arial" w:eastAsia="Arial" w:hAnsi="Arial"/>
                <w:sz w:val="18"/>
                <w:szCs w:val="18"/>
                <w:color w:val="auto"/>
                <w:w w:val="99"/>
              </w:rPr>
              <w:t>100%</w:t>
            </w:r>
          </w:p>
        </w:tc>
        <w:tc>
          <w:tcPr>
            <w:tcW w:w="3100" w:type="dxa"/>
            <w:vAlign w:val="bottom"/>
          </w:tcPr>
          <w:p>
            <w:pPr>
              <w:ind w:left="140"/>
              <w:spacing w:after="0" w:line="202" w:lineRule="exact"/>
              <w:rPr>
                <w:sz w:val="20"/>
                <w:szCs w:val="20"/>
                <w:color w:val="auto"/>
              </w:rPr>
            </w:pPr>
            <w:r>
              <w:rPr>
                <w:rFonts w:ascii="Arial" w:cs="Arial" w:eastAsia="Arial" w:hAnsi="Arial"/>
                <w:sz w:val="18"/>
                <w:szCs w:val="18"/>
                <w:color w:val="auto"/>
              </w:rPr>
              <w:t>Netherlands</w:t>
            </w: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Nevo-Cloth Ltd.</w:t>
            </w:r>
          </w:p>
        </w:tc>
        <w:tc>
          <w:tcPr>
            <w:tcW w:w="1620" w:type="dxa"/>
            <w:vAlign w:val="bottom"/>
          </w:tcPr>
          <w:p>
            <w:pPr>
              <w:spacing w:after="0"/>
              <w:rPr>
                <w:sz w:val="17"/>
                <w:szCs w:val="17"/>
                <w:color w:val="auto"/>
              </w:rPr>
            </w:pPr>
          </w:p>
        </w:tc>
        <w:tc>
          <w:tcPr>
            <w:tcW w:w="1340" w:type="dxa"/>
            <w:vAlign w:val="bottom"/>
          </w:tcPr>
          <w:p>
            <w:pPr>
              <w:jc w:val="center"/>
              <w:ind w:left="50"/>
              <w:spacing w:after="0" w:line="202" w:lineRule="exact"/>
              <w:rPr>
                <w:sz w:val="20"/>
                <w:szCs w:val="20"/>
                <w:color w:val="auto"/>
              </w:rPr>
            </w:pPr>
            <w:r>
              <w:rPr>
                <w:rFonts w:ascii="Arial" w:cs="Arial" w:eastAsia="Arial" w:hAnsi="Arial"/>
                <w:sz w:val="18"/>
                <w:szCs w:val="18"/>
                <w:color w:val="auto"/>
                <w:w w:val="99"/>
              </w:rPr>
              <w:t>50%</w:t>
            </w:r>
          </w:p>
        </w:tc>
        <w:tc>
          <w:tcPr>
            <w:tcW w:w="3100" w:type="dxa"/>
            <w:vAlign w:val="bottom"/>
          </w:tcPr>
          <w:p>
            <w:pPr>
              <w:ind w:left="140"/>
              <w:spacing w:after="0" w:line="202" w:lineRule="exact"/>
              <w:rPr>
                <w:sz w:val="20"/>
                <w:szCs w:val="20"/>
                <w:color w:val="auto"/>
              </w:rPr>
            </w:pPr>
            <w:r>
              <w:rPr>
                <w:rFonts w:ascii="Arial" w:cs="Arial" w:eastAsia="Arial" w:hAnsi="Arial"/>
                <w:sz w:val="18"/>
                <w:szCs w:val="18"/>
                <w:color w:val="auto"/>
              </w:rPr>
              <w:t>Russia</w:t>
            </w: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Albany International S.A. Pty. Ltd.</w:t>
            </w:r>
          </w:p>
        </w:tc>
        <w:tc>
          <w:tcPr>
            <w:tcW w:w="1620" w:type="dxa"/>
            <w:vAlign w:val="bottom"/>
          </w:tcPr>
          <w:p>
            <w:pPr>
              <w:spacing w:after="0"/>
              <w:rPr>
                <w:sz w:val="17"/>
                <w:szCs w:val="17"/>
                <w:color w:val="auto"/>
              </w:rPr>
            </w:pPr>
          </w:p>
        </w:tc>
        <w:tc>
          <w:tcPr>
            <w:tcW w:w="1340" w:type="dxa"/>
            <w:vAlign w:val="bottom"/>
          </w:tcPr>
          <w:p>
            <w:pPr>
              <w:jc w:val="center"/>
              <w:ind w:left="30"/>
              <w:spacing w:after="0" w:line="202" w:lineRule="exact"/>
              <w:rPr>
                <w:sz w:val="20"/>
                <w:szCs w:val="20"/>
                <w:color w:val="auto"/>
              </w:rPr>
            </w:pPr>
            <w:r>
              <w:rPr>
                <w:rFonts w:ascii="Arial" w:cs="Arial" w:eastAsia="Arial" w:hAnsi="Arial"/>
                <w:sz w:val="18"/>
                <w:szCs w:val="18"/>
                <w:color w:val="auto"/>
                <w:w w:val="99"/>
              </w:rPr>
              <w:t>100%</w:t>
            </w:r>
          </w:p>
        </w:tc>
        <w:tc>
          <w:tcPr>
            <w:tcW w:w="3100" w:type="dxa"/>
            <w:vAlign w:val="bottom"/>
          </w:tcPr>
          <w:p>
            <w:pPr>
              <w:ind w:left="140"/>
              <w:spacing w:after="0" w:line="202" w:lineRule="exact"/>
              <w:rPr>
                <w:sz w:val="20"/>
                <w:szCs w:val="20"/>
                <w:color w:val="auto"/>
              </w:rPr>
            </w:pPr>
            <w:r>
              <w:rPr>
                <w:rFonts w:ascii="Arial" w:cs="Arial" w:eastAsia="Arial" w:hAnsi="Arial"/>
                <w:sz w:val="18"/>
                <w:szCs w:val="18"/>
                <w:color w:val="auto"/>
              </w:rPr>
              <w:t>South Africa</w:t>
            </w: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Albany International AB</w:t>
            </w:r>
          </w:p>
        </w:tc>
        <w:tc>
          <w:tcPr>
            <w:tcW w:w="1620" w:type="dxa"/>
            <w:vAlign w:val="bottom"/>
          </w:tcPr>
          <w:p>
            <w:pPr>
              <w:spacing w:after="0"/>
              <w:rPr>
                <w:sz w:val="17"/>
                <w:szCs w:val="17"/>
                <w:color w:val="auto"/>
              </w:rPr>
            </w:pPr>
          </w:p>
        </w:tc>
        <w:tc>
          <w:tcPr>
            <w:tcW w:w="1340" w:type="dxa"/>
            <w:vAlign w:val="bottom"/>
          </w:tcPr>
          <w:p>
            <w:pPr>
              <w:jc w:val="center"/>
              <w:ind w:left="30"/>
              <w:spacing w:after="0" w:line="202" w:lineRule="exact"/>
              <w:rPr>
                <w:sz w:val="20"/>
                <w:szCs w:val="20"/>
                <w:color w:val="auto"/>
              </w:rPr>
            </w:pPr>
            <w:r>
              <w:rPr>
                <w:rFonts w:ascii="Arial" w:cs="Arial" w:eastAsia="Arial" w:hAnsi="Arial"/>
                <w:sz w:val="18"/>
                <w:szCs w:val="18"/>
                <w:color w:val="auto"/>
                <w:w w:val="99"/>
              </w:rPr>
              <w:t>100%</w:t>
            </w:r>
          </w:p>
        </w:tc>
        <w:tc>
          <w:tcPr>
            <w:tcW w:w="3100" w:type="dxa"/>
            <w:vAlign w:val="bottom"/>
          </w:tcPr>
          <w:p>
            <w:pPr>
              <w:ind w:left="140"/>
              <w:spacing w:after="0" w:line="202" w:lineRule="exact"/>
              <w:rPr>
                <w:sz w:val="20"/>
                <w:szCs w:val="20"/>
                <w:color w:val="auto"/>
              </w:rPr>
            </w:pPr>
            <w:r>
              <w:rPr>
                <w:rFonts w:ascii="Arial" w:cs="Arial" w:eastAsia="Arial" w:hAnsi="Arial"/>
                <w:sz w:val="18"/>
                <w:szCs w:val="18"/>
                <w:color w:val="auto"/>
              </w:rPr>
              <w:t>Sweden</w:t>
            </w: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Albany International Holding AB</w:t>
            </w:r>
          </w:p>
        </w:tc>
        <w:tc>
          <w:tcPr>
            <w:tcW w:w="1620" w:type="dxa"/>
            <w:vAlign w:val="bottom"/>
          </w:tcPr>
          <w:p>
            <w:pPr>
              <w:spacing w:after="0"/>
              <w:rPr>
                <w:sz w:val="17"/>
                <w:szCs w:val="17"/>
                <w:color w:val="auto"/>
              </w:rPr>
            </w:pPr>
          </w:p>
        </w:tc>
        <w:tc>
          <w:tcPr>
            <w:tcW w:w="1340" w:type="dxa"/>
            <w:vAlign w:val="bottom"/>
          </w:tcPr>
          <w:p>
            <w:pPr>
              <w:jc w:val="center"/>
              <w:ind w:left="30"/>
              <w:spacing w:after="0" w:line="202" w:lineRule="exact"/>
              <w:rPr>
                <w:sz w:val="20"/>
                <w:szCs w:val="20"/>
                <w:color w:val="auto"/>
              </w:rPr>
            </w:pPr>
            <w:r>
              <w:rPr>
                <w:rFonts w:ascii="Arial" w:cs="Arial" w:eastAsia="Arial" w:hAnsi="Arial"/>
                <w:sz w:val="18"/>
                <w:szCs w:val="18"/>
                <w:color w:val="auto"/>
                <w:w w:val="99"/>
              </w:rPr>
              <w:t>100%</w:t>
            </w:r>
          </w:p>
        </w:tc>
        <w:tc>
          <w:tcPr>
            <w:tcW w:w="3100" w:type="dxa"/>
            <w:vAlign w:val="bottom"/>
          </w:tcPr>
          <w:p>
            <w:pPr>
              <w:ind w:left="140"/>
              <w:spacing w:after="0" w:line="202" w:lineRule="exact"/>
              <w:rPr>
                <w:sz w:val="20"/>
                <w:szCs w:val="20"/>
                <w:color w:val="auto"/>
              </w:rPr>
            </w:pPr>
            <w:r>
              <w:rPr>
                <w:rFonts w:ascii="Arial" w:cs="Arial" w:eastAsia="Arial" w:hAnsi="Arial"/>
                <w:sz w:val="18"/>
                <w:szCs w:val="18"/>
                <w:color w:val="auto"/>
              </w:rPr>
              <w:t>Sweden</w:t>
            </w: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Dewa Consulting AB</w:t>
            </w:r>
          </w:p>
        </w:tc>
        <w:tc>
          <w:tcPr>
            <w:tcW w:w="1620" w:type="dxa"/>
            <w:vAlign w:val="bottom"/>
          </w:tcPr>
          <w:p>
            <w:pPr>
              <w:spacing w:after="0"/>
              <w:rPr>
                <w:sz w:val="17"/>
                <w:szCs w:val="17"/>
                <w:color w:val="auto"/>
              </w:rPr>
            </w:pPr>
          </w:p>
        </w:tc>
        <w:tc>
          <w:tcPr>
            <w:tcW w:w="1340" w:type="dxa"/>
            <w:vAlign w:val="bottom"/>
          </w:tcPr>
          <w:p>
            <w:pPr>
              <w:jc w:val="center"/>
              <w:ind w:left="30"/>
              <w:spacing w:after="0" w:line="202" w:lineRule="exact"/>
              <w:rPr>
                <w:sz w:val="20"/>
                <w:szCs w:val="20"/>
                <w:color w:val="auto"/>
              </w:rPr>
            </w:pPr>
            <w:r>
              <w:rPr>
                <w:rFonts w:ascii="Arial" w:cs="Arial" w:eastAsia="Arial" w:hAnsi="Arial"/>
                <w:sz w:val="18"/>
                <w:szCs w:val="18"/>
                <w:color w:val="auto"/>
                <w:w w:val="99"/>
              </w:rPr>
              <w:t>100%</w:t>
            </w:r>
          </w:p>
        </w:tc>
        <w:tc>
          <w:tcPr>
            <w:tcW w:w="3100" w:type="dxa"/>
            <w:vAlign w:val="bottom"/>
          </w:tcPr>
          <w:p>
            <w:pPr>
              <w:ind w:left="140"/>
              <w:spacing w:after="0" w:line="202" w:lineRule="exact"/>
              <w:rPr>
                <w:sz w:val="20"/>
                <w:szCs w:val="20"/>
                <w:color w:val="auto"/>
              </w:rPr>
            </w:pPr>
            <w:r>
              <w:rPr>
                <w:rFonts w:ascii="Arial" w:cs="Arial" w:eastAsia="Arial" w:hAnsi="Arial"/>
                <w:sz w:val="18"/>
                <w:szCs w:val="18"/>
                <w:color w:val="auto"/>
              </w:rPr>
              <w:t>Sweden</w:t>
            </w: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Nordiska Maskinfilt Aktiebolag</w:t>
            </w:r>
          </w:p>
        </w:tc>
        <w:tc>
          <w:tcPr>
            <w:tcW w:w="1620" w:type="dxa"/>
            <w:vAlign w:val="bottom"/>
          </w:tcPr>
          <w:p>
            <w:pPr>
              <w:spacing w:after="0"/>
              <w:rPr>
                <w:sz w:val="17"/>
                <w:szCs w:val="17"/>
                <w:color w:val="auto"/>
              </w:rPr>
            </w:pPr>
          </w:p>
        </w:tc>
        <w:tc>
          <w:tcPr>
            <w:tcW w:w="1340" w:type="dxa"/>
            <w:vAlign w:val="bottom"/>
          </w:tcPr>
          <w:p>
            <w:pPr>
              <w:jc w:val="center"/>
              <w:ind w:left="30"/>
              <w:spacing w:after="0" w:line="202" w:lineRule="exact"/>
              <w:rPr>
                <w:sz w:val="20"/>
                <w:szCs w:val="20"/>
                <w:color w:val="auto"/>
              </w:rPr>
            </w:pPr>
            <w:r>
              <w:rPr>
                <w:rFonts w:ascii="Arial" w:cs="Arial" w:eastAsia="Arial" w:hAnsi="Arial"/>
                <w:sz w:val="18"/>
                <w:szCs w:val="18"/>
                <w:color w:val="auto"/>
                <w:w w:val="99"/>
              </w:rPr>
              <w:t>100%</w:t>
            </w:r>
          </w:p>
        </w:tc>
        <w:tc>
          <w:tcPr>
            <w:tcW w:w="3100" w:type="dxa"/>
            <w:vAlign w:val="bottom"/>
          </w:tcPr>
          <w:p>
            <w:pPr>
              <w:ind w:left="140"/>
              <w:spacing w:after="0" w:line="202" w:lineRule="exact"/>
              <w:rPr>
                <w:sz w:val="20"/>
                <w:szCs w:val="20"/>
                <w:color w:val="auto"/>
              </w:rPr>
            </w:pPr>
            <w:r>
              <w:rPr>
                <w:rFonts w:ascii="Arial" w:cs="Arial" w:eastAsia="Arial" w:hAnsi="Arial"/>
                <w:sz w:val="18"/>
                <w:szCs w:val="18"/>
                <w:color w:val="auto"/>
              </w:rPr>
              <w:t>Sweden</w:t>
            </w: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Albany International (Switzerland) GmbH</w:t>
            </w:r>
          </w:p>
        </w:tc>
        <w:tc>
          <w:tcPr>
            <w:tcW w:w="1620" w:type="dxa"/>
            <w:vAlign w:val="bottom"/>
          </w:tcPr>
          <w:p>
            <w:pPr>
              <w:spacing w:after="0"/>
              <w:rPr>
                <w:sz w:val="17"/>
                <w:szCs w:val="17"/>
                <w:color w:val="auto"/>
              </w:rPr>
            </w:pPr>
          </w:p>
        </w:tc>
        <w:tc>
          <w:tcPr>
            <w:tcW w:w="1340" w:type="dxa"/>
            <w:vAlign w:val="bottom"/>
          </w:tcPr>
          <w:p>
            <w:pPr>
              <w:jc w:val="center"/>
              <w:ind w:left="30"/>
              <w:spacing w:after="0" w:line="202" w:lineRule="exact"/>
              <w:rPr>
                <w:sz w:val="20"/>
                <w:szCs w:val="20"/>
                <w:color w:val="auto"/>
              </w:rPr>
            </w:pPr>
            <w:r>
              <w:rPr>
                <w:rFonts w:ascii="Arial" w:cs="Arial" w:eastAsia="Arial" w:hAnsi="Arial"/>
                <w:sz w:val="18"/>
                <w:szCs w:val="18"/>
                <w:color w:val="auto"/>
                <w:w w:val="99"/>
              </w:rPr>
              <w:t>100%</w:t>
            </w:r>
          </w:p>
        </w:tc>
        <w:tc>
          <w:tcPr>
            <w:tcW w:w="3100" w:type="dxa"/>
            <w:vAlign w:val="bottom"/>
          </w:tcPr>
          <w:p>
            <w:pPr>
              <w:ind w:left="140"/>
              <w:spacing w:after="0" w:line="202" w:lineRule="exact"/>
              <w:rPr>
                <w:sz w:val="20"/>
                <w:szCs w:val="20"/>
                <w:color w:val="auto"/>
              </w:rPr>
            </w:pPr>
            <w:r>
              <w:rPr>
                <w:rFonts w:ascii="Arial" w:cs="Arial" w:eastAsia="Arial" w:hAnsi="Arial"/>
                <w:sz w:val="18"/>
                <w:szCs w:val="18"/>
                <w:color w:val="auto"/>
              </w:rPr>
              <w:t>Switzerland</w:t>
            </w: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Albany International Holding (Switzerland) AG</w:t>
            </w:r>
          </w:p>
        </w:tc>
        <w:tc>
          <w:tcPr>
            <w:tcW w:w="1620" w:type="dxa"/>
            <w:vAlign w:val="bottom"/>
          </w:tcPr>
          <w:p>
            <w:pPr>
              <w:spacing w:after="0"/>
              <w:rPr>
                <w:sz w:val="17"/>
                <w:szCs w:val="17"/>
                <w:color w:val="auto"/>
              </w:rPr>
            </w:pPr>
          </w:p>
        </w:tc>
        <w:tc>
          <w:tcPr>
            <w:tcW w:w="1340" w:type="dxa"/>
            <w:vAlign w:val="bottom"/>
          </w:tcPr>
          <w:p>
            <w:pPr>
              <w:jc w:val="center"/>
              <w:ind w:left="30"/>
              <w:spacing w:after="0" w:line="202" w:lineRule="exact"/>
              <w:rPr>
                <w:sz w:val="20"/>
                <w:szCs w:val="20"/>
                <w:color w:val="auto"/>
              </w:rPr>
            </w:pPr>
            <w:r>
              <w:rPr>
                <w:rFonts w:ascii="Arial" w:cs="Arial" w:eastAsia="Arial" w:hAnsi="Arial"/>
                <w:sz w:val="18"/>
                <w:szCs w:val="18"/>
                <w:color w:val="auto"/>
                <w:w w:val="99"/>
              </w:rPr>
              <w:t>100%</w:t>
            </w:r>
          </w:p>
        </w:tc>
        <w:tc>
          <w:tcPr>
            <w:tcW w:w="3100" w:type="dxa"/>
            <w:vAlign w:val="bottom"/>
          </w:tcPr>
          <w:p>
            <w:pPr>
              <w:ind w:left="140"/>
              <w:spacing w:after="0" w:line="202" w:lineRule="exact"/>
              <w:rPr>
                <w:sz w:val="20"/>
                <w:szCs w:val="20"/>
                <w:color w:val="auto"/>
              </w:rPr>
            </w:pPr>
            <w:r>
              <w:rPr>
                <w:rFonts w:ascii="Arial" w:cs="Arial" w:eastAsia="Arial" w:hAnsi="Arial"/>
                <w:sz w:val="18"/>
                <w:szCs w:val="18"/>
                <w:color w:val="auto"/>
              </w:rPr>
              <w:t>Switzerland</w:t>
            </w: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Albany International Europe GmbH</w:t>
            </w:r>
          </w:p>
        </w:tc>
        <w:tc>
          <w:tcPr>
            <w:tcW w:w="1620" w:type="dxa"/>
            <w:vAlign w:val="bottom"/>
          </w:tcPr>
          <w:p>
            <w:pPr>
              <w:spacing w:after="0"/>
              <w:rPr>
                <w:sz w:val="17"/>
                <w:szCs w:val="17"/>
                <w:color w:val="auto"/>
              </w:rPr>
            </w:pPr>
          </w:p>
        </w:tc>
        <w:tc>
          <w:tcPr>
            <w:tcW w:w="1340" w:type="dxa"/>
            <w:vAlign w:val="bottom"/>
          </w:tcPr>
          <w:p>
            <w:pPr>
              <w:jc w:val="center"/>
              <w:ind w:left="30"/>
              <w:spacing w:after="0" w:line="202" w:lineRule="exact"/>
              <w:rPr>
                <w:sz w:val="20"/>
                <w:szCs w:val="20"/>
                <w:color w:val="auto"/>
              </w:rPr>
            </w:pPr>
            <w:r>
              <w:rPr>
                <w:rFonts w:ascii="Arial" w:cs="Arial" w:eastAsia="Arial" w:hAnsi="Arial"/>
                <w:sz w:val="18"/>
                <w:szCs w:val="18"/>
                <w:color w:val="auto"/>
                <w:w w:val="99"/>
              </w:rPr>
              <w:t>100%</w:t>
            </w:r>
          </w:p>
        </w:tc>
        <w:tc>
          <w:tcPr>
            <w:tcW w:w="3100" w:type="dxa"/>
            <w:vAlign w:val="bottom"/>
          </w:tcPr>
          <w:p>
            <w:pPr>
              <w:ind w:left="140"/>
              <w:spacing w:after="0" w:line="202" w:lineRule="exact"/>
              <w:rPr>
                <w:sz w:val="20"/>
                <w:szCs w:val="20"/>
                <w:color w:val="auto"/>
              </w:rPr>
            </w:pPr>
            <w:r>
              <w:rPr>
                <w:rFonts w:ascii="Arial" w:cs="Arial" w:eastAsia="Arial" w:hAnsi="Arial"/>
                <w:sz w:val="18"/>
                <w:szCs w:val="18"/>
                <w:color w:val="auto"/>
              </w:rPr>
              <w:t>Switzerland</w:t>
            </w: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Albany International Ltd.</w:t>
            </w:r>
          </w:p>
        </w:tc>
        <w:tc>
          <w:tcPr>
            <w:tcW w:w="1620" w:type="dxa"/>
            <w:vAlign w:val="bottom"/>
          </w:tcPr>
          <w:p>
            <w:pPr>
              <w:spacing w:after="0"/>
              <w:rPr>
                <w:sz w:val="17"/>
                <w:szCs w:val="17"/>
                <w:color w:val="auto"/>
              </w:rPr>
            </w:pPr>
          </w:p>
        </w:tc>
        <w:tc>
          <w:tcPr>
            <w:tcW w:w="1340" w:type="dxa"/>
            <w:vAlign w:val="bottom"/>
          </w:tcPr>
          <w:p>
            <w:pPr>
              <w:jc w:val="center"/>
              <w:ind w:left="30"/>
              <w:spacing w:after="0" w:line="202" w:lineRule="exact"/>
              <w:rPr>
                <w:sz w:val="20"/>
                <w:szCs w:val="20"/>
                <w:color w:val="auto"/>
              </w:rPr>
            </w:pPr>
            <w:r>
              <w:rPr>
                <w:rFonts w:ascii="Arial" w:cs="Arial" w:eastAsia="Arial" w:hAnsi="Arial"/>
                <w:sz w:val="18"/>
                <w:szCs w:val="18"/>
                <w:color w:val="auto"/>
                <w:w w:val="99"/>
              </w:rPr>
              <w:t>100%</w:t>
            </w:r>
          </w:p>
        </w:tc>
        <w:tc>
          <w:tcPr>
            <w:tcW w:w="3100" w:type="dxa"/>
            <w:vAlign w:val="bottom"/>
          </w:tcPr>
          <w:p>
            <w:pPr>
              <w:ind w:left="140"/>
              <w:spacing w:after="0" w:line="202" w:lineRule="exact"/>
              <w:rPr>
                <w:sz w:val="20"/>
                <w:szCs w:val="20"/>
                <w:color w:val="auto"/>
              </w:rPr>
            </w:pPr>
            <w:r>
              <w:rPr>
                <w:rFonts w:ascii="Arial" w:cs="Arial" w:eastAsia="Arial" w:hAnsi="Arial"/>
                <w:sz w:val="18"/>
                <w:szCs w:val="18"/>
                <w:color w:val="auto"/>
              </w:rPr>
              <w:t>United Kingdom</w:t>
            </w: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James Kenyon &amp; Sons Ltd.</w:t>
            </w:r>
          </w:p>
        </w:tc>
        <w:tc>
          <w:tcPr>
            <w:tcW w:w="1620" w:type="dxa"/>
            <w:vAlign w:val="bottom"/>
          </w:tcPr>
          <w:p>
            <w:pPr>
              <w:jc w:val="center"/>
              <w:ind w:left="30"/>
              <w:spacing w:after="0" w:line="202" w:lineRule="exact"/>
              <w:rPr>
                <w:sz w:val="20"/>
                <w:szCs w:val="20"/>
                <w:color w:val="auto"/>
              </w:rPr>
            </w:pPr>
            <w:r>
              <w:rPr>
                <w:rFonts w:ascii="Arial" w:cs="Arial" w:eastAsia="Arial" w:hAnsi="Arial"/>
                <w:sz w:val="18"/>
                <w:szCs w:val="18"/>
                <w:color w:val="auto"/>
                <w:w w:val="99"/>
              </w:rPr>
              <w:t>100%</w:t>
            </w:r>
          </w:p>
        </w:tc>
        <w:tc>
          <w:tcPr>
            <w:tcW w:w="1340" w:type="dxa"/>
            <w:vAlign w:val="bottom"/>
          </w:tcPr>
          <w:p>
            <w:pPr>
              <w:spacing w:after="0"/>
              <w:rPr>
                <w:sz w:val="17"/>
                <w:szCs w:val="17"/>
                <w:color w:val="auto"/>
              </w:rPr>
            </w:pPr>
          </w:p>
        </w:tc>
        <w:tc>
          <w:tcPr>
            <w:tcW w:w="3100" w:type="dxa"/>
            <w:vAlign w:val="bottom"/>
          </w:tcPr>
          <w:p>
            <w:pPr>
              <w:ind w:left="140"/>
              <w:spacing w:after="0" w:line="202" w:lineRule="exact"/>
              <w:rPr>
                <w:sz w:val="20"/>
                <w:szCs w:val="20"/>
                <w:color w:val="auto"/>
              </w:rPr>
            </w:pPr>
            <w:r>
              <w:rPr>
                <w:rFonts w:ascii="Arial" w:cs="Arial" w:eastAsia="Arial" w:hAnsi="Arial"/>
                <w:sz w:val="18"/>
                <w:szCs w:val="18"/>
                <w:color w:val="auto"/>
              </w:rPr>
              <w:t>United Kingdom</w:t>
            </w:r>
          </w:p>
        </w:tc>
      </w:tr>
      <w:tr>
        <w:trPr>
          <w:trHeight w:val="217"/>
        </w:trPr>
        <w:tc>
          <w:tcPr>
            <w:tcW w:w="5360" w:type="dxa"/>
            <w:vAlign w:val="bottom"/>
          </w:tcPr>
          <w:p>
            <w:pPr>
              <w:spacing w:after="0"/>
              <w:rPr>
                <w:sz w:val="20"/>
                <w:szCs w:val="20"/>
                <w:color w:val="auto"/>
              </w:rPr>
            </w:pPr>
            <w:r>
              <w:rPr>
                <w:rFonts w:ascii="Arial" w:cs="Arial" w:eastAsia="Arial" w:hAnsi="Arial"/>
                <w:sz w:val="18"/>
                <w:szCs w:val="18"/>
                <w:color w:val="auto"/>
              </w:rPr>
              <w:t>Albany Engineered Composites, Ltd.</w:t>
            </w:r>
          </w:p>
        </w:tc>
        <w:tc>
          <w:tcPr>
            <w:tcW w:w="1620" w:type="dxa"/>
            <w:vAlign w:val="bottom"/>
          </w:tcPr>
          <w:p>
            <w:pPr>
              <w:spacing w:after="0"/>
              <w:rPr>
                <w:sz w:val="18"/>
                <w:szCs w:val="18"/>
                <w:color w:val="auto"/>
              </w:rPr>
            </w:pPr>
          </w:p>
        </w:tc>
        <w:tc>
          <w:tcPr>
            <w:tcW w:w="1340" w:type="dxa"/>
            <w:vAlign w:val="bottom"/>
          </w:tcPr>
          <w:p>
            <w:pPr>
              <w:jc w:val="center"/>
              <w:ind w:left="30"/>
              <w:spacing w:after="0"/>
              <w:rPr>
                <w:sz w:val="20"/>
                <w:szCs w:val="20"/>
                <w:color w:val="auto"/>
              </w:rPr>
            </w:pPr>
            <w:r>
              <w:rPr>
                <w:rFonts w:ascii="Arial" w:cs="Arial" w:eastAsia="Arial" w:hAnsi="Arial"/>
                <w:sz w:val="18"/>
                <w:szCs w:val="18"/>
                <w:color w:val="auto"/>
                <w:w w:val="99"/>
              </w:rPr>
              <w:t>100%</w:t>
            </w:r>
          </w:p>
        </w:tc>
        <w:tc>
          <w:tcPr>
            <w:tcW w:w="3100" w:type="dxa"/>
            <w:vAlign w:val="bottom"/>
          </w:tcPr>
          <w:p>
            <w:pPr>
              <w:ind w:left="140"/>
              <w:spacing w:after="0"/>
              <w:rPr>
                <w:sz w:val="20"/>
                <w:szCs w:val="20"/>
                <w:color w:val="auto"/>
              </w:rPr>
            </w:pPr>
            <w:r>
              <w:rPr>
                <w:rFonts w:ascii="Arial" w:cs="Arial" w:eastAsia="Arial" w:hAnsi="Arial"/>
                <w:sz w:val="18"/>
                <w:szCs w:val="18"/>
                <w:color w:val="auto"/>
              </w:rPr>
              <w:t>United Kingdom</w:t>
            </w:r>
          </w:p>
        </w:tc>
      </w:tr>
      <w:tr>
        <w:trPr>
          <w:trHeight w:val="399"/>
        </w:trPr>
        <w:tc>
          <w:tcPr>
            <w:tcW w:w="53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19" w:right="239" w:bottom="1440" w:gutter="0" w:footer="0" w:header="0"/>
        </w:sectPr>
      </w:pPr>
    </w:p>
    <w:bookmarkStart w:id="177" w:name="page178"/>
    <w:bookmarkEnd w:id="177"/>
    <w:p>
      <w:pPr>
        <w:jc w:val="right"/>
        <w:spacing w:after="0"/>
        <w:rPr>
          <w:sz w:val="20"/>
          <w:szCs w:val="20"/>
          <w:color w:val="auto"/>
        </w:rPr>
      </w:pPr>
      <w:r>
        <w:rPr>
          <w:rFonts w:ascii="Arial" w:cs="Arial" w:eastAsia="Arial" w:hAnsi="Arial"/>
          <w:sz w:val="18"/>
          <w:szCs w:val="18"/>
          <w:b w:val="1"/>
          <w:bCs w:val="1"/>
          <w:color w:val="auto"/>
        </w:rPr>
        <w:t>Exhibit 23</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93" w:lineRule="exact"/>
        <w:rPr>
          <w:sz w:val="20"/>
          <w:szCs w:val="20"/>
          <w:color w:val="auto"/>
        </w:rPr>
      </w:pPr>
    </w:p>
    <w:p>
      <w:pPr>
        <w:ind w:right="280" w:firstLine="648"/>
        <w:spacing w:after="0"/>
        <w:rPr>
          <w:sz w:val="20"/>
          <w:szCs w:val="20"/>
          <w:color w:val="auto"/>
        </w:rPr>
      </w:pPr>
      <w:r>
        <w:rPr>
          <w:rFonts w:ascii="Arial" w:cs="Arial" w:eastAsia="Arial" w:hAnsi="Arial"/>
          <w:sz w:val="18"/>
          <w:szCs w:val="18"/>
          <w:color w:val="auto"/>
        </w:rPr>
        <w:t>We hereby consent to the incorporation by reference in the Registration Statement on Form S-8 (No. 333-140995, 333-76078, 033-28028, 333-90069, 033-60767, 333-190774) of Albany International Corp. of our report dated February 26, 2014 relating to the financial statements, financial statement schedules and the effectiveness of internal control over financial reporting, which appears in this Form 10-K.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PricewaterhouseCoopers LLP</w:t>
      </w:r>
    </w:p>
    <w:p>
      <w:pPr>
        <w:spacing w:after="0" w:line="234" w:lineRule="auto"/>
        <w:rPr>
          <w:sz w:val="20"/>
          <w:szCs w:val="20"/>
          <w:color w:val="auto"/>
        </w:rPr>
      </w:pPr>
      <w:r>
        <w:rPr>
          <w:rFonts w:ascii="Arial" w:cs="Arial" w:eastAsia="Arial" w:hAnsi="Arial"/>
          <w:sz w:val="18"/>
          <w:szCs w:val="18"/>
          <w:color w:val="auto"/>
        </w:rPr>
        <w:t>Albany, New York</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366395</wp:posOffset>
            </wp:positionV>
            <wp:extent cx="7246620" cy="342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b w:val="1"/>
          <w:bCs w:val="1"/>
          <w:color w:val="auto"/>
        </w:rPr>
        <w:t>Exhibit 24</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Powers of Attorney</w:t>
      </w:r>
    </w:p>
    <w:p>
      <w:pPr>
        <w:spacing w:after="0" w:line="207" w:lineRule="exact"/>
        <w:rPr>
          <w:sz w:val="20"/>
          <w:szCs w:val="20"/>
          <w:color w:val="auto"/>
        </w:rPr>
      </w:pPr>
    </w:p>
    <w:p>
      <w:pPr>
        <w:ind w:right="40" w:firstLine="648"/>
        <w:spacing w:after="0" w:line="236" w:lineRule="auto"/>
        <w:rPr>
          <w:sz w:val="20"/>
          <w:szCs w:val="20"/>
          <w:color w:val="auto"/>
        </w:rPr>
      </w:pPr>
      <w:r>
        <w:rPr>
          <w:rFonts w:ascii="Arial" w:cs="Arial" w:eastAsia="Arial" w:hAnsi="Arial"/>
          <w:sz w:val="18"/>
          <w:szCs w:val="18"/>
          <w:color w:val="auto"/>
        </w:rPr>
        <w:t>KNOW ALL MEN BY THESE PRESENTS, that each of the undersigned directors and officers of Albany International Corp., a Delaware corporation (“the Registrant”), which contemplates that it will file with the Securities and Exchange Commission (“the SEC”) under, or in connection with, the provisions of the Securities Exchange Act of 1934, as amended, or rules and regulations promulgated thereunder, an Annual Report on Form 10-K for the year ended December 31, 2013 (such report, together with any amendments, supplements, and exhibits thereto, is collectively hereinafter referred to as “Form 10-K”), hereby constitutes and appoints Joseph G. Morone, David M. Pawlick, Charles J. Silva Jr., John B. Cozzolino, and Joseph M. Gaug, and each of them with full power to act without the others, his or her true and lawful attorneys-in-fact and agents, with full and several power of substitution, for him or her in his or her name, place, and stead, in any and all capacities, to sign the Form 10-K and any or all other documents relating thereto, with power where appropriate to affix the corporate seal of the Registrant thereto and to attest said seal, and to file the Form 10-K, together with any and all other information and documents in connection therewith, with the SEC, hereby granting unto said attorneys-in-fact and agents, and each of them, full power and authority to do and perform any and all acts and things requisite and necessary to be done in and about the premises, as fully to all intents and purposes as the undersigned might or could do in person, hereby ratifying and confirming all that said attorneys-in-fact and agents, or any of them, or their or his or her substitute or substitutes, may lawfully do or cause to be done by virtue hereof.</w:t>
      </w:r>
    </w:p>
    <w:p>
      <w:pPr>
        <w:spacing w:after="0" w:line="163"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The appointment of any attorney-in-fact and agent hereunder shall automatically terminate at such time as such attorney-in-fact and agent ceases to be an officer of the Registrant. Any of the undersigned may terminate the appointment of any of his or her attorneys-in-fact and agents hereunder by delivering written notice thereof to the Registrant.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have duly executed this Power of Attorney this 26th day of February, 2014.</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 w:type="dxa"/>
            <w:vAlign w:val="bottom"/>
          </w:tcPr>
          <w:p>
            <w:pPr>
              <w:spacing w:after="0"/>
              <w:rPr>
                <w:sz w:val="17"/>
                <w:szCs w:val="17"/>
                <w:color w:val="auto"/>
              </w:rPr>
            </w:pPr>
          </w:p>
        </w:tc>
        <w:tc>
          <w:tcPr>
            <w:tcW w:w="1900" w:type="dxa"/>
            <w:vAlign w:val="bottom"/>
            <w:gridSpan w:val="5"/>
          </w:tcPr>
          <w:p>
            <w:pPr>
              <w:spacing w:after="0"/>
              <w:rPr>
                <w:sz w:val="20"/>
                <w:szCs w:val="20"/>
                <w:color w:val="auto"/>
              </w:rPr>
            </w:pPr>
            <w:r>
              <w:rPr>
                <w:rFonts w:ascii="Arial" w:cs="Arial" w:eastAsia="Arial" w:hAnsi="Arial"/>
                <w:sz w:val="18"/>
                <w:szCs w:val="18"/>
                <w:color w:val="auto"/>
                <w:w w:val="99"/>
              </w:rPr>
              <w:t>/s/ Erland E. Kailbourne</w:t>
            </w:r>
          </w:p>
        </w:tc>
        <w:tc>
          <w:tcPr>
            <w:tcW w:w="3800" w:type="dxa"/>
            <w:vAlign w:val="bottom"/>
          </w:tcPr>
          <w:p>
            <w:pPr>
              <w:spacing w:after="0"/>
              <w:rPr>
                <w:sz w:val="17"/>
                <w:szCs w:val="17"/>
                <w:color w:val="auto"/>
              </w:rPr>
            </w:pPr>
          </w:p>
        </w:tc>
        <w:tc>
          <w:tcPr>
            <w:tcW w:w="5620" w:type="dxa"/>
            <w:vAlign w:val="bottom"/>
            <w:gridSpan w:val="6"/>
          </w:tcPr>
          <w:p>
            <w:pPr>
              <w:spacing w:after="0"/>
              <w:rPr>
                <w:sz w:val="20"/>
                <w:szCs w:val="20"/>
                <w:color w:val="auto"/>
              </w:rPr>
            </w:pPr>
            <w:r>
              <w:rPr>
                <w:rFonts w:ascii="Arial" w:cs="Arial" w:eastAsia="Arial" w:hAnsi="Arial"/>
                <w:sz w:val="18"/>
                <w:szCs w:val="18"/>
                <w:color w:val="auto"/>
              </w:rPr>
              <w:t>/s/ Joseph G. Morone</w:t>
            </w:r>
          </w:p>
        </w:tc>
      </w:tr>
      <w:tr>
        <w:trPr>
          <w:trHeight w:val="209"/>
        </w:trPr>
        <w:tc>
          <w:tcPr>
            <w:tcW w:w="100" w:type="dxa"/>
            <w:vAlign w:val="bottom"/>
          </w:tcPr>
          <w:p>
            <w:pPr>
              <w:spacing w:after="0"/>
              <w:rPr>
                <w:sz w:val="18"/>
                <w:szCs w:val="18"/>
                <w:color w:val="auto"/>
              </w:rPr>
            </w:pPr>
          </w:p>
        </w:tc>
        <w:tc>
          <w:tcPr>
            <w:tcW w:w="190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Erland E. Kailbourne</w:t>
            </w:r>
          </w:p>
        </w:tc>
        <w:tc>
          <w:tcPr>
            <w:tcW w:w="3800" w:type="dxa"/>
            <w:vAlign w:val="bottom"/>
          </w:tcPr>
          <w:p>
            <w:pPr>
              <w:spacing w:after="0"/>
              <w:rPr>
                <w:sz w:val="18"/>
                <w:szCs w:val="18"/>
                <w:color w:val="auto"/>
              </w:rPr>
            </w:pPr>
          </w:p>
        </w:tc>
        <w:tc>
          <w:tcPr>
            <w:tcW w:w="17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Joseph G. Morone</w:t>
            </w:r>
          </w:p>
        </w:tc>
        <w:tc>
          <w:tcPr>
            <w:tcW w:w="3900" w:type="dxa"/>
            <w:vAlign w:val="bottom"/>
            <w:gridSpan w:val="3"/>
          </w:tcPr>
          <w:p>
            <w:pPr>
              <w:spacing w:after="0"/>
              <w:rPr>
                <w:sz w:val="18"/>
                <w:szCs w:val="18"/>
                <w:color w:val="auto"/>
              </w:rPr>
            </w:pPr>
          </w:p>
        </w:tc>
      </w:tr>
      <w:tr>
        <w:trPr>
          <w:trHeight w:val="203"/>
        </w:trPr>
        <w:tc>
          <w:tcPr>
            <w:tcW w:w="100" w:type="dxa"/>
            <w:vAlign w:val="bottom"/>
          </w:tcPr>
          <w:p>
            <w:pPr>
              <w:spacing w:after="0"/>
              <w:rPr>
                <w:sz w:val="17"/>
                <w:szCs w:val="17"/>
                <w:color w:val="auto"/>
              </w:rPr>
            </w:pPr>
          </w:p>
        </w:tc>
        <w:tc>
          <w:tcPr>
            <w:tcW w:w="5700" w:type="dxa"/>
            <w:vAlign w:val="bottom"/>
            <w:gridSpan w:val="6"/>
          </w:tcPr>
          <w:p>
            <w:pPr>
              <w:spacing w:after="0" w:line="202" w:lineRule="exact"/>
              <w:rPr>
                <w:sz w:val="20"/>
                <w:szCs w:val="20"/>
                <w:color w:val="auto"/>
              </w:rPr>
            </w:pPr>
            <w:r>
              <w:rPr>
                <w:rFonts w:ascii="Arial" w:cs="Arial" w:eastAsia="Arial" w:hAnsi="Arial"/>
                <w:sz w:val="18"/>
                <w:szCs w:val="18"/>
                <w:color w:val="auto"/>
              </w:rPr>
              <w:t>Chairman of the Board and Director</w:t>
            </w:r>
          </w:p>
        </w:tc>
        <w:tc>
          <w:tcPr>
            <w:tcW w:w="5620" w:type="dxa"/>
            <w:vAlign w:val="bottom"/>
            <w:gridSpan w:val="6"/>
          </w:tcPr>
          <w:p>
            <w:pPr>
              <w:spacing w:after="0" w:line="202" w:lineRule="exact"/>
              <w:rPr>
                <w:sz w:val="20"/>
                <w:szCs w:val="20"/>
                <w:color w:val="auto"/>
              </w:rPr>
            </w:pPr>
            <w:r>
              <w:rPr>
                <w:rFonts w:ascii="Arial" w:cs="Arial" w:eastAsia="Arial" w:hAnsi="Arial"/>
                <w:sz w:val="18"/>
                <w:szCs w:val="18"/>
                <w:color w:val="auto"/>
              </w:rPr>
              <w:t>President and Chief Executive</w:t>
            </w:r>
          </w:p>
        </w:tc>
      </w:tr>
      <w:tr>
        <w:trPr>
          <w:trHeight w:val="203"/>
        </w:trPr>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5620" w:type="dxa"/>
            <w:vAlign w:val="bottom"/>
            <w:gridSpan w:val="6"/>
          </w:tcPr>
          <w:p>
            <w:pPr>
              <w:spacing w:after="0" w:line="202" w:lineRule="exact"/>
              <w:rPr>
                <w:sz w:val="20"/>
                <w:szCs w:val="20"/>
                <w:color w:val="auto"/>
              </w:rPr>
            </w:pPr>
            <w:r>
              <w:rPr>
                <w:rFonts w:ascii="Arial" w:cs="Arial" w:eastAsia="Arial" w:hAnsi="Arial"/>
                <w:sz w:val="18"/>
                <w:szCs w:val="18"/>
                <w:color w:val="auto"/>
              </w:rPr>
              <w:t>Officer and Director</w:t>
            </w:r>
          </w:p>
        </w:tc>
      </w:tr>
      <w:tr>
        <w:trPr>
          <w:trHeight w:val="217"/>
        </w:trPr>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5620" w:type="dxa"/>
            <w:vAlign w:val="bottom"/>
            <w:gridSpan w:val="6"/>
          </w:tcPr>
          <w:p>
            <w:pPr>
              <w:spacing w:after="0"/>
              <w:rPr>
                <w:sz w:val="20"/>
                <w:szCs w:val="20"/>
                <w:color w:val="auto"/>
              </w:rPr>
            </w:pPr>
            <w:r>
              <w:rPr>
                <w:rFonts w:ascii="Arial" w:cs="Arial" w:eastAsia="Arial" w:hAnsi="Arial"/>
                <w:sz w:val="18"/>
                <w:szCs w:val="18"/>
                <w:color w:val="auto"/>
              </w:rPr>
              <w:t>(Principal Executive Officer)</w:t>
            </w:r>
          </w:p>
        </w:tc>
      </w:tr>
      <w:tr>
        <w:trPr>
          <w:trHeight w:val="365"/>
        </w:trPr>
        <w:tc>
          <w:tcPr>
            <w:tcW w:w="100" w:type="dxa"/>
            <w:vAlign w:val="bottom"/>
          </w:tcPr>
          <w:p>
            <w:pPr>
              <w:spacing w:after="0"/>
              <w:rPr>
                <w:sz w:val="24"/>
                <w:szCs w:val="24"/>
                <w:color w:val="auto"/>
              </w:rPr>
            </w:pPr>
          </w:p>
        </w:tc>
        <w:tc>
          <w:tcPr>
            <w:tcW w:w="17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9"/>
              </w:rPr>
              <w:t>/s/ John B. Cozzolino</w:t>
            </w:r>
          </w:p>
        </w:tc>
        <w:tc>
          <w:tcPr>
            <w:tcW w:w="4000" w:type="dxa"/>
            <w:vAlign w:val="bottom"/>
            <w:gridSpan w:val="3"/>
          </w:tcPr>
          <w:p>
            <w:pPr>
              <w:spacing w:after="0"/>
              <w:rPr>
                <w:sz w:val="24"/>
                <w:szCs w:val="24"/>
                <w:color w:val="auto"/>
              </w:rPr>
            </w:pPr>
          </w:p>
        </w:tc>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/s/ David M. Pawlick</w:t>
            </w:r>
          </w:p>
        </w:tc>
        <w:tc>
          <w:tcPr>
            <w:tcW w:w="4000" w:type="dxa"/>
            <w:vAlign w:val="bottom"/>
            <w:gridSpan w:val="4"/>
          </w:tcPr>
          <w:p>
            <w:pPr>
              <w:spacing w:after="0"/>
              <w:rPr>
                <w:sz w:val="24"/>
                <w:szCs w:val="24"/>
                <w:color w:val="auto"/>
              </w:rPr>
            </w:pPr>
          </w:p>
        </w:tc>
      </w:tr>
      <w:tr>
        <w:trPr>
          <w:trHeight w:val="209"/>
        </w:trPr>
        <w:tc>
          <w:tcPr>
            <w:tcW w:w="100" w:type="dxa"/>
            <w:vAlign w:val="bottom"/>
          </w:tcPr>
          <w:p>
            <w:pPr>
              <w:spacing w:after="0"/>
              <w:rPr>
                <w:sz w:val="18"/>
                <w:szCs w:val="18"/>
                <w:color w:val="auto"/>
              </w:rPr>
            </w:pPr>
          </w:p>
        </w:tc>
        <w:tc>
          <w:tcPr>
            <w:tcW w:w="5700" w:type="dxa"/>
            <w:vAlign w:val="bottom"/>
            <w:gridSpan w:val="6"/>
          </w:tcPr>
          <w:p>
            <w:pPr>
              <w:spacing w:after="0"/>
              <w:rPr>
                <w:sz w:val="20"/>
                <w:szCs w:val="20"/>
                <w:color w:val="auto"/>
              </w:rPr>
            </w:pPr>
            <w:r>
              <w:rPr>
                <w:rFonts w:ascii="Arial" w:cs="Arial" w:eastAsia="Arial" w:hAnsi="Arial"/>
                <w:sz w:val="18"/>
                <w:szCs w:val="18"/>
                <w:color w:val="auto"/>
              </w:rPr>
              <w:t>John B. Cozzolino</w:t>
            </w:r>
          </w:p>
        </w:tc>
        <w:tc>
          <w:tcPr>
            <w:tcW w:w="5620" w:type="dxa"/>
            <w:vAlign w:val="bottom"/>
            <w:gridSpan w:val="6"/>
          </w:tcPr>
          <w:p>
            <w:pPr>
              <w:spacing w:after="0"/>
              <w:rPr>
                <w:sz w:val="20"/>
                <w:szCs w:val="20"/>
                <w:color w:val="auto"/>
              </w:rPr>
            </w:pPr>
            <w:r>
              <w:rPr>
                <w:rFonts w:ascii="Arial" w:cs="Arial" w:eastAsia="Arial" w:hAnsi="Arial"/>
                <w:sz w:val="18"/>
                <w:szCs w:val="18"/>
                <w:color w:val="auto"/>
              </w:rPr>
              <w:t>David M. Pawlick</w:t>
            </w:r>
          </w:p>
        </w:tc>
      </w:tr>
      <w:tr>
        <w:trPr>
          <w:trHeight w:val="203"/>
        </w:trPr>
        <w:tc>
          <w:tcPr>
            <w:tcW w:w="100" w:type="dxa"/>
            <w:vAlign w:val="bottom"/>
          </w:tcPr>
          <w:p>
            <w:pPr>
              <w:spacing w:after="0"/>
              <w:rPr>
                <w:sz w:val="17"/>
                <w:szCs w:val="17"/>
                <w:color w:val="auto"/>
              </w:rPr>
            </w:pPr>
          </w:p>
        </w:tc>
        <w:tc>
          <w:tcPr>
            <w:tcW w:w="5700" w:type="dxa"/>
            <w:vAlign w:val="bottom"/>
            <w:gridSpan w:val="6"/>
          </w:tcPr>
          <w:p>
            <w:pPr>
              <w:spacing w:after="0" w:line="202" w:lineRule="exact"/>
              <w:rPr>
                <w:sz w:val="20"/>
                <w:szCs w:val="20"/>
                <w:color w:val="auto"/>
              </w:rPr>
            </w:pPr>
            <w:r>
              <w:rPr>
                <w:rFonts w:ascii="Arial" w:cs="Arial" w:eastAsia="Arial" w:hAnsi="Arial"/>
                <w:sz w:val="18"/>
                <w:szCs w:val="18"/>
                <w:color w:val="auto"/>
              </w:rPr>
              <w:t>Chief Financial Officer and Treasurer</w:t>
            </w:r>
          </w:p>
        </w:tc>
        <w:tc>
          <w:tcPr>
            <w:tcW w:w="5620" w:type="dxa"/>
            <w:vAlign w:val="bottom"/>
            <w:gridSpan w:val="6"/>
          </w:tcPr>
          <w:p>
            <w:pPr>
              <w:spacing w:after="0" w:line="202" w:lineRule="exact"/>
              <w:rPr>
                <w:sz w:val="20"/>
                <w:szCs w:val="20"/>
                <w:color w:val="auto"/>
              </w:rPr>
            </w:pPr>
            <w:r>
              <w:rPr>
                <w:rFonts w:ascii="Arial" w:cs="Arial" w:eastAsia="Arial" w:hAnsi="Arial"/>
                <w:sz w:val="18"/>
                <w:szCs w:val="18"/>
                <w:color w:val="auto"/>
              </w:rPr>
              <w:t>Vice President - Controller</w:t>
            </w:r>
          </w:p>
        </w:tc>
      </w:tr>
      <w:tr>
        <w:trPr>
          <w:trHeight w:val="217"/>
        </w:trPr>
        <w:tc>
          <w:tcPr>
            <w:tcW w:w="100" w:type="dxa"/>
            <w:vAlign w:val="bottom"/>
          </w:tcPr>
          <w:p>
            <w:pPr>
              <w:spacing w:after="0"/>
              <w:rPr>
                <w:sz w:val="18"/>
                <w:szCs w:val="18"/>
                <w:color w:val="auto"/>
              </w:rPr>
            </w:pPr>
          </w:p>
        </w:tc>
        <w:tc>
          <w:tcPr>
            <w:tcW w:w="5700" w:type="dxa"/>
            <w:vAlign w:val="bottom"/>
            <w:gridSpan w:val="6"/>
          </w:tcPr>
          <w:p>
            <w:pPr>
              <w:spacing w:after="0"/>
              <w:rPr>
                <w:sz w:val="20"/>
                <w:szCs w:val="20"/>
                <w:color w:val="auto"/>
              </w:rPr>
            </w:pPr>
            <w:r>
              <w:rPr>
                <w:rFonts w:ascii="Arial" w:cs="Arial" w:eastAsia="Arial" w:hAnsi="Arial"/>
                <w:sz w:val="18"/>
                <w:szCs w:val="18"/>
                <w:color w:val="auto"/>
              </w:rPr>
              <w:t>(Principal Financial Officer)</w:t>
            </w:r>
          </w:p>
        </w:tc>
        <w:tc>
          <w:tcPr>
            <w:tcW w:w="5620" w:type="dxa"/>
            <w:vAlign w:val="bottom"/>
            <w:gridSpan w:val="6"/>
          </w:tcPr>
          <w:p>
            <w:pPr>
              <w:spacing w:after="0"/>
              <w:rPr>
                <w:sz w:val="20"/>
                <w:szCs w:val="20"/>
                <w:color w:val="auto"/>
              </w:rPr>
            </w:pPr>
            <w:r>
              <w:rPr>
                <w:rFonts w:ascii="Arial" w:cs="Arial" w:eastAsia="Arial" w:hAnsi="Arial"/>
                <w:sz w:val="18"/>
                <w:szCs w:val="18"/>
                <w:color w:val="auto"/>
              </w:rPr>
              <w:t>(Principal Accounting Officer)</w:t>
            </w:r>
          </w:p>
        </w:tc>
      </w:tr>
      <w:tr>
        <w:trPr>
          <w:trHeight w:val="365"/>
        </w:trPr>
        <w:tc>
          <w:tcPr>
            <w:tcW w:w="100" w:type="dxa"/>
            <w:vAlign w:val="bottom"/>
          </w:tcPr>
          <w:p>
            <w:pPr>
              <w:spacing w:after="0"/>
              <w:rPr>
                <w:sz w:val="24"/>
                <w:szCs w:val="24"/>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w w:val="99"/>
              </w:rPr>
              <w:t>/s/ John C. Standish</w:t>
            </w:r>
          </w:p>
        </w:tc>
        <w:tc>
          <w:tcPr>
            <w:tcW w:w="4080" w:type="dxa"/>
            <w:vAlign w:val="bottom"/>
            <w:gridSpan w:val="4"/>
          </w:tcPr>
          <w:p>
            <w:pPr>
              <w:spacing w:after="0"/>
              <w:rPr>
                <w:sz w:val="24"/>
                <w:szCs w:val="24"/>
                <w:color w:val="auto"/>
              </w:rPr>
            </w:pPr>
          </w:p>
        </w:tc>
        <w:tc>
          <w:tcPr>
            <w:tcW w:w="5620" w:type="dxa"/>
            <w:vAlign w:val="bottom"/>
            <w:gridSpan w:val="6"/>
          </w:tcPr>
          <w:p>
            <w:pPr>
              <w:spacing w:after="0"/>
              <w:rPr>
                <w:sz w:val="20"/>
                <w:szCs w:val="20"/>
                <w:color w:val="auto"/>
              </w:rPr>
            </w:pPr>
            <w:r>
              <w:rPr>
                <w:rFonts w:ascii="Arial" w:cs="Arial" w:eastAsia="Arial" w:hAnsi="Arial"/>
                <w:sz w:val="18"/>
                <w:szCs w:val="18"/>
                <w:color w:val="auto"/>
              </w:rPr>
              <w:t>/s/ Christine L. Standish</w:t>
            </w:r>
          </w:p>
        </w:tc>
      </w:tr>
      <w:tr>
        <w:trPr>
          <w:trHeight w:val="209"/>
        </w:trPr>
        <w:tc>
          <w:tcPr>
            <w:tcW w:w="100" w:type="dxa"/>
            <w:vAlign w:val="bottom"/>
          </w:tcPr>
          <w:p>
            <w:pPr>
              <w:spacing w:after="0"/>
              <w:rPr>
                <w:sz w:val="18"/>
                <w:szCs w:val="18"/>
                <w:color w:val="auto"/>
              </w:rPr>
            </w:pPr>
          </w:p>
        </w:tc>
        <w:tc>
          <w:tcPr>
            <w:tcW w:w="16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John C. Standish</w:t>
            </w:r>
          </w:p>
        </w:tc>
        <w:tc>
          <w:tcPr>
            <w:tcW w:w="4080" w:type="dxa"/>
            <w:vAlign w:val="bottom"/>
            <w:gridSpan w:val="4"/>
          </w:tcPr>
          <w:p>
            <w:pPr>
              <w:spacing w:after="0"/>
              <w:rPr>
                <w:sz w:val="18"/>
                <w:szCs w:val="18"/>
                <w:color w:val="auto"/>
              </w:rPr>
            </w:pPr>
          </w:p>
        </w:tc>
        <w:tc>
          <w:tcPr>
            <w:tcW w:w="190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Christine L. Standish</w:t>
            </w:r>
          </w:p>
        </w:tc>
        <w:tc>
          <w:tcPr>
            <w:tcW w:w="3720" w:type="dxa"/>
            <w:vAlign w:val="bottom"/>
          </w:tcPr>
          <w:p>
            <w:pPr>
              <w:spacing w:after="0"/>
              <w:rPr>
                <w:sz w:val="18"/>
                <w:szCs w:val="18"/>
                <w:color w:val="auto"/>
              </w:rPr>
            </w:pPr>
          </w:p>
        </w:tc>
      </w:tr>
      <w:tr>
        <w:trPr>
          <w:trHeight w:val="217"/>
        </w:trPr>
        <w:tc>
          <w:tcPr>
            <w:tcW w:w="100" w:type="dxa"/>
            <w:vAlign w:val="bottom"/>
          </w:tcPr>
          <w:p>
            <w:pPr>
              <w:spacing w:after="0"/>
              <w:rPr>
                <w:sz w:val="18"/>
                <w:szCs w:val="18"/>
                <w:color w:val="auto"/>
              </w:rPr>
            </w:pPr>
          </w:p>
        </w:tc>
        <w:tc>
          <w:tcPr>
            <w:tcW w:w="5700" w:type="dxa"/>
            <w:vAlign w:val="bottom"/>
            <w:gridSpan w:val="6"/>
          </w:tcPr>
          <w:p>
            <w:pPr>
              <w:spacing w:after="0"/>
              <w:rPr>
                <w:sz w:val="20"/>
                <w:szCs w:val="20"/>
                <w:color w:val="auto"/>
              </w:rPr>
            </w:pPr>
            <w:r>
              <w:rPr>
                <w:rFonts w:ascii="Arial" w:cs="Arial" w:eastAsia="Arial" w:hAnsi="Arial"/>
                <w:sz w:val="18"/>
                <w:szCs w:val="18"/>
                <w:color w:val="auto"/>
              </w:rPr>
              <w:t>Vice Chairman of the Board and Director</w:t>
            </w:r>
          </w:p>
        </w:tc>
        <w:tc>
          <w:tcPr>
            <w:tcW w:w="5620" w:type="dxa"/>
            <w:vAlign w:val="bottom"/>
            <w:gridSpan w:val="6"/>
          </w:tcPr>
          <w:p>
            <w:pPr>
              <w:spacing w:after="0"/>
              <w:rPr>
                <w:sz w:val="20"/>
                <w:szCs w:val="20"/>
                <w:color w:val="auto"/>
              </w:rPr>
            </w:pPr>
            <w:r>
              <w:rPr>
                <w:rFonts w:ascii="Arial" w:cs="Arial" w:eastAsia="Arial" w:hAnsi="Arial"/>
                <w:sz w:val="18"/>
                <w:szCs w:val="18"/>
                <w:color w:val="auto"/>
              </w:rPr>
              <w:t>Director</w:t>
            </w:r>
          </w:p>
        </w:tc>
      </w:tr>
      <w:tr>
        <w:trPr>
          <w:trHeight w:val="365"/>
        </w:trPr>
        <w:tc>
          <w:tcPr>
            <w:tcW w:w="100" w:type="dxa"/>
            <w:vAlign w:val="bottom"/>
          </w:tcPr>
          <w:p>
            <w:pPr>
              <w:spacing w:after="0"/>
              <w:rPr>
                <w:sz w:val="24"/>
                <w:szCs w:val="24"/>
                <w:color w:val="auto"/>
              </w:rPr>
            </w:pPr>
          </w:p>
        </w:tc>
        <w:tc>
          <w:tcPr>
            <w:tcW w:w="5700" w:type="dxa"/>
            <w:vAlign w:val="bottom"/>
            <w:gridSpan w:val="6"/>
          </w:tcPr>
          <w:p>
            <w:pPr>
              <w:spacing w:after="0"/>
              <w:rPr>
                <w:sz w:val="20"/>
                <w:szCs w:val="20"/>
                <w:color w:val="auto"/>
              </w:rPr>
            </w:pPr>
            <w:r>
              <w:rPr>
                <w:rFonts w:ascii="Arial" w:cs="Arial" w:eastAsia="Arial" w:hAnsi="Arial"/>
                <w:sz w:val="18"/>
                <w:szCs w:val="18"/>
                <w:color w:val="auto"/>
              </w:rPr>
              <w:t>/s/ John R. Scannell</w:t>
            </w:r>
          </w:p>
        </w:tc>
        <w:tc>
          <w:tcPr>
            <w:tcW w:w="5620" w:type="dxa"/>
            <w:vAlign w:val="bottom"/>
            <w:gridSpan w:val="6"/>
          </w:tcPr>
          <w:p>
            <w:pPr>
              <w:spacing w:after="0"/>
              <w:rPr>
                <w:sz w:val="20"/>
                <w:szCs w:val="20"/>
                <w:color w:val="auto"/>
              </w:rPr>
            </w:pPr>
            <w:r>
              <w:rPr>
                <w:rFonts w:ascii="Arial" w:cs="Arial" w:eastAsia="Arial" w:hAnsi="Arial"/>
                <w:sz w:val="18"/>
                <w:szCs w:val="18"/>
                <w:color w:val="auto"/>
              </w:rPr>
              <w:t>/s/ Katharine L. Plourde</w:t>
            </w:r>
          </w:p>
        </w:tc>
      </w:tr>
      <w:tr>
        <w:trPr>
          <w:trHeight w:val="209"/>
        </w:trPr>
        <w:tc>
          <w:tcPr>
            <w:tcW w:w="100" w:type="dxa"/>
            <w:vAlign w:val="bottom"/>
          </w:tcPr>
          <w:p>
            <w:pPr>
              <w:spacing w:after="0"/>
              <w:rPr>
                <w:sz w:val="18"/>
                <w:szCs w:val="18"/>
                <w:color w:val="auto"/>
              </w:rPr>
            </w:pPr>
          </w:p>
        </w:tc>
        <w:tc>
          <w:tcPr>
            <w:tcW w:w="1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John R. Scannell</w:t>
            </w:r>
          </w:p>
        </w:tc>
        <w:tc>
          <w:tcPr>
            <w:tcW w:w="4100" w:type="dxa"/>
            <w:vAlign w:val="bottom"/>
            <w:gridSpan w:val="5"/>
          </w:tcPr>
          <w:p>
            <w:pPr>
              <w:spacing w:after="0"/>
              <w:rPr>
                <w:sz w:val="18"/>
                <w:szCs w:val="18"/>
                <w:color w:val="auto"/>
              </w:rPr>
            </w:pPr>
          </w:p>
        </w:tc>
        <w:tc>
          <w:tcPr>
            <w:tcW w:w="188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Katharine L. Plourde</w:t>
            </w:r>
          </w:p>
        </w:tc>
        <w:tc>
          <w:tcPr>
            <w:tcW w:w="3740" w:type="dxa"/>
            <w:vAlign w:val="bottom"/>
            <w:gridSpan w:val="2"/>
          </w:tcPr>
          <w:p>
            <w:pPr>
              <w:spacing w:after="0"/>
              <w:rPr>
                <w:sz w:val="18"/>
                <w:szCs w:val="18"/>
                <w:color w:val="auto"/>
              </w:rPr>
            </w:pPr>
          </w:p>
        </w:tc>
      </w:tr>
      <w:tr>
        <w:trPr>
          <w:trHeight w:val="217"/>
        </w:trPr>
        <w:tc>
          <w:tcPr>
            <w:tcW w:w="100" w:type="dxa"/>
            <w:vAlign w:val="bottom"/>
          </w:tcPr>
          <w:p>
            <w:pPr>
              <w:spacing w:after="0"/>
              <w:rPr>
                <w:sz w:val="18"/>
                <w:szCs w:val="18"/>
                <w:color w:val="auto"/>
              </w:rPr>
            </w:pPr>
          </w:p>
        </w:tc>
        <w:tc>
          <w:tcPr>
            <w:tcW w:w="5700" w:type="dxa"/>
            <w:vAlign w:val="bottom"/>
            <w:gridSpan w:val="6"/>
          </w:tcPr>
          <w:p>
            <w:pPr>
              <w:spacing w:after="0"/>
              <w:rPr>
                <w:sz w:val="20"/>
                <w:szCs w:val="20"/>
                <w:color w:val="auto"/>
              </w:rPr>
            </w:pPr>
            <w:r>
              <w:rPr>
                <w:rFonts w:ascii="Arial" w:cs="Arial" w:eastAsia="Arial" w:hAnsi="Arial"/>
                <w:sz w:val="18"/>
                <w:szCs w:val="18"/>
                <w:color w:val="auto"/>
              </w:rPr>
              <w:t>Director</w:t>
            </w:r>
          </w:p>
        </w:tc>
        <w:tc>
          <w:tcPr>
            <w:tcW w:w="5620" w:type="dxa"/>
            <w:vAlign w:val="bottom"/>
            <w:gridSpan w:val="6"/>
          </w:tcPr>
          <w:p>
            <w:pPr>
              <w:spacing w:after="0"/>
              <w:rPr>
                <w:sz w:val="20"/>
                <w:szCs w:val="20"/>
                <w:color w:val="auto"/>
              </w:rPr>
            </w:pPr>
            <w:r>
              <w:rPr>
                <w:rFonts w:ascii="Arial" w:cs="Arial" w:eastAsia="Arial" w:hAnsi="Arial"/>
                <w:sz w:val="18"/>
                <w:szCs w:val="18"/>
                <w:color w:val="auto"/>
              </w:rPr>
              <w:t>Director</w:t>
            </w:r>
          </w:p>
        </w:tc>
      </w:tr>
      <w:tr>
        <w:trPr>
          <w:trHeight w:val="365"/>
        </w:trPr>
        <w:tc>
          <w:tcPr>
            <w:tcW w:w="100" w:type="dxa"/>
            <w:vAlign w:val="bottom"/>
          </w:tcPr>
          <w:p>
            <w:pPr>
              <w:spacing w:after="0"/>
              <w:rPr>
                <w:sz w:val="24"/>
                <w:szCs w:val="24"/>
                <w:color w:val="auto"/>
              </w:rPr>
            </w:pPr>
          </w:p>
        </w:tc>
        <w:tc>
          <w:tcPr>
            <w:tcW w:w="176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7"/>
              </w:rPr>
              <w:t>/s/ John F. Cassidy, Jr</w:t>
            </w:r>
          </w:p>
        </w:tc>
        <w:tc>
          <w:tcPr>
            <w:tcW w:w="3940" w:type="dxa"/>
            <w:vAlign w:val="bottom"/>
            <w:gridSpan w:val="2"/>
          </w:tcPr>
          <w:p>
            <w:pPr>
              <w:spacing w:after="0"/>
              <w:rPr>
                <w:sz w:val="24"/>
                <w:szCs w:val="24"/>
                <w:color w:val="auto"/>
              </w:rPr>
            </w:pPr>
          </w:p>
        </w:tc>
        <w:tc>
          <w:tcPr>
            <w:tcW w:w="1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/s/ Edgar G. Hotard</w:t>
            </w:r>
          </w:p>
        </w:tc>
        <w:tc>
          <w:tcPr>
            <w:tcW w:w="4060" w:type="dxa"/>
            <w:vAlign w:val="bottom"/>
            <w:gridSpan w:val="5"/>
          </w:tcPr>
          <w:p>
            <w:pPr>
              <w:spacing w:after="0"/>
              <w:rPr>
                <w:sz w:val="24"/>
                <w:szCs w:val="24"/>
                <w:color w:val="auto"/>
              </w:rPr>
            </w:pPr>
          </w:p>
        </w:tc>
      </w:tr>
      <w:tr>
        <w:trPr>
          <w:trHeight w:val="209"/>
        </w:trPr>
        <w:tc>
          <w:tcPr>
            <w:tcW w:w="100" w:type="dxa"/>
            <w:vAlign w:val="bottom"/>
          </w:tcPr>
          <w:p>
            <w:pPr>
              <w:spacing w:after="0"/>
              <w:rPr>
                <w:sz w:val="18"/>
                <w:szCs w:val="18"/>
                <w:color w:val="auto"/>
              </w:rPr>
            </w:pPr>
          </w:p>
        </w:tc>
        <w:tc>
          <w:tcPr>
            <w:tcW w:w="5700" w:type="dxa"/>
            <w:vAlign w:val="bottom"/>
            <w:gridSpan w:val="6"/>
          </w:tcPr>
          <w:p>
            <w:pPr>
              <w:spacing w:after="0"/>
              <w:rPr>
                <w:sz w:val="20"/>
                <w:szCs w:val="20"/>
                <w:color w:val="auto"/>
              </w:rPr>
            </w:pPr>
            <w:r>
              <w:rPr>
                <w:rFonts w:ascii="Arial" w:cs="Arial" w:eastAsia="Arial" w:hAnsi="Arial"/>
                <w:sz w:val="18"/>
                <w:szCs w:val="18"/>
                <w:color w:val="auto"/>
              </w:rPr>
              <w:t>John F. Cassidy, Jr.</w:t>
            </w:r>
          </w:p>
        </w:tc>
        <w:tc>
          <w:tcPr>
            <w:tcW w:w="5620" w:type="dxa"/>
            <w:vAlign w:val="bottom"/>
            <w:gridSpan w:val="6"/>
          </w:tcPr>
          <w:p>
            <w:pPr>
              <w:spacing w:after="0"/>
              <w:rPr>
                <w:sz w:val="20"/>
                <w:szCs w:val="20"/>
                <w:color w:val="auto"/>
              </w:rPr>
            </w:pPr>
            <w:r>
              <w:rPr>
                <w:rFonts w:ascii="Arial" w:cs="Arial" w:eastAsia="Arial" w:hAnsi="Arial"/>
                <w:sz w:val="18"/>
                <w:szCs w:val="18"/>
                <w:color w:val="auto"/>
              </w:rPr>
              <w:t>Edgar G. Hotard</w:t>
            </w:r>
          </w:p>
        </w:tc>
      </w:tr>
      <w:tr>
        <w:trPr>
          <w:trHeight w:val="217"/>
        </w:trPr>
        <w:tc>
          <w:tcPr>
            <w:tcW w:w="100" w:type="dxa"/>
            <w:vAlign w:val="bottom"/>
          </w:tcPr>
          <w:p>
            <w:pPr>
              <w:spacing w:after="0"/>
              <w:rPr>
                <w:sz w:val="18"/>
                <w:szCs w:val="18"/>
                <w:color w:val="auto"/>
              </w:rPr>
            </w:pPr>
          </w:p>
        </w:tc>
        <w:tc>
          <w:tcPr>
            <w:tcW w:w="5700" w:type="dxa"/>
            <w:vAlign w:val="bottom"/>
            <w:gridSpan w:val="6"/>
          </w:tcPr>
          <w:p>
            <w:pPr>
              <w:spacing w:after="0"/>
              <w:rPr>
                <w:sz w:val="20"/>
                <w:szCs w:val="20"/>
                <w:color w:val="auto"/>
              </w:rPr>
            </w:pPr>
            <w:r>
              <w:rPr>
                <w:rFonts w:ascii="Arial" w:cs="Arial" w:eastAsia="Arial" w:hAnsi="Arial"/>
                <w:sz w:val="18"/>
                <w:szCs w:val="18"/>
                <w:color w:val="auto"/>
              </w:rPr>
              <w:t>Director</w:t>
            </w:r>
          </w:p>
        </w:tc>
        <w:tc>
          <w:tcPr>
            <w:tcW w:w="5620" w:type="dxa"/>
            <w:vAlign w:val="bottom"/>
            <w:gridSpan w:val="6"/>
          </w:tcPr>
          <w:p>
            <w:pPr>
              <w:spacing w:after="0"/>
              <w:rPr>
                <w:sz w:val="20"/>
                <w:szCs w:val="20"/>
                <w:color w:val="auto"/>
              </w:rPr>
            </w:pPr>
            <w:r>
              <w:rPr>
                <w:rFonts w:ascii="Arial" w:cs="Arial" w:eastAsia="Arial" w:hAnsi="Arial"/>
                <w:sz w:val="18"/>
                <w:szCs w:val="18"/>
                <w:color w:val="auto"/>
              </w:rPr>
              <w:t>Director</w:t>
            </w:r>
          </w:p>
        </w:tc>
      </w:tr>
      <w:tr>
        <w:trPr>
          <w:trHeight w:val="534"/>
        </w:trPr>
        <w:tc>
          <w:tcPr>
            <w:tcW w:w="1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b w:val="1"/>
          <w:bCs w:val="1"/>
          <w:color w:val="auto"/>
        </w:rPr>
        <w:t>Exhibit 31(a)</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Joseph G. Morone, certify that:</w:t>
      </w:r>
    </w:p>
    <w:p>
      <w:pPr>
        <w:spacing w:after="0" w:line="171" w:lineRule="exact"/>
        <w:rPr>
          <w:sz w:val="20"/>
          <w:szCs w:val="20"/>
          <w:color w:val="auto"/>
        </w:rPr>
      </w:pPr>
    </w:p>
    <w:p>
      <w:pPr>
        <w:ind w:left="1300" w:hanging="644"/>
        <w:spacing w:after="0"/>
        <w:tabs>
          <w:tab w:leader="none" w:pos="13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 have reviewed this report on Form 10-K of Albany International Corp.;</w:t>
      </w:r>
    </w:p>
    <w:p>
      <w:pPr>
        <w:spacing w:after="0" w:line="171" w:lineRule="exact"/>
        <w:rPr>
          <w:rFonts w:ascii="Arial" w:cs="Arial" w:eastAsia="Arial" w:hAnsi="Arial"/>
          <w:sz w:val="18"/>
          <w:szCs w:val="18"/>
          <w:color w:val="auto"/>
        </w:rPr>
      </w:pPr>
    </w:p>
    <w:p>
      <w:pPr>
        <w:ind w:left="1300" w:right="340" w:hanging="644"/>
        <w:spacing w:after="0"/>
        <w:tabs>
          <w:tab w:leader="none" w:pos="13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Arial" w:cs="Arial" w:eastAsia="Arial" w:hAnsi="Arial"/>
          <w:sz w:val="18"/>
          <w:szCs w:val="18"/>
          <w:color w:val="auto"/>
        </w:rPr>
      </w:pPr>
    </w:p>
    <w:p>
      <w:pPr>
        <w:ind w:left="1300" w:right="340" w:hanging="644"/>
        <w:spacing w:after="0"/>
        <w:tabs>
          <w:tab w:leader="none" w:pos="13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Arial" w:cs="Arial" w:eastAsia="Arial" w:hAnsi="Arial"/>
          <w:sz w:val="18"/>
          <w:szCs w:val="18"/>
          <w:color w:val="auto"/>
        </w:rPr>
      </w:pPr>
    </w:p>
    <w:p>
      <w:pPr>
        <w:ind w:left="1300" w:right="500" w:hanging="644"/>
        <w:spacing w:after="0"/>
        <w:tabs>
          <w:tab w:leader="none" w:pos="13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rFonts w:ascii="Arial" w:cs="Arial" w:eastAsia="Arial" w:hAnsi="Arial"/>
          <w:sz w:val="18"/>
          <w:szCs w:val="18"/>
          <w:color w:val="auto"/>
        </w:rPr>
      </w:pPr>
    </w:p>
    <w:p>
      <w:pPr>
        <w:ind w:left="1620" w:right="140" w:hanging="315"/>
        <w:spacing w:after="0"/>
        <w:tabs>
          <w:tab w:leader="none" w:pos="162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Arial" w:cs="Arial" w:eastAsia="Arial" w:hAnsi="Arial"/>
          <w:sz w:val="18"/>
          <w:szCs w:val="18"/>
          <w:color w:val="auto"/>
        </w:rPr>
      </w:pPr>
    </w:p>
    <w:p>
      <w:pPr>
        <w:ind w:left="1620" w:right="380" w:hanging="315"/>
        <w:spacing w:after="0"/>
        <w:tabs>
          <w:tab w:leader="none" w:pos="162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Arial" w:cs="Arial" w:eastAsia="Arial" w:hAnsi="Arial"/>
          <w:sz w:val="18"/>
          <w:szCs w:val="18"/>
          <w:color w:val="auto"/>
        </w:rPr>
      </w:pPr>
    </w:p>
    <w:p>
      <w:pPr>
        <w:ind w:left="1620" w:right="160" w:hanging="315"/>
        <w:spacing w:after="0"/>
        <w:tabs>
          <w:tab w:leader="none" w:pos="162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Arial" w:cs="Arial" w:eastAsia="Arial" w:hAnsi="Arial"/>
          <w:sz w:val="18"/>
          <w:szCs w:val="18"/>
          <w:color w:val="auto"/>
        </w:rPr>
      </w:pPr>
    </w:p>
    <w:p>
      <w:pPr>
        <w:ind w:left="1620" w:right="220" w:hanging="315"/>
        <w:spacing w:after="0"/>
        <w:tabs>
          <w:tab w:leader="none" w:pos="162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Arial" w:cs="Arial" w:eastAsia="Arial" w:hAnsi="Arial"/>
          <w:sz w:val="18"/>
          <w:szCs w:val="18"/>
          <w:color w:val="auto"/>
        </w:rPr>
      </w:pPr>
    </w:p>
    <w:p>
      <w:pPr>
        <w:ind w:left="1300" w:right="360" w:hanging="644"/>
        <w:spacing w:after="0"/>
        <w:tabs>
          <w:tab w:leader="none" w:pos="13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Arial" w:cs="Arial" w:eastAsia="Arial" w:hAnsi="Arial"/>
          <w:sz w:val="18"/>
          <w:szCs w:val="18"/>
          <w:color w:val="auto"/>
        </w:rPr>
      </w:pPr>
    </w:p>
    <w:p>
      <w:pPr>
        <w:jc w:val="both"/>
        <w:ind w:left="1620" w:right="280" w:hanging="315"/>
        <w:spacing w:after="0"/>
        <w:tabs>
          <w:tab w:leader="none" w:pos="162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Arial" w:cs="Arial" w:eastAsia="Arial" w:hAnsi="Arial"/>
          <w:sz w:val="18"/>
          <w:szCs w:val="18"/>
          <w:color w:val="auto"/>
        </w:rPr>
      </w:pPr>
    </w:p>
    <w:p>
      <w:pPr>
        <w:ind w:left="1620" w:right="620" w:hanging="315"/>
        <w:spacing w:after="0" w:line="246" w:lineRule="auto"/>
        <w:tabs>
          <w:tab w:leader="none" w:pos="162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2014</w:t>
      </w:r>
    </w:p>
    <w:tbl>
      <w:tblPr>
        <w:tblLayout w:type="fixed"/>
        <w:tblInd w:w="0" w:type="dxa"/>
        <w:tblCellMar>
          <w:top w:w="0" w:type="dxa"/>
          <w:left w:w="0" w:type="dxa"/>
          <w:bottom w:w="0" w:type="dxa"/>
          <w:right w:w="0" w:type="dxa"/>
        </w:tblCellMar>
      </w:tblPr>
      <w:tr>
        <w:trPr>
          <w:trHeight w:val="176"/>
        </w:trPr>
        <w:tc>
          <w:tcPr>
            <w:tcW w:w="6960" w:type="dxa"/>
            <w:vAlign w:val="bottom"/>
          </w:tcPr>
          <w:p>
            <w:pPr>
              <w:ind w:left="6380"/>
              <w:spacing w:after="0" w:line="176" w:lineRule="exact"/>
              <w:rPr>
                <w:sz w:val="20"/>
                <w:szCs w:val="20"/>
                <w:color w:val="auto"/>
              </w:rPr>
            </w:pPr>
            <w:r>
              <w:rPr>
                <w:rFonts w:ascii="Arial" w:cs="Arial" w:eastAsia="Arial" w:hAnsi="Arial"/>
                <w:sz w:val="18"/>
                <w:szCs w:val="18"/>
                <w:color w:val="auto"/>
              </w:rPr>
              <w:t>By</w:t>
            </w:r>
          </w:p>
        </w:tc>
        <w:tc>
          <w:tcPr>
            <w:tcW w:w="172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w w:val="98"/>
              </w:rPr>
              <w:t>/s/ Joseph G. Morone</w:t>
            </w:r>
          </w:p>
        </w:tc>
        <w:tc>
          <w:tcPr>
            <w:tcW w:w="2740" w:type="dxa"/>
            <w:vAlign w:val="bottom"/>
          </w:tcPr>
          <w:p>
            <w:pPr>
              <w:spacing w:after="0"/>
              <w:rPr>
                <w:sz w:val="15"/>
                <w:szCs w:val="15"/>
                <w:color w:val="auto"/>
              </w:rPr>
            </w:pPr>
          </w:p>
        </w:tc>
      </w:tr>
      <w:tr>
        <w:trPr>
          <w:trHeight w:val="209"/>
        </w:trPr>
        <w:tc>
          <w:tcPr>
            <w:tcW w:w="69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Joseph G. Morone</w:t>
            </w:r>
          </w:p>
        </w:tc>
      </w:tr>
      <w:tr>
        <w:trPr>
          <w:trHeight w:val="203"/>
        </w:trPr>
        <w:tc>
          <w:tcPr>
            <w:tcW w:w="6960" w:type="dxa"/>
            <w:vAlign w:val="bottom"/>
          </w:tcPr>
          <w:p>
            <w:pPr>
              <w:spacing w:after="0"/>
              <w:rPr>
                <w:sz w:val="17"/>
                <w:szCs w:val="17"/>
                <w:color w:val="auto"/>
              </w:rPr>
            </w:pPr>
          </w:p>
        </w:tc>
        <w:tc>
          <w:tcPr>
            <w:tcW w:w="4460" w:type="dxa"/>
            <w:vAlign w:val="bottom"/>
            <w:gridSpan w:val="2"/>
          </w:tcPr>
          <w:p>
            <w:pPr>
              <w:spacing w:after="0" w:line="202" w:lineRule="exact"/>
              <w:rPr>
                <w:sz w:val="20"/>
                <w:szCs w:val="20"/>
                <w:color w:val="auto"/>
              </w:rPr>
            </w:pPr>
            <w:r>
              <w:rPr>
                <w:rFonts w:ascii="Arial" w:cs="Arial" w:eastAsia="Arial" w:hAnsi="Arial"/>
                <w:sz w:val="18"/>
                <w:szCs w:val="18"/>
                <w:color w:val="auto"/>
              </w:rPr>
              <w:t>President and Chief Executive Officer</w:t>
            </w:r>
          </w:p>
        </w:tc>
      </w:tr>
      <w:tr>
        <w:trPr>
          <w:trHeight w:val="217"/>
        </w:trPr>
        <w:tc>
          <w:tcPr>
            <w:tcW w:w="69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r>
      <w:tr>
        <w:trPr>
          <w:trHeight w:val="331"/>
        </w:trPr>
        <w:tc>
          <w:tcPr>
            <w:tcW w:w="69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6" w:right="2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b w:val="1"/>
          <w:bCs w:val="1"/>
          <w:color w:val="auto"/>
        </w:rPr>
        <w:t>Exhibit 31(b)</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 John B. Cozzolino, certify that:</w:t>
      </w:r>
    </w:p>
    <w:p>
      <w:pPr>
        <w:spacing w:after="0" w:line="185" w:lineRule="exact"/>
        <w:rPr>
          <w:sz w:val="20"/>
          <w:szCs w:val="20"/>
          <w:color w:val="auto"/>
        </w:rPr>
      </w:pPr>
    </w:p>
    <w:p>
      <w:pPr>
        <w:ind w:left="1300" w:hanging="644"/>
        <w:spacing w:after="0"/>
        <w:tabs>
          <w:tab w:leader="none" w:pos="13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 have reviewed this report on Form 10-K of Albany International Corp.;</w:t>
      </w:r>
    </w:p>
    <w:p>
      <w:pPr>
        <w:spacing w:after="0" w:line="171" w:lineRule="exact"/>
        <w:rPr>
          <w:rFonts w:ascii="Arial" w:cs="Arial" w:eastAsia="Arial" w:hAnsi="Arial"/>
          <w:sz w:val="18"/>
          <w:szCs w:val="18"/>
          <w:color w:val="auto"/>
        </w:rPr>
      </w:pPr>
    </w:p>
    <w:p>
      <w:pPr>
        <w:ind w:left="1300" w:right="340" w:hanging="644"/>
        <w:spacing w:after="0"/>
        <w:tabs>
          <w:tab w:leader="none" w:pos="13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Arial" w:cs="Arial" w:eastAsia="Arial" w:hAnsi="Arial"/>
          <w:sz w:val="18"/>
          <w:szCs w:val="18"/>
          <w:color w:val="auto"/>
        </w:rPr>
      </w:pPr>
    </w:p>
    <w:p>
      <w:pPr>
        <w:ind w:left="1300" w:right="340" w:hanging="644"/>
        <w:spacing w:after="0"/>
        <w:tabs>
          <w:tab w:leader="none" w:pos="13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Arial" w:cs="Arial" w:eastAsia="Arial" w:hAnsi="Arial"/>
          <w:sz w:val="18"/>
          <w:szCs w:val="18"/>
          <w:color w:val="auto"/>
        </w:rPr>
      </w:pPr>
    </w:p>
    <w:p>
      <w:pPr>
        <w:ind w:left="1300" w:right="500" w:hanging="644"/>
        <w:spacing w:after="0"/>
        <w:tabs>
          <w:tab w:leader="none" w:pos="13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rFonts w:ascii="Arial" w:cs="Arial" w:eastAsia="Arial" w:hAnsi="Arial"/>
          <w:sz w:val="18"/>
          <w:szCs w:val="18"/>
          <w:color w:val="auto"/>
        </w:rPr>
      </w:pPr>
    </w:p>
    <w:p>
      <w:pPr>
        <w:ind w:left="1620" w:right="140" w:hanging="315"/>
        <w:spacing w:after="0"/>
        <w:tabs>
          <w:tab w:leader="none" w:pos="162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ind w:left="1620" w:right="380" w:hanging="315"/>
        <w:spacing w:after="0"/>
        <w:tabs>
          <w:tab w:leader="none" w:pos="162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Arial" w:cs="Arial" w:eastAsia="Arial" w:hAnsi="Arial"/>
          <w:sz w:val="18"/>
          <w:szCs w:val="18"/>
          <w:color w:val="auto"/>
        </w:rPr>
      </w:pPr>
    </w:p>
    <w:p>
      <w:pPr>
        <w:ind w:left="1620" w:right="160" w:hanging="315"/>
        <w:spacing w:after="0"/>
        <w:tabs>
          <w:tab w:leader="none" w:pos="162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Arial" w:cs="Arial" w:eastAsia="Arial" w:hAnsi="Arial"/>
          <w:sz w:val="18"/>
          <w:szCs w:val="18"/>
          <w:color w:val="auto"/>
        </w:rPr>
      </w:pPr>
    </w:p>
    <w:p>
      <w:pPr>
        <w:ind w:left="1620" w:right="220" w:hanging="315"/>
        <w:spacing w:after="0"/>
        <w:tabs>
          <w:tab w:leader="none" w:pos="162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8"/>
          <w:szCs w:val="18"/>
          <w:color w:val="auto"/>
        </w:rPr>
      </w:pPr>
    </w:p>
    <w:p>
      <w:pPr>
        <w:ind w:left="1300" w:right="360" w:hanging="644"/>
        <w:spacing w:after="0"/>
        <w:tabs>
          <w:tab w:leader="none" w:pos="13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Arial" w:cs="Arial" w:eastAsia="Arial" w:hAnsi="Arial"/>
          <w:sz w:val="18"/>
          <w:szCs w:val="18"/>
          <w:color w:val="auto"/>
        </w:rPr>
      </w:pPr>
    </w:p>
    <w:p>
      <w:pPr>
        <w:jc w:val="both"/>
        <w:ind w:left="1620" w:right="280" w:hanging="315"/>
        <w:spacing w:after="0"/>
        <w:tabs>
          <w:tab w:leader="none" w:pos="162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Arial" w:cs="Arial" w:eastAsia="Arial" w:hAnsi="Arial"/>
          <w:sz w:val="18"/>
          <w:szCs w:val="18"/>
          <w:color w:val="auto"/>
        </w:rPr>
      </w:pPr>
    </w:p>
    <w:p>
      <w:pPr>
        <w:ind w:left="1620" w:right="620" w:hanging="315"/>
        <w:spacing w:after="0" w:line="246" w:lineRule="auto"/>
        <w:tabs>
          <w:tab w:leader="none" w:pos="162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2014</w:t>
      </w:r>
    </w:p>
    <w:tbl>
      <w:tblPr>
        <w:tblLayout w:type="fixed"/>
        <w:tblInd w:w="0" w:type="dxa"/>
        <w:tblCellMar>
          <w:top w:w="0" w:type="dxa"/>
          <w:left w:w="0" w:type="dxa"/>
          <w:bottom w:w="0" w:type="dxa"/>
          <w:right w:w="0" w:type="dxa"/>
        </w:tblCellMar>
      </w:tblPr>
      <w:tr>
        <w:trPr>
          <w:trHeight w:val="176"/>
        </w:trPr>
        <w:tc>
          <w:tcPr>
            <w:tcW w:w="6960" w:type="dxa"/>
            <w:vAlign w:val="bottom"/>
          </w:tcPr>
          <w:p>
            <w:pPr>
              <w:ind w:left="6380"/>
              <w:spacing w:after="0" w:line="176" w:lineRule="exact"/>
              <w:rPr>
                <w:sz w:val="20"/>
                <w:szCs w:val="20"/>
                <w:color w:val="auto"/>
              </w:rPr>
            </w:pPr>
            <w:r>
              <w:rPr>
                <w:rFonts w:ascii="Arial" w:cs="Arial" w:eastAsia="Arial" w:hAnsi="Arial"/>
                <w:sz w:val="18"/>
                <w:szCs w:val="18"/>
                <w:color w:val="auto"/>
              </w:rPr>
              <w:t>By</w:t>
            </w:r>
          </w:p>
        </w:tc>
        <w:tc>
          <w:tcPr>
            <w:tcW w:w="4460" w:type="dxa"/>
            <w:vAlign w:val="bottom"/>
            <w:gridSpan w:val="2"/>
          </w:tcPr>
          <w:p>
            <w:pPr>
              <w:spacing w:after="0" w:line="176" w:lineRule="exact"/>
              <w:rPr>
                <w:sz w:val="20"/>
                <w:szCs w:val="20"/>
                <w:color w:val="auto"/>
              </w:rPr>
            </w:pPr>
            <w:r>
              <w:rPr>
                <w:rFonts w:ascii="Arial" w:cs="Arial" w:eastAsia="Arial" w:hAnsi="Arial"/>
                <w:sz w:val="18"/>
                <w:szCs w:val="18"/>
                <w:color w:val="auto"/>
              </w:rPr>
              <w:t>/s/ John B. Cozzolino</w:t>
            </w:r>
          </w:p>
        </w:tc>
      </w:tr>
      <w:tr>
        <w:trPr>
          <w:trHeight w:val="209"/>
        </w:trPr>
        <w:tc>
          <w:tcPr>
            <w:tcW w:w="6960" w:type="dxa"/>
            <w:vAlign w:val="bottom"/>
          </w:tcPr>
          <w:p>
            <w:pPr>
              <w:spacing w:after="0"/>
              <w:rPr>
                <w:sz w:val="18"/>
                <w:szCs w:val="18"/>
                <w:color w:val="auto"/>
              </w:rPr>
            </w:pPr>
          </w:p>
        </w:tc>
        <w:tc>
          <w:tcPr>
            <w:tcW w:w="1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John B. Cozzolino</w:t>
            </w:r>
          </w:p>
        </w:tc>
        <w:tc>
          <w:tcPr>
            <w:tcW w:w="2780" w:type="dxa"/>
            <w:vAlign w:val="bottom"/>
          </w:tcPr>
          <w:p>
            <w:pPr>
              <w:spacing w:after="0"/>
              <w:rPr>
                <w:sz w:val="18"/>
                <w:szCs w:val="18"/>
                <w:color w:val="auto"/>
              </w:rPr>
            </w:pPr>
          </w:p>
        </w:tc>
      </w:tr>
      <w:tr>
        <w:trPr>
          <w:trHeight w:val="203"/>
        </w:trPr>
        <w:tc>
          <w:tcPr>
            <w:tcW w:w="6960" w:type="dxa"/>
            <w:vAlign w:val="bottom"/>
          </w:tcPr>
          <w:p>
            <w:pPr>
              <w:spacing w:after="0"/>
              <w:rPr>
                <w:sz w:val="17"/>
                <w:szCs w:val="17"/>
                <w:color w:val="auto"/>
              </w:rPr>
            </w:pPr>
          </w:p>
        </w:tc>
        <w:tc>
          <w:tcPr>
            <w:tcW w:w="4460" w:type="dxa"/>
            <w:vAlign w:val="bottom"/>
            <w:gridSpan w:val="2"/>
          </w:tcPr>
          <w:p>
            <w:pPr>
              <w:spacing w:after="0" w:line="202" w:lineRule="exact"/>
              <w:rPr>
                <w:sz w:val="20"/>
                <w:szCs w:val="20"/>
                <w:color w:val="auto"/>
              </w:rPr>
            </w:pPr>
            <w:r>
              <w:rPr>
                <w:rFonts w:ascii="Arial" w:cs="Arial" w:eastAsia="Arial" w:hAnsi="Arial"/>
                <w:sz w:val="18"/>
                <w:szCs w:val="18"/>
                <w:color w:val="auto"/>
              </w:rPr>
              <w:t>Chief Financial Officer and Treasurer</w:t>
            </w:r>
          </w:p>
        </w:tc>
      </w:tr>
      <w:tr>
        <w:trPr>
          <w:trHeight w:val="217"/>
        </w:trPr>
        <w:tc>
          <w:tcPr>
            <w:tcW w:w="69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(Principal Financial Officer)</w:t>
            </w:r>
          </w:p>
        </w:tc>
      </w:tr>
      <w:tr>
        <w:trPr>
          <w:trHeight w:val="331"/>
        </w:trPr>
        <w:tc>
          <w:tcPr>
            <w:tcW w:w="69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495" w:right="2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b w:val="1"/>
          <w:bCs w:val="1"/>
          <w:color w:val="auto"/>
        </w:rPr>
        <w:t>Exhibit 32(a)</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176"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Certification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198"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Joseph G. Morone, the Chief Executive Officer, and John B. Cozzolino, the Chief Financial Officer and Treasurer, of Albany International Corp., a Delaware corporation (“the Company”), do each hereby certify, to such officer’s knowledge, that the annual report on Form 10-K for the fiscal year ended December 31, 2013 (“the Form 10K”) of the Company fully complies with the requirements of Section 13(a) or 15(d) of the Securities Exchange Act of 1934 and the information contained in the Form 10-K fairly presents, in all material respects, the financial condition and results of operations of the Company for the period covered by the report.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26, 2014</w:t>
      </w:r>
    </w:p>
    <w:p>
      <w:pPr>
        <w:ind w:left="5200"/>
        <w:spacing w:after="0" w:line="234" w:lineRule="auto"/>
        <w:rPr>
          <w:sz w:val="20"/>
          <w:szCs w:val="20"/>
          <w:color w:val="auto"/>
        </w:rPr>
      </w:pPr>
      <w:r>
        <w:rPr>
          <w:rFonts w:ascii="Arial" w:cs="Arial" w:eastAsia="Arial" w:hAnsi="Arial"/>
          <w:sz w:val="18"/>
          <w:szCs w:val="18"/>
          <w:u w:val="single" w:color="auto"/>
          <w:color w:val="auto"/>
        </w:rPr>
        <w:t>/s/ Joseph G. Morone</w:t>
      </w:r>
    </w:p>
    <w:p>
      <w:pPr>
        <w:ind w:left="5200"/>
        <w:spacing w:after="0" w:line="235" w:lineRule="auto"/>
        <w:rPr>
          <w:sz w:val="20"/>
          <w:szCs w:val="20"/>
          <w:color w:val="auto"/>
        </w:rPr>
      </w:pPr>
      <w:r>
        <w:rPr>
          <w:rFonts w:ascii="Arial" w:cs="Arial" w:eastAsia="Arial" w:hAnsi="Arial"/>
          <w:sz w:val="18"/>
          <w:szCs w:val="18"/>
          <w:color w:val="auto"/>
        </w:rPr>
        <w:t>Joseph G. Morone</w:t>
      </w:r>
    </w:p>
    <w:p>
      <w:pPr>
        <w:ind w:left="5200"/>
        <w:spacing w:after="0" w:line="235"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(Principal Executive Officer)</w:t>
      </w:r>
    </w:p>
    <w:p>
      <w:pPr>
        <w:spacing w:after="0" w:line="194"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/s/ John B. Cozzolino</w:t>
      </w:r>
    </w:p>
    <w:p>
      <w:pPr>
        <w:ind w:left="5200"/>
        <w:spacing w:after="0" w:line="234" w:lineRule="auto"/>
        <w:rPr>
          <w:sz w:val="20"/>
          <w:szCs w:val="20"/>
          <w:color w:val="auto"/>
        </w:rPr>
      </w:pPr>
      <w:r>
        <w:rPr>
          <w:rFonts w:ascii="Arial" w:cs="Arial" w:eastAsia="Arial" w:hAnsi="Arial"/>
          <w:sz w:val="18"/>
          <w:szCs w:val="18"/>
          <w:color w:val="auto"/>
        </w:rPr>
        <w:t>John B. Cozzolino</w:t>
      </w:r>
    </w:p>
    <w:p>
      <w:pPr>
        <w:ind w:left="5200"/>
        <w:spacing w:after="0" w:line="235" w:lineRule="auto"/>
        <w:rPr>
          <w:sz w:val="20"/>
          <w:szCs w:val="20"/>
          <w:color w:val="auto"/>
        </w:rPr>
      </w:pPr>
      <w:r>
        <w:rPr>
          <w:rFonts w:ascii="Arial" w:cs="Arial" w:eastAsia="Arial" w:hAnsi="Arial"/>
          <w:sz w:val="18"/>
          <w:szCs w:val="18"/>
          <w:color w:val="auto"/>
        </w:rPr>
        <w:t>Chief Financial Officer and Treasurer</w:t>
      </w:r>
    </w:p>
    <w:p>
      <w:pPr>
        <w:spacing w:after="0" w:line="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366395</wp:posOffset>
            </wp:positionV>
            <wp:extent cx="7246620" cy="4318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sectPr>
      <w:pgSz w:w="11900" w:h="16838" w:orient="portrait"/>
      <w:cols w:equalWidth="0" w:num="1">
        <w:col w:w="11420"/>
      </w:cols>
      <w:pgMar w:left="240" w:top="49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CF10FD8"/>
    <w:multiLevelType w:val="hybridMultilevel"/>
    <w:lvl w:ilvl="0">
      <w:lvlJc w:val="left"/>
      <w:lvlText w:val="("/>
      <w:numFmt w:val="bullet"/>
      <w:start w:val="1"/>
    </w:lvl>
  </w:abstractNum>
  <w:abstractNum w:abstractNumId="1">
    <w:nsid w:val="180115BE"/>
    <w:multiLevelType w:val="hybridMultilevel"/>
    <w:lvl w:ilvl="0">
      <w:lvlJc w:val="left"/>
      <w:lvlText w:val="•"/>
      <w:numFmt w:val="bullet"/>
      <w:start w:val="1"/>
    </w:lvl>
  </w:abstractNum>
  <w:abstractNum w:abstractNumId="2">
    <w:nsid w:val="235BA861"/>
    <w:multiLevelType w:val="hybridMultilevel"/>
    <w:lvl w:ilvl="0">
      <w:lvlJc w:val="left"/>
      <w:lvlText w:val="(%1)"/>
      <w:numFmt w:val="decimal"/>
      <w:start w:val="1"/>
    </w:lvl>
  </w:abstractNum>
  <w:abstractNum w:abstractNumId="3">
    <w:nsid w:val="47398C89"/>
    <w:multiLevelType w:val="hybridMultilevel"/>
    <w:lvl w:ilvl="0">
      <w:lvlJc w:val="left"/>
      <w:lvlText w:val="(%1)"/>
      <w:numFmt w:val="decimal"/>
      <w:start w:val="5"/>
    </w:lvl>
  </w:abstractNum>
  <w:abstractNum w:abstractNumId="4">
    <w:nsid w:val="354FE9F9"/>
    <w:multiLevelType w:val="hybridMultilevel"/>
    <w:lvl w:ilvl="0">
      <w:lvlJc w:val="left"/>
      <w:lvlText w:val="·"/>
      <w:numFmt w:val="bullet"/>
      <w:start w:val="1"/>
    </w:lvl>
    <w:lvl w:ilvl="1">
      <w:lvlJc w:val="left"/>
      <w:lvlText w:val="§"/>
      <w:numFmt w:val="bullet"/>
      <w:start w:val="1"/>
    </w:lvl>
  </w:abstractNum>
  <w:abstractNum w:abstractNumId="5">
    <w:nsid w:val="15B5AF5C"/>
    <w:multiLevelType w:val="hybridMultilevel"/>
    <w:lvl w:ilvl="0">
      <w:lvlJc w:val="left"/>
      <w:lvlText w:val="·"/>
      <w:numFmt w:val="bullet"/>
      <w:start w:val="1"/>
    </w:lvl>
    <w:lvl w:ilvl="1">
      <w:lvlJc w:val="left"/>
      <w:lvlText w:val="§"/>
      <w:numFmt w:val="bullet"/>
      <w:start w:val="1"/>
    </w:lvl>
  </w:abstractNum>
  <w:abstractNum w:abstractNumId="6">
    <w:nsid w:val="741226BB"/>
    <w:multiLevelType w:val="hybridMultilevel"/>
    <w:lvl w:ilvl="0">
      <w:lvlJc w:val="left"/>
      <w:lvlText w:val="·"/>
      <w:numFmt w:val="bullet"/>
      <w:start w:val="1"/>
    </w:lvl>
  </w:abstractNum>
  <w:abstractNum w:abstractNumId="7">
    <w:nsid w:val="D34B6A8"/>
    <w:multiLevelType w:val="hybridMultilevel"/>
    <w:lvl w:ilvl="0">
      <w:lvlJc w:val="left"/>
      <w:lvlText w:val="·"/>
      <w:numFmt w:val="bullet"/>
      <w:start w:val="1"/>
    </w:lvl>
  </w:abstractNum>
  <w:abstractNum w:abstractNumId="8">
    <w:nsid w:val="10233C99"/>
    <w:multiLevelType w:val="hybridMultilevel"/>
    <w:lvl w:ilvl="0">
      <w:lvlJc w:val="left"/>
      <w:lvlText w:val="·"/>
      <w:numFmt w:val="bullet"/>
      <w:start w:val="1"/>
    </w:lvl>
  </w:abstractNum>
  <w:abstractNum w:abstractNumId="9">
    <w:nsid w:val="3F6AB60F"/>
    <w:multiLevelType w:val="hybridMultilevel"/>
    <w:lvl w:ilvl="0">
      <w:lvlJc w:val="left"/>
      <w:lvlText w:val="·"/>
      <w:numFmt w:val="bullet"/>
      <w:start w:val="1"/>
    </w:lvl>
  </w:abstractNum>
  <w:abstractNum w:abstractNumId="10">
    <w:nsid w:val="61574095"/>
    <w:multiLevelType w:val="hybridMultilevel"/>
    <w:lvl w:ilvl="0">
      <w:lvlJc w:val="left"/>
      <w:lvlText w:val="·"/>
      <w:numFmt w:val="bullet"/>
      <w:start w:val="1"/>
    </w:lvl>
  </w:abstractNum>
  <w:abstractNum w:abstractNumId="11">
    <w:nsid w:val="7E0C57B1"/>
    <w:multiLevelType w:val="hybridMultilevel"/>
    <w:lvl w:ilvl="0">
      <w:lvlJc w:val="left"/>
      <w:lvlText w:val="·"/>
      <w:numFmt w:val="bullet"/>
      <w:start w:val="1"/>
    </w:lvl>
  </w:abstractNum>
  <w:abstractNum w:abstractNumId="12">
    <w:nsid w:val="77AE35EB"/>
    <w:multiLevelType w:val="hybridMultilevel"/>
    <w:lvl w:ilvl="0">
      <w:lvlJc w:val="left"/>
      <w:lvlText w:val="·"/>
      <w:numFmt w:val="bullet"/>
      <w:start w:val="1"/>
    </w:lvl>
  </w:abstractNum>
  <w:abstractNum w:abstractNumId="13">
    <w:nsid w:val="579BE4F1"/>
    <w:multiLevelType w:val="hybridMultilevel"/>
    <w:lvl w:ilvl="0">
      <w:lvlJc w:val="left"/>
      <w:lvlText w:val="•"/>
      <w:numFmt w:val="bullet"/>
      <w:start w:val="1"/>
    </w:lvl>
  </w:abstractNum>
  <w:abstractNum w:abstractNumId="14">
    <w:nsid w:val="310C50B3"/>
    <w:multiLevelType w:val="hybridMultilevel"/>
    <w:lvl w:ilvl="0">
      <w:lvlJc w:val="left"/>
      <w:lvlText w:val="·"/>
      <w:numFmt w:val="bullet"/>
      <w:start w:val="1"/>
    </w:lvl>
  </w:abstractNum>
  <w:abstractNum w:abstractNumId="15">
    <w:nsid w:val="5FF87E05"/>
    <w:multiLevelType w:val="hybridMultilevel"/>
    <w:lvl w:ilvl="0">
      <w:lvlJc w:val="left"/>
      <w:lvlText w:val="·"/>
      <w:numFmt w:val="bullet"/>
      <w:start w:val="1"/>
    </w:lvl>
  </w:abstractNum>
  <w:abstractNum w:abstractNumId="16">
    <w:nsid w:val="2F305DEF"/>
    <w:multiLevelType w:val="hybridMultilevel"/>
    <w:lvl w:ilvl="0">
      <w:lvlJc w:val="left"/>
      <w:lvlText w:val="·"/>
      <w:numFmt w:val="bullet"/>
      <w:start w:val="1"/>
    </w:lvl>
  </w:abstractNum>
  <w:abstractNum w:abstractNumId="17">
    <w:nsid w:val="25A70BF7"/>
    <w:multiLevelType w:val="hybridMultilevel"/>
    <w:lvl w:ilvl="0">
      <w:lvlJc w:val="left"/>
      <w:lvlText w:val="·"/>
      <w:numFmt w:val="bullet"/>
      <w:start w:val="1"/>
    </w:lvl>
  </w:abstractNum>
  <w:abstractNum w:abstractNumId="18">
    <w:nsid w:val="1DBABF00"/>
    <w:multiLevelType w:val="hybridMultilevel"/>
    <w:lvl w:ilvl="0">
      <w:lvlJc w:val="left"/>
      <w:lvlText w:val="·"/>
      <w:numFmt w:val="bullet"/>
      <w:start w:val="1"/>
    </w:lvl>
  </w:abstractNum>
  <w:abstractNum w:abstractNumId="19">
    <w:nsid w:val="4AD084E9"/>
    <w:multiLevelType w:val="hybridMultilevel"/>
    <w:lvl w:ilvl="0">
      <w:lvlJc w:val="left"/>
      <w:lvlText w:val="·"/>
      <w:numFmt w:val="bullet"/>
      <w:start w:val="1"/>
    </w:lvl>
  </w:abstractNum>
  <w:abstractNum w:abstractNumId="20">
    <w:nsid w:val="1F48EAA1"/>
    <w:multiLevelType w:val="hybridMultilevel"/>
    <w:lvl w:ilvl="0">
      <w:lvlJc w:val="left"/>
      <w:lvlText w:val="·"/>
      <w:numFmt w:val="bullet"/>
      <w:start w:val="1"/>
    </w:lvl>
  </w:abstractNum>
  <w:abstractNum w:abstractNumId="21">
    <w:nsid w:val="1381823A"/>
    <w:multiLevelType w:val="hybridMultilevel"/>
    <w:lvl w:ilvl="0">
      <w:lvlJc w:val="left"/>
      <w:lvlText w:val="·"/>
      <w:numFmt w:val="bullet"/>
      <w:start w:val="1"/>
    </w:lvl>
  </w:abstractNum>
  <w:abstractNum w:abstractNumId="22">
    <w:nsid w:val="5DB70AE5"/>
    <w:multiLevelType w:val="hybridMultilevel"/>
    <w:lvl w:ilvl="0">
      <w:lvlJc w:val="left"/>
      <w:lvlText w:val="·"/>
      <w:numFmt w:val="bullet"/>
      <w:start w:val="1"/>
    </w:lvl>
  </w:abstractNum>
  <w:abstractNum w:abstractNumId="23">
    <w:nsid w:val="100F8FCA"/>
    <w:multiLevelType w:val="hybridMultilevel"/>
    <w:lvl w:ilvl="0">
      <w:lvlJc w:val="left"/>
      <w:lvlText w:val="·"/>
      <w:numFmt w:val="bullet"/>
      <w:start w:val="1"/>
    </w:lvl>
  </w:abstractNum>
  <w:abstractNum w:abstractNumId="24">
    <w:nsid w:val="6590700B"/>
    <w:multiLevelType w:val="hybridMultilevel"/>
    <w:lvl w:ilvl="0">
      <w:lvlJc w:val="left"/>
      <w:lvlText w:val="(%1)"/>
      <w:numFmt w:val="lowerLetter"/>
      <w:start w:val="1"/>
    </w:lvl>
  </w:abstractNum>
  <w:abstractNum w:abstractNumId="25">
    <w:nsid w:val="15014ACB"/>
    <w:multiLevelType w:val="hybridMultilevel"/>
    <w:lvl w:ilvl="0">
      <w:lvlJc w:val="left"/>
      <w:lvlText w:val="%1."/>
      <w:numFmt w:val="decimal"/>
      <w:start w:val="1"/>
    </w:lvl>
  </w:abstractNum>
  <w:abstractNum w:abstractNumId="26">
    <w:nsid w:val="5F5E7FD0"/>
    <w:multiLevelType w:val="hybridMultilevel"/>
    <w:lvl w:ilvl="0">
      <w:lvlJc w:val="left"/>
      <w:lvlText w:val="%1."/>
      <w:numFmt w:val="decimal"/>
      <w:start w:val="5"/>
    </w:lvl>
  </w:abstractNum>
  <w:abstractNum w:abstractNumId="27">
    <w:nsid w:val="98A3148"/>
    <w:multiLevelType w:val="hybridMultilevel"/>
    <w:lvl w:ilvl="0">
      <w:lvlJc w:val="left"/>
      <w:lvlText w:val="(%1)"/>
      <w:numFmt w:val="decimal"/>
      <w:start w:val="1"/>
    </w:lvl>
  </w:abstractNum>
  <w:abstractNum w:abstractNumId="28">
    <w:nsid w:val="799D0247"/>
    <w:multiLevelType w:val="hybridMultilevel"/>
    <w:lvl w:ilvl="0">
      <w:lvlJc w:val="left"/>
      <w:lvlText w:val="*"/>
      <w:numFmt w:val="bullet"/>
      <w:start w:val="1"/>
    </w:lvl>
  </w:abstractNum>
  <w:abstractNum w:abstractNumId="29">
    <w:nsid w:val="6B94764"/>
    <w:multiLevelType w:val="hybridMultilevel"/>
    <w:lvl w:ilvl="0">
      <w:lvlJc w:val="left"/>
      <w:lvlText w:val="(%1)"/>
      <w:numFmt w:val="lowerLetter"/>
      <w:start w:val="1"/>
    </w:lvl>
  </w:abstractNum>
  <w:abstractNum w:abstractNumId="30">
    <w:nsid w:val="42C296BD"/>
    <w:multiLevelType w:val="hybridMultilevel"/>
    <w:lvl w:ilvl="0">
      <w:lvlJc w:val="left"/>
      <w:lvlText w:val="(%1)"/>
      <w:numFmt w:val="lowerLetter"/>
      <w:start w:val="1"/>
    </w:lvl>
  </w:abstractNum>
  <w:abstractNum w:abstractNumId="31">
    <w:nsid w:val="168E121F"/>
    <w:multiLevelType w:val="hybridMultilevel"/>
    <w:lvl w:ilvl="0">
      <w:lvlJc w:val="left"/>
      <w:lvlText w:val="%1."/>
      <w:numFmt w:val="lowerLetter"/>
      <w:start w:val="1"/>
    </w:lvl>
    <w:lvl w:ilvl="1">
      <w:lvlJc w:val="left"/>
      <w:lvlText w:val="%2."/>
      <w:numFmt w:val="decimal"/>
      <w:start w:val="1"/>
    </w:lvl>
  </w:abstractNum>
  <w:abstractNum w:abstractNumId="32">
    <w:nsid w:val="1EBA5D23"/>
    <w:multiLevelType w:val="hybridMultilevel"/>
    <w:lvl w:ilvl="0">
      <w:lvlJc w:val="left"/>
      <w:lvlText w:val="%1)"/>
      <w:numFmt w:val="lowerLetter"/>
      <w:start w:val="1"/>
    </w:lvl>
  </w:abstractNum>
  <w:abstractNum w:abstractNumId="33">
    <w:nsid w:val="661E3F1E"/>
    <w:multiLevelType w:val="hybridMultilevel"/>
    <w:lvl w:ilvl="0">
      <w:lvlJc w:val="left"/>
      <w:lvlText w:val="(%1)"/>
      <w:numFmt w:val="decimal"/>
      <w:start w:val="1"/>
    </w:lvl>
  </w:abstractNum>
  <w:abstractNum w:abstractNumId="34">
    <w:nsid w:val="5DC79EA8"/>
    <w:multiLevelType w:val="hybridMultilevel"/>
    <w:lvl w:ilvl="0">
      <w:lvlJc w:val="left"/>
      <w:lvlText w:val="(%1)"/>
      <w:numFmt w:val="upperLetter"/>
      <w:start w:val="1"/>
    </w:lvl>
  </w:abstractNum>
  <w:abstractNum w:abstractNumId="35">
    <w:nsid w:val="540A471C"/>
    <w:multiLevelType w:val="hybridMultilevel"/>
    <w:lvl w:ilvl="0">
      <w:lvlJc w:val="left"/>
      <w:lvlText w:val="·"/>
      <w:numFmt w:val="bullet"/>
      <w:start w:val="1"/>
    </w:lvl>
  </w:abstractNum>
  <w:abstractNum w:abstractNumId="36">
    <w:nsid w:val="7BD3EE7B"/>
    <w:multiLevelType w:val="hybridMultilevel"/>
    <w:lvl w:ilvl="0">
      <w:lvlJc w:val="left"/>
      <w:lvlText w:val="(%1)"/>
      <w:numFmt w:val="lowerLetter"/>
      <w:start w:val="1"/>
    </w:lvl>
    <w:lvl w:ilvl="1">
      <w:lvlJc w:val="left"/>
      <w:lvlText w:val="(%2)"/>
      <w:numFmt w:val="lowerRoman"/>
      <w:start w:val="1"/>
    </w:lvl>
  </w:abstractNum>
  <w:abstractNum w:abstractNumId="37">
    <w:nsid w:val="51D9C564"/>
    <w:multiLevelType w:val="hybridMultilevel"/>
    <w:lvl w:ilvl="0">
      <w:lvlJc w:val="left"/>
      <w:lvlText w:val="(%1)"/>
      <w:numFmt w:val="lowerLetter"/>
      <w:start w:val="2"/>
    </w:lvl>
    <w:lvl w:ilvl="1">
      <w:lvlJc w:val="left"/>
      <w:lvlText w:val="(%2)"/>
      <w:numFmt w:val="lowerRoman"/>
      <w:start w:val="1"/>
    </w:lvl>
  </w:abstractNum>
  <w:abstractNum w:abstractNumId="38">
    <w:nsid w:val="613EFDC5"/>
    <w:multiLevelType w:val="hybridMultilevel"/>
    <w:lvl w:ilvl="0">
      <w:lvlJc w:val="left"/>
      <w:lvlText w:val="(%1)"/>
      <w:numFmt w:val="lowerLetter"/>
      <w:start w:val="1"/>
    </w:lvl>
  </w:abstractNum>
  <w:abstractNum w:abstractNumId="39">
    <w:nsid w:val="BF72B14"/>
    <w:multiLevelType w:val="hybridMultilevel"/>
    <w:lvl w:ilvl="0">
      <w:lvlJc w:val="left"/>
      <w:lvlText w:val="(%1)"/>
      <w:numFmt w:val="lowerRoman"/>
      <w:start w:val="2"/>
    </w:lvl>
  </w:abstractNum>
  <w:abstractNum w:abstractNumId="40">
    <w:nsid w:val="11447B73"/>
    <w:multiLevelType w:val="hybridMultilevel"/>
    <w:lvl w:ilvl="0">
      <w:lvlJc w:val="left"/>
      <w:lvlText w:val="%1"/>
      <w:numFmt w:val="lowerLetter"/>
      <w:start w:val="1"/>
    </w:lvl>
    <w:lvl w:ilvl="1">
      <w:lvlJc w:val="left"/>
      <w:lvlText w:val="(%2)"/>
      <w:numFmt w:val="lowerLetter"/>
      <w:start w:val="1"/>
    </w:lvl>
  </w:abstractNum>
  <w:abstractNum w:abstractNumId="41">
    <w:nsid w:val="42963E5A"/>
    <w:multiLevelType w:val="hybridMultilevel"/>
    <w:lvl w:ilvl="0">
      <w:lvlJc w:val="left"/>
      <w:lvlText w:val="(%1)"/>
      <w:numFmt w:val="lowerLetter"/>
      <w:start w:val="1"/>
    </w:lvl>
    <w:lvl w:ilvl="1">
      <w:lvlJc w:val="left"/>
      <w:lvlText w:val="%2"/>
      <w:numFmt w:val="lowerLetter"/>
      <w:start w:val="1"/>
    </w:lvl>
  </w:abstractNum>
  <w:abstractNum w:abstractNumId="42">
    <w:nsid w:val="A0382C5"/>
    <w:multiLevelType w:val="hybridMultilevel"/>
    <w:lvl w:ilvl="0">
      <w:lvlJc w:val="left"/>
      <w:lvlText w:val="(%1)"/>
      <w:numFmt w:val="lowerLetter"/>
      <w:start w:val="1"/>
    </w:lvl>
  </w:abstractNum>
  <w:abstractNum w:abstractNumId="43">
    <w:nsid w:val="8F2B15E"/>
    <w:multiLevelType w:val="hybridMultilevel"/>
    <w:lvl w:ilvl="0">
      <w:lvlJc w:val="left"/>
      <w:lvlText w:val="(%1)"/>
      <w:numFmt w:val="lowerLetter"/>
      <w:start w:val="2"/>
    </w:lvl>
  </w:abstractNum>
  <w:abstractNum w:abstractNumId="44">
    <w:nsid w:val="1A32234B"/>
    <w:multiLevelType w:val="hybridMultilevel"/>
    <w:lvl w:ilvl="0">
      <w:lvlJc w:val="left"/>
      <w:lvlText w:val="(%1)"/>
      <w:numFmt w:val="lowerLetter"/>
      <w:start w:val="2"/>
    </w:lvl>
  </w:abstractNum>
  <w:abstractNum w:abstractNumId="45">
    <w:nsid w:val="3B0FD379"/>
    <w:multiLevelType w:val="hybridMultilevel"/>
    <w:lvl w:ilvl="0">
      <w:lvlJc w:val="left"/>
      <w:lvlText w:val="(%1)"/>
      <w:numFmt w:val="lowerLetter"/>
      <w:start w:val="6"/>
    </w:lvl>
  </w:abstractNum>
  <w:abstractNum w:abstractNumId="46">
    <w:nsid w:val="68EB2F63"/>
    <w:multiLevelType w:val="hybridMultilevel"/>
    <w:lvl w:ilvl="0">
      <w:lvlJc w:val="left"/>
      <w:lvlText w:val="(%1)"/>
      <w:numFmt w:val="lowerLetter"/>
      <w:start w:val="1"/>
    </w:lvl>
  </w:abstractNum>
  <w:abstractNum w:abstractNumId="47">
    <w:nsid w:val="4962813B"/>
    <w:multiLevelType w:val="hybridMultilevel"/>
    <w:lvl w:ilvl="0">
      <w:lvlJc w:val="left"/>
      <w:lvlText w:val="(%1)"/>
      <w:numFmt w:val="lowerLetter"/>
      <w:start w:val="1"/>
    </w:lvl>
  </w:abstractNum>
  <w:abstractNum w:abstractNumId="48">
    <w:nsid w:val="60B6DF70"/>
    <w:multiLevelType w:val="hybridMultilevel"/>
    <w:lvl w:ilvl="0">
      <w:lvlJc w:val="left"/>
      <w:lvlText w:val="(%1)"/>
      <w:numFmt w:val="lowerLetter"/>
      <w:start w:val="1"/>
    </w:lvl>
  </w:abstractNum>
  <w:abstractNum w:abstractNumId="49">
    <w:nsid w:val="6A5EE64"/>
    <w:multiLevelType w:val="hybridMultilevel"/>
    <w:lvl w:ilvl="0">
      <w:lvlJc w:val="left"/>
      <w:lvlText w:val="(%1)"/>
      <w:numFmt w:val="lowerLetter"/>
      <w:start w:val="2"/>
    </w:lvl>
  </w:abstractNum>
  <w:abstractNum w:abstractNumId="50">
    <w:nsid w:val="14330624"/>
    <w:multiLevelType w:val="hybridMultilevel"/>
    <w:lvl w:ilvl="0">
      <w:lvlJc w:val="left"/>
      <w:lvlText w:val="(%1)"/>
      <w:numFmt w:val="lowerLetter"/>
      <w:start w:val="1"/>
    </w:lvl>
  </w:abstractNum>
  <w:abstractNum w:abstractNumId="51">
    <w:nsid w:val="7FFFCA11"/>
    <w:multiLevelType w:val="hybridMultilevel"/>
    <w:lvl w:ilvl="0">
      <w:lvlJc w:val="left"/>
      <w:lvlText w:val="%1"/>
      <w:numFmt w:val="lowerLetter"/>
      <w:start w:val="1"/>
    </w:lvl>
    <w:lvl w:ilvl="1">
      <w:lvlJc w:val="left"/>
      <w:lvlText w:val="(%2)"/>
      <w:numFmt w:val="lowerRoman"/>
      <w:start w:val="1"/>
    </w:lvl>
  </w:abstractNum>
  <w:abstractNum w:abstractNumId="52">
    <w:nsid w:val="1A27709E"/>
    <w:multiLevelType w:val="hybridMultilevel"/>
    <w:lvl w:ilvl="0">
      <w:lvlJc w:val="left"/>
      <w:lvlText w:val="(%1)"/>
      <w:numFmt w:val="lowerLetter"/>
      <w:start w:val="2"/>
    </w:lvl>
    <w:lvl w:ilvl="1">
      <w:lvlJc w:val="left"/>
      <w:lvlText w:val="%2"/>
      <w:numFmt w:val="lowerRoman"/>
      <w:start w:val="1"/>
    </w:lvl>
  </w:abstractNum>
  <w:abstractNum w:abstractNumId="53">
    <w:nsid w:val="71EA1109"/>
    <w:multiLevelType w:val="hybridMultilevel"/>
    <w:lvl w:ilvl="0">
      <w:lvlJc w:val="left"/>
      <w:lvlText w:val="(%1)"/>
      <w:numFmt w:val="lowerLetter"/>
      <w:start w:val="2"/>
    </w:lvl>
  </w:abstractNum>
  <w:abstractNum w:abstractNumId="54">
    <w:nsid w:val="100F59DC"/>
    <w:multiLevelType w:val="hybridMultilevel"/>
    <w:lvl w:ilvl="0">
      <w:lvlJc w:val="left"/>
      <w:lvlText w:val="(%1)"/>
      <w:numFmt w:val="lowerLetter"/>
      <w:start w:val="1"/>
    </w:lvl>
  </w:abstractNum>
  <w:abstractNum w:abstractNumId="55">
    <w:nsid w:val="7FB7E0AA"/>
    <w:multiLevelType w:val="hybridMultilevel"/>
    <w:lvl w:ilvl="0">
      <w:lvlJc w:val="left"/>
      <w:lvlText w:val="(%1)"/>
      <w:numFmt w:val="lowerLetter"/>
      <w:start w:val="1"/>
    </w:lvl>
    <w:lvl w:ilvl="1">
      <w:lvlJc w:val="left"/>
      <w:lvlText w:val="(%2)"/>
      <w:numFmt w:val="lowerRoman"/>
      <w:start w:val="1"/>
    </w:lvl>
  </w:abstractNum>
  <w:abstractNum w:abstractNumId="56">
    <w:nsid w:val="6EB5BD4"/>
    <w:multiLevelType w:val="hybridMultilevel"/>
    <w:lvl w:ilvl="0">
      <w:lvlJc w:val="left"/>
      <w:lvlText w:val="(%1)"/>
      <w:numFmt w:val="lowerRoman"/>
      <w:start w:val="2"/>
    </w:lvl>
  </w:abstractNum>
  <w:abstractNum w:abstractNumId="57">
    <w:nsid w:val="6F6DD9AC"/>
    <w:multiLevelType w:val="hybridMultilevel"/>
    <w:lvl w:ilvl="0">
      <w:lvlJc w:val="left"/>
      <w:lvlText w:val="(%1)"/>
      <w:numFmt w:val="lowerLetter"/>
      <w:start w:val="3"/>
    </w:lvl>
  </w:abstractNum>
  <w:abstractNum w:abstractNumId="58">
    <w:nsid w:val="94211F2"/>
    <w:multiLevelType w:val="hybridMultilevel"/>
    <w:lvl w:ilvl="0">
      <w:lvlJc w:val="left"/>
      <w:lvlText w:val="(%1)"/>
      <w:numFmt w:val="lowerLetter"/>
      <w:start w:val="4"/>
    </w:lvl>
  </w:abstractNum>
  <w:abstractNum w:abstractNumId="59">
    <w:nsid w:val="885E1B"/>
    <w:multiLevelType w:val="hybridMultilevel"/>
    <w:lvl w:ilvl="0">
      <w:lvlJc w:val="left"/>
      <w:lvlText w:val="(%1)"/>
      <w:numFmt w:val="lowerLetter"/>
      <w:start w:val="2"/>
    </w:lvl>
  </w:abstractNum>
  <w:abstractNum w:abstractNumId="60">
    <w:nsid w:val="76272110"/>
    <w:multiLevelType w:val="hybridMultilevel"/>
    <w:lvl w:ilvl="0">
      <w:lvlJc w:val="left"/>
      <w:lvlText w:val="(%1)"/>
      <w:numFmt w:val="lowerLetter"/>
      <w:start w:val="5"/>
    </w:lvl>
  </w:abstractNum>
  <w:abstractNum w:abstractNumId="61">
    <w:nsid w:val="4C04A8AF"/>
    <w:multiLevelType w:val="hybridMultilevel"/>
    <w:lvl w:ilvl="0">
      <w:lvlJc w:val="left"/>
      <w:lvlText w:val="(%1)"/>
      <w:numFmt w:val="lowerLetter"/>
      <w:start w:val="1"/>
    </w:lvl>
  </w:abstractNum>
  <w:abstractNum w:abstractNumId="62">
    <w:nsid w:val="1716703B"/>
    <w:multiLevelType w:val="hybridMultilevel"/>
    <w:lvl w:ilvl="0">
      <w:lvlJc w:val="left"/>
      <w:lvlText w:val="(%1)"/>
      <w:numFmt w:val="lowerLetter"/>
      <w:start w:val="3"/>
    </w:lvl>
  </w:abstractNum>
  <w:abstractNum w:abstractNumId="63">
    <w:nsid w:val="14E17E33"/>
    <w:multiLevelType w:val="hybridMultilevel"/>
    <w:lvl w:ilvl="0">
      <w:lvlJc w:val="left"/>
      <w:lvlText w:val="(%1)"/>
      <w:numFmt w:val="lowerLetter"/>
      <w:start w:val="11"/>
    </w:lvl>
  </w:abstractNum>
  <w:abstractNum w:abstractNumId="64">
    <w:nsid w:val="3222E7CD"/>
    <w:multiLevelType w:val="hybridMultilevel"/>
    <w:lvl w:ilvl="0">
      <w:lvlJc w:val="left"/>
      <w:lvlText w:val="(%1)"/>
      <w:numFmt w:val="lowerLetter"/>
      <w:start w:val="2"/>
    </w:lvl>
  </w:abstractNum>
  <w:abstractNum w:abstractNumId="65">
    <w:nsid w:val="74DE0EE3"/>
    <w:multiLevelType w:val="hybridMultilevel"/>
    <w:lvl w:ilvl="0">
      <w:lvlJc w:val="left"/>
      <w:lvlText w:val="(%1)"/>
      <w:numFmt w:val="decimal"/>
      <w:start w:val="30"/>
    </w:lvl>
  </w:abstractNum>
  <w:abstractNum w:abstractNumId="66">
    <w:nsid w:val="68EBC550"/>
    <w:multiLevelType w:val="hybridMultilevel"/>
    <w:lvl w:ilvl="0">
      <w:lvlJc w:val="left"/>
      <w:lvlText w:val="(%1)"/>
      <w:numFmt w:val="decimal"/>
      <w:start w:val="30"/>
    </w:lvl>
  </w:abstractNum>
  <w:abstractNum w:abstractNumId="67">
    <w:nsid w:val="2DF6D648"/>
    <w:multiLevelType w:val="hybridMultilevel"/>
    <w:lvl w:ilvl="0">
      <w:lvlJc w:val="left"/>
      <w:lvlText w:val="(%1)"/>
      <w:numFmt w:val="lowerLetter"/>
      <w:start w:val="1"/>
    </w:lvl>
  </w:abstractNum>
  <w:abstractNum w:abstractNumId="68">
    <w:nsid w:val="46B7D447"/>
    <w:multiLevelType w:val="hybridMultilevel"/>
    <w:lvl w:ilvl="0">
      <w:lvlJc w:val="left"/>
      <w:lvlText w:val="(%1)"/>
      <w:numFmt w:val="lowerLetter"/>
      <w:start w:val="1"/>
    </w:lvl>
  </w:abstractNum>
  <w:abstractNum w:abstractNumId="69">
    <w:nsid w:val="4A2AC315"/>
    <w:multiLevelType w:val="hybridMultilevel"/>
    <w:lvl w:ilvl="0">
      <w:lvlJc w:val="left"/>
      <w:lvlText w:val="(%1)"/>
      <w:numFmt w:val="lowerLetter"/>
      <w:start w:val="2"/>
    </w:lvl>
  </w:abstractNum>
  <w:abstractNum w:abstractNumId="70">
    <w:nsid w:val="39EE015C"/>
    <w:multiLevelType w:val="hybridMultilevel"/>
    <w:lvl w:ilvl="0">
      <w:lvlJc w:val="left"/>
      <w:lvlText w:val="(%1)"/>
      <w:numFmt w:val="lowerLetter"/>
      <w:start w:val="2"/>
    </w:lvl>
  </w:abstractNum>
  <w:abstractNum w:abstractNumId="71">
    <w:nsid w:val="57FC4FBB"/>
    <w:multiLevelType w:val="hybridMultilevel"/>
    <w:lvl w:ilvl="0">
      <w:lvlJc w:val="left"/>
      <w:lvlText w:val="(%1)"/>
      <w:numFmt w:val="lowerLetter"/>
      <w:start w:val="1"/>
    </w:lvl>
  </w:abstractNum>
  <w:abstractNum w:abstractNumId="72">
    <w:nsid w:val="CC1016F"/>
    <w:multiLevelType w:val="hybridMultilevel"/>
    <w:lvl w:ilvl="0">
      <w:lvlJc w:val="left"/>
      <w:lvlText w:val="(%1)"/>
      <w:numFmt w:val="lowerLetter"/>
      <w:start w:val="1"/>
    </w:lvl>
  </w:abstractNum>
  <w:abstractNum w:abstractNumId="73">
    <w:nsid w:val="43F18422"/>
    <w:multiLevelType w:val="hybridMultilevel"/>
    <w:lvl w:ilvl="0">
      <w:lvlJc w:val="left"/>
      <w:lvlText w:val="(%1)"/>
      <w:numFmt w:val="lowerLetter"/>
      <w:start w:val="3"/>
    </w:lvl>
  </w:abstractNum>
  <w:abstractNum w:abstractNumId="74">
    <w:nsid w:val="60EF0119"/>
    <w:multiLevelType w:val="hybridMultilevel"/>
    <w:lvl w:ilvl="0">
      <w:lvlJc w:val="left"/>
      <w:lvlText w:val="(%1)"/>
      <w:numFmt w:val="lowerLetter"/>
      <w:start w:val="1"/>
    </w:lvl>
    <w:lvl w:ilvl="1">
      <w:lvlJc w:val="left"/>
      <w:lvlText w:val="(%2)"/>
      <w:numFmt w:val="lowerRoman"/>
      <w:start w:val="1"/>
    </w:lvl>
  </w:abstractNum>
  <w:abstractNum w:abstractNumId="75">
    <w:nsid w:val="26F324BA"/>
    <w:multiLevelType w:val="hybridMultilevel"/>
    <w:lvl w:ilvl="0">
      <w:lvlJc w:val="left"/>
      <w:lvlText w:val="(%1)"/>
      <w:numFmt w:val="lowerRoman"/>
      <w:start w:val="1"/>
    </w:lvl>
  </w:abstractNum>
  <w:abstractNum w:abstractNumId="76">
    <w:nsid w:val="7F01579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77">
    <w:nsid w:val="49DA307D"/>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78">
    <w:nsid w:val="7055A5F5"/>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79">
    <w:nsid w:val="5FB8370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80">
    <w:nsid w:val="50801EE1"/>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81">
    <w:nsid w:val="488AC1A"/>
    <w:multiLevelType w:val="hybridMultilevel"/>
    <w:lvl w:ilvl="0">
      <w:lvlJc w:val="left"/>
      <w:lvlText w:val="(%1)"/>
      <w:numFmt w:val="decimal"/>
      <w:start w:val="18"/>
    </w:lvl>
    <w:lvl w:ilvl="1">
      <w:lvlJc w:val="left"/>
      <w:lvlText w:val="(%2)"/>
      <w:numFmt w:val="lowerLetter"/>
      <w:start w:val="5"/>
    </w:lvl>
    <w:lvl w:ilvl="2">
      <w:lvlJc w:val="left"/>
      <w:lvlText w:val="%3"/>
      <w:numFmt w:val="lowerLetter"/>
      <w:start w:val="1"/>
    </w:lvl>
  </w:abstractNum>
  <w:abstractNum w:abstractNumId="82">
    <w:nsid w:val="5FB8011C"/>
    <w:multiLevelType w:val="hybridMultilevel"/>
    <w:lvl w:ilvl="0">
      <w:lvlJc w:val="left"/>
      <w:lvlText w:val="(%1)"/>
      <w:numFmt w:val="lowerRoman"/>
      <w:start w:val="2"/>
    </w:lvl>
  </w:abstractNum>
  <w:abstractNum w:abstractNumId="83">
    <w:nsid w:val="6AA78F7F"/>
    <w:multiLevelType w:val="hybridMultilevel"/>
    <w:lvl w:ilvl="0">
      <w:lvlJc w:val="left"/>
      <w:lvlText w:val="(%1)"/>
      <w:numFmt w:val="lowerLetter"/>
      <w:start w:val="7"/>
    </w:lvl>
  </w:abstractNum>
  <w:abstractNum w:abstractNumId="84">
    <w:nsid w:val="7672BD23"/>
    <w:multiLevelType w:val="hybridMultilevel"/>
    <w:lvl w:ilvl="0">
      <w:lvlJc w:val="left"/>
      <w:lvlText w:val="(%1)"/>
      <w:numFmt w:val="lowerRoman"/>
      <w:start w:val="2"/>
    </w:lvl>
  </w:abstractNum>
  <w:abstractNum w:abstractNumId="85">
    <w:nsid w:val="6FC75AF8"/>
    <w:multiLevelType w:val="hybridMultilevel"/>
    <w:lvl w:ilvl="0">
      <w:lvlJc w:val="left"/>
      <w:lvlText w:val="(%1)"/>
      <w:numFmt w:val="lowerLetter"/>
      <w:start w:val="1"/>
    </w:lvl>
    <w:lvl w:ilvl="1">
      <w:lvlJc w:val="left"/>
      <w:lvlText w:val="(%2)"/>
      <w:numFmt w:val="lowerRoman"/>
      <w:start w:val="1"/>
    </w:lvl>
  </w:abstractNum>
  <w:abstractNum w:abstractNumId="86">
    <w:nsid w:val="6A5F7029"/>
    <w:multiLevelType w:val="hybridMultilevel"/>
    <w:lvl w:ilvl="0">
      <w:lvlJc w:val="left"/>
      <w:lvlText w:val="(%1)"/>
      <w:numFmt w:val="lowerLetter"/>
      <w:start w:val="1"/>
    </w:lvl>
  </w:abstractNum>
  <w:abstractNum w:abstractNumId="87">
    <w:nsid w:val="7D5E18F8"/>
    <w:multiLevelType w:val="hybridMultilevel"/>
    <w:lvl w:ilvl="0">
      <w:lvlJc w:val="left"/>
      <w:lvlText w:val="(%1)"/>
      <w:numFmt w:val="lowerLetter"/>
      <w:start w:val="2"/>
    </w:lvl>
  </w:abstractNum>
  <w:abstractNum w:abstractNumId="88">
    <w:nsid w:val="5F3534A4"/>
    <w:multiLevelType w:val="hybridMultilevel"/>
    <w:lvl w:ilvl="0">
      <w:lvlJc w:val="left"/>
      <w:lvlText w:val="(%1)"/>
      <w:numFmt w:val="lowerLetter"/>
      <w:start w:val="1"/>
    </w:lvl>
  </w:abstractNum>
  <w:abstractNum w:abstractNumId="89">
    <w:nsid w:val="73A1821B"/>
    <w:multiLevelType w:val="hybridMultilevel"/>
    <w:lvl w:ilvl="0">
      <w:lvlJc w:val="left"/>
      <w:lvlText w:val="(%1)"/>
      <w:numFmt w:val="lowerLetter"/>
      <w:start w:val="2"/>
    </w:lvl>
  </w:abstractNum>
  <w:abstractNum w:abstractNumId="90">
    <w:nsid w:val="7DE67713"/>
    <w:multiLevelType w:val="hybridMultilevel"/>
    <w:lvl w:ilvl="0">
      <w:lvlJc w:val="left"/>
      <w:lvlText w:val="(%1)"/>
      <w:numFmt w:val="lowerLetter"/>
      <w:start w:val="2"/>
    </w:lvl>
  </w:abstractNum>
  <w:abstractNum w:abstractNumId="91">
    <w:nsid w:val="555C55B5"/>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92">
    <w:nsid w:val="3FA62ACA"/>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93">
    <w:nsid w:val="14FCE74E"/>
    <w:multiLevelType w:val="hybridMultilevel"/>
    <w:lvl w:ilvl="0">
      <w:lvlJc w:val="left"/>
      <w:lvlText w:val="(%1)"/>
      <w:numFmt w:val="upperLetter"/>
      <w:start w:val="3"/>
    </w:lvl>
    <w:lvl w:ilvl="1">
      <w:lvlJc w:val="left"/>
      <w:lvlText w:val="(%2)"/>
      <w:numFmt w:val="lowerLetter"/>
      <w:start w:val="4"/>
    </w:lvl>
    <w:lvl w:ilvl="2">
      <w:lvlJc w:val="left"/>
      <w:lvlText w:val="%3"/>
      <w:numFmt w:val="lowerRoman"/>
      <w:start w:val="1"/>
    </w:lvl>
  </w:abstractNum>
  <w:abstractNum w:abstractNumId="94">
    <w:nsid w:val="6A3DD3E8"/>
    <w:multiLevelType w:val="hybridMultilevel"/>
    <w:lvl w:ilvl="0">
      <w:lvlJc w:val="left"/>
      <w:lvlText w:val="(%1)"/>
      <w:numFmt w:val="lowerLetter"/>
      <w:start w:val="1"/>
    </w:lvl>
  </w:abstractNum>
  <w:abstractNum w:abstractNumId="95">
    <w:nsid w:val="71C91298"/>
    <w:multiLevelType w:val="hybridMultilevel"/>
    <w:lvl w:ilvl="0">
      <w:lvlJc w:val="left"/>
      <w:lvlText w:val="(%1)"/>
      <w:numFmt w:val="lowerLetter"/>
      <w:start w:val="2"/>
    </w:lvl>
  </w:abstractNum>
  <w:abstractNum w:abstractNumId="96">
    <w:nsid w:val="9DAF632"/>
    <w:multiLevelType w:val="hybridMultilevel"/>
    <w:lvl w:ilvl="0">
      <w:lvlJc w:val="left"/>
      <w:lvlText w:val="%1"/>
      <w:numFmt w:val="lowerLetter"/>
      <w:start w:val="1"/>
    </w:lvl>
    <w:lvl w:ilvl="1">
      <w:lvlJc w:val="left"/>
      <w:lvlText w:val="(%2)"/>
      <w:numFmt w:val="lowerLetter"/>
      <w:start w:val="1"/>
    </w:lvl>
  </w:abstractNum>
  <w:abstractNum w:abstractNumId="97">
    <w:nsid w:val="53299938"/>
    <w:multiLevelType w:val="hybridMultilevel"/>
    <w:lvl w:ilvl="0">
      <w:lvlJc w:val="left"/>
      <w:lvlText w:val="(%1)"/>
      <w:numFmt w:val="lowerLetter"/>
      <w:start w:val="9"/>
    </w:lvl>
    <w:lvl w:ilvl="1">
      <w:lvlJc w:val="left"/>
      <w:lvlText w:val="(%2)"/>
      <w:numFmt w:val="lowerLetter"/>
      <w:start w:val="4"/>
    </w:lvl>
  </w:abstractNum>
  <w:abstractNum w:abstractNumId="98">
    <w:nsid w:val="1FBFE8E0"/>
    <w:multiLevelType w:val="hybridMultilevel"/>
    <w:lvl w:ilvl="0">
      <w:lvlJc w:val="left"/>
      <w:lvlText w:val="(%1)"/>
      <w:numFmt w:val="lowerLetter"/>
      <w:start w:val="5"/>
    </w:lvl>
    <w:lvl w:ilvl="1">
      <w:lvlJc w:val="left"/>
      <w:lvlText w:val="(%2)"/>
      <w:numFmt w:val="lowerRoman"/>
      <w:start w:val="2"/>
    </w:lvl>
  </w:abstractNum>
  <w:abstractNum w:abstractNumId="99">
    <w:nsid w:val="5092CA79"/>
    <w:multiLevelType w:val="hybridMultilevel"/>
    <w:lvl w:ilvl="0">
      <w:lvlJc w:val="left"/>
      <w:lvlText w:val="(%1)"/>
      <w:numFmt w:val="lowerLetter"/>
      <w:start w:val="8"/>
    </w:lvl>
  </w:abstractNum>
  <w:abstractNum w:abstractNumId="100">
    <w:nsid w:val="1D545C4D"/>
    <w:multiLevelType w:val="hybridMultilevel"/>
    <w:lvl w:ilvl="0">
      <w:lvlJc w:val="left"/>
      <w:lvlText w:val="(%1)"/>
      <w:numFmt w:val="lowerLetter"/>
      <w:start w:val="1"/>
    </w:lvl>
  </w:abstractNum>
  <w:abstractNum w:abstractNumId="101">
    <w:nsid w:val="59ADEA3D"/>
    <w:multiLevelType w:val="hybridMultilevel"/>
    <w:lvl w:ilvl="0">
      <w:lvlJc w:val="left"/>
      <w:lvlText w:val="(%1)"/>
      <w:numFmt w:val="lowerLetter"/>
      <w:start w:val="2"/>
    </w:lvl>
  </w:abstractNum>
  <w:abstractNum w:abstractNumId="102">
    <w:nsid w:val="288F1A34"/>
    <w:multiLevelType w:val="hybridMultilevel"/>
    <w:lvl w:ilvl="0">
      <w:lvlJc w:val="left"/>
      <w:lvlText w:val="(%1)"/>
      <w:numFmt w:val="lowerLetter"/>
      <w:start w:val="5"/>
    </w:lvl>
  </w:abstractNum>
  <w:abstractNum w:abstractNumId="103">
    <w:nsid w:val="2A155DBC"/>
    <w:multiLevelType w:val="hybridMultilevel"/>
    <w:lvl w:ilvl="0">
      <w:lvlJc w:val="left"/>
      <w:lvlText w:val="(%1)"/>
      <w:numFmt w:val="lowerLetter"/>
      <w:start w:val="1"/>
    </w:lvl>
  </w:abstractNum>
  <w:abstractNum w:abstractNumId="104">
    <w:nsid w:val="1D9F6E5F"/>
    <w:multiLevelType w:val="hybridMultilevel"/>
    <w:lvl w:ilvl="0">
      <w:lvlJc w:val="left"/>
      <w:lvlText w:val="(%1)"/>
      <w:numFmt w:val="lowerRoman"/>
      <w:start w:val="1"/>
    </w:lvl>
  </w:abstractNum>
  <w:abstractNum w:abstractNumId="105">
    <w:nsid w:val="97E1B4E"/>
    <w:multiLevelType w:val="hybridMultilevel"/>
    <w:lvl w:ilvl="0">
      <w:lvlJc w:val="left"/>
      <w:lvlText w:val="(%1)"/>
      <w:numFmt w:val="lowerRoman"/>
      <w:start w:val="2"/>
    </w:lvl>
  </w:abstractNum>
  <w:abstractNum w:abstractNumId="106">
    <w:nsid w:val="51088277"/>
    <w:multiLevelType w:val="hybridMultilevel"/>
    <w:lvl w:ilvl="0">
      <w:lvlJc w:val="left"/>
      <w:lvlText w:val="%1"/>
      <w:numFmt w:val="lowerLetter"/>
      <w:start w:val="1"/>
    </w:lvl>
    <w:lvl w:ilvl="1">
      <w:lvlJc w:val="left"/>
      <w:lvlText w:val="(%2)"/>
      <w:numFmt w:val="lowerLetter"/>
      <w:start w:val="1"/>
    </w:lvl>
  </w:abstractNum>
  <w:abstractNum w:abstractNumId="107">
    <w:nsid w:val="1CA0C5FA"/>
    <w:multiLevelType w:val="hybridMultilevel"/>
    <w:lvl w:ilvl="0">
      <w:lvlJc w:val="left"/>
      <w:lvlText w:val="(%1)"/>
      <w:numFmt w:val="lowerLetter"/>
      <w:start w:val="35"/>
    </w:lvl>
    <w:lvl w:ilvl="1">
      <w:lvlJc w:val="left"/>
      <w:lvlText w:val="%2"/>
      <w:numFmt w:val="lowerLetter"/>
      <w:start w:val="1"/>
    </w:lvl>
  </w:abstractNum>
  <w:abstractNum w:abstractNumId="108">
    <w:nsid w:val="53584BCB"/>
    <w:multiLevelType w:val="hybridMultilevel"/>
    <w:lvl w:ilvl="0">
      <w:lvlJc w:val="left"/>
      <w:lvlText w:val="(%1)"/>
      <w:numFmt w:val="lowerLetter"/>
      <w:start w:val="1"/>
    </w:lvl>
  </w:abstractNum>
  <w:abstractNum w:abstractNumId="109">
    <w:nsid w:val="415E286C"/>
    <w:multiLevelType w:val="hybridMultilevel"/>
    <w:lvl w:ilvl="0">
      <w:lvlJc w:val="left"/>
      <w:lvlText w:val="(%1)"/>
      <w:numFmt w:val="lowerLetter"/>
      <w:start w:val="1"/>
    </w:lvl>
  </w:abstractNum>
  <w:abstractNum w:abstractNumId="110">
    <w:nsid w:val="7C58FD05"/>
    <w:multiLevelType w:val="hybridMultilevel"/>
    <w:lvl w:ilvl="0">
      <w:lvlJc w:val="left"/>
      <w:lvlText w:val="%1."/>
      <w:numFmt w:val="decimal"/>
      <w:start w:val="1"/>
    </w:lvl>
  </w:abstractNum>
  <w:abstractNum w:abstractNumId="111">
    <w:nsid w:val="23D86AAC"/>
    <w:multiLevelType w:val="hybridMultilevel"/>
    <w:lvl w:ilvl="0">
      <w:lvlJc w:val="left"/>
      <w:lvlText w:val="%1."/>
      <w:numFmt w:val="decimal"/>
      <w:start w:val="1"/>
    </w:lvl>
    <w:lvl w:ilvl="1">
      <w:lvlJc w:val="left"/>
      <w:lvlText w:val="(%2)"/>
      <w:numFmt w:val="lowerLetter"/>
      <w:start w:val="1"/>
    </w:lvl>
  </w:abstractNum>
  <w:abstractNum w:abstractNumId="112">
    <w:nsid w:val="45E6D48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2019-12-06T01:26:22Z</dcterms:created>
  <dcterms:modified xsi:type="dcterms:W3CDTF">2019-12-06T01:26:22Z</dcterms:modified>
</cp:coreProperties>
</file>