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85" w:lineRule="exact"/>
        <w:rPr>
          <w:sz w:val="24"/>
          <w:szCs w:val="24"/>
          <w:color w:val="auto"/>
        </w:rPr>
      </w:pPr>
    </w:p>
    <w:p>
      <w:pPr>
        <w:ind w:left="3880" w:right="1920" w:hanging="3872"/>
        <w:spacing w:after="0" w:line="451" w:lineRule="auto"/>
        <w:tabs>
          <w:tab w:leader="none" w:pos="27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2012</w:t>
      </w:r>
    </w:p>
    <w:p>
      <w:pPr>
        <w:jc w:val="center"/>
        <w:spacing w:after="0"/>
        <w:rPr>
          <w:sz w:val="20"/>
          <w:szCs w:val="20"/>
          <w:color w:val="auto"/>
        </w:rPr>
      </w:pPr>
      <w:r>
        <w:rPr>
          <w:rFonts w:ascii="Arial" w:cs="Arial" w:eastAsia="Arial" w:hAnsi="Arial"/>
          <w:sz w:val="18"/>
          <w:szCs w:val="18"/>
          <w:color w:val="auto"/>
        </w:rPr>
        <w:t>OR</w:t>
      </w:r>
    </w:p>
    <w:p>
      <w:pPr>
        <w:spacing w:after="0" w:line="163" w:lineRule="exact"/>
        <w:rPr>
          <w:sz w:val="24"/>
          <w:szCs w:val="24"/>
          <w:color w:val="auto"/>
        </w:rPr>
      </w:pPr>
    </w:p>
    <w:p>
      <w:pPr>
        <w:ind w:left="3400" w:right="1920" w:hanging="3392"/>
        <w:spacing w:after="0" w:line="451"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81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664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18"/>
                <w:szCs w:val="18"/>
                <w:color w:val="auto"/>
              </w:rPr>
            </w:pPr>
          </w:p>
        </w:tc>
      </w:tr>
      <w:tr>
        <w:trPr>
          <w:trHeight w:val="392"/>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210"/>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380" w:type="dxa"/>
            <w:vAlign w:val="bottom"/>
          </w:tcPr>
          <w:p>
            <w:pPr>
              <w:spacing w:after="0"/>
              <w:rPr>
                <w:sz w:val="18"/>
                <w:szCs w:val="18"/>
                <w:color w:val="auto"/>
              </w:rPr>
            </w:pPr>
          </w:p>
        </w:tc>
        <w:tc>
          <w:tcPr>
            <w:tcW w:w="47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162"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176"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359"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238"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line="162" w:lineRule="exact"/>
        <w:rPr>
          <w:sz w:val="24"/>
          <w:szCs w:val="24"/>
          <w:color w:val="auto"/>
        </w:r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04"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The registrant had 28.1 million shares of Class A Common Stock and 3.2 million shares of Class B Common Stock outstanding as of June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Page</w:t>
            </w:r>
          </w:p>
        </w:tc>
      </w:tr>
      <w:tr>
        <w:trPr>
          <w:trHeight w:val="203"/>
        </w:trPr>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860" w:type="dxa"/>
            <w:vAlign w:val="bottom"/>
            <w:gridSpan w:val="22"/>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4"/>
                <w:szCs w:val="24"/>
                <w:color w:val="auto"/>
              </w:rPr>
            </w:pPr>
          </w:p>
        </w:tc>
      </w:tr>
      <w:tr>
        <w:trPr>
          <w:trHeight w:val="365"/>
        </w:trPr>
        <w:tc>
          <w:tcPr>
            <w:tcW w:w="120" w:type="dxa"/>
            <w:vAlign w:val="bottom"/>
          </w:tcPr>
          <w:p>
            <w:pPr>
              <w:spacing w:after="0"/>
              <w:rPr>
                <w:sz w:val="24"/>
                <w:szCs w:val="24"/>
                <w:color w:val="auto"/>
              </w:rPr>
            </w:pPr>
          </w:p>
        </w:tc>
        <w:tc>
          <w:tcPr>
            <w:tcW w:w="23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w:t>
              </w:r>
            </w:hyperlink>
          </w:p>
        </w:tc>
        <w:tc>
          <w:tcPr>
            <w:tcW w:w="844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operations – three and six months ended June 30, 2012 and 2011</w:t>
              </w:r>
            </w:hyperlink>
          </w:p>
        </w:tc>
        <w:tc>
          <w:tcPr>
            <w:tcW w:w="308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40" w:type="dxa"/>
            <w:vAlign w:val="bottom"/>
            <w:tcBorders>
              <w:bottom w:val="single" w:sz="8" w:color="0000EE"/>
            </w:tcBorders>
            <w:gridSpan w:val="19"/>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income/(loss) – three and six months ended June 30, 2012</w:t>
              </w:r>
            </w:hyperlink>
          </w:p>
        </w:tc>
        <w:tc>
          <w:tcPr>
            <w:tcW w:w="2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60" w:type="dxa"/>
            <w:vAlign w:val="bottom"/>
            <w:gridSpan w:val="19"/>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and 2011</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June 30, 2012 and December 31, 2011</w:t>
              </w:r>
            </w:hyperlink>
          </w:p>
        </w:tc>
        <w:tc>
          <w:tcPr>
            <w:tcW w:w="4940" w:type="dxa"/>
            <w:vAlign w:val="bottom"/>
            <w:gridSpan w:val="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80" w:type="dxa"/>
            <w:vAlign w:val="bottom"/>
            <w:gridSpan w:val="20"/>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six months ended June 30, 2012 and 2011</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4100" w:type="dxa"/>
            <w:vAlign w:val="bottom"/>
            <w:tcBorders>
              <w:top w:val="single" w:sz="8" w:color="0000EE"/>
            </w:tcBorders>
            <w:gridSpan w:val="4"/>
          </w:tcPr>
          <w:p>
            <w:pPr>
              <w:spacing w:after="0"/>
              <w:rPr>
                <w:sz w:val="15"/>
                <w:szCs w:val="15"/>
                <w:color w:val="auto"/>
              </w:rPr>
            </w:pPr>
          </w:p>
        </w:tc>
        <w:tc>
          <w:tcPr>
            <w:tcW w:w="3100" w:type="dxa"/>
            <w:vAlign w:val="bottom"/>
            <w:gridSpan w:val="4"/>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120" w:type="dxa"/>
            <w:vAlign w:val="bottom"/>
          </w:tcPr>
          <w:p>
            <w:pPr>
              <w:spacing w:after="0"/>
              <w:rPr>
                <w:sz w:val="15"/>
                <w:szCs w:val="15"/>
                <w:color w:val="auto"/>
              </w:rPr>
            </w:pPr>
          </w:p>
        </w:tc>
        <w:tc>
          <w:tcPr>
            <w:tcW w:w="22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Forward-looking statements</w:t>
              </w:r>
            </w:hyperlink>
          </w:p>
        </w:tc>
        <w:tc>
          <w:tcPr>
            <w:tcW w:w="8500" w:type="dxa"/>
            <w:vAlign w:val="bottom"/>
            <w:gridSpan w:val="1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120" w:type="dxa"/>
            <w:vAlign w:val="bottom"/>
          </w:tcPr>
          <w:p>
            <w:pPr>
              <w:spacing w:after="0"/>
              <w:rPr>
                <w:sz w:val="15"/>
                <w:szCs w:val="15"/>
                <w:color w:val="auto"/>
              </w:rPr>
            </w:pPr>
          </w:p>
        </w:tc>
        <w:tc>
          <w:tcPr>
            <w:tcW w:w="770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Item 2. Management’s Discussion and Analysis of Financial Condition and Results of Operations</w:t>
              </w:r>
            </w:hyperlink>
          </w:p>
        </w:tc>
        <w:tc>
          <w:tcPr>
            <w:tcW w:w="304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20" w:type="dxa"/>
            <w:vAlign w:val="bottom"/>
          </w:tcPr>
          <w:p>
            <w:pPr>
              <w:spacing w:after="0"/>
              <w:rPr>
                <w:sz w:val="15"/>
                <w:szCs w:val="15"/>
                <w:color w:val="auto"/>
              </w:rPr>
            </w:pPr>
          </w:p>
        </w:tc>
        <w:tc>
          <w:tcPr>
            <w:tcW w:w="10740" w:type="dxa"/>
            <w:vAlign w:val="bottom"/>
            <w:gridSpan w:val="21"/>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3. Quantitative and Qualitative Disclosures about Market Risk</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1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4. Controls and Procedures</w:t>
              </w:r>
            </w:hyperlink>
          </w:p>
        </w:tc>
        <w:tc>
          <w:tcPr>
            <w:tcW w:w="5440" w:type="dxa"/>
            <w:vAlign w:val="bottom"/>
            <w:gridSpan w:val="7"/>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208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Part II Other Information</w:t>
              </w:r>
            </w:hyperlink>
          </w:p>
        </w:tc>
        <w:tc>
          <w:tcPr>
            <w:tcW w:w="878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5"/>
        </w:trPr>
        <w:tc>
          <w:tcPr>
            <w:tcW w:w="120" w:type="dxa"/>
            <w:vAlign w:val="bottom"/>
          </w:tcPr>
          <w:p>
            <w:pPr>
              <w:spacing w:after="0"/>
              <w:rPr>
                <w:sz w:val="24"/>
                <w:szCs w:val="24"/>
                <w:color w:val="auto"/>
              </w:rPr>
            </w:pPr>
          </w:p>
        </w:tc>
        <w:tc>
          <w:tcPr>
            <w:tcW w:w="1074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 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83"/>
        </w:trPr>
        <w:tc>
          <w:tcPr>
            <w:tcW w:w="12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Item 1A. Risk Factors</w:t>
              </w:r>
            </w:hyperlink>
          </w:p>
        </w:tc>
        <w:tc>
          <w:tcPr>
            <w:tcW w:w="360" w:type="dxa"/>
            <w:vAlign w:val="bottom"/>
            <w:tcBorders>
              <w:top w:val="single" w:sz="8" w:color="0000EE"/>
            </w:tcBorders>
            <w:gridSpan w:val="3"/>
          </w:tcPr>
          <w:p>
            <w:pPr>
              <w:spacing w:after="0"/>
              <w:rPr>
                <w:sz w:val="15"/>
                <w:szCs w:val="15"/>
                <w:color w:val="auto"/>
              </w:rPr>
            </w:pPr>
          </w:p>
        </w:tc>
        <w:tc>
          <w:tcPr>
            <w:tcW w:w="8640" w:type="dxa"/>
            <w:vAlign w:val="bottom"/>
            <w:gridSpan w:val="1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120" w:type="dxa"/>
            <w:vAlign w:val="bottom"/>
          </w:tcPr>
          <w:p>
            <w:pPr>
              <w:spacing w:after="0"/>
              <w:rPr>
                <w:sz w:val="15"/>
                <w:szCs w:val="15"/>
                <w:color w:val="auto"/>
              </w:rPr>
            </w:pPr>
          </w:p>
        </w:tc>
        <w:tc>
          <w:tcPr>
            <w:tcW w:w="10740" w:type="dxa"/>
            <w:vAlign w:val="bottom"/>
            <w:gridSpan w:val="21"/>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Item 2. Unregistered Sales of Equity Securities and Use of Proceeds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12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Item 3. Defaults upon Senior Securities</w:t>
              </w:r>
            </w:hyperlink>
          </w:p>
        </w:tc>
        <w:tc>
          <w:tcPr>
            <w:tcW w:w="2320" w:type="dxa"/>
            <w:vAlign w:val="bottom"/>
            <w:tcBorders>
              <w:top w:val="single" w:sz="8" w:color="0000EE"/>
            </w:tcBorders>
            <w:gridSpan w:val="3"/>
          </w:tcPr>
          <w:p>
            <w:pPr>
              <w:spacing w:after="0"/>
              <w:rPr>
                <w:sz w:val="15"/>
                <w:szCs w:val="15"/>
                <w:color w:val="auto"/>
              </w:rPr>
            </w:pPr>
          </w:p>
        </w:tc>
        <w:tc>
          <w:tcPr>
            <w:tcW w:w="5280" w:type="dxa"/>
            <w:vAlign w:val="bottom"/>
            <w:gridSpan w:val="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120" w:type="dxa"/>
            <w:vAlign w:val="bottom"/>
          </w:tcPr>
          <w:p>
            <w:pPr>
              <w:spacing w:after="0"/>
              <w:rPr>
                <w:sz w:val="15"/>
                <w:szCs w:val="15"/>
                <w:color w:val="auto"/>
              </w:rPr>
            </w:pPr>
          </w:p>
        </w:tc>
        <w:tc>
          <w:tcPr>
            <w:tcW w:w="10740" w:type="dxa"/>
            <w:vAlign w:val="bottom"/>
            <w:gridSpan w:val="21"/>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Item 4. Mine Safety Disclosures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120" w:type="dxa"/>
            <w:vAlign w:val="bottom"/>
          </w:tcPr>
          <w:p>
            <w:pPr>
              <w:spacing w:after="0"/>
              <w:rPr>
                <w:sz w:val="15"/>
                <w:szCs w:val="15"/>
                <w:color w:val="auto"/>
              </w:rPr>
            </w:pPr>
          </w:p>
        </w:tc>
        <w:tc>
          <w:tcPr>
            <w:tcW w:w="20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Item 5. Other Information</w:t>
              </w:r>
            </w:hyperlink>
          </w:p>
        </w:tc>
        <w:tc>
          <w:tcPr>
            <w:tcW w:w="580" w:type="dxa"/>
            <w:vAlign w:val="bottom"/>
            <w:tcBorders>
              <w:top w:val="single" w:sz="8" w:color="0000EE"/>
            </w:tcBorders>
            <w:gridSpan w:val="4"/>
          </w:tcPr>
          <w:p>
            <w:pPr>
              <w:spacing w:after="0"/>
              <w:rPr>
                <w:sz w:val="15"/>
                <w:szCs w:val="15"/>
                <w:color w:val="auto"/>
              </w:rPr>
            </w:pPr>
          </w:p>
        </w:tc>
        <w:tc>
          <w:tcPr>
            <w:tcW w:w="8140" w:type="dxa"/>
            <w:vAlign w:val="bottom"/>
            <w:gridSpan w:val="10"/>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120" w:type="dxa"/>
            <w:vAlign w:val="bottom"/>
          </w:tcPr>
          <w:p>
            <w:pPr>
              <w:spacing w:after="0"/>
              <w:rPr>
                <w:sz w:val="15"/>
                <w:szCs w:val="15"/>
                <w:color w:val="auto"/>
              </w:rPr>
            </w:pPr>
          </w:p>
        </w:tc>
        <w:tc>
          <w:tcPr>
            <w:tcW w:w="10740" w:type="dxa"/>
            <w:vAlign w:val="bottom"/>
            <w:gridSpan w:val="21"/>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811"/>
        </w:trPr>
        <w:tc>
          <w:tcPr>
            <w:tcW w:w="12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OPERATIONS</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gridSpan w:val="4"/>
          </w:tcPr>
          <w:p>
            <w:pPr>
              <w:jc w:val="center"/>
              <w:spacing w:after="0"/>
              <w:rPr>
                <w:sz w:val="20"/>
                <w:szCs w:val="20"/>
                <w:color w:val="auto"/>
              </w:rPr>
            </w:pPr>
            <w:r>
              <w:rPr>
                <w:rFonts w:ascii="Arial" w:cs="Arial" w:eastAsia="Arial" w:hAnsi="Arial"/>
                <w:sz w:val="16"/>
                <w:szCs w:val="16"/>
                <w:color w:val="auto"/>
              </w:rPr>
              <w:t>Three Months Ended</w:t>
            </w:r>
          </w:p>
        </w:tc>
        <w:tc>
          <w:tcPr>
            <w:tcW w:w="624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43"/>
        </w:trPr>
        <w:tc>
          <w:tcPr>
            <w:tcW w:w="1700" w:type="dxa"/>
            <w:vAlign w:val="bottom"/>
            <w:gridSpan w:val="3"/>
          </w:tcPr>
          <w:p>
            <w:pPr>
              <w:jc w:val="center"/>
              <w:ind w:left="799"/>
              <w:spacing w:after="0"/>
              <w:rPr>
                <w:sz w:val="20"/>
                <w:szCs w:val="20"/>
                <w:color w:val="auto"/>
              </w:rPr>
            </w:pPr>
            <w:r>
              <w:rPr>
                <w:rFonts w:ascii="Arial" w:cs="Arial" w:eastAsia="Arial" w:hAnsi="Arial"/>
                <w:sz w:val="16"/>
                <w:szCs w:val="16"/>
                <w:color w:val="auto"/>
              </w:rPr>
              <w:t>June 30,</w:t>
            </w:r>
          </w:p>
        </w:tc>
        <w:tc>
          <w:tcPr>
            <w:tcW w:w="88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1720" w:type="dxa"/>
            <w:vAlign w:val="bottom"/>
            <w:gridSpan w:val="3"/>
          </w:tcPr>
          <w:p>
            <w:pPr>
              <w:jc w:val="center"/>
              <w:ind w:left="779"/>
              <w:spacing w:after="0"/>
              <w:rPr>
                <w:sz w:val="20"/>
                <w:szCs w:val="20"/>
                <w:color w:val="auto"/>
              </w:rPr>
            </w:pPr>
            <w:r>
              <w:rPr>
                <w:rFonts w:ascii="Arial" w:cs="Arial" w:eastAsia="Arial" w:hAnsi="Arial"/>
                <w:sz w:val="16"/>
                <w:szCs w:val="16"/>
                <w:color w:val="auto"/>
              </w:rPr>
              <w:t>June 30,</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2012</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2011</w:t>
            </w:r>
          </w:p>
        </w:tc>
        <w:tc>
          <w:tcPr>
            <w:tcW w:w="6240" w:type="dxa"/>
            <w:vAlign w:val="bottom"/>
          </w:tcPr>
          <w:p>
            <w:pPr>
              <w:spacing w:after="0"/>
              <w:rPr>
                <w:sz w:val="24"/>
                <w:szCs w:val="24"/>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2012</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C0C0C0"/>
          </w:tcPr>
          <w:p>
            <w:pPr>
              <w:jc w:val="right"/>
              <w:ind w:right="19"/>
              <w:spacing w:after="0"/>
              <w:rPr>
                <w:sz w:val="20"/>
                <w:szCs w:val="20"/>
                <w:color w:val="auto"/>
              </w:rPr>
            </w:pPr>
            <w:r>
              <w:rPr>
                <w:rFonts w:ascii="Arial" w:cs="Arial" w:eastAsia="Arial" w:hAnsi="Arial"/>
                <w:sz w:val="16"/>
                <w:szCs w:val="16"/>
                <w:color w:val="auto"/>
              </w:rPr>
              <w:t>$191,940</w:t>
            </w:r>
          </w:p>
        </w:tc>
        <w:tc>
          <w:tcPr>
            <w:tcW w:w="3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880" w:type="dxa"/>
            <w:vAlign w:val="bottom"/>
            <w:shd w:val="clear" w:color="auto" w:fill="C0C0C0"/>
          </w:tcPr>
          <w:p>
            <w:pPr>
              <w:jc w:val="right"/>
              <w:ind w:right="19"/>
              <w:spacing w:after="0"/>
              <w:rPr>
                <w:sz w:val="20"/>
                <w:szCs w:val="20"/>
                <w:color w:val="auto"/>
              </w:rPr>
            </w:pPr>
            <w:r>
              <w:rPr>
                <w:rFonts w:ascii="Arial" w:cs="Arial" w:eastAsia="Arial" w:hAnsi="Arial"/>
                <w:sz w:val="16"/>
                <w:szCs w:val="16"/>
                <w:color w:val="auto"/>
              </w:rPr>
              <w:t>$189,681</w:t>
            </w:r>
          </w:p>
        </w:tc>
        <w:tc>
          <w:tcPr>
            <w:tcW w:w="6240" w:type="dxa"/>
            <w:vAlign w:val="bottom"/>
            <w:shd w:val="clear" w:color="auto" w:fill="C0C0C0"/>
          </w:tcPr>
          <w:p>
            <w:pPr>
              <w:ind w:left="100"/>
              <w:spacing w:after="0"/>
              <w:rPr>
                <w:sz w:val="20"/>
                <w:szCs w:val="20"/>
                <w:color w:val="auto"/>
              </w:rPr>
            </w:pPr>
            <w:r>
              <w:rPr>
                <w:rFonts w:ascii="Arial" w:cs="Arial" w:eastAsia="Arial" w:hAnsi="Arial"/>
                <w:sz w:val="16"/>
                <w:szCs w:val="16"/>
                <w:color w:val="auto"/>
              </w:rPr>
              <w:t>Net sales</w:t>
            </w:r>
          </w:p>
        </w:tc>
        <w:tc>
          <w:tcPr>
            <w:tcW w:w="1140" w:type="dxa"/>
            <w:vAlign w:val="bottom"/>
            <w:shd w:val="clear" w:color="auto" w:fill="C0C0C0"/>
          </w:tcPr>
          <w:p>
            <w:pPr>
              <w:jc w:val="right"/>
              <w:ind w:right="19"/>
              <w:spacing w:after="0"/>
              <w:rPr>
                <w:sz w:val="20"/>
                <w:szCs w:val="20"/>
                <w:color w:val="auto"/>
              </w:rPr>
            </w:pPr>
            <w:r>
              <w:rPr>
                <w:rFonts w:ascii="Arial" w:cs="Arial" w:eastAsia="Arial" w:hAnsi="Arial"/>
                <w:sz w:val="16"/>
                <w:szCs w:val="16"/>
                <w:color w:val="auto"/>
              </w:rPr>
              <w:t>$372,017</w:t>
            </w:r>
          </w:p>
        </w:tc>
        <w:tc>
          <w:tcPr>
            <w:tcW w:w="38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880" w:type="dxa"/>
            <w:vAlign w:val="bottom"/>
            <w:shd w:val="clear" w:color="auto" w:fill="C0C0C0"/>
          </w:tcPr>
          <w:p>
            <w:pPr>
              <w:jc w:val="right"/>
              <w:ind w:right="19"/>
              <w:spacing w:after="0"/>
              <w:rPr>
                <w:sz w:val="20"/>
                <w:szCs w:val="20"/>
                <w:color w:val="auto"/>
              </w:rPr>
            </w:pPr>
            <w:r>
              <w:rPr>
                <w:rFonts w:ascii="Arial" w:cs="Arial" w:eastAsia="Arial" w:hAnsi="Arial"/>
                <w:sz w:val="16"/>
                <w:szCs w:val="16"/>
                <w:color w:val="auto"/>
              </w:rPr>
              <w:t>$389,635</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113,440</w:t>
            </w: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115,741</w:t>
            </w:r>
          </w:p>
        </w:tc>
        <w:tc>
          <w:tcPr>
            <w:tcW w:w="6240" w:type="dxa"/>
            <w:vAlign w:val="bottom"/>
          </w:tcPr>
          <w:p>
            <w:pPr>
              <w:ind w:left="100"/>
              <w:spacing w:after="0"/>
              <w:rPr>
                <w:sz w:val="20"/>
                <w:szCs w:val="20"/>
                <w:color w:val="auto"/>
              </w:rPr>
            </w:pPr>
            <w:r>
              <w:rPr>
                <w:rFonts w:ascii="Arial" w:cs="Arial" w:eastAsia="Arial" w:hAnsi="Arial"/>
                <w:sz w:val="16"/>
                <w:szCs w:val="16"/>
                <w:color w:val="auto"/>
              </w:rPr>
              <w:t>Cost of goods sold</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225,231</w:t>
            </w: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230,507</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C0C0C0"/>
          </w:tcPr>
          <w:p>
            <w:pPr>
              <w:jc w:val="right"/>
              <w:ind w:right="19"/>
              <w:spacing w:after="0"/>
              <w:rPr>
                <w:sz w:val="20"/>
                <w:szCs w:val="20"/>
                <w:color w:val="auto"/>
              </w:rPr>
            </w:pPr>
            <w:r>
              <w:rPr>
                <w:rFonts w:ascii="Arial" w:cs="Arial" w:eastAsia="Arial" w:hAnsi="Arial"/>
                <w:sz w:val="16"/>
                <w:szCs w:val="16"/>
                <w:color w:val="auto"/>
              </w:rPr>
              <w:t>78,500</w:t>
            </w:r>
          </w:p>
        </w:tc>
        <w:tc>
          <w:tcPr>
            <w:tcW w:w="3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880" w:type="dxa"/>
            <w:vAlign w:val="bottom"/>
            <w:shd w:val="clear" w:color="auto" w:fill="C0C0C0"/>
          </w:tcPr>
          <w:p>
            <w:pPr>
              <w:jc w:val="right"/>
              <w:ind w:right="19"/>
              <w:spacing w:after="0"/>
              <w:rPr>
                <w:sz w:val="20"/>
                <w:szCs w:val="20"/>
                <w:color w:val="auto"/>
              </w:rPr>
            </w:pPr>
            <w:r>
              <w:rPr>
                <w:rFonts w:ascii="Arial" w:cs="Arial" w:eastAsia="Arial" w:hAnsi="Arial"/>
                <w:sz w:val="16"/>
                <w:szCs w:val="16"/>
                <w:color w:val="auto"/>
              </w:rPr>
              <w:t>73,940</w:t>
            </w:r>
          </w:p>
        </w:tc>
        <w:tc>
          <w:tcPr>
            <w:tcW w:w="6240" w:type="dxa"/>
            <w:vAlign w:val="bottom"/>
            <w:shd w:val="clear" w:color="auto" w:fill="C0C0C0"/>
          </w:tcPr>
          <w:p>
            <w:pPr>
              <w:ind w:left="100"/>
              <w:spacing w:after="0"/>
              <w:rPr>
                <w:sz w:val="20"/>
                <w:szCs w:val="20"/>
                <w:color w:val="auto"/>
              </w:rPr>
            </w:pPr>
            <w:r>
              <w:rPr>
                <w:rFonts w:ascii="Arial" w:cs="Arial" w:eastAsia="Arial" w:hAnsi="Arial"/>
                <w:sz w:val="16"/>
                <w:szCs w:val="16"/>
                <w:color w:val="auto"/>
              </w:rPr>
              <w:t>Gross profit</w:t>
            </w:r>
          </w:p>
        </w:tc>
        <w:tc>
          <w:tcPr>
            <w:tcW w:w="1140" w:type="dxa"/>
            <w:vAlign w:val="bottom"/>
            <w:shd w:val="clear" w:color="auto" w:fill="C0C0C0"/>
          </w:tcPr>
          <w:p>
            <w:pPr>
              <w:jc w:val="right"/>
              <w:ind w:right="19"/>
              <w:spacing w:after="0"/>
              <w:rPr>
                <w:sz w:val="20"/>
                <w:szCs w:val="20"/>
                <w:color w:val="auto"/>
              </w:rPr>
            </w:pPr>
            <w:r>
              <w:rPr>
                <w:rFonts w:ascii="Arial" w:cs="Arial" w:eastAsia="Arial" w:hAnsi="Arial"/>
                <w:sz w:val="16"/>
                <w:szCs w:val="16"/>
                <w:color w:val="auto"/>
              </w:rPr>
              <w:t>146,786</w:t>
            </w:r>
          </w:p>
        </w:tc>
        <w:tc>
          <w:tcPr>
            <w:tcW w:w="38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880" w:type="dxa"/>
            <w:vAlign w:val="bottom"/>
            <w:shd w:val="clear" w:color="auto" w:fill="C0C0C0"/>
          </w:tcPr>
          <w:p>
            <w:pPr>
              <w:jc w:val="right"/>
              <w:ind w:right="19"/>
              <w:spacing w:after="0"/>
              <w:rPr>
                <w:sz w:val="20"/>
                <w:szCs w:val="20"/>
                <w:color w:val="auto"/>
              </w:rPr>
            </w:pPr>
            <w:r>
              <w:rPr>
                <w:rFonts w:ascii="Arial" w:cs="Arial" w:eastAsia="Arial" w:hAnsi="Arial"/>
                <w:sz w:val="16"/>
                <w:szCs w:val="16"/>
                <w:color w:val="auto"/>
              </w:rPr>
              <w:t>159,128</w:t>
            </w:r>
          </w:p>
        </w:tc>
        <w:tc>
          <w:tcPr>
            <w:tcW w:w="0" w:type="dxa"/>
            <w:vAlign w:val="bottom"/>
          </w:tcPr>
          <w:p>
            <w:pPr>
              <w:spacing w:after="0"/>
              <w:rPr>
                <w:sz w:val="1"/>
                <w:szCs w:val="1"/>
                <w:color w:val="auto"/>
              </w:rPr>
            </w:pPr>
          </w:p>
        </w:tc>
      </w:tr>
      <w:tr>
        <w:trPr>
          <w:trHeight w:val="243"/>
        </w:trPr>
        <w:tc>
          <w:tcPr>
            <w:tcW w:w="1140" w:type="dxa"/>
            <w:vAlign w:val="bottom"/>
          </w:tcPr>
          <w:p>
            <w:pPr>
              <w:jc w:val="right"/>
              <w:ind w:right="19"/>
              <w:spacing w:after="0"/>
              <w:rPr>
                <w:sz w:val="20"/>
                <w:szCs w:val="20"/>
                <w:color w:val="auto"/>
              </w:rPr>
            </w:pPr>
            <w:r>
              <w:rPr>
                <w:rFonts w:ascii="Arial" w:cs="Arial" w:eastAsia="Arial" w:hAnsi="Arial"/>
                <w:sz w:val="16"/>
                <w:szCs w:val="16"/>
                <w:color w:val="auto"/>
              </w:rPr>
              <w:t>37,146</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45,403</w:t>
            </w:r>
          </w:p>
        </w:tc>
        <w:tc>
          <w:tcPr>
            <w:tcW w:w="624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84,169</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91,370</w:t>
            </w: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13,646</w:t>
            </w:r>
          </w:p>
        </w:tc>
        <w:tc>
          <w:tcPr>
            <w:tcW w:w="36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14,326</w:t>
            </w:r>
          </w:p>
        </w:tc>
        <w:tc>
          <w:tcPr>
            <w:tcW w:w="6240" w:type="dxa"/>
            <w:vAlign w:val="bottom"/>
            <w:shd w:val="clear" w:color="auto" w:fill="BFBFBF"/>
          </w:tcPr>
          <w:p>
            <w:pPr>
              <w:ind w:left="220"/>
              <w:spacing w:after="0"/>
              <w:rPr>
                <w:sz w:val="20"/>
                <w:szCs w:val="20"/>
                <w:color w:val="auto"/>
              </w:rPr>
            </w:pPr>
            <w:r>
              <w:rPr>
                <w:rFonts w:ascii="Arial" w:cs="Arial" w:eastAsia="Arial" w:hAnsi="Arial"/>
                <w:sz w:val="16"/>
                <w:szCs w:val="16"/>
                <w:color w:val="auto"/>
              </w:rPr>
              <w:t>Technical, product engineering, and research expenses</w:t>
            </w:r>
          </w:p>
        </w:tc>
        <w:tc>
          <w:tcPr>
            <w:tcW w:w="11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26,385</w:t>
            </w:r>
          </w:p>
        </w:tc>
        <w:tc>
          <w:tcPr>
            <w:tcW w:w="38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28,439</w:t>
            </w:r>
          </w:p>
        </w:tc>
        <w:tc>
          <w:tcPr>
            <w:tcW w:w="0" w:type="dxa"/>
            <w:vAlign w:val="bottom"/>
          </w:tcPr>
          <w:p>
            <w:pPr>
              <w:spacing w:after="0"/>
              <w:rPr>
                <w:sz w:val="1"/>
                <w:szCs w:val="1"/>
                <w:color w:val="auto"/>
              </w:rPr>
            </w:pPr>
          </w:p>
        </w:tc>
      </w:tr>
      <w:tr>
        <w:trPr>
          <w:trHeight w:val="243"/>
        </w:trPr>
        <w:tc>
          <w:tcPr>
            <w:tcW w:w="1140" w:type="dxa"/>
            <w:vAlign w:val="bottom"/>
          </w:tcPr>
          <w:p>
            <w:pPr>
              <w:jc w:val="right"/>
              <w:ind w:right="19"/>
              <w:spacing w:after="0"/>
              <w:rPr>
                <w:sz w:val="20"/>
                <w:szCs w:val="20"/>
                <w:color w:val="auto"/>
              </w:rPr>
            </w:pPr>
            <w:r>
              <w:rPr>
                <w:rFonts w:ascii="Arial" w:cs="Arial" w:eastAsia="Arial" w:hAnsi="Arial"/>
                <w:sz w:val="16"/>
                <w:szCs w:val="16"/>
                <w:color w:val="auto"/>
              </w:rPr>
              <w:t>3,152</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1,731</w:t>
            </w:r>
          </w:p>
        </w:tc>
        <w:tc>
          <w:tcPr>
            <w:tcW w:w="6240" w:type="dxa"/>
            <w:vAlign w:val="bottom"/>
          </w:tcPr>
          <w:p>
            <w:pPr>
              <w:ind w:left="220"/>
              <w:spacing w:after="0"/>
              <w:rPr>
                <w:sz w:val="20"/>
                <w:szCs w:val="20"/>
                <w:color w:val="auto"/>
              </w:rPr>
            </w:pPr>
            <w:r>
              <w:rPr>
                <w:rFonts w:ascii="Arial" w:cs="Arial" w:eastAsia="Arial" w:hAnsi="Arial"/>
                <w:sz w:val="16"/>
                <w:szCs w:val="16"/>
                <w:color w:val="auto"/>
              </w:rPr>
              <w:t>Restructuring and other, net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3,410</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110,560</w:t>
            </w:r>
          </w:p>
        </w:tc>
        <w:tc>
          <w:tcPr>
            <w:tcW w:w="360" w:type="dxa"/>
            <w:vAlign w:val="bottom"/>
            <w:shd w:val="clear" w:color="auto" w:fill="BFBFBF"/>
          </w:tcPr>
          <w:p>
            <w:pPr>
              <w:spacing w:after="0"/>
              <w:rPr>
                <w:sz w:val="16"/>
                <w:szCs w:val="16"/>
                <w:color w:val="auto"/>
              </w:rPr>
            </w:pPr>
          </w:p>
        </w:tc>
        <w:tc>
          <w:tcPr>
            <w:tcW w:w="20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w:t>
            </w:r>
          </w:p>
        </w:tc>
        <w:tc>
          <w:tcPr>
            <w:tcW w:w="6240" w:type="dxa"/>
            <w:vAlign w:val="bottom"/>
            <w:shd w:val="clear" w:color="auto" w:fill="BFBFBF"/>
          </w:tcPr>
          <w:p>
            <w:pPr>
              <w:ind w:left="220"/>
              <w:spacing w:after="0"/>
              <w:rPr>
                <w:sz w:val="20"/>
                <w:szCs w:val="20"/>
                <w:color w:val="auto"/>
              </w:rPr>
            </w:pPr>
            <w:r>
              <w:rPr>
                <w:rFonts w:ascii="Arial" w:cs="Arial" w:eastAsia="Arial" w:hAnsi="Arial"/>
                <w:sz w:val="16"/>
                <w:szCs w:val="16"/>
                <w:color w:val="auto"/>
              </w:rPr>
              <w:t>Pension settlement expense</w:t>
            </w:r>
          </w:p>
        </w:tc>
        <w:tc>
          <w:tcPr>
            <w:tcW w:w="114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119,735</w:t>
            </w:r>
          </w:p>
        </w:tc>
        <w:tc>
          <w:tcPr>
            <w:tcW w:w="380" w:type="dxa"/>
            <w:vAlign w:val="bottom"/>
            <w:shd w:val="clear" w:color="auto" w:fill="BFBFBF"/>
          </w:tcPr>
          <w:p>
            <w:pPr>
              <w:spacing w:after="0"/>
              <w:rPr>
                <w:sz w:val="16"/>
                <w:szCs w:val="16"/>
                <w:color w:val="auto"/>
              </w:rPr>
            </w:pPr>
          </w:p>
        </w:tc>
        <w:tc>
          <w:tcPr>
            <w:tcW w:w="20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(86,004)</w:t>
            </w:r>
          </w:p>
        </w:tc>
        <w:tc>
          <w:tcPr>
            <w:tcW w:w="36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12,480</w:t>
            </w:r>
          </w:p>
        </w:tc>
        <w:tc>
          <w:tcPr>
            <w:tcW w:w="6240" w:type="dxa"/>
            <w:vAlign w:val="bottom"/>
            <w:shd w:val="clear" w:color="auto" w:fill="BFBFBF"/>
          </w:tcPr>
          <w:p>
            <w:pPr>
              <w:ind w:left="100"/>
              <w:spacing w:after="0"/>
              <w:rPr>
                <w:sz w:val="20"/>
                <w:szCs w:val="20"/>
                <w:color w:val="auto"/>
              </w:rPr>
            </w:pPr>
            <w:r>
              <w:rPr>
                <w:rFonts w:ascii="Arial" w:cs="Arial" w:eastAsia="Arial" w:hAnsi="Arial"/>
                <w:sz w:val="16"/>
                <w:szCs w:val="16"/>
                <w:color w:val="auto"/>
              </w:rPr>
              <w:t>Operating (loss)/income</w:t>
            </w:r>
          </w:p>
        </w:tc>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(86,913)</w:t>
            </w:r>
          </w:p>
        </w:tc>
        <w:tc>
          <w:tcPr>
            <w:tcW w:w="38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37,554</w:t>
            </w:r>
          </w:p>
        </w:tc>
        <w:tc>
          <w:tcPr>
            <w:tcW w:w="0" w:type="dxa"/>
            <w:vAlign w:val="bottom"/>
          </w:tcPr>
          <w:p>
            <w:pPr>
              <w:spacing w:after="0"/>
              <w:rPr>
                <w:sz w:val="1"/>
                <w:szCs w:val="1"/>
                <w:color w:val="auto"/>
              </w:rPr>
            </w:pPr>
          </w:p>
        </w:tc>
      </w:tr>
      <w:tr>
        <w:trPr>
          <w:trHeight w:val="243"/>
        </w:trPr>
        <w:tc>
          <w:tcPr>
            <w:tcW w:w="1140" w:type="dxa"/>
            <w:vAlign w:val="bottom"/>
          </w:tcPr>
          <w:p>
            <w:pPr>
              <w:jc w:val="right"/>
              <w:ind w:right="19"/>
              <w:spacing w:after="0"/>
              <w:rPr>
                <w:sz w:val="20"/>
                <w:szCs w:val="20"/>
                <w:color w:val="auto"/>
              </w:rPr>
            </w:pPr>
            <w:r>
              <w:rPr>
                <w:rFonts w:ascii="Arial" w:cs="Arial" w:eastAsia="Arial" w:hAnsi="Arial"/>
                <w:sz w:val="16"/>
                <w:szCs w:val="16"/>
                <w:color w:val="auto"/>
              </w:rPr>
              <w:t>3,969</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4,786</w:t>
            </w:r>
          </w:p>
        </w:tc>
        <w:tc>
          <w:tcPr>
            <w:tcW w:w="624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8,613</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9,562</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(2,555)</w:t>
            </w:r>
          </w:p>
        </w:tc>
        <w:tc>
          <w:tcPr>
            <w:tcW w:w="360" w:type="dxa"/>
            <w:vAlign w:val="bottom"/>
            <w:shd w:val="clear" w:color="auto" w:fill="BFBFBF"/>
          </w:tcPr>
          <w:p>
            <w:pPr>
              <w:spacing w:after="0"/>
              <w:rPr>
                <w:sz w:val="16"/>
                <w:szCs w:val="16"/>
                <w:color w:val="auto"/>
              </w:rPr>
            </w:pPr>
          </w:p>
        </w:tc>
        <w:tc>
          <w:tcPr>
            <w:tcW w:w="20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7</w:t>
            </w:r>
          </w:p>
        </w:tc>
        <w:tc>
          <w:tcPr>
            <w:tcW w:w="6240" w:type="dxa"/>
            <w:vAlign w:val="bottom"/>
            <w:shd w:val="clear" w:color="auto" w:fill="BFBFBF"/>
          </w:tcPr>
          <w:p>
            <w:pPr>
              <w:ind w:left="220"/>
              <w:spacing w:after="0"/>
              <w:rPr>
                <w:sz w:val="20"/>
                <w:szCs w:val="20"/>
                <w:color w:val="auto"/>
              </w:rPr>
            </w:pPr>
            <w:r>
              <w:rPr>
                <w:rFonts w:ascii="Arial" w:cs="Arial" w:eastAsia="Arial" w:hAnsi="Arial"/>
                <w:sz w:val="16"/>
                <w:szCs w:val="16"/>
                <w:color w:val="auto"/>
              </w:rPr>
              <w:t>Other (income)/expense, net</w:t>
            </w:r>
          </w:p>
        </w:tc>
        <w:tc>
          <w:tcPr>
            <w:tcW w:w="114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1,993</w:t>
            </w:r>
          </w:p>
        </w:tc>
        <w:tc>
          <w:tcPr>
            <w:tcW w:w="380" w:type="dxa"/>
            <w:vAlign w:val="bottom"/>
            <w:shd w:val="clear" w:color="auto" w:fill="BFBFBF"/>
          </w:tcPr>
          <w:p>
            <w:pPr>
              <w:spacing w:after="0"/>
              <w:rPr>
                <w:sz w:val="16"/>
                <w:szCs w:val="16"/>
                <w:color w:val="auto"/>
              </w:rPr>
            </w:pPr>
          </w:p>
        </w:tc>
        <w:tc>
          <w:tcPr>
            <w:tcW w:w="20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4,820</w:t>
            </w:r>
          </w:p>
        </w:tc>
        <w:tc>
          <w:tcPr>
            <w:tcW w:w="0" w:type="dxa"/>
            <w:vAlign w:val="bottom"/>
          </w:tcPr>
          <w:p>
            <w:pPr>
              <w:spacing w:after="0"/>
              <w:rPr>
                <w:sz w:val="1"/>
                <w:szCs w:val="1"/>
                <w:color w:val="auto"/>
              </w:rPr>
            </w:pPr>
          </w:p>
        </w:tc>
      </w:tr>
      <w:tr>
        <w:trPr>
          <w:trHeight w:val="480"/>
        </w:trPr>
        <w:tc>
          <w:tcPr>
            <w:tcW w:w="1140" w:type="dxa"/>
            <w:vAlign w:val="bottom"/>
          </w:tcPr>
          <w:p>
            <w:pPr>
              <w:jc w:val="right"/>
              <w:spacing w:after="0"/>
              <w:rPr>
                <w:sz w:val="20"/>
                <w:szCs w:val="20"/>
                <w:color w:val="auto"/>
              </w:rPr>
            </w:pPr>
            <w:r>
              <w:rPr>
                <w:rFonts w:ascii="Arial" w:cs="Arial" w:eastAsia="Arial" w:hAnsi="Arial"/>
                <w:sz w:val="16"/>
                <w:szCs w:val="16"/>
                <w:color w:val="auto"/>
              </w:rPr>
              <w:t>(87,418)</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7,687</w:t>
            </w:r>
          </w:p>
        </w:tc>
        <w:tc>
          <w:tcPr>
            <w:tcW w:w="6240" w:type="dxa"/>
            <w:vAlign w:val="bottom"/>
          </w:tcPr>
          <w:p>
            <w:pPr>
              <w:ind w:left="100"/>
              <w:spacing w:after="0"/>
              <w:rPr>
                <w:sz w:val="20"/>
                <w:szCs w:val="20"/>
                <w:color w:val="auto"/>
              </w:rPr>
            </w:pPr>
            <w:r>
              <w:rPr>
                <w:rFonts w:ascii="Arial" w:cs="Arial" w:eastAsia="Arial" w:hAnsi="Arial"/>
                <w:sz w:val="16"/>
                <w:szCs w:val="16"/>
                <w:color w:val="auto"/>
              </w:rPr>
              <w:t>(Loss)/income before income taxes</w:t>
            </w:r>
          </w:p>
        </w:tc>
        <w:tc>
          <w:tcPr>
            <w:tcW w:w="1140" w:type="dxa"/>
            <w:vAlign w:val="bottom"/>
          </w:tcPr>
          <w:p>
            <w:pPr>
              <w:jc w:val="right"/>
              <w:spacing w:after="0"/>
              <w:rPr>
                <w:sz w:val="20"/>
                <w:szCs w:val="20"/>
                <w:color w:val="auto"/>
              </w:rPr>
            </w:pPr>
            <w:r>
              <w:rPr>
                <w:rFonts w:ascii="Arial" w:cs="Arial" w:eastAsia="Arial" w:hAnsi="Arial"/>
                <w:sz w:val="16"/>
                <w:szCs w:val="16"/>
                <w:color w:val="auto"/>
              </w:rPr>
              <w:t>(97,519)</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23,172</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(29,643)</w:t>
            </w:r>
          </w:p>
        </w:tc>
        <w:tc>
          <w:tcPr>
            <w:tcW w:w="360" w:type="dxa"/>
            <w:vAlign w:val="bottom"/>
            <w:shd w:val="clear" w:color="auto" w:fill="BFBFBF"/>
          </w:tcPr>
          <w:p>
            <w:pPr>
              <w:spacing w:after="0"/>
              <w:rPr>
                <w:sz w:val="16"/>
                <w:szCs w:val="16"/>
                <w:color w:val="auto"/>
              </w:rPr>
            </w:pPr>
          </w:p>
        </w:tc>
        <w:tc>
          <w:tcPr>
            <w:tcW w:w="20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3,139</w:t>
            </w:r>
          </w:p>
        </w:tc>
        <w:tc>
          <w:tcPr>
            <w:tcW w:w="6240" w:type="dxa"/>
            <w:vAlign w:val="bottom"/>
            <w:shd w:val="clear" w:color="auto" w:fill="BFBFBF"/>
          </w:tcPr>
          <w:p>
            <w:pPr>
              <w:ind w:left="220"/>
              <w:spacing w:after="0"/>
              <w:rPr>
                <w:sz w:val="20"/>
                <w:szCs w:val="20"/>
                <w:color w:val="auto"/>
              </w:rPr>
            </w:pPr>
            <w:r>
              <w:rPr>
                <w:rFonts w:ascii="Arial" w:cs="Arial" w:eastAsia="Arial" w:hAnsi="Arial"/>
                <w:sz w:val="16"/>
                <w:szCs w:val="16"/>
                <w:color w:val="auto"/>
              </w:rPr>
              <w:t>Income tax (benefit)/expense</w:t>
            </w:r>
          </w:p>
        </w:tc>
        <w:tc>
          <w:tcPr>
            <w:tcW w:w="1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(39,615)</w:t>
            </w:r>
          </w:p>
        </w:tc>
        <w:tc>
          <w:tcPr>
            <w:tcW w:w="380" w:type="dxa"/>
            <w:vAlign w:val="bottom"/>
            <w:shd w:val="clear" w:color="auto" w:fill="BFBFBF"/>
          </w:tcPr>
          <w:p>
            <w:pPr>
              <w:spacing w:after="0"/>
              <w:rPr>
                <w:sz w:val="16"/>
                <w:szCs w:val="16"/>
                <w:color w:val="auto"/>
              </w:rPr>
            </w:pPr>
          </w:p>
        </w:tc>
        <w:tc>
          <w:tcPr>
            <w:tcW w:w="20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6,406</w:t>
            </w:r>
          </w:p>
        </w:tc>
        <w:tc>
          <w:tcPr>
            <w:tcW w:w="0" w:type="dxa"/>
            <w:vAlign w:val="bottom"/>
          </w:tcPr>
          <w:p>
            <w:pPr>
              <w:spacing w:after="0"/>
              <w:rPr>
                <w:sz w:val="1"/>
                <w:szCs w:val="1"/>
                <w:color w:val="auto"/>
              </w:rPr>
            </w:pPr>
          </w:p>
        </w:tc>
      </w:tr>
      <w:tr>
        <w:trPr>
          <w:trHeight w:val="48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(57,775)</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4,548</w:t>
            </w:r>
          </w:p>
        </w:tc>
        <w:tc>
          <w:tcPr>
            <w:tcW w:w="6240" w:type="dxa"/>
            <w:vAlign w:val="bottom"/>
          </w:tcPr>
          <w:p>
            <w:pPr>
              <w:ind w:left="100"/>
              <w:spacing w:after="0"/>
              <w:rPr>
                <w:sz w:val="20"/>
                <w:szCs w:val="20"/>
                <w:color w:val="auto"/>
              </w:rPr>
            </w:pPr>
            <w:r>
              <w:rPr>
                <w:rFonts w:ascii="Arial" w:cs="Arial" w:eastAsia="Arial" w:hAnsi="Arial"/>
                <w:sz w:val="16"/>
                <w:szCs w:val="16"/>
                <w:color w:val="auto"/>
              </w:rPr>
              <w:t>(Loss)/income from continuing operations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(57,904)</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16,766</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2,760</w:t>
            </w:r>
          </w:p>
        </w:tc>
        <w:tc>
          <w:tcPr>
            <w:tcW w:w="36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6,434</w:t>
            </w:r>
          </w:p>
        </w:tc>
        <w:tc>
          <w:tcPr>
            <w:tcW w:w="6240" w:type="dxa"/>
            <w:vAlign w:val="bottom"/>
            <w:shd w:val="clear" w:color="auto" w:fill="BFBFBF"/>
          </w:tcPr>
          <w:p>
            <w:pPr>
              <w:ind w:left="220"/>
              <w:spacing w:after="0"/>
              <w:rPr>
                <w:sz w:val="20"/>
                <w:szCs w:val="20"/>
                <w:color w:val="auto"/>
              </w:rPr>
            </w:pPr>
            <w:r>
              <w:rPr>
                <w:rFonts w:ascii="Arial" w:cs="Arial" w:eastAsia="Arial" w:hAnsi="Arial"/>
                <w:sz w:val="16"/>
                <w:szCs w:val="16"/>
                <w:color w:val="auto"/>
              </w:rPr>
              <w:t>Income from operations of discontinued business</w:t>
            </w:r>
          </w:p>
        </w:tc>
        <w:tc>
          <w:tcPr>
            <w:tcW w:w="11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4,776</w:t>
            </w:r>
          </w:p>
        </w:tc>
        <w:tc>
          <w:tcPr>
            <w:tcW w:w="38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12,991</w:t>
            </w:r>
          </w:p>
        </w:tc>
        <w:tc>
          <w:tcPr>
            <w:tcW w:w="0" w:type="dxa"/>
            <w:vAlign w:val="bottom"/>
          </w:tcPr>
          <w:p>
            <w:pPr>
              <w:spacing w:after="0"/>
              <w:rPr>
                <w:sz w:val="1"/>
                <w:szCs w:val="1"/>
                <w:color w:val="auto"/>
              </w:rPr>
            </w:pPr>
          </w:p>
        </w:tc>
      </w:tr>
      <w:tr>
        <w:trPr>
          <w:trHeight w:val="243"/>
        </w:trPr>
        <w:tc>
          <w:tcPr>
            <w:tcW w:w="1140" w:type="dxa"/>
            <w:vAlign w:val="bottom"/>
          </w:tcPr>
          <w:p>
            <w:pPr>
              <w:jc w:val="right"/>
              <w:ind w:right="19"/>
              <w:spacing w:after="0"/>
              <w:rPr>
                <w:sz w:val="20"/>
                <w:szCs w:val="20"/>
                <w:color w:val="auto"/>
              </w:rPr>
            </w:pPr>
            <w:r>
              <w:rPr>
                <w:rFonts w:ascii="Arial" w:cs="Arial" w:eastAsia="Arial" w:hAnsi="Arial"/>
                <w:sz w:val="16"/>
                <w:szCs w:val="16"/>
                <w:color w:val="auto"/>
              </w:rPr>
              <w:t>34,709</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40" w:type="dxa"/>
            <w:vAlign w:val="bottom"/>
          </w:tcPr>
          <w:p>
            <w:pPr>
              <w:ind w:left="220"/>
              <w:spacing w:after="0"/>
              <w:rPr>
                <w:sz w:val="20"/>
                <w:szCs w:val="20"/>
                <w:color w:val="auto"/>
              </w:rPr>
            </w:pPr>
            <w:r>
              <w:rPr>
                <w:rFonts w:ascii="Arial" w:cs="Arial" w:eastAsia="Arial" w:hAnsi="Arial"/>
                <w:sz w:val="16"/>
                <w:szCs w:val="16"/>
                <w:color w:val="auto"/>
              </w:rPr>
              <w:t>Gain on sale of discontinued business</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92,677</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13,439</w:t>
            </w:r>
          </w:p>
        </w:tc>
        <w:tc>
          <w:tcPr>
            <w:tcW w:w="360" w:type="dxa"/>
            <w:vAlign w:val="bottom"/>
            <w:shd w:val="clear" w:color="auto" w:fill="BFBFBF"/>
          </w:tcPr>
          <w:p>
            <w:pPr>
              <w:spacing w:after="0"/>
              <w:rPr>
                <w:sz w:val="16"/>
                <w:szCs w:val="16"/>
                <w:color w:val="auto"/>
              </w:rPr>
            </w:pPr>
          </w:p>
        </w:tc>
        <w:tc>
          <w:tcPr>
            <w:tcW w:w="20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2,220</w:t>
            </w:r>
          </w:p>
        </w:tc>
        <w:tc>
          <w:tcPr>
            <w:tcW w:w="6240" w:type="dxa"/>
            <w:vAlign w:val="bottom"/>
            <w:shd w:val="clear" w:color="auto" w:fill="BFBFBF"/>
          </w:tcPr>
          <w:p>
            <w:pPr>
              <w:ind w:left="220"/>
              <w:spacing w:after="0"/>
              <w:rPr>
                <w:sz w:val="20"/>
                <w:szCs w:val="20"/>
                <w:color w:val="auto"/>
              </w:rPr>
            </w:pPr>
            <w:r>
              <w:rPr>
                <w:rFonts w:ascii="Arial" w:cs="Arial" w:eastAsia="Arial" w:hAnsi="Arial"/>
                <w:sz w:val="16"/>
                <w:szCs w:val="16"/>
                <w:color w:val="auto"/>
              </w:rPr>
              <w:t>Income taxes on discontinued operations</w:t>
            </w:r>
          </w:p>
        </w:tc>
        <w:tc>
          <w:tcPr>
            <w:tcW w:w="114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26,253</w:t>
            </w:r>
          </w:p>
        </w:tc>
        <w:tc>
          <w:tcPr>
            <w:tcW w:w="380" w:type="dxa"/>
            <w:vAlign w:val="bottom"/>
            <w:shd w:val="clear" w:color="auto" w:fill="BFBFBF"/>
          </w:tcPr>
          <w:p>
            <w:pPr>
              <w:spacing w:after="0"/>
              <w:rPr>
                <w:sz w:val="16"/>
                <w:szCs w:val="16"/>
                <w:color w:val="auto"/>
              </w:rPr>
            </w:pPr>
          </w:p>
        </w:tc>
        <w:tc>
          <w:tcPr>
            <w:tcW w:w="20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9"/>
              <w:spacing w:after="0"/>
              <w:rPr>
                <w:sz w:val="20"/>
                <w:szCs w:val="20"/>
                <w:color w:val="auto"/>
              </w:rPr>
            </w:pPr>
            <w:r>
              <w:rPr>
                <w:rFonts w:ascii="Arial" w:cs="Arial" w:eastAsia="Arial" w:hAnsi="Arial"/>
                <w:sz w:val="16"/>
                <w:szCs w:val="16"/>
                <w:color w:val="auto"/>
              </w:rPr>
              <w:t>4,262</w:t>
            </w: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24,030</w:t>
            </w:r>
          </w:p>
        </w:tc>
        <w:tc>
          <w:tcPr>
            <w:tcW w:w="360" w:type="dxa"/>
            <w:vAlign w:val="bottom"/>
            <w:tcBorders>
              <w:bottom w:val="single" w:sz="8" w:color="BFBFB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4,214</w:t>
            </w:r>
          </w:p>
        </w:tc>
        <w:tc>
          <w:tcPr>
            <w:tcW w:w="624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Income from discontinued operations</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71,200</w:t>
            </w:r>
          </w:p>
        </w:tc>
        <w:tc>
          <w:tcPr>
            <w:tcW w:w="380" w:type="dxa"/>
            <w:vAlign w:val="bottom"/>
            <w:tcBorders>
              <w:bottom w:val="single" w:sz="8" w:color="BFBFB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8,729</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($33,745)</w:t>
            </w:r>
          </w:p>
        </w:tc>
        <w:tc>
          <w:tcPr>
            <w:tcW w:w="360" w:type="dxa"/>
            <w:vAlign w:val="bottom"/>
            <w:tcBorders>
              <w:bottom w:val="single" w:sz="8" w:color="BFBFBF"/>
            </w:tcBorders>
            <w:shd w:val="clear" w:color="auto" w:fill="BFBFBF"/>
          </w:tcPr>
          <w:p>
            <w:pPr>
              <w:spacing w:after="0"/>
              <w:rPr>
                <w:sz w:val="15"/>
                <w:szCs w:val="15"/>
                <w:color w:val="auto"/>
              </w:rPr>
            </w:pPr>
          </w:p>
        </w:tc>
        <w:tc>
          <w:tcPr>
            <w:tcW w:w="200" w:type="dxa"/>
            <w:vAlign w:val="bottom"/>
            <w:tcBorders>
              <w:bottom w:val="single" w:sz="8" w:color="auto"/>
            </w:tcBorders>
            <w:shd w:val="clear" w:color="auto" w:fill="BFBFBF"/>
          </w:tcPr>
          <w:p>
            <w:pPr>
              <w:spacing w:after="0"/>
              <w:rPr>
                <w:sz w:val="15"/>
                <w:szCs w:val="15"/>
                <w:color w:val="auto"/>
              </w:rPr>
            </w:pPr>
          </w:p>
        </w:tc>
        <w:tc>
          <w:tcPr>
            <w:tcW w:w="88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$8,762</w:t>
            </w:r>
          </w:p>
        </w:tc>
        <w:tc>
          <w:tcPr>
            <w:tcW w:w="6240" w:type="dxa"/>
            <w:vAlign w:val="bottom"/>
            <w:tcBorders>
              <w:bottom w:val="single" w:sz="8" w:color="BFBFBF"/>
            </w:tcBorders>
            <w:shd w:val="clear" w:color="auto" w:fill="BFBFBF"/>
          </w:tcPr>
          <w:p>
            <w:pPr>
              <w:ind w:left="100"/>
              <w:spacing w:after="0" w:line="183" w:lineRule="exact"/>
              <w:rPr>
                <w:sz w:val="20"/>
                <w:szCs w:val="20"/>
                <w:color w:val="auto"/>
              </w:rPr>
            </w:pPr>
            <w:r>
              <w:rPr>
                <w:rFonts w:ascii="Arial" w:cs="Arial" w:eastAsia="Arial" w:hAnsi="Arial"/>
                <w:sz w:val="16"/>
                <w:szCs w:val="16"/>
                <w:color w:val="auto"/>
              </w:rPr>
              <w:t>Net (loss)/income</w:t>
            </w:r>
          </w:p>
        </w:tc>
        <w:tc>
          <w:tcPr>
            <w:tcW w:w="114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$13,296</w:t>
            </w:r>
          </w:p>
        </w:tc>
        <w:tc>
          <w:tcPr>
            <w:tcW w:w="380" w:type="dxa"/>
            <w:vAlign w:val="bottom"/>
            <w:tcBorders>
              <w:bottom w:val="single" w:sz="8" w:color="BFBFBF"/>
            </w:tcBorders>
            <w:shd w:val="clear" w:color="auto" w:fill="BFBFBF"/>
          </w:tcPr>
          <w:p>
            <w:pPr>
              <w:spacing w:after="0"/>
              <w:rPr>
                <w:sz w:val="15"/>
                <w:szCs w:val="15"/>
                <w:color w:val="auto"/>
              </w:rPr>
            </w:pPr>
          </w:p>
        </w:tc>
        <w:tc>
          <w:tcPr>
            <w:tcW w:w="200" w:type="dxa"/>
            <w:vAlign w:val="bottom"/>
            <w:tcBorders>
              <w:bottom w:val="single" w:sz="8" w:color="auto"/>
            </w:tcBorders>
            <w:shd w:val="clear" w:color="auto" w:fill="BFBFBF"/>
          </w:tcPr>
          <w:p>
            <w:pPr>
              <w:spacing w:after="0"/>
              <w:rPr>
                <w:sz w:val="15"/>
                <w:szCs w:val="15"/>
                <w:color w:val="auto"/>
              </w:rPr>
            </w:pPr>
          </w:p>
        </w:tc>
        <w:tc>
          <w:tcPr>
            <w:tcW w:w="88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$25,495</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40" w:type="dxa"/>
            <w:vAlign w:val="bottom"/>
            <w:vMerge w:val="restart"/>
          </w:tcPr>
          <w:p>
            <w:pPr>
              <w:ind w:left="100"/>
              <w:spacing w:after="0"/>
              <w:rPr>
                <w:sz w:val="20"/>
                <w:szCs w:val="20"/>
                <w:color w:val="auto"/>
              </w:rPr>
            </w:pPr>
            <w:r>
              <w:rPr>
                <w:rFonts w:ascii="Arial" w:cs="Arial" w:eastAsia="Arial" w:hAnsi="Arial"/>
                <w:sz w:val="16"/>
                <w:szCs w:val="16"/>
                <w:color w:val="auto"/>
              </w:rPr>
              <w:t>Earnings per share - Basic</w:t>
            </w: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($1.84)</w:t>
            </w:r>
          </w:p>
        </w:tc>
        <w:tc>
          <w:tcPr>
            <w:tcW w:w="36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$0.15</w:t>
            </w:r>
          </w:p>
        </w:tc>
        <w:tc>
          <w:tcPr>
            <w:tcW w:w="6240" w:type="dxa"/>
            <w:vAlign w:val="bottom"/>
            <w:shd w:val="clear" w:color="auto" w:fill="BFBFBF"/>
          </w:tcPr>
          <w:p>
            <w:pPr>
              <w:ind w:left="100"/>
              <w:spacing w:after="0"/>
              <w:rPr>
                <w:sz w:val="20"/>
                <w:szCs w:val="20"/>
                <w:color w:val="auto"/>
              </w:rPr>
            </w:pPr>
            <w:r>
              <w:rPr>
                <w:rFonts w:ascii="Arial" w:cs="Arial" w:eastAsia="Arial" w:hAnsi="Arial"/>
                <w:sz w:val="16"/>
                <w:szCs w:val="16"/>
                <w:color w:val="auto"/>
              </w:rPr>
              <w:t>(Loss)/income from continuing operations</w:t>
            </w:r>
          </w:p>
        </w:tc>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($1.85)</w:t>
            </w:r>
          </w:p>
        </w:tc>
        <w:tc>
          <w:tcPr>
            <w:tcW w:w="38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0.76</w:t>
            </w:r>
          </w:p>
        </w:tc>
        <w:tc>
          <w:tcPr>
            <w:tcW w:w="360" w:type="dxa"/>
            <w:vAlign w:val="bottom"/>
            <w:tcBorders>
              <w:bottom w:val="single" w:sz="8" w:color="BFBFB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624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Discontinued operations</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c>
          <w:tcPr>
            <w:tcW w:w="380" w:type="dxa"/>
            <w:vAlign w:val="bottom"/>
            <w:tcBorders>
              <w:bottom w:val="single" w:sz="8" w:color="BFBFB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($1.08)</w:t>
            </w:r>
          </w:p>
        </w:tc>
        <w:tc>
          <w:tcPr>
            <w:tcW w:w="360" w:type="dxa"/>
            <w:vAlign w:val="bottom"/>
            <w:tcBorders>
              <w:bottom w:val="single" w:sz="8" w:color="BFBFBF"/>
            </w:tcBorders>
            <w:shd w:val="clear" w:color="auto" w:fill="BFBFBF"/>
          </w:tcPr>
          <w:p>
            <w:pPr>
              <w:spacing w:after="0"/>
              <w:rPr>
                <w:sz w:val="15"/>
                <w:szCs w:val="15"/>
                <w:color w:val="auto"/>
              </w:rPr>
            </w:pPr>
          </w:p>
        </w:tc>
        <w:tc>
          <w:tcPr>
            <w:tcW w:w="200" w:type="dxa"/>
            <w:vAlign w:val="bottom"/>
            <w:tcBorders>
              <w:bottom w:val="single" w:sz="8" w:color="auto"/>
            </w:tcBorders>
            <w:shd w:val="clear" w:color="auto" w:fill="BFBFBF"/>
          </w:tcPr>
          <w:p>
            <w:pPr>
              <w:spacing w:after="0"/>
              <w:rPr>
                <w:sz w:val="15"/>
                <w:szCs w:val="15"/>
                <w:color w:val="auto"/>
              </w:rPr>
            </w:pPr>
          </w:p>
        </w:tc>
        <w:tc>
          <w:tcPr>
            <w:tcW w:w="88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$0.28</w:t>
            </w:r>
          </w:p>
        </w:tc>
        <w:tc>
          <w:tcPr>
            <w:tcW w:w="6240" w:type="dxa"/>
            <w:vAlign w:val="bottom"/>
            <w:tcBorders>
              <w:bottom w:val="single" w:sz="8" w:color="BFBFBF"/>
            </w:tcBorders>
            <w:shd w:val="clear" w:color="auto" w:fill="BFBFBF"/>
          </w:tcPr>
          <w:p>
            <w:pPr>
              <w:ind w:left="100"/>
              <w:spacing w:after="0" w:line="183" w:lineRule="exact"/>
              <w:rPr>
                <w:sz w:val="20"/>
                <w:szCs w:val="20"/>
                <w:color w:val="auto"/>
              </w:rPr>
            </w:pPr>
            <w:r>
              <w:rPr>
                <w:rFonts w:ascii="Arial" w:cs="Arial" w:eastAsia="Arial" w:hAnsi="Arial"/>
                <w:sz w:val="16"/>
                <w:szCs w:val="16"/>
                <w:color w:val="auto"/>
              </w:rPr>
              <w:t>Net (loss)/income</w:t>
            </w:r>
          </w:p>
        </w:tc>
        <w:tc>
          <w:tcPr>
            <w:tcW w:w="114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$0.42</w:t>
            </w:r>
          </w:p>
        </w:tc>
        <w:tc>
          <w:tcPr>
            <w:tcW w:w="380" w:type="dxa"/>
            <w:vAlign w:val="bottom"/>
            <w:tcBorders>
              <w:bottom w:val="single" w:sz="8" w:color="BFBFBF"/>
            </w:tcBorders>
            <w:shd w:val="clear" w:color="auto" w:fill="BFBFBF"/>
          </w:tcPr>
          <w:p>
            <w:pPr>
              <w:spacing w:after="0"/>
              <w:rPr>
                <w:sz w:val="15"/>
                <w:szCs w:val="15"/>
                <w:color w:val="auto"/>
              </w:rPr>
            </w:pPr>
          </w:p>
        </w:tc>
        <w:tc>
          <w:tcPr>
            <w:tcW w:w="200" w:type="dxa"/>
            <w:vAlign w:val="bottom"/>
            <w:tcBorders>
              <w:bottom w:val="single" w:sz="8" w:color="auto"/>
            </w:tcBorders>
            <w:shd w:val="clear" w:color="auto" w:fill="BFBFBF"/>
          </w:tcPr>
          <w:p>
            <w:pPr>
              <w:spacing w:after="0"/>
              <w:rPr>
                <w:sz w:val="15"/>
                <w:szCs w:val="15"/>
                <w:color w:val="auto"/>
              </w:rPr>
            </w:pPr>
          </w:p>
        </w:tc>
        <w:tc>
          <w:tcPr>
            <w:tcW w:w="88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40" w:type="dxa"/>
            <w:vAlign w:val="bottom"/>
            <w:vMerge w:val="restart"/>
          </w:tcPr>
          <w:p>
            <w:pPr>
              <w:ind w:left="100"/>
              <w:spacing w:after="0"/>
              <w:rPr>
                <w:sz w:val="20"/>
                <w:szCs w:val="20"/>
                <w:color w:val="auto"/>
              </w:rPr>
            </w:pPr>
            <w:r>
              <w:rPr>
                <w:rFonts w:ascii="Arial" w:cs="Arial" w:eastAsia="Arial" w:hAnsi="Arial"/>
                <w:sz w:val="16"/>
                <w:szCs w:val="16"/>
                <w:color w:val="auto"/>
              </w:rPr>
              <w:t>Earnings per share - Diluted</w:t>
            </w: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($1.84)</w:t>
            </w:r>
          </w:p>
        </w:tc>
        <w:tc>
          <w:tcPr>
            <w:tcW w:w="36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$0.14</w:t>
            </w:r>
          </w:p>
        </w:tc>
        <w:tc>
          <w:tcPr>
            <w:tcW w:w="6240" w:type="dxa"/>
            <w:vAlign w:val="bottom"/>
            <w:shd w:val="clear" w:color="auto" w:fill="BFBFBF"/>
          </w:tcPr>
          <w:p>
            <w:pPr>
              <w:ind w:left="100"/>
              <w:spacing w:after="0"/>
              <w:rPr>
                <w:sz w:val="20"/>
                <w:szCs w:val="20"/>
                <w:color w:val="auto"/>
              </w:rPr>
            </w:pPr>
            <w:r>
              <w:rPr>
                <w:rFonts w:ascii="Arial" w:cs="Arial" w:eastAsia="Arial" w:hAnsi="Arial"/>
                <w:sz w:val="16"/>
                <w:szCs w:val="16"/>
                <w:color w:val="auto"/>
              </w:rPr>
              <w:t>(Loss)/income from continuing operations</w:t>
            </w:r>
          </w:p>
        </w:tc>
        <w:tc>
          <w:tcPr>
            <w:tcW w:w="11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($1.84)</w:t>
            </w:r>
          </w:p>
        </w:tc>
        <w:tc>
          <w:tcPr>
            <w:tcW w:w="38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43"/>
        </w:trPr>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0.76</w:t>
            </w:r>
          </w:p>
        </w:tc>
        <w:tc>
          <w:tcPr>
            <w:tcW w:w="360" w:type="dxa"/>
            <w:vAlign w:val="bottom"/>
            <w:tcBorders>
              <w:bottom w:val="single" w:sz="8" w:color="BFBFB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0.14</w:t>
            </w:r>
          </w:p>
        </w:tc>
        <w:tc>
          <w:tcPr>
            <w:tcW w:w="624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Discontinued operations</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w:t>
            </w:r>
          </w:p>
        </w:tc>
        <w:tc>
          <w:tcPr>
            <w:tcW w:w="380" w:type="dxa"/>
            <w:vAlign w:val="bottom"/>
            <w:tcBorders>
              <w:bottom w:val="single" w:sz="8" w:color="BFBFB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($1.08)</w:t>
            </w:r>
          </w:p>
        </w:tc>
        <w:tc>
          <w:tcPr>
            <w:tcW w:w="360" w:type="dxa"/>
            <w:vAlign w:val="bottom"/>
            <w:tcBorders>
              <w:bottom w:val="single" w:sz="8" w:color="BFBFBF"/>
            </w:tcBorders>
            <w:shd w:val="clear" w:color="auto" w:fill="BFBFBF"/>
          </w:tcPr>
          <w:p>
            <w:pPr>
              <w:spacing w:after="0"/>
              <w:rPr>
                <w:sz w:val="15"/>
                <w:szCs w:val="15"/>
                <w:color w:val="auto"/>
              </w:rPr>
            </w:pPr>
          </w:p>
        </w:tc>
        <w:tc>
          <w:tcPr>
            <w:tcW w:w="200" w:type="dxa"/>
            <w:vAlign w:val="bottom"/>
            <w:tcBorders>
              <w:bottom w:val="single" w:sz="8" w:color="auto"/>
            </w:tcBorders>
            <w:shd w:val="clear" w:color="auto" w:fill="BFBFBF"/>
          </w:tcPr>
          <w:p>
            <w:pPr>
              <w:spacing w:after="0"/>
              <w:rPr>
                <w:sz w:val="15"/>
                <w:szCs w:val="15"/>
                <w:color w:val="auto"/>
              </w:rPr>
            </w:pPr>
          </w:p>
        </w:tc>
        <w:tc>
          <w:tcPr>
            <w:tcW w:w="88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$0.28</w:t>
            </w:r>
          </w:p>
        </w:tc>
        <w:tc>
          <w:tcPr>
            <w:tcW w:w="6240" w:type="dxa"/>
            <w:vAlign w:val="bottom"/>
            <w:tcBorders>
              <w:bottom w:val="single" w:sz="8" w:color="BFBFBF"/>
            </w:tcBorders>
            <w:shd w:val="clear" w:color="auto" w:fill="BFBFBF"/>
          </w:tcPr>
          <w:p>
            <w:pPr>
              <w:ind w:left="100"/>
              <w:spacing w:after="0" w:line="183" w:lineRule="exact"/>
              <w:rPr>
                <w:sz w:val="20"/>
                <w:szCs w:val="20"/>
                <w:color w:val="auto"/>
              </w:rPr>
            </w:pPr>
            <w:r>
              <w:rPr>
                <w:rFonts w:ascii="Arial" w:cs="Arial" w:eastAsia="Arial" w:hAnsi="Arial"/>
                <w:sz w:val="16"/>
                <w:szCs w:val="16"/>
                <w:color w:val="auto"/>
              </w:rPr>
              <w:t>Net (loss)/income</w:t>
            </w:r>
          </w:p>
        </w:tc>
        <w:tc>
          <w:tcPr>
            <w:tcW w:w="114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$0.42</w:t>
            </w:r>
          </w:p>
        </w:tc>
        <w:tc>
          <w:tcPr>
            <w:tcW w:w="380" w:type="dxa"/>
            <w:vAlign w:val="bottom"/>
            <w:tcBorders>
              <w:bottom w:val="single" w:sz="8" w:color="BFBFBF"/>
            </w:tcBorders>
            <w:shd w:val="clear" w:color="auto" w:fill="BFBFBF"/>
          </w:tcPr>
          <w:p>
            <w:pPr>
              <w:spacing w:after="0"/>
              <w:rPr>
                <w:sz w:val="15"/>
                <w:szCs w:val="15"/>
                <w:color w:val="auto"/>
              </w:rPr>
            </w:pPr>
          </w:p>
        </w:tc>
        <w:tc>
          <w:tcPr>
            <w:tcW w:w="200" w:type="dxa"/>
            <w:vAlign w:val="bottom"/>
            <w:tcBorders>
              <w:bottom w:val="single" w:sz="8" w:color="auto"/>
            </w:tcBorders>
            <w:shd w:val="clear" w:color="auto" w:fill="BFBFBF"/>
          </w:tcPr>
          <w:p>
            <w:pPr>
              <w:spacing w:after="0"/>
              <w:rPr>
                <w:sz w:val="15"/>
                <w:szCs w:val="15"/>
                <w:color w:val="auto"/>
              </w:rPr>
            </w:pPr>
          </w:p>
        </w:tc>
        <w:tc>
          <w:tcPr>
            <w:tcW w:w="880" w:type="dxa"/>
            <w:vAlign w:val="bottom"/>
            <w:tcBorders>
              <w:bottom w:val="single" w:sz="8" w:color="auto"/>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40" w:type="dxa"/>
            <w:vAlign w:val="bottom"/>
            <w:vMerge w:val="restart"/>
          </w:tcPr>
          <w:p>
            <w:pPr>
              <w:ind w:left="100"/>
              <w:spacing w:after="0"/>
              <w:rPr>
                <w:sz w:val="20"/>
                <w:szCs w:val="20"/>
                <w:color w:val="auto"/>
              </w:rPr>
            </w:pPr>
            <w:r>
              <w:rPr>
                <w:rFonts w:ascii="Arial" w:cs="Arial" w:eastAsia="Arial" w:hAnsi="Arial"/>
                <w:sz w:val="16"/>
                <w:szCs w:val="16"/>
                <w:color w:val="auto"/>
              </w:rPr>
              <w:t>Shares used in computing earnings per share:</w:t>
            </w: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jc w:val="right"/>
              <w:ind w:right="19"/>
              <w:spacing w:after="0"/>
              <w:rPr>
                <w:sz w:val="20"/>
                <w:szCs w:val="20"/>
                <w:color w:val="auto"/>
              </w:rPr>
            </w:pPr>
            <w:r>
              <w:rPr>
                <w:rFonts w:ascii="Arial" w:cs="Arial" w:eastAsia="Arial" w:hAnsi="Arial"/>
                <w:sz w:val="16"/>
                <w:szCs w:val="16"/>
                <w:color w:val="auto"/>
              </w:rPr>
              <w:t>31,349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31,263</w:t>
            </w:r>
          </w:p>
        </w:tc>
        <w:tc>
          <w:tcPr>
            <w:tcW w:w="6240" w:type="dxa"/>
            <w:vAlign w:val="bottom"/>
          </w:tcPr>
          <w:p>
            <w:pPr>
              <w:ind w:left="180"/>
              <w:spacing w:after="0"/>
              <w:rPr>
                <w:sz w:val="20"/>
                <w:szCs w:val="20"/>
                <w:color w:val="auto"/>
              </w:rPr>
            </w:pPr>
            <w:r>
              <w:rPr>
                <w:rFonts w:ascii="Arial" w:cs="Arial" w:eastAsia="Arial" w:hAnsi="Arial"/>
                <w:sz w:val="16"/>
                <w:szCs w:val="16"/>
                <w:color w:val="auto"/>
              </w:rPr>
              <w:t>Basic</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31,329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31,243</w:t>
            </w:r>
          </w:p>
        </w:tc>
        <w:tc>
          <w:tcPr>
            <w:tcW w:w="0" w:type="dxa"/>
            <w:vAlign w:val="bottom"/>
          </w:tcPr>
          <w:p>
            <w:pPr>
              <w:spacing w:after="0"/>
              <w:rPr>
                <w:sz w:val="1"/>
                <w:szCs w:val="1"/>
                <w:color w:val="auto"/>
              </w:rPr>
            </w:pPr>
          </w:p>
        </w:tc>
      </w:tr>
      <w:tr>
        <w:trPr>
          <w:trHeight w:val="189"/>
        </w:trPr>
        <w:tc>
          <w:tcPr>
            <w:tcW w:w="11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31,349</w:t>
            </w:r>
          </w:p>
        </w:tc>
        <w:tc>
          <w:tcPr>
            <w:tcW w:w="36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31,489</w:t>
            </w:r>
          </w:p>
        </w:tc>
        <w:tc>
          <w:tcPr>
            <w:tcW w:w="6240" w:type="dxa"/>
            <w:vAlign w:val="bottom"/>
            <w:shd w:val="clear" w:color="auto" w:fill="BFBFBF"/>
          </w:tcPr>
          <w:p>
            <w:pPr>
              <w:ind w:left="180"/>
              <w:spacing w:after="0"/>
              <w:rPr>
                <w:sz w:val="20"/>
                <w:szCs w:val="20"/>
                <w:color w:val="auto"/>
              </w:rPr>
            </w:pPr>
            <w:r>
              <w:rPr>
                <w:rFonts w:ascii="Arial" w:cs="Arial" w:eastAsia="Arial" w:hAnsi="Arial"/>
                <w:sz w:val="16"/>
                <w:szCs w:val="16"/>
                <w:color w:val="auto"/>
              </w:rPr>
              <w:t>Diluted</w:t>
            </w:r>
          </w:p>
        </w:tc>
        <w:tc>
          <w:tcPr>
            <w:tcW w:w="11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31,518</w:t>
            </w:r>
          </w:p>
        </w:tc>
        <w:tc>
          <w:tcPr>
            <w:tcW w:w="38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31,455</w:t>
            </w:r>
          </w:p>
        </w:tc>
        <w:tc>
          <w:tcPr>
            <w:tcW w:w="0" w:type="dxa"/>
            <w:vAlign w:val="bottom"/>
          </w:tcPr>
          <w:p>
            <w:pPr>
              <w:spacing w:after="0"/>
              <w:rPr>
                <w:sz w:val="1"/>
                <w:szCs w:val="1"/>
                <w:color w:val="auto"/>
              </w:rPr>
            </w:pPr>
          </w:p>
        </w:tc>
      </w:tr>
      <w:tr>
        <w:trPr>
          <w:trHeight w:val="494"/>
        </w:trPr>
        <w:tc>
          <w:tcPr>
            <w:tcW w:w="1140" w:type="dxa"/>
            <w:vAlign w:val="bottom"/>
          </w:tcPr>
          <w:p>
            <w:pPr>
              <w:jc w:val="right"/>
              <w:ind w:right="19"/>
              <w:spacing w:after="0"/>
              <w:rPr>
                <w:sz w:val="20"/>
                <w:szCs w:val="20"/>
                <w:color w:val="auto"/>
              </w:rPr>
            </w:pPr>
            <w:r>
              <w:rPr>
                <w:rFonts w:ascii="Arial" w:cs="Arial" w:eastAsia="Arial" w:hAnsi="Arial"/>
                <w:sz w:val="16"/>
                <w:szCs w:val="16"/>
                <w:color w:val="auto"/>
              </w:rPr>
              <w:t>$0.14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6240" w:type="dxa"/>
            <w:vAlign w:val="bottom"/>
          </w:tcPr>
          <w:p>
            <w:pPr>
              <w:ind w:left="100"/>
              <w:spacing w:after="0"/>
              <w:rPr>
                <w:sz w:val="20"/>
                <w:szCs w:val="20"/>
                <w:color w:val="auto"/>
              </w:rPr>
            </w:pPr>
            <w:r>
              <w:rPr>
                <w:rFonts w:ascii="Arial" w:cs="Arial" w:eastAsia="Arial" w:hAnsi="Arial"/>
                <w:sz w:val="16"/>
                <w:szCs w:val="16"/>
                <w:color w:val="auto"/>
              </w:rPr>
              <w:t>Dividends per share</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ind w:left="2720"/>
        <w:spacing w:after="0" w:line="234" w:lineRule="auto"/>
        <w:rPr>
          <w:sz w:val="20"/>
          <w:szCs w:val="20"/>
          <w:color w:val="auto"/>
        </w:rPr>
      </w:pPr>
      <w:r>
        <w:rPr>
          <w:rFonts w:ascii="Arial" w:cs="Arial" w:eastAsia="Arial" w:hAnsi="Arial"/>
          <w:sz w:val="18"/>
          <w:szCs w:val="18"/>
          <w:color w:val="auto"/>
        </w:rPr>
        <w:t>CONSOLIDATED STATEMENTS OF COMPREHENSIVE INCOME/(LOSS)</w:t>
      </w:r>
    </w:p>
    <w:p>
      <w:pPr>
        <w:ind w:left="4540"/>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gridSpan w:val="4"/>
          </w:tcPr>
          <w:p>
            <w:pPr>
              <w:jc w:val="center"/>
              <w:spacing w:after="0"/>
              <w:rPr>
                <w:sz w:val="20"/>
                <w:szCs w:val="20"/>
                <w:color w:val="auto"/>
              </w:rPr>
            </w:pPr>
            <w:r>
              <w:rPr>
                <w:rFonts w:ascii="Arial" w:cs="Arial" w:eastAsia="Arial" w:hAnsi="Arial"/>
                <w:sz w:val="16"/>
                <w:szCs w:val="16"/>
                <w:color w:val="auto"/>
              </w:rPr>
              <w:t>Three Months Ended</w:t>
            </w:r>
          </w:p>
        </w:tc>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6"/>
                <w:szCs w:val="16"/>
                <w:color w:val="auto"/>
              </w:rPr>
              <w:t>Six Months Ended</w:t>
            </w:r>
          </w:p>
        </w:tc>
      </w:tr>
      <w:tr>
        <w:trPr>
          <w:trHeight w:val="243"/>
        </w:trPr>
        <w:tc>
          <w:tcPr>
            <w:tcW w:w="1760" w:type="dxa"/>
            <w:vAlign w:val="bottom"/>
            <w:gridSpan w:val="3"/>
          </w:tcPr>
          <w:p>
            <w:pPr>
              <w:jc w:val="center"/>
              <w:ind w:left="779"/>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740" w:type="dxa"/>
            <w:vAlign w:val="bottom"/>
            <w:gridSpan w:val="3"/>
          </w:tcPr>
          <w:p>
            <w:pPr>
              <w:jc w:val="center"/>
              <w:ind w:left="759"/>
              <w:spacing w:after="0"/>
              <w:rPr>
                <w:sz w:val="20"/>
                <w:szCs w:val="20"/>
                <w:color w:val="auto"/>
              </w:rPr>
            </w:pPr>
            <w:r>
              <w:rPr>
                <w:rFonts w:ascii="Arial" w:cs="Arial" w:eastAsia="Arial" w:hAnsi="Arial"/>
                <w:sz w:val="16"/>
                <w:szCs w:val="16"/>
                <w:color w:val="auto"/>
              </w:rPr>
              <w:t>June 30,</w:t>
            </w:r>
          </w:p>
        </w:tc>
        <w:tc>
          <w:tcPr>
            <w:tcW w:w="860" w:type="dxa"/>
            <w:vAlign w:val="bottom"/>
          </w:tcPr>
          <w:p>
            <w:pPr>
              <w:spacing w:after="0"/>
              <w:rPr>
                <w:sz w:val="21"/>
                <w:szCs w:val="21"/>
                <w:color w:val="auto"/>
              </w:rPr>
            </w:pPr>
          </w:p>
        </w:tc>
      </w:tr>
      <w:tr>
        <w:trPr>
          <w:trHeight w:val="236"/>
        </w:trPr>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2012</w:t>
            </w:r>
          </w:p>
        </w:tc>
        <w:tc>
          <w:tcPr>
            <w:tcW w:w="400" w:type="dxa"/>
            <w:vAlign w:val="bottom"/>
            <w:tcBorders>
              <w:bottom w:val="single" w:sz="8" w:color="BFBFB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2011</w:t>
            </w:r>
          </w:p>
        </w:tc>
        <w:tc>
          <w:tcPr>
            <w:tcW w:w="20" w:type="dxa"/>
            <w:vAlign w:val="bottom"/>
            <w:tcBorders>
              <w:bottom w:val="single" w:sz="8" w:color="BFBFBF"/>
            </w:tcBorders>
          </w:tcPr>
          <w:p>
            <w:pPr>
              <w:spacing w:after="0"/>
              <w:rPr>
                <w:sz w:val="20"/>
                <w:szCs w:val="20"/>
                <w:color w:val="auto"/>
              </w:rPr>
            </w:pPr>
          </w:p>
        </w:tc>
        <w:tc>
          <w:tcPr>
            <w:tcW w:w="6200" w:type="dxa"/>
            <w:vAlign w:val="bottom"/>
            <w:tcBorders>
              <w:bottom w:val="single" w:sz="8" w:color="BFBFBF"/>
            </w:tcBorders>
          </w:tcPr>
          <w:p>
            <w:pPr>
              <w:spacing w:after="0"/>
              <w:rPr>
                <w:sz w:val="20"/>
                <w:szCs w:val="20"/>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2012</w:t>
            </w:r>
          </w:p>
        </w:tc>
        <w:tc>
          <w:tcPr>
            <w:tcW w:w="420" w:type="dxa"/>
            <w:vAlign w:val="bottom"/>
            <w:tcBorders>
              <w:bottom w:val="single" w:sz="8" w:color="BFBFB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2011</w:t>
            </w:r>
          </w:p>
        </w:tc>
      </w:tr>
      <w:tr>
        <w:trPr>
          <w:trHeight w:val="183"/>
        </w:trPr>
        <w:tc>
          <w:tcPr>
            <w:tcW w:w="110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($33,745)</w:t>
            </w:r>
          </w:p>
        </w:tc>
        <w:tc>
          <w:tcPr>
            <w:tcW w:w="400" w:type="dxa"/>
            <w:vAlign w:val="bottom"/>
            <w:shd w:val="clear" w:color="auto" w:fill="BFBFBF"/>
          </w:tcPr>
          <w:p>
            <w:pPr>
              <w:spacing w:after="0"/>
              <w:rPr>
                <w:sz w:val="15"/>
                <w:szCs w:val="15"/>
                <w:color w:val="auto"/>
              </w:rPr>
            </w:pPr>
          </w:p>
        </w:tc>
        <w:tc>
          <w:tcPr>
            <w:tcW w:w="260" w:type="dxa"/>
            <w:vAlign w:val="bottom"/>
            <w:shd w:val="clear" w:color="auto" w:fill="BFBFBF"/>
          </w:tcPr>
          <w:p>
            <w:pPr>
              <w:spacing w:after="0"/>
              <w:rPr>
                <w:sz w:val="15"/>
                <w:szCs w:val="15"/>
                <w:color w:val="auto"/>
              </w:rPr>
            </w:pPr>
          </w:p>
        </w:tc>
        <w:tc>
          <w:tcPr>
            <w:tcW w:w="840" w:type="dxa"/>
            <w:vAlign w:val="bottom"/>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$8,762</w:t>
            </w:r>
          </w:p>
        </w:tc>
        <w:tc>
          <w:tcPr>
            <w:tcW w:w="20" w:type="dxa"/>
            <w:vAlign w:val="bottom"/>
            <w:shd w:val="clear" w:color="auto" w:fill="BFBFBF"/>
          </w:tcPr>
          <w:p>
            <w:pPr>
              <w:spacing w:after="0"/>
              <w:rPr>
                <w:sz w:val="15"/>
                <w:szCs w:val="15"/>
                <w:color w:val="auto"/>
              </w:rPr>
            </w:pPr>
          </w:p>
        </w:tc>
        <w:tc>
          <w:tcPr>
            <w:tcW w:w="6200" w:type="dxa"/>
            <w:vAlign w:val="bottom"/>
            <w:shd w:val="clear" w:color="auto" w:fill="BFBFBF"/>
          </w:tcPr>
          <w:p>
            <w:pPr>
              <w:ind w:left="80"/>
              <w:spacing w:after="0" w:line="183" w:lineRule="exact"/>
              <w:rPr>
                <w:sz w:val="20"/>
                <w:szCs w:val="20"/>
                <w:color w:val="auto"/>
              </w:rPr>
            </w:pPr>
            <w:r>
              <w:rPr>
                <w:rFonts w:ascii="Arial" w:cs="Arial" w:eastAsia="Arial" w:hAnsi="Arial"/>
                <w:sz w:val="16"/>
                <w:szCs w:val="16"/>
                <w:color w:val="auto"/>
              </w:rPr>
              <w:t>Net (loss)/income</w:t>
            </w:r>
          </w:p>
        </w:tc>
        <w:tc>
          <w:tcPr>
            <w:tcW w:w="1080" w:type="dxa"/>
            <w:vAlign w:val="bottom"/>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$13,296</w:t>
            </w:r>
          </w:p>
        </w:tc>
        <w:tc>
          <w:tcPr>
            <w:tcW w:w="420" w:type="dxa"/>
            <w:vAlign w:val="bottom"/>
            <w:shd w:val="clear" w:color="auto" w:fill="BFBFBF"/>
          </w:tcPr>
          <w:p>
            <w:pPr>
              <w:spacing w:after="0"/>
              <w:rPr>
                <w:sz w:val="15"/>
                <w:szCs w:val="15"/>
                <w:color w:val="auto"/>
              </w:rPr>
            </w:pPr>
          </w:p>
        </w:tc>
        <w:tc>
          <w:tcPr>
            <w:tcW w:w="240" w:type="dxa"/>
            <w:vAlign w:val="bottom"/>
            <w:shd w:val="clear" w:color="auto" w:fill="BFBFBF"/>
          </w:tcPr>
          <w:p>
            <w:pPr>
              <w:spacing w:after="0"/>
              <w:rPr>
                <w:sz w:val="15"/>
                <w:szCs w:val="15"/>
                <w:color w:val="auto"/>
              </w:rPr>
            </w:pPr>
          </w:p>
        </w:tc>
        <w:tc>
          <w:tcPr>
            <w:tcW w:w="860" w:type="dxa"/>
            <w:vAlign w:val="bottom"/>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$25,495</w:t>
            </w:r>
          </w:p>
        </w:tc>
      </w:tr>
      <w:tr>
        <w:trPr>
          <w:trHeight w:val="476"/>
        </w:trPr>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6"/>
                <w:szCs w:val="16"/>
                <w:color w:val="auto"/>
              </w:rPr>
              <w:t>Other comprehensive income/(loss), before tax:</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9"/>
        </w:trPr>
        <w:tc>
          <w:tcPr>
            <w:tcW w:w="11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(20,540)</w:t>
            </w:r>
          </w:p>
        </w:tc>
        <w:tc>
          <w:tcPr>
            <w:tcW w:w="40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8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13,831</w:t>
            </w:r>
          </w:p>
        </w:tc>
        <w:tc>
          <w:tcPr>
            <w:tcW w:w="20" w:type="dxa"/>
            <w:vAlign w:val="bottom"/>
            <w:shd w:val="clear" w:color="auto" w:fill="BFBFBF"/>
          </w:tcPr>
          <w:p>
            <w:pPr>
              <w:spacing w:after="0"/>
              <w:rPr>
                <w:sz w:val="17"/>
                <w:szCs w:val="17"/>
                <w:color w:val="auto"/>
              </w:rPr>
            </w:pPr>
          </w:p>
        </w:tc>
        <w:tc>
          <w:tcPr>
            <w:tcW w:w="6200" w:type="dxa"/>
            <w:vAlign w:val="bottom"/>
            <w:shd w:val="clear" w:color="auto" w:fill="BFBFB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shd w:val="clear" w:color="auto" w:fill="BFBFBF"/>
          </w:tcPr>
          <w:p>
            <w:pPr>
              <w:jc w:val="right"/>
              <w:spacing w:after="0"/>
              <w:rPr>
                <w:sz w:val="20"/>
                <w:szCs w:val="20"/>
                <w:color w:val="auto"/>
              </w:rPr>
            </w:pPr>
            <w:r>
              <w:rPr>
                <w:rFonts w:ascii="Arial" w:cs="Arial" w:eastAsia="Arial" w:hAnsi="Arial"/>
                <w:sz w:val="16"/>
                <w:szCs w:val="16"/>
                <w:color w:val="auto"/>
              </w:rPr>
              <w:t>(7,222)</w:t>
            </w:r>
          </w:p>
        </w:tc>
        <w:tc>
          <w:tcPr>
            <w:tcW w:w="4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6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39,743</w:t>
            </w:r>
          </w:p>
        </w:tc>
      </w:tr>
      <w:tr>
        <w:trPr>
          <w:trHeight w:val="233"/>
        </w:trPr>
        <w:tc>
          <w:tcPr>
            <w:tcW w:w="1100" w:type="dxa"/>
            <w:vAlign w:val="bottom"/>
          </w:tcPr>
          <w:p>
            <w:pPr>
              <w:jc w:val="right"/>
              <w:ind w:right="19"/>
              <w:spacing w:after="0"/>
              <w:rPr>
                <w:sz w:val="20"/>
                <w:szCs w:val="20"/>
                <w:color w:val="auto"/>
              </w:rPr>
            </w:pPr>
            <w:r>
              <w:rPr>
                <w:rFonts w:ascii="Arial" w:cs="Arial" w:eastAsia="Arial" w:hAnsi="Arial"/>
                <w:sz w:val="16"/>
                <w:szCs w:val="16"/>
                <w:color w:val="auto"/>
              </w:rPr>
              <w:t>110,197</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0" w:type="dxa"/>
            <w:vAlign w:val="bottom"/>
          </w:tcPr>
          <w:p>
            <w:pPr>
              <w:ind w:left="280"/>
              <w:spacing w:after="0"/>
              <w:rPr>
                <w:sz w:val="20"/>
                <w:szCs w:val="20"/>
                <w:color w:val="auto"/>
              </w:rPr>
            </w:pPr>
            <w:r>
              <w:rPr>
                <w:rFonts w:ascii="Arial" w:cs="Arial" w:eastAsia="Arial" w:hAnsi="Arial"/>
                <w:sz w:val="16"/>
                <w:szCs w:val="16"/>
                <w:color w:val="auto"/>
              </w:rPr>
              <w:t>Pension settlement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118,350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9"/>
        </w:trPr>
        <w:tc>
          <w:tcPr>
            <w:tcW w:w="11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(24,617)</w:t>
            </w:r>
          </w:p>
        </w:tc>
        <w:tc>
          <w:tcPr>
            <w:tcW w:w="40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860" w:type="dxa"/>
            <w:vAlign w:val="bottom"/>
            <w:gridSpan w:val="2"/>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6200" w:type="dxa"/>
            <w:vAlign w:val="bottom"/>
            <w:shd w:val="clear" w:color="auto" w:fill="BFBFBF"/>
          </w:tcPr>
          <w:p>
            <w:pPr>
              <w:ind w:left="280"/>
              <w:spacing w:after="0"/>
              <w:rPr>
                <w:sz w:val="20"/>
                <w:szCs w:val="20"/>
                <w:color w:val="auto"/>
              </w:rPr>
            </w:pPr>
            <w:r>
              <w:rPr>
                <w:rFonts w:ascii="Arial" w:cs="Arial" w:eastAsia="Arial" w:hAnsi="Arial"/>
                <w:sz w:val="16"/>
                <w:szCs w:val="16"/>
                <w:color w:val="auto"/>
              </w:rPr>
              <w:t>Pension plan remeasurement</w:t>
            </w:r>
          </w:p>
        </w:tc>
        <w:tc>
          <w:tcPr>
            <w:tcW w:w="108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(24,617)</w:t>
            </w:r>
          </w:p>
        </w:tc>
        <w:tc>
          <w:tcPr>
            <w:tcW w:w="4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6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0" w:type="dxa"/>
            <w:vAlign w:val="bottom"/>
          </w:tcPr>
          <w:p>
            <w:pPr>
              <w:ind w:left="280"/>
              <w:spacing w:after="0"/>
              <w:rPr>
                <w:sz w:val="20"/>
                <w:szCs w:val="20"/>
                <w:color w:val="auto"/>
              </w:rPr>
            </w:pPr>
            <w:r>
              <w:rPr>
                <w:rFonts w:ascii="Arial" w:cs="Arial" w:eastAsia="Arial" w:hAnsi="Arial"/>
                <w:sz w:val="16"/>
                <w:szCs w:val="16"/>
                <w:color w:val="auto"/>
              </w:rPr>
              <w:t>Amortization of pension liability adjustment</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9"/>
        </w:trPr>
        <w:tc>
          <w:tcPr>
            <w:tcW w:w="110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18</w:t>
            </w:r>
          </w:p>
        </w:tc>
        <w:tc>
          <w:tcPr>
            <w:tcW w:w="40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8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22</w:t>
            </w:r>
          </w:p>
        </w:tc>
        <w:tc>
          <w:tcPr>
            <w:tcW w:w="20" w:type="dxa"/>
            <w:vAlign w:val="bottom"/>
            <w:shd w:val="clear" w:color="auto" w:fill="BFBFBF"/>
          </w:tcPr>
          <w:p>
            <w:pPr>
              <w:spacing w:after="0"/>
              <w:rPr>
                <w:sz w:val="17"/>
                <w:szCs w:val="17"/>
                <w:color w:val="auto"/>
              </w:rPr>
            </w:pPr>
          </w:p>
        </w:tc>
        <w:tc>
          <w:tcPr>
            <w:tcW w:w="6200" w:type="dxa"/>
            <w:vAlign w:val="bottom"/>
            <w:shd w:val="clear" w:color="auto" w:fill="BFBFBF"/>
          </w:tcPr>
          <w:p>
            <w:pPr>
              <w:ind w:left="240"/>
              <w:spacing w:after="0"/>
              <w:rPr>
                <w:sz w:val="20"/>
                <w:szCs w:val="20"/>
                <w:color w:val="auto"/>
              </w:rPr>
            </w:pPr>
            <w:r>
              <w:rPr>
                <w:rFonts w:ascii="Arial" w:cs="Arial" w:eastAsia="Arial" w:hAnsi="Arial"/>
                <w:sz w:val="16"/>
                <w:szCs w:val="16"/>
                <w:color w:val="auto"/>
              </w:rPr>
              <w:t>Transition obligation</w:t>
            </w:r>
          </w:p>
        </w:tc>
        <w:tc>
          <w:tcPr>
            <w:tcW w:w="10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37</w:t>
            </w:r>
          </w:p>
        </w:tc>
        <w:tc>
          <w:tcPr>
            <w:tcW w:w="4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6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44</w:t>
            </w:r>
          </w:p>
        </w:tc>
      </w:tr>
      <w:tr>
        <w:trPr>
          <w:trHeight w:val="233"/>
        </w:trPr>
        <w:tc>
          <w:tcPr>
            <w:tcW w:w="1100" w:type="dxa"/>
            <w:vAlign w:val="bottom"/>
          </w:tcPr>
          <w:p>
            <w:pPr>
              <w:jc w:val="right"/>
              <w:spacing w:after="0"/>
              <w:rPr>
                <w:sz w:val="20"/>
                <w:szCs w:val="20"/>
                <w:color w:val="auto"/>
              </w:rPr>
            </w:pPr>
            <w:r>
              <w:rPr>
                <w:rFonts w:ascii="Arial" w:cs="Arial" w:eastAsia="Arial" w:hAnsi="Arial"/>
                <w:sz w:val="16"/>
                <w:szCs w:val="16"/>
                <w:color w:val="auto"/>
              </w:rPr>
              <w:t>(909)</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(907)</w:t>
            </w:r>
          </w:p>
        </w:tc>
        <w:tc>
          <w:tcPr>
            <w:tcW w:w="6200" w:type="dxa"/>
            <w:vAlign w:val="bottom"/>
          </w:tcPr>
          <w:p>
            <w:pPr>
              <w:ind w:left="240"/>
              <w:spacing w:after="0"/>
              <w:rPr>
                <w:sz w:val="20"/>
                <w:szCs w:val="20"/>
                <w:color w:val="auto"/>
              </w:rPr>
            </w:pPr>
            <w:r>
              <w:rPr>
                <w:rFonts w:ascii="Arial" w:cs="Arial" w:eastAsia="Arial" w:hAnsi="Arial"/>
                <w:sz w:val="16"/>
                <w:szCs w:val="16"/>
                <w:color w:val="auto"/>
              </w:rPr>
              <w:t>Prior service cost/(credit)</w:t>
            </w:r>
          </w:p>
        </w:tc>
        <w:tc>
          <w:tcPr>
            <w:tcW w:w="1080" w:type="dxa"/>
            <w:vAlign w:val="bottom"/>
          </w:tcPr>
          <w:p>
            <w:pPr>
              <w:jc w:val="right"/>
              <w:spacing w:after="0"/>
              <w:rPr>
                <w:sz w:val="20"/>
                <w:szCs w:val="20"/>
                <w:color w:val="auto"/>
              </w:rPr>
            </w:pPr>
            <w:r>
              <w:rPr>
                <w:rFonts w:ascii="Arial" w:cs="Arial" w:eastAsia="Arial" w:hAnsi="Arial"/>
                <w:sz w:val="16"/>
                <w:szCs w:val="16"/>
                <w:color w:val="auto"/>
              </w:rPr>
              <w:t>(1,817)</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(1,815)</w:t>
            </w:r>
          </w:p>
        </w:tc>
      </w:tr>
      <w:tr>
        <w:trPr>
          <w:trHeight w:val="199"/>
        </w:trPr>
        <w:tc>
          <w:tcPr>
            <w:tcW w:w="110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1,870</w:t>
            </w:r>
          </w:p>
        </w:tc>
        <w:tc>
          <w:tcPr>
            <w:tcW w:w="40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8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2,175</w:t>
            </w:r>
          </w:p>
        </w:tc>
        <w:tc>
          <w:tcPr>
            <w:tcW w:w="20" w:type="dxa"/>
            <w:vAlign w:val="bottom"/>
            <w:shd w:val="clear" w:color="auto" w:fill="BFBFBF"/>
          </w:tcPr>
          <w:p>
            <w:pPr>
              <w:spacing w:after="0"/>
              <w:rPr>
                <w:sz w:val="17"/>
                <w:szCs w:val="17"/>
                <w:color w:val="auto"/>
              </w:rPr>
            </w:pPr>
          </w:p>
        </w:tc>
        <w:tc>
          <w:tcPr>
            <w:tcW w:w="6200" w:type="dxa"/>
            <w:vAlign w:val="bottom"/>
            <w:shd w:val="clear" w:color="auto" w:fill="BFBFBF"/>
          </w:tcPr>
          <w:p>
            <w:pPr>
              <w:ind w:left="240"/>
              <w:spacing w:after="0"/>
              <w:rPr>
                <w:sz w:val="20"/>
                <w:szCs w:val="20"/>
                <w:color w:val="auto"/>
              </w:rPr>
            </w:pPr>
            <w:r>
              <w:rPr>
                <w:rFonts w:ascii="Arial" w:cs="Arial" w:eastAsia="Arial" w:hAnsi="Arial"/>
                <w:sz w:val="16"/>
                <w:szCs w:val="16"/>
                <w:color w:val="auto"/>
              </w:rPr>
              <w:t>Net actuarial loss</w:t>
            </w:r>
          </w:p>
        </w:tc>
        <w:tc>
          <w:tcPr>
            <w:tcW w:w="10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4,447</w:t>
            </w:r>
          </w:p>
        </w:tc>
        <w:tc>
          <w:tcPr>
            <w:tcW w:w="4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6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4,350</w:t>
            </w:r>
          </w:p>
        </w:tc>
      </w:tr>
      <w:tr>
        <w:trPr>
          <w:trHeight w:val="224"/>
        </w:trPr>
        <w:tc>
          <w:tcPr>
            <w:tcW w:w="1100" w:type="dxa"/>
            <w:vAlign w:val="bottom"/>
          </w:tcPr>
          <w:p>
            <w:pPr>
              <w:jc w:val="right"/>
              <w:spacing w:after="0"/>
              <w:rPr>
                <w:sz w:val="20"/>
                <w:szCs w:val="20"/>
                <w:color w:val="auto"/>
              </w:rPr>
            </w:pPr>
            <w:r>
              <w:rPr>
                <w:rFonts w:ascii="Arial" w:cs="Arial" w:eastAsia="Arial" w:hAnsi="Arial"/>
                <w:sz w:val="16"/>
                <w:szCs w:val="16"/>
                <w:color w:val="auto"/>
              </w:rPr>
              <w:t>(318)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(2,176)</w:t>
            </w:r>
          </w:p>
        </w:tc>
        <w:tc>
          <w:tcPr>
            <w:tcW w:w="6200" w:type="dxa"/>
            <w:vAlign w:val="bottom"/>
          </w:tcPr>
          <w:p>
            <w:pPr>
              <w:ind w:left="280"/>
              <w:spacing w:after="0"/>
              <w:rPr>
                <w:sz w:val="20"/>
                <w:szCs w:val="20"/>
                <w:color w:val="auto"/>
              </w:rPr>
            </w:pPr>
            <w:r>
              <w:rPr>
                <w:rFonts w:ascii="Arial" w:cs="Arial" w:eastAsia="Arial" w:hAnsi="Arial"/>
                <w:sz w:val="16"/>
                <w:szCs w:val="16"/>
                <w:color w:val="auto"/>
              </w:rPr>
              <w:t>Derivative valuation adjustment</w:t>
            </w:r>
          </w:p>
        </w:tc>
        <w:tc>
          <w:tcPr>
            <w:tcW w:w="1080" w:type="dxa"/>
            <w:vAlign w:val="bottom"/>
          </w:tcPr>
          <w:p>
            <w:pPr>
              <w:jc w:val="right"/>
              <w:spacing w:after="0"/>
              <w:rPr>
                <w:sz w:val="20"/>
                <w:szCs w:val="20"/>
                <w:color w:val="auto"/>
              </w:rPr>
            </w:pPr>
            <w:r>
              <w:rPr>
                <w:rFonts w:ascii="Arial" w:cs="Arial" w:eastAsia="Arial" w:hAnsi="Arial"/>
                <w:sz w:val="16"/>
                <w:szCs w:val="16"/>
                <w:color w:val="auto"/>
              </w:rPr>
              <w:t>(664)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(1,516)</w:t>
            </w:r>
          </w:p>
        </w:tc>
      </w:tr>
      <w:tr>
        <w:trPr>
          <w:trHeight w:val="263"/>
        </w:trPr>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89"/>
        </w:trPr>
        <w:tc>
          <w:tcPr>
            <w:tcW w:w="1100" w:type="dxa"/>
            <w:vAlign w:val="bottom"/>
            <w:shd w:val="clear" w:color="auto" w:fill="BFBFBF"/>
          </w:tcPr>
          <w:p>
            <w:pPr>
              <w:spacing w:after="0"/>
              <w:rPr>
                <w:sz w:val="16"/>
                <w:szCs w:val="16"/>
                <w:color w:val="auto"/>
              </w:rPr>
            </w:pPr>
          </w:p>
        </w:tc>
        <w:tc>
          <w:tcPr>
            <w:tcW w:w="400" w:type="dxa"/>
            <w:vAlign w:val="bottom"/>
            <w:shd w:val="clear" w:color="auto" w:fill="BFBFBF"/>
          </w:tcPr>
          <w:p>
            <w:pPr>
              <w:spacing w:after="0"/>
              <w:rPr>
                <w:sz w:val="16"/>
                <w:szCs w:val="16"/>
                <w:color w:val="auto"/>
              </w:rPr>
            </w:pPr>
          </w:p>
        </w:tc>
        <w:tc>
          <w:tcPr>
            <w:tcW w:w="260" w:type="dxa"/>
            <w:vAlign w:val="bottom"/>
            <w:shd w:val="clear" w:color="auto" w:fill="BFBFBF"/>
          </w:tcPr>
          <w:p>
            <w:pPr>
              <w:spacing w:after="0"/>
              <w:rPr>
                <w:sz w:val="16"/>
                <w:szCs w:val="16"/>
                <w:color w:val="auto"/>
              </w:rPr>
            </w:pPr>
          </w:p>
        </w:tc>
        <w:tc>
          <w:tcPr>
            <w:tcW w:w="84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6200" w:type="dxa"/>
            <w:vAlign w:val="bottom"/>
            <w:shd w:val="clear" w:color="auto" w:fill="BFBFBF"/>
          </w:tcPr>
          <w:p>
            <w:pPr>
              <w:ind w:left="240"/>
              <w:spacing w:after="0"/>
              <w:rPr>
                <w:sz w:val="20"/>
                <w:szCs w:val="20"/>
                <w:color w:val="auto"/>
              </w:rPr>
            </w:pPr>
            <w:r>
              <w:rPr>
                <w:rFonts w:ascii="Arial" w:cs="Arial" w:eastAsia="Arial" w:hAnsi="Arial"/>
                <w:sz w:val="16"/>
                <w:szCs w:val="16"/>
                <w:color w:val="auto"/>
              </w:rPr>
              <w:t>Income taxes related to items of other comprehensive (loss)/income:</w:t>
            </w:r>
          </w:p>
        </w:tc>
        <w:tc>
          <w:tcPr>
            <w:tcW w:w="108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240" w:type="dxa"/>
            <w:vAlign w:val="bottom"/>
            <w:shd w:val="clear" w:color="auto" w:fill="BFBFBF"/>
          </w:tcPr>
          <w:p>
            <w:pPr>
              <w:spacing w:after="0"/>
              <w:rPr>
                <w:sz w:val="16"/>
                <w:szCs w:val="16"/>
                <w:color w:val="auto"/>
              </w:rPr>
            </w:pPr>
          </w:p>
        </w:tc>
        <w:tc>
          <w:tcPr>
            <w:tcW w:w="860" w:type="dxa"/>
            <w:vAlign w:val="bottom"/>
            <w:shd w:val="clear" w:color="auto" w:fill="BFBFBF"/>
          </w:tcPr>
          <w:p>
            <w:pPr>
              <w:spacing w:after="0"/>
              <w:rPr>
                <w:sz w:val="16"/>
                <w:szCs w:val="16"/>
                <w:color w:val="auto"/>
              </w:rPr>
            </w:pPr>
          </w:p>
        </w:tc>
      </w:tr>
      <w:tr>
        <w:trPr>
          <w:trHeight w:val="233"/>
        </w:trPr>
        <w:tc>
          <w:tcPr>
            <w:tcW w:w="1100" w:type="dxa"/>
            <w:vAlign w:val="bottom"/>
          </w:tcPr>
          <w:p>
            <w:pPr>
              <w:jc w:val="right"/>
              <w:spacing w:after="0"/>
              <w:rPr>
                <w:sz w:val="20"/>
                <w:szCs w:val="20"/>
                <w:color w:val="auto"/>
              </w:rPr>
            </w:pPr>
            <w:r>
              <w:rPr>
                <w:rFonts w:ascii="Arial" w:cs="Arial" w:eastAsia="Arial" w:hAnsi="Arial"/>
                <w:sz w:val="16"/>
                <w:szCs w:val="16"/>
                <w:color w:val="auto"/>
              </w:rPr>
              <w:t>(37,002)</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0" w:type="dxa"/>
            <w:vAlign w:val="bottom"/>
          </w:tcPr>
          <w:p>
            <w:pPr>
              <w:ind w:left="280"/>
              <w:spacing w:after="0"/>
              <w:rPr>
                <w:sz w:val="20"/>
                <w:szCs w:val="20"/>
                <w:color w:val="auto"/>
              </w:rPr>
            </w:pPr>
            <w:r>
              <w:rPr>
                <w:rFonts w:ascii="Arial" w:cs="Arial" w:eastAsia="Arial" w:hAnsi="Arial"/>
                <w:sz w:val="16"/>
                <w:szCs w:val="16"/>
                <w:color w:val="auto"/>
              </w:rPr>
              <w:t>Pension settlement</w:t>
            </w:r>
          </w:p>
        </w:tc>
        <w:tc>
          <w:tcPr>
            <w:tcW w:w="1080" w:type="dxa"/>
            <w:vAlign w:val="bottom"/>
          </w:tcPr>
          <w:p>
            <w:pPr>
              <w:jc w:val="right"/>
              <w:spacing w:after="0"/>
              <w:rPr>
                <w:sz w:val="20"/>
                <w:szCs w:val="20"/>
                <w:color w:val="auto"/>
              </w:rPr>
            </w:pPr>
            <w:r>
              <w:rPr>
                <w:rFonts w:ascii="Arial" w:cs="Arial" w:eastAsia="Arial" w:hAnsi="Arial"/>
                <w:sz w:val="16"/>
                <w:szCs w:val="16"/>
                <w:color w:val="auto"/>
              </w:rPr>
              <w:t>(39,146)</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9"/>
        </w:trPr>
        <w:tc>
          <w:tcPr>
            <w:tcW w:w="110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7,270</w:t>
            </w:r>
          </w:p>
        </w:tc>
        <w:tc>
          <w:tcPr>
            <w:tcW w:w="40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860" w:type="dxa"/>
            <w:vAlign w:val="bottom"/>
            <w:gridSpan w:val="2"/>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6200" w:type="dxa"/>
            <w:vAlign w:val="bottom"/>
            <w:shd w:val="clear" w:color="auto" w:fill="BFBFBF"/>
          </w:tcPr>
          <w:p>
            <w:pPr>
              <w:ind w:left="280"/>
              <w:spacing w:after="0"/>
              <w:rPr>
                <w:sz w:val="20"/>
                <w:szCs w:val="20"/>
                <w:color w:val="auto"/>
              </w:rPr>
            </w:pPr>
            <w:r>
              <w:rPr>
                <w:rFonts w:ascii="Arial" w:cs="Arial" w:eastAsia="Arial" w:hAnsi="Arial"/>
                <w:sz w:val="16"/>
                <w:szCs w:val="16"/>
                <w:color w:val="auto"/>
              </w:rPr>
              <w:t>Pension plan remeasurement</w:t>
            </w:r>
          </w:p>
        </w:tc>
        <w:tc>
          <w:tcPr>
            <w:tcW w:w="10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7,270</w:t>
            </w:r>
          </w:p>
        </w:tc>
        <w:tc>
          <w:tcPr>
            <w:tcW w:w="4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6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1100" w:type="dxa"/>
            <w:vAlign w:val="bottom"/>
          </w:tcPr>
          <w:p>
            <w:pPr>
              <w:jc w:val="right"/>
              <w:spacing w:after="0"/>
              <w:rPr>
                <w:sz w:val="20"/>
                <w:szCs w:val="20"/>
                <w:color w:val="auto"/>
              </w:rPr>
            </w:pPr>
            <w:r>
              <w:rPr>
                <w:rFonts w:ascii="Arial" w:cs="Arial" w:eastAsia="Arial" w:hAnsi="Arial"/>
                <w:sz w:val="16"/>
                <w:szCs w:val="16"/>
                <w:color w:val="auto"/>
              </w:rPr>
              <w:t>(304)</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(399)</w:t>
            </w:r>
          </w:p>
        </w:tc>
        <w:tc>
          <w:tcPr>
            <w:tcW w:w="6200" w:type="dxa"/>
            <w:vAlign w:val="bottom"/>
          </w:tcPr>
          <w:p>
            <w:pPr>
              <w:ind w:left="280"/>
              <w:spacing w:after="0"/>
              <w:rPr>
                <w:sz w:val="20"/>
                <w:szCs w:val="20"/>
                <w:color w:val="auto"/>
              </w:rPr>
            </w:pPr>
            <w:r>
              <w:rPr>
                <w:rFonts w:ascii="Arial" w:cs="Arial" w:eastAsia="Arial" w:hAnsi="Arial"/>
                <w:sz w:val="16"/>
                <w:szCs w:val="16"/>
                <w:color w:val="auto"/>
              </w:rPr>
              <w:t>Amortization of pension liability adjustment</w:t>
            </w:r>
          </w:p>
        </w:tc>
        <w:tc>
          <w:tcPr>
            <w:tcW w:w="1080" w:type="dxa"/>
            <w:vAlign w:val="bottom"/>
          </w:tcPr>
          <w:p>
            <w:pPr>
              <w:jc w:val="right"/>
              <w:spacing w:after="0"/>
              <w:rPr>
                <w:sz w:val="20"/>
                <w:szCs w:val="20"/>
                <w:color w:val="auto"/>
              </w:rPr>
            </w:pPr>
            <w:r>
              <w:rPr>
                <w:rFonts w:ascii="Arial" w:cs="Arial" w:eastAsia="Arial" w:hAnsi="Arial"/>
                <w:sz w:val="16"/>
                <w:szCs w:val="16"/>
                <w:color w:val="auto"/>
              </w:rPr>
              <w:t>(827)</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199"/>
        </w:trPr>
        <w:tc>
          <w:tcPr>
            <w:tcW w:w="110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124</w:t>
            </w:r>
          </w:p>
        </w:tc>
        <w:tc>
          <w:tcPr>
            <w:tcW w:w="40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8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848</w:t>
            </w:r>
          </w:p>
        </w:tc>
        <w:tc>
          <w:tcPr>
            <w:tcW w:w="20" w:type="dxa"/>
            <w:vAlign w:val="bottom"/>
            <w:shd w:val="clear" w:color="auto" w:fill="BFBFBF"/>
          </w:tcPr>
          <w:p>
            <w:pPr>
              <w:spacing w:after="0"/>
              <w:rPr>
                <w:sz w:val="17"/>
                <w:szCs w:val="17"/>
                <w:color w:val="auto"/>
              </w:rPr>
            </w:pPr>
          </w:p>
        </w:tc>
        <w:tc>
          <w:tcPr>
            <w:tcW w:w="6200" w:type="dxa"/>
            <w:vAlign w:val="bottom"/>
            <w:shd w:val="clear" w:color="auto" w:fill="BFBFBF"/>
          </w:tcPr>
          <w:p>
            <w:pPr>
              <w:ind w:left="280"/>
              <w:spacing w:after="0"/>
              <w:rPr>
                <w:sz w:val="20"/>
                <w:szCs w:val="20"/>
                <w:color w:val="auto"/>
              </w:rPr>
            </w:pPr>
            <w:r>
              <w:rPr>
                <w:rFonts w:ascii="Arial" w:cs="Arial" w:eastAsia="Arial" w:hAnsi="Arial"/>
                <w:sz w:val="16"/>
                <w:szCs w:val="16"/>
                <w:color w:val="auto"/>
              </w:rPr>
              <w:t>Derivative valuation adjustment</w:t>
            </w:r>
          </w:p>
        </w:tc>
        <w:tc>
          <w:tcPr>
            <w:tcW w:w="108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259</w:t>
            </w:r>
          </w:p>
        </w:tc>
        <w:tc>
          <w:tcPr>
            <w:tcW w:w="4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6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591</w:t>
            </w:r>
          </w:p>
        </w:tc>
      </w:tr>
      <w:tr>
        <w:trPr>
          <w:trHeight w:val="243"/>
        </w:trPr>
        <w:tc>
          <w:tcPr>
            <w:tcW w:w="1100" w:type="dxa"/>
            <w:vAlign w:val="bottom"/>
            <w:tcBorders>
              <w:bottom w:val="single" w:sz="8" w:color="auto"/>
            </w:tcBorders>
          </w:tcPr>
          <w:p>
            <w:pPr>
              <w:spacing w:after="0"/>
              <w:rPr>
                <w:sz w:val="21"/>
                <w:szCs w:val="21"/>
                <w:color w:val="auto"/>
              </w:rPr>
            </w:pPr>
          </w:p>
        </w:tc>
        <w:tc>
          <w:tcPr>
            <w:tcW w:w="400" w:type="dxa"/>
            <w:vAlign w:val="bottom"/>
            <w:tcBorders>
              <w:bottom w:val="single" w:sz="8" w:color="BFBFB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220" w:type="dxa"/>
            <w:vAlign w:val="bottom"/>
            <w:tcBorders>
              <w:bottom w:val="single" w:sz="8" w:color="BFBFBF"/>
            </w:tcBorders>
            <w:gridSpan w:val="2"/>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BFBFB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83"/>
        </w:trPr>
        <w:tc>
          <w:tcPr>
            <w:tcW w:w="1100" w:type="dxa"/>
            <w:vAlign w:val="bottom"/>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35,789</w:t>
            </w:r>
          </w:p>
        </w:tc>
        <w:tc>
          <w:tcPr>
            <w:tcW w:w="400" w:type="dxa"/>
            <w:vAlign w:val="bottom"/>
            <w:shd w:val="clear" w:color="auto" w:fill="BFBFBF"/>
          </w:tcPr>
          <w:p>
            <w:pPr>
              <w:spacing w:after="0"/>
              <w:rPr>
                <w:sz w:val="15"/>
                <w:szCs w:val="15"/>
                <w:color w:val="auto"/>
              </w:rPr>
            </w:pPr>
          </w:p>
        </w:tc>
        <w:tc>
          <w:tcPr>
            <w:tcW w:w="260" w:type="dxa"/>
            <w:vAlign w:val="bottom"/>
            <w:shd w:val="clear" w:color="auto" w:fill="BFBFBF"/>
          </w:tcPr>
          <w:p>
            <w:pPr>
              <w:spacing w:after="0"/>
              <w:rPr>
                <w:sz w:val="15"/>
                <w:szCs w:val="15"/>
                <w:color w:val="auto"/>
              </w:rPr>
            </w:pPr>
          </w:p>
        </w:tc>
        <w:tc>
          <w:tcPr>
            <w:tcW w:w="840" w:type="dxa"/>
            <w:vAlign w:val="bottom"/>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13,394</w:t>
            </w:r>
          </w:p>
        </w:tc>
        <w:tc>
          <w:tcPr>
            <w:tcW w:w="6220" w:type="dxa"/>
            <w:vAlign w:val="bottom"/>
            <w:gridSpan w:val="2"/>
            <w:shd w:val="clear" w:color="auto" w:fill="BFBFBF"/>
          </w:tcPr>
          <w:p>
            <w:pPr>
              <w:ind w:left="100"/>
              <w:spacing w:after="0" w:line="177" w:lineRule="exact"/>
              <w:rPr>
                <w:sz w:val="20"/>
                <w:szCs w:val="20"/>
                <w:color w:val="auto"/>
              </w:rPr>
            </w:pPr>
            <w:r>
              <w:rPr>
                <w:rFonts w:ascii="Arial" w:cs="Arial" w:eastAsia="Arial" w:hAnsi="Arial"/>
                <w:sz w:val="16"/>
                <w:szCs w:val="16"/>
                <w:color w:val="auto"/>
              </w:rPr>
              <w:t>Other comprehensive income, net of tax</w:t>
            </w:r>
          </w:p>
        </w:tc>
        <w:tc>
          <w:tcPr>
            <w:tcW w:w="1080" w:type="dxa"/>
            <w:vAlign w:val="bottom"/>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56,070</w:t>
            </w:r>
          </w:p>
        </w:tc>
        <w:tc>
          <w:tcPr>
            <w:tcW w:w="420" w:type="dxa"/>
            <w:vAlign w:val="bottom"/>
            <w:shd w:val="clear" w:color="auto" w:fill="BFBFBF"/>
          </w:tcPr>
          <w:p>
            <w:pPr>
              <w:spacing w:after="0"/>
              <w:rPr>
                <w:sz w:val="15"/>
                <w:szCs w:val="15"/>
                <w:color w:val="auto"/>
              </w:rPr>
            </w:pPr>
          </w:p>
        </w:tc>
        <w:tc>
          <w:tcPr>
            <w:tcW w:w="240" w:type="dxa"/>
            <w:vAlign w:val="bottom"/>
            <w:shd w:val="clear" w:color="auto" w:fill="BFBFBF"/>
          </w:tcPr>
          <w:p>
            <w:pPr>
              <w:spacing w:after="0"/>
              <w:rPr>
                <w:sz w:val="15"/>
                <w:szCs w:val="15"/>
                <w:color w:val="auto"/>
              </w:rPr>
            </w:pPr>
          </w:p>
        </w:tc>
        <w:tc>
          <w:tcPr>
            <w:tcW w:w="860" w:type="dxa"/>
            <w:vAlign w:val="bottom"/>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40,598</w:t>
            </w:r>
          </w:p>
        </w:tc>
      </w:tr>
      <w:tr>
        <w:trPr>
          <w:trHeight w:val="243"/>
        </w:trPr>
        <w:tc>
          <w:tcPr>
            <w:tcW w:w="110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07"/>
        </w:trPr>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$2,044</w:t>
            </w: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$22,156</w:t>
            </w:r>
          </w:p>
        </w:tc>
        <w:tc>
          <w:tcPr>
            <w:tcW w:w="20" w:type="dxa"/>
            <w:vAlign w:val="bottom"/>
          </w:tcPr>
          <w:p>
            <w:pPr>
              <w:spacing w:after="0"/>
              <w:rPr>
                <w:sz w:val="17"/>
                <w:szCs w:val="17"/>
                <w:color w:val="auto"/>
              </w:rPr>
            </w:pPr>
          </w:p>
        </w:tc>
        <w:tc>
          <w:tcPr>
            <w:tcW w:w="6200" w:type="dxa"/>
            <w:vAlign w:val="bottom"/>
          </w:tcPr>
          <w:p>
            <w:pPr>
              <w:ind w:left="80"/>
              <w:spacing w:after="0"/>
              <w:rPr>
                <w:sz w:val="20"/>
                <w:szCs w:val="20"/>
                <w:color w:val="auto"/>
              </w:rPr>
            </w:pPr>
            <w:r>
              <w:rPr>
                <w:rFonts w:ascii="Arial" w:cs="Arial" w:eastAsia="Arial" w:hAnsi="Arial"/>
                <w:sz w:val="16"/>
                <w:szCs w:val="16"/>
                <w:color w:val="auto"/>
              </w:rPr>
              <w:t>Comprehensive income/(loss)</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$69,366</w:t>
            </w: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$66,093</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6"/>
                <w:szCs w:val="16"/>
                <w:color w:val="auto"/>
              </w:rPr>
              <w:t>June 30,</w:t>
            </w:r>
          </w:p>
        </w:tc>
        <w:tc>
          <w:tcPr>
            <w:tcW w:w="340" w:type="dxa"/>
            <w:vAlign w:val="bottom"/>
          </w:tcPr>
          <w:p>
            <w:pPr>
              <w:spacing w:after="0"/>
              <w:rPr>
                <w:sz w:val="16"/>
                <w:szCs w:val="16"/>
                <w:color w:val="auto"/>
              </w:rPr>
            </w:pP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87"/>
        </w:trPr>
        <w:tc>
          <w:tcPr>
            <w:tcW w:w="7080" w:type="dxa"/>
            <w:vAlign w:val="bottom"/>
          </w:tcPr>
          <w:p>
            <w:pPr>
              <w:spacing w:after="0"/>
              <w:rPr>
                <w:sz w:val="16"/>
                <w:szCs w:val="16"/>
                <w:color w:val="auto"/>
              </w:rPr>
            </w:pPr>
          </w:p>
        </w:tc>
        <w:tc>
          <w:tcPr>
            <w:tcW w:w="1940" w:type="dxa"/>
            <w:vAlign w:val="bottom"/>
          </w:tcPr>
          <w:p>
            <w:pPr>
              <w:jc w:val="right"/>
              <w:ind w:right="699"/>
              <w:spacing w:after="0"/>
              <w:rPr>
                <w:sz w:val="20"/>
                <w:szCs w:val="20"/>
                <w:color w:val="auto"/>
              </w:rPr>
            </w:pPr>
            <w:r>
              <w:rPr>
                <w:rFonts w:ascii="Arial" w:cs="Arial" w:eastAsia="Arial" w:hAnsi="Arial"/>
                <w:sz w:val="16"/>
                <w:szCs w:val="16"/>
                <w:color w:val="auto"/>
              </w:rPr>
              <w:t>2012</w:t>
            </w:r>
          </w:p>
        </w:tc>
        <w:tc>
          <w:tcPr>
            <w:tcW w:w="2400" w:type="dxa"/>
            <w:vAlign w:val="bottom"/>
            <w:gridSpan w:val="2"/>
          </w:tcPr>
          <w:p>
            <w:pPr>
              <w:jc w:val="right"/>
              <w:ind w:right="759"/>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183"/>
        </w:trPr>
        <w:tc>
          <w:tcPr>
            <w:tcW w:w="7080" w:type="dxa"/>
            <w:vAlign w:val="bottom"/>
          </w:tcPr>
          <w:p>
            <w:pPr>
              <w:ind w:left="100"/>
              <w:spacing w:after="0" w:line="183" w:lineRule="exact"/>
              <w:rPr>
                <w:sz w:val="20"/>
                <w:szCs w:val="20"/>
                <w:color w:val="auto"/>
              </w:rPr>
            </w:pPr>
            <w:r>
              <w:rPr>
                <w:rFonts w:ascii="Arial" w:cs="Arial" w:eastAsia="Arial" w:hAnsi="Arial"/>
                <w:sz w:val="16"/>
                <w:szCs w:val="16"/>
                <w:color w:val="auto"/>
              </w:rPr>
              <w:t>ASSETS</w:t>
            </w:r>
          </w:p>
        </w:tc>
        <w:tc>
          <w:tcPr>
            <w:tcW w:w="19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80" w:type="dxa"/>
            <w:vAlign w:val="bottom"/>
            <w:shd w:val="clear" w:color="auto" w:fill="C0C0C0"/>
          </w:tcPr>
          <w:p>
            <w:pPr>
              <w:ind w:left="200"/>
              <w:spacing w:after="0"/>
              <w:rPr>
                <w:sz w:val="20"/>
                <w:szCs w:val="20"/>
                <w:color w:val="auto"/>
              </w:rPr>
            </w:pPr>
            <w:r>
              <w:rPr>
                <w:rFonts w:ascii="Arial" w:cs="Arial" w:eastAsia="Arial" w:hAnsi="Arial"/>
                <w:sz w:val="16"/>
                <w:szCs w:val="16"/>
                <w:color w:val="auto"/>
              </w:rPr>
              <w:t>Cash and cash equivalents</w:t>
            </w:r>
          </w:p>
        </w:tc>
        <w:tc>
          <w:tcPr>
            <w:tcW w:w="1940" w:type="dxa"/>
            <w:vAlign w:val="bottom"/>
            <w:shd w:val="clear" w:color="auto" w:fill="C0C0C0"/>
          </w:tcPr>
          <w:p>
            <w:pPr>
              <w:jc w:val="right"/>
              <w:ind w:right="59"/>
              <w:spacing w:after="0"/>
              <w:rPr>
                <w:sz w:val="20"/>
                <w:szCs w:val="20"/>
                <w:color w:val="auto"/>
              </w:rPr>
            </w:pPr>
            <w:r>
              <w:rPr>
                <w:rFonts w:ascii="Arial" w:cs="Arial" w:eastAsia="Arial" w:hAnsi="Arial"/>
                <w:sz w:val="16"/>
                <w:szCs w:val="16"/>
                <w:color w:val="auto"/>
              </w:rPr>
              <w:t>$164,592</w:t>
            </w:r>
          </w:p>
        </w:tc>
        <w:tc>
          <w:tcPr>
            <w:tcW w:w="2400" w:type="dxa"/>
            <w:vAlign w:val="bottom"/>
            <w:gridSpan w:val="2"/>
            <w:shd w:val="clear" w:color="auto" w:fill="C0C0C0"/>
          </w:tcPr>
          <w:p>
            <w:pPr>
              <w:jc w:val="right"/>
              <w:ind w:right="59"/>
              <w:spacing w:after="0"/>
              <w:rPr>
                <w:sz w:val="20"/>
                <w:szCs w:val="20"/>
                <w:color w:val="auto"/>
              </w:rPr>
            </w:pPr>
            <w:r>
              <w:rPr>
                <w:rFonts w:ascii="Arial" w:cs="Arial" w:eastAsia="Arial" w:hAnsi="Arial"/>
                <w:sz w:val="16"/>
                <w:szCs w:val="16"/>
                <w:color w:val="auto"/>
              </w:rPr>
              <w:t>$118,909</w:t>
            </w:r>
          </w:p>
        </w:tc>
        <w:tc>
          <w:tcPr>
            <w:tcW w:w="0" w:type="dxa"/>
            <w:vAlign w:val="bottom"/>
          </w:tcPr>
          <w:p>
            <w:pPr>
              <w:spacing w:after="0"/>
              <w:rPr>
                <w:sz w:val="1"/>
                <w:szCs w:val="1"/>
                <w:color w:val="auto"/>
              </w:rPr>
            </w:pPr>
          </w:p>
        </w:tc>
      </w:tr>
      <w:tr>
        <w:trPr>
          <w:trHeight w:val="189"/>
        </w:trPr>
        <w:tc>
          <w:tcPr>
            <w:tcW w:w="708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160,374</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147,511</w:t>
            </w:r>
          </w:p>
        </w:tc>
        <w:tc>
          <w:tcPr>
            <w:tcW w:w="0" w:type="dxa"/>
            <w:vAlign w:val="bottom"/>
          </w:tcPr>
          <w:p>
            <w:pPr>
              <w:spacing w:after="0"/>
              <w:rPr>
                <w:sz w:val="1"/>
                <w:szCs w:val="1"/>
                <w:color w:val="auto"/>
              </w:rPr>
            </w:pPr>
          </w:p>
        </w:tc>
      </w:tr>
      <w:tr>
        <w:trPr>
          <w:trHeight w:val="189"/>
        </w:trPr>
        <w:tc>
          <w:tcPr>
            <w:tcW w:w="7080" w:type="dxa"/>
            <w:vAlign w:val="bottom"/>
            <w:shd w:val="clear" w:color="auto" w:fill="C0C0C0"/>
          </w:tcPr>
          <w:p>
            <w:pPr>
              <w:ind w:left="200"/>
              <w:spacing w:after="0"/>
              <w:rPr>
                <w:sz w:val="20"/>
                <w:szCs w:val="20"/>
                <w:color w:val="auto"/>
              </w:rPr>
            </w:pPr>
            <w:r>
              <w:rPr>
                <w:rFonts w:ascii="Arial" w:cs="Arial" w:eastAsia="Arial" w:hAnsi="Arial"/>
                <w:sz w:val="16"/>
                <w:szCs w:val="16"/>
                <w:color w:val="auto"/>
              </w:rPr>
              <w:t>Inventories</w:t>
            </w:r>
          </w:p>
        </w:tc>
        <w:tc>
          <w:tcPr>
            <w:tcW w:w="1940" w:type="dxa"/>
            <w:vAlign w:val="bottom"/>
            <w:shd w:val="clear" w:color="auto" w:fill="C0C0C0"/>
          </w:tcPr>
          <w:p>
            <w:pPr>
              <w:jc w:val="right"/>
              <w:ind w:right="59"/>
              <w:spacing w:after="0"/>
              <w:rPr>
                <w:sz w:val="20"/>
                <w:szCs w:val="20"/>
                <w:color w:val="auto"/>
              </w:rPr>
            </w:pPr>
            <w:r>
              <w:rPr>
                <w:rFonts w:ascii="Arial" w:cs="Arial" w:eastAsia="Arial" w:hAnsi="Arial"/>
                <w:sz w:val="16"/>
                <w:szCs w:val="16"/>
                <w:color w:val="auto"/>
              </w:rPr>
              <w:t>128,973</w:t>
            </w:r>
          </w:p>
        </w:tc>
        <w:tc>
          <w:tcPr>
            <w:tcW w:w="2400" w:type="dxa"/>
            <w:vAlign w:val="bottom"/>
            <w:gridSpan w:val="2"/>
            <w:shd w:val="clear" w:color="auto" w:fill="C0C0C0"/>
          </w:tcPr>
          <w:p>
            <w:pPr>
              <w:jc w:val="right"/>
              <w:ind w:right="59"/>
              <w:spacing w:after="0"/>
              <w:rPr>
                <w:sz w:val="20"/>
                <w:szCs w:val="20"/>
                <w:color w:val="auto"/>
              </w:rPr>
            </w:pPr>
            <w:r>
              <w:rPr>
                <w:rFonts w:ascii="Arial" w:cs="Arial" w:eastAsia="Arial" w:hAnsi="Arial"/>
                <w:sz w:val="16"/>
                <w:szCs w:val="16"/>
                <w:color w:val="auto"/>
              </w:rPr>
              <w:t>129,803</w:t>
            </w:r>
          </w:p>
        </w:tc>
        <w:tc>
          <w:tcPr>
            <w:tcW w:w="0" w:type="dxa"/>
            <w:vAlign w:val="bottom"/>
          </w:tcPr>
          <w:p>
            <w:pPr>
              <w:spacing w:after="0"/>
              <w:rPr>
                <w:sz w:val="1"/>
                <w:szCs w:val="1"/>
                <w:color w:val="auto"/>
              </w:rPr>
            </w:pPr>
          </w:p>
        </w:tc>
      </w:tr>
      <w:tr>
        <w:trPr>
          <w:trHeight w:val="189"/>
        </w:trPr>
        <w:tc>
          <w:tcPr>
            <w:tcW w:w="7080" w:type="dxa"/>
            <w:vAlign w:val="bottom"/>
          </w:tcPr>
          <w:p>
            <w:pPr>
              <w:ind w:left="200"/>
              <w:spacing w:after="0"/>
              <w:rPr>
                <w:sz w:val="20"/>
                <w:szCs w:val="20"/>
                <w:color w:val="auto"/>
              </w:rPr>
            </w:pPr>
            <w:r>
              <w:rPr>
                <w:rFonts w:ascii="Arial" w:cs="Arial" w:eastAsia="Arial" w:hAnsi="Arial"/>
                <w:sz w:val="16"/>
                <w:szCs w:val="16"/>
                <w:color w:val="auto"/>
              </w:rPr>
              <w:t>Income taxes receivable and deferred</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22,662</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30,010</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940" w:type="dxa"/>
            <w:vAlign w:val="bottom"/>
            <w:shd w:val="clear" w:color="auto" w:fill="C0C0C0"/>
          </w:tcPr>
          <w:p>
            <w:pPr>
              <w:jc w:val="right"/>
              <w:ind w:right="59"/>
              <w:spacing w:after="0"/>
              <w:rPr>
                <w:sz w:val="20"/>
                <w:szCs w:val="20"/>
                <w:color w:val="auto"/>
              </w:rPr>
            </w:pPr>
            <w:r>
              <w:rPr>
                <w:rFonts w:ascii="Arial" w:cs="Arial" w:eastAsia="Arial" w:hAnsi="Arial"/>
                <w:sz w:val="16"/>
                <w:szCs w:val="16"/>
                <w:color w:val="auto"/>
              </w:rPr>
              <w:t>10,071</w:t>
            </w:r>
          </w:p>
        </w:tc>
        <w:tc>
          <w:tcPr>
            <w:tcW w:w="2400" w:type="dxa"/>
            <w:vAlign w:val="bottom"/>
            <w:gridSpan w:val="2"/>
            <w:shd w:val="clear" w:color="auto" w:fill="C0C0C0"/>
          </w:tcPr>
          <w:p>
            <w:pPr>
              <w:jc w:val="right"/>
              <w:ind w:right="59"/>
              <w:spacing w:after="0"/>
              <w:rPr>
                <w:sz w:val="20"/>
                <w:szCs w:val="20"/>
                <w:color w:val="auto"/>
              </w:rPr>
            </w:pPr>
            <w:r>
              <w:rPr>
                <w:rFonts w:ascii="Arial" w:cs="Arial" w:eastAsia="Arial" w:hAnsi="Arial"/>
                <w:sz w:val="16"/>
                <w:szCs w:val="16"/>
                <w:color w:val="auto"/>
              </w:rPr>
              <w:t>13,349</w:t>
            </w:r>
          </w:p>
        </w:tc>
        <w:tc>
          <w:tcPr>
            <w:tcW w:w="0" w:type="dxa"/>
            <w:vAlign w:val="bottom"/>
          </w:tcPr>
          <w:p>
            <w:pPr>
              <w:spacing w:after="0"/>
              <w:rPr>
                <w:sz w:val="1"/>
                <w:szCs w:val="1"/>
                <w:color w:val="auto"/>
              </w:rPr>
            </w:pPr>
          </w:p>
        </w:tc>
      </w:tr>
      <w:tr>
        <w:trPr>
          <w:trHeight w:val="189"/>
        </w:trPr>
        <w:tc>
          <w:tcPr>
            <w:tcW w:w="7080" w:type="dxa"/>
            <w:vAlign w:val="bottom"/>
            <w:tcBorders>
              <w:bottom w:val="single" w:sz="8" w:color="BFBFBF"/>
            </w:tcBorders>
          </w:tcPr>
          <w:p>
            <w:pPr>
              <w:ind w:left="200"/>
              <w:spacing w:after="0"/>
              <w:rPr>
                <w:sz w:val="20"/>
                <w:szCs w:val="20"/>
                <w:color w:val="auto"/>
              </w:rPr>
            </w:pPr>
            <w:r>
              <w:rPr>
                <w:rFonts w:ascii="Arial" w:cs="Arial" w:eastAsia="Arial" w:hAnsi="Arial"/>
                <w:sz w:val="16"/>
                <w:szCs w:val="16"/>
                <w:color w:val="auto"/>
              </w:rPr>
              <w:t>Current assets of discontinued operations</w:t>
            </w:r>
          </w:p>
        </w:tc>
        <w:tc>
          <w:tcPr>
            <w:tcW w:w="1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BFBF"/>
            </w:tcBorders>
          </w:tcPr>
          <w:p>
            <w:pPr>
              <w:spacing w:after="0"/>
              <w:rPr>
                <w:sz w:val="16"/>
                <w:szCs w:val="16"/>
                <w:color w:val="auto"/>
              </w:rPr>
            </w:pPr>
          </w:p>
        </w:tc>
        <w:tc>
          <w:tcPr>
            <w:tcW w:w="2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67,351</w:t>
            </w:r>
          </w:p>
        </w:tc>
        <w:tc>
          <w:tcPr>
            <w:tcW w:w="0" w:type="dxa"/>
            <w:vAlign w:val="bottom"/>
          </w:tcPr>
          <w:p>
            <w:pPr>
              <w:spacing w:after="0"/>
              <w:rPr>
                <w:sz w:val="1"/>
                <w:szCs w:val="1"/>
                <w:color w:val="auto"/>
              </w:rPr>
            </w:pPr>
          </w:p>
        </w:tc>
      </w:tr>
      <w:tr>
        <w:trPr>
          <w:trHeight w:val="183"/>
        </w:trPr>
        <w:tc>
          <w:tcPr>
            <w:tcW w:w="7080" w:type="dxa"/>
            <w:vAlign w:val="bottom"/>
            <w:shd w:val="clear" w:color="auto" w:fill="BFBFBF"/>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1940" w:type="dxa"/>
            <w:vAlign w:val="bottom"/>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486,672</w:t>
            </w:r>
          </w:p>
        </w:tc>
        <w:tc>
          <w:tcPr>
            <w:tcW w:w="2400" w:type="dxa"/>
            <w:vAlign w:val="bottom"/>
            <w:gridSpan w:val="2"/>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506,933</w:t>
            </w:r>
          </w:p>
        </w:tc>
        <w:tc>
          <w:tcPr>
            <w:tcW w:w="0" w:type="dxa"/>
            <w:vAlign w:val="bottom"/>
          </w:tcPr>
          <w:p>
            <w:pPr>
              <w:spacing w:after="0"/>
              <w:rPr>
                <w:sz w:val="1"/>
                <w:szCs w:val="1"/>
                <w:color w:val="auto"/>
              </w:rPr>
            </w:pPr>
          </w:p>
        </w:tc>
      </w:tr>
      <w:tr>
        <w:trPr>
          <w:trHeight w:val="378"/>
        </w:trPr>
        <w:tc>
          <w:tcPr>
            <w:tcW w:w="7080" w:type="dxa"/>
            <w:vAlign w:val="bottom"/>
          </w:tcPr>
          <w:p>
            <w:pPr>
              <w:ind w:left="200"/>
              <w:spacing w:after="0"/>
              <w:rPr>
                <w:sz w:val="20"/>
                <w:szCs w:val="20"/>
                <w:color w:val="auto"/>
              </w:rPr>
            </w:pPr>
            <w:r>
              <w:rPr>
                <w:rFonts w:ascii="Arial" w:cs="Arial" w:eastAsia="Arial" w:hAnsi="Arial"/>
                <w:sz w:val="16"/>
                <w:szCs w:val="16"/>
                <w:color w:val="auto"/>
              </w:rPr>
              <w:t>Property, plant and equipment, net</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420,686</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438,953</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Intangibles</w:t>
            </w:r>
          </w:p>
        </w:tc>
        <w:tc>
          <w:tcPr>
            <w:tcW w:w="19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964</w:t>
            </w:r>
          </w:p>
        </w:tc>
        <w:tc>
          <w:tcPr>
            <w:tcW w:w="2400" w:type="dxa"/>
            <w:vAlign w:val="bottom"/>
            <w:gridSpan w:val="2"/>
            <w:shd w:val="clear" w:color="auto" w:fill="BFBFBF"/>
          </w:tcPr>
          <w:p>
            <w:pPr>
              <w:jc w:val="right"/>
              <w:ind w:right="59"/>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189"/>
        </w:trPr>
        <w:tc>
          <w:tcPr>
            <w:tcW w:w="708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74,171</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75,469</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Deferred taxes</w:t>
            </w:r>
          </w:p>
        </w:tc>
        <w:tc>
          <w:tcPr>
            <w:tcW w:w="19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117,247</w:t>
            </w:r>
          </w:p>
        </w:tc>
        <w:tc>
          <w:tcPr>
            <w:tcW w:w="2400" w:type="dxa"/>
            <w:vAlign w:val="bottom"/>
            <w:gridSpan w:val="2"/>
            <w:shd w:val="clear" w:color="auto" w:fill="BFBFBF"/>
          </w:tcPr>
          <w:p>
            <w:pPr>
              <w:jc w:val="right"/>
              <w:ind w:right="59"/>
              <w:spacing w:after="0"/>
              <w:rPr>
                <w:sz w:val="20"/>
                <w:szCs w:val="20"/>
                <w:color w:val="auto"/>
              </w:rPr>
            </w:pPr>
            <w:r>
              <w:rPr>
                <w:rFonts w:ascii="Arial" w:cs="Arial" w:eastAsia="Arial" w:hAnsi="Arial"/>
                <w:sz w:val="16"/>
                <w:szCs w:val="16"/>
                <w:color w:val="auto"/>
              </w:rPr>
              <w:t>134,644</w:t>
            </w:r>
          </w:p>
        </w:tc>
        <w:tc>
          <w:tcPr>
            <w:tcW w:w="0" w:type="dxa"/>
            <w:vAlign w:val="bottom"/>
          </w:tcPr>
          <w:p>
            <w:pPr>
              <w:spacing w:after="0"/>
              <w:rPr>
                <w:sz w:val="1"/>
                <w:szCs w:val="1"/>
                <w:color w:val="auto"/>
              </w:rPr>
            </w:pPr>
          </w:p>
        </w:tc>
      </w:tr>
      <w:tr>
        <w:trPr>
          <w:trHeight w:val="189"/>
        </w:trPr>
        <w:tc>
          <w:tcPr>
            <w:tcW w:w="708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37,482</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23,383</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Noncurrent assets of discontinued operations</w:t>
            </w:r>
          </w:p>
        </w:tc>
        <w:tc>
          <w:tcPr>
            <w:tcW w:w="1940" w:type="dxa"/>
            <w:vAlign w:val="bottom"/>
            <w:tcBorders>
              <w:bottom w:val="single" w:sz="8" w:color="auto"/>
            </w:tcBorders>
            <w:shd w:val="clear" w:color="auto" w:fill="BFBFB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BFBFBF"/>
          </w:tcPr>
          <w:p>
            <w:pPr>
              <w:spacing w:after="0"/>
              <w:rPr>
                <w:sz w:val="16"/>
                <w:szCs w:val="16"/>
                <w:color w:val="auto"/>
              </w:rPr>
            </w:pPr>
          </w:p>
        </w:tc>
        <w:tc>
          <w:tcPr>
            <w:tcW w:w="2060" w:type="dxa"/>
            <w:vAlign w:val="bottom"/>
            <w:tcBorders>
              <w:bottom w:val="single" w:sz="8" w:color="auto"/>
            </w:tcBorders>
            <w:shd w:val="clear" w:color="auto" w:fill="BFBFBF"/>
          </w:tcPr>
          <w:p>
            <w:pPr>
              <w:jc w:val="right"/>
              <w:ind w:right="59"/>
              <w:spacing w:after="0"/>
              <w:rPr>
                <w:sz w:val="20"/>
                <w:szCs w:val="20"/>
                <w:color w:val="auto"/>
              </w:rPr>
            </w:pPr>
            <w:r>
              <w:rPr>
                <w:rFonts w:ascii="Arial" w:cs="Arial" w:eastAsia="Arial" w:hAnsi="Arial"/>
                <w:sz w:val="16"/>
                <w:szCs w:val="16"/>
                <w:color w:val="auto"/>
              </w:rPr>
              <w:t>50,467</w:t>
            </w:r>
          </w:p>
        </w:tc>
        <w:tc>
          <w:tcPr>
            <w:tcW w:w="0" w:type="dxa"/>
            <w:vAlign w:val="bottom"/>
          </w:tcPr>
          <w:p>
            <w:pPr>
              <w:spacing w:after="0"/>
              <w:rPr>
                <w:sz w:val="1"/>
                <w:szCs w:val="1"/>
                <w:color w:val="auto"/>
              </w:rPr>
            </w:pPr>
          </w:p>
        </w:tc>
      </w:tr>
      <w:tr>
        <w:trPr>
          <w:trHeight w:val="183"/>
        </w:trPr>
        <w:tc>
          <w:tcPr>
            <w:tcW w:w="7080" w:type="dxa"/>
            <w:vAlign w:val="bottom"/>
          </w:tcPr>
          <w:p>
            <w:pPr>
              <w:ind w:left="380"/>
              <w:spacing w:after="0" w:line="183" w:lineRule="exact"/>
              <w:rPr>
                <w:sz w:val="20"/>
                <w:szCs w:val="20"/>
                <w:color w:val="auto"/>
              </w:rPr>
            </w:pPr>
            <w:r>
              <w:rPr>
                <w:rFonts w:ascii="Arial" w:cs="Arial" w:eastAsia="Arial" w:hAnsi="Arial"/>
                <w:sz w:val="16"/>
                <w:szCs w:val="16"/>
                <w:color w:val="auto"/>
              </w:rPr>
              <w:t>Total assets</w:t>
            </w:r>
          </w:p>
        </w:tc>
        <w:tc>
          <w:tcPr>
            <w:tcW w:w="19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$1,137,222</w:t>
            </w:r>
          </w:p>
        </w:tc>
        <w:tc>
          <w:tcPr>
            <w:tcW w:w="240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$1,230,928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00"/>
              <w:spacing w:after="0"/>
              <w:rPr>
                <w:sz w:val="20"/>
                <w:szCs w:val="20"/>
                <w:color w:val="auto"/>
              </w:rPr>
            </w:pPr>
            <w:r>
              <w:rPr>
                <w:rFonts w:ascii="Arial" w:cs="Arial" w:eastAsia="Arial" w:hAnsi="Arial"/>
                <w:sz w:val="16"/>
                <w:szCs w:val="16"/>
                <w:color w:val="auto"/>
              </w:rPr>
              <w:t>LIABILITIES AND SHAREHOLDERS' EQUITY</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Notes and loans payable</w:t>
            </w:r>
          </w:p>
        </w:tc>
        <w:tc>
          <w:tcPr>
            <w:tcW w:w="19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$357</w:t>
            </w:r>
          </w:p>
        </w:tc>
        <w:tc>
          <w:tcPr>
            <w:tcW w:w="2400" w:type="dxa"/>
            <w:vAlign w:val="bottom"/>
            <w:gridSpan w:val="2"/>
            <w:shd w:val="clear" w:color="auto" w:fill="BFBFBF"/>
          </w:tcPr>
          <w:p>
            <w:pPr>
              <w:jc w:val="right"/>
              <w:ind w:right="59"/>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89"/>
        </w:trPr>
        <w:tc>
          <w:tcPr>
            <w:tcW w:w="70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31,199</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32,708</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Accrued liabilities</w:t>
            </w:r>
          </w:p>
        </w:tc>
        <w:tc>
          <w:tcPr>
            <w:tcW w:w="19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108,277</w:t>
            </w:r>
          </w:p>
        </w:tc>
        <w:tc>
          <w:tcPr>
            <w:tcW w:w="2400" w:type="dxa"/>
            <w:vAlign w:val="bottom"/>
            <w:gridSpan w:val="2"/>
            <w:shd w:val="clear" w:color="auto" w:fill="BFBFBF"/>
          </w:tcPr>
          <w:p>
            <w:pPr>
              <w:jc w:val="right"/>
              <w:ind w:right="59"/>
              <w:spacing w:after="0"/>
              <w:rPr>
                <w:sz w:val="20"/>
                <w:szCs w:val="20"/>
                <w:color w:val="auto"/>
              </w:rPr>
            </w:pPr>
            <w:r>
              <w:rPr>
                <w:rFonts w:ascii="Arial" w:cs="Arial" w:eastAsia="Arial" w:hAnsi="Arial"/>
                <w:sz w:val="16"/>
                <w:szCs w:val="16"/>
                <w:color w:val="auto"/>
              </w:rPr>
              <w:t>105,104</w:t>
            </w:r>
          </w:p>
        </w:tc>
        <w:tc>
          <w:tcPr>
            <w:tcW w:w="0" w:type="dxa"/>
            <w:vAlign w:val="bottom"/>
          </w:tcPr>
          <w:p>
            <w:pPr>
              <w:spacing w:after="0"/>
              <w:rPr>
                <w:sz w:val="1"/>
                <w:szCs w:val="1"/>
                <w:color w:val="auto"/>
              </w:rPr>
            </w:pPr>
          </w:p>
        </w:tc>
      </w:tr>
      <w:tr>
        <w:trPr>
          <w:trHeight w:val="189"/>
        </w:trPr>
        <w:tc>
          <w:tcPr>
            <w:tcW w:w="7080" w:type="dxa"/>
            <w:vAlign w:val="bottom"/>
          </w:tcPr>
          <w:p>
            <w:pPr>
              <w:ind w:left="200"/>
              <w:spacing w:after="0"/>
              <w:rPr>
                <w:sz w:val="20"/>
                <w:szCs w:val="20"/>
                <w:color w:val="auto"/>
              </w:rPr>
            </w:pPr>
            <w:r>
              <w:rPr>
                <w:rFonts w:ascii="Arial" w:cs="Arial" w:eastAsia="Arial" w:hAnsi="Arial"/>
                <w:sz w:val="16"/>
                <w:szCs w:val="16"/>
                <w:color w:val="auto"/>
              </w:rPr>
              <w:t>Current maturities of long-term debt</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30,355</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Income taxes payable and deferred</w:t>
            </w:r>
          </w:p>
        </w:tc>
        <w:tc>
          <w:tcPr>
            <w:tcW w:w="19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2,669</w:t>
            </w:r>
          </w:p>
        </w:tc>
        <w:tc>
          <w:tcPr>
            <w:tcW w:w="2400" w:type="dxa"/>
            <w:vAlign w:val="bottom"/>
            <w:gridSpan w:val="2"/>
            <w:shd w:val="clear" w:color="auto" w:fill="BFBFBF"/>
          </w:tcPr>
          <w:p>
            <w:pPr>
              <w:jc w:val="right"/>
              <w:ind w:right="59"/>
              <w:spacing w:after="0"/>
              <w:rPr>
                <w:sz w:val="20"/>
                <w:szCs w:val="20"/>
                <w:color w:val="auto"/>
              </w:rPr>
            </w:pPr>
            <w:r>
              <w:rPr>
                <w:rFonts w:ascii="Arial" w:cs="Arial" w:eastAsia="Arial" w:hAnsi="Arial"/>
                <w:sz w:val="16"/>
                <w:szCs w:val="16"/>
                <w:color w:val="auto"/>
              </w:rPr>
              <w:t>8,766</w:t>
            </w:r>
          </w:p>
        </w:tc>
        <w:tc>
          <w:tcPr>
            <w:tcW w:w="0" w:type="dxa"/>
            <w:vAlign w:val="bottom"/>
          </w:tcPr>
          <w:p>
            <w:pPr>
              <w:spacing w:after="0"/>
              <w:rPr>
                <w:sz w:val="1"/>
                <w:szCs w:val="1"/>
                <w:color w:val="auto"/>
              </w:rPr>
            </w:pPr>
          </w:p>
        </w:tc>
      </w:tr>
      <w:tr>
        <w:trPr>
          <w:trHeight w:val="189"/>
        </w:trPr>
        <w:tc>
          <w:tcPr>
            <w:tcW w:w="7080" w:type="dxa"/>
            <w:vAlign w:val="bottom"/>
            <w:tcBorders>
              <w:bottom w:val="single" w:sz="8" w:color="BFBFBF"/>
            </w:tcBorders>
          </w:tcPr>
          <w:p>
            <w:pPr>
              <w:ind w:left="200"/>
              <w:spacing w:after="0"/>
              <w:rPr>
                <w:sz w:val="20"/>
                <w:szCs w:val="20"/>
                <w:color w:val="auto"/>
              </w:rPr>
            </w:pPr>
            <w:r>
              <w:rPr>
                <w:rFonts w:ascii="Arial" w:cs="Arial" w:eastAsia="Arial" w:hAnsi="Arial"/>
                <w:sz w:val="16"/>
                <w:szCs w:val="16"/>
                <w:color w:val="auto"/>
              </w:rPr>
              <w:t>Current liabilities of discontinued operations</w:t>
            </w:r>
          </w:p>
        </w:tc>
        <w:tc>
          <w:tcPr>
            <w:tcW w:w="1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BFBF"/>
            </w:tcBorders>
          </w:tcPr>
          <w:p>
            <w:pPr>
              <w:spacing w:after="0"/>
              <w:rPr>
                <w:sz w:val="16"/>
                <w:szCs w:val="16"/>
                <w:color w:val="auto"/>
              </w:rPr>
            </w:pPr>
          </w:p>
        </w:tc>
        <w:tc>
          <w:tcPr>
            <w:tcW w:w="2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22,446</w:t>
            </w:r>
          </w:p>
        </w:tc>
        <w:tc>
          <w:tcPr>
            <w:tcW w:w="0" w:type="dxa"/>
            <w:vAlign w:val="bottom"/>
          </w:tcPr>
          <w:p>
            <w:pPr>
              <w:spacing w:after="0"/>
              <w:rPr>
                <w:sz w:val="1"/>
                <w:szCs w:val="1"/>
                <w:color w:val="auto"/>
              </w:rPr>
            </w:pPr>
          </w:p>
        </w:tc>
      </w:tr>
      <w:tr>
        <w:trPr>
          <w:trHeight w:val="183"/>
        </w:trPr>
        <w:tc>
          <w:tcPr>
            <w:tcW w:w="7080" w:type="dxa"/>
            <w:vAlign w:val="bottom"/>
            <w:shd w:val="clear" w:color="auto" w:fill="BFBFBF"/>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1940" w:type="dxa"/>
            <w:vAlign w:val="bottom"/>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172,857</w:t>
            </w:r>
          </w:p>
        </w:tc>
        <w:tc>
          <w:tcPr>
            <w:tcW w:w="2400" w:type="dxa"/>
            <w:vAlign w:val="bottom"/>
            <w:gridSpan w:val="2"/>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170,711</w:t>
            </w:r>
          </w:p>
        </w:tc>
        <w:tc>
          <w:tcPr>
            <w:tcW w:w="0" w:type="dxa"/>
            <w:vAlign w:val="bottom"/>
          </w:tcPr>
          <w:p>
            <w:pPr>
              <w:spacing w:after="0"/>
              <w:rPr>
                <w:sz w:val="1"/>
                <w:szCs w:val="1"/>
                <w:color w:val="auto"/>
              </w:rPr>
            </w:pPr>
          </w:p>
        </w:tc>
      </w:tr>
      <w:tr>
        <w:trPr>
          <w:trHeight w:val="378"/>
        </w:trPr>
        <w:tc>
          <w:tcPr>
            <w:tcW w:w="708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313,632</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373,125</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Other noncurrent liabilities</w:t>
            </w:r>
          </w:p>
        </w:tc>
        <w:tc>
          <w:tcPr>
            <w:tcW w:w="19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111,563</w:t>
            </w:r>
          </w:p>
        </w:tc>
        <w:tc>
          <w:tcPr>
            <w:tcW w:w="2400" w:type="dxa"/>
            <w:vAlign w:val="bottom"/>
            <w:gridSpan w:val="2"/>
            <w:shd w:val="clear" w:color="auto" w:fill="BFBFBF"/>
          </w:tcPr>
          <w:p>
            <w:pPr>
              <w:jc w:val="right"/>
              <w:ind w:right="59"/>
              <w:spacing w:after="0"/>
              <w:rPr>
                <w:sz w:val="20"/>
                <w:szCs w:val="20"/>
                <w:color w:val="auto"/>
              </w:rPr>
            </w:pPr>
            <w:r>
              <w:rPr>
                <w:rFonts w:ascii="Arial" w:cs="Arial" w:eastAsia="Arial" w:hAnsi="Arial"/>
                <w:sz w:val="16"/>
                <w:szCs w:val="16"/>
                <w:color w:val="auto"/>
              </w:rPr>
              <w:t>185,596</w:t>
            </w:r>
          </w:p>
        </w:tc>
        <w:tc>
          <w:tcPr>
            <w:tcW w:w="0" w:type="dxa"/>
            <w:vAlign w:val="bottom"/>
          </w:tcPr>
          <w:p>
            <w:pPr>
              <w:spacing w:after="0"/>
              <w:rPr>
                <w:sz w:val="1"/>
                <w:szCs w:val="1"/>
                <w:color w:val="auto"/>
              </w:rPr>
            </w:pPr>
          </w:p>
        </w:tc>
      </w:tr>
      <w:tr>
        <w:trPr>
          <w:trHeight w:val="189"/>
        </w:trPr>
        <w:tc>
          <w:tcPr>
            <w:tcW w:w="7080" w:type="dxa"/>
            <w:vAlign w:val="bottom"/>
          </w:tcPr>
          <w:p>
            <w:pPr>
              <w:ind w:left="200"/>
              <w:spacing w:after="0"/>
              <w:rPr>
                <w:sz w:val="20"/>
                <w:szCs w:val="20"/>
                <w:color w:val="auto"/>
              </w:rPr>
            </w:pPr>
            <w:r>
              <w:rPr>
                <w:rFonts w:ascii="Arial" w:cs="Arial" w:eastAsia="Arial" w:hAnsi="Arial"/>
                <w:sz w:val="16"/>
                <w:szCs w:val="16"/>
                <w:color w:val="auto"/>
              </w:rPr>
              <w:t>Deferred taxes and other credits</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61,466</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71,529</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Noncurrent liabilities of discontinued operations</w:t>
            </w:r>
          </w:p>
        </w:tc>
        <w:tc>
          <w:tcPr>
            <w:tcW w:w="1940" w:type="dxa"/>
            <w:vAlign w:val="bottom"/>
            <w:tcBorders>
              <w:bottom w:val="single" w:sz="8" w:color="auto"/>
            </w:tcBorders>
            <w:shd w:val="clear" w:color="auto" w:fill="BFBFB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BFBFBF"/>
          </w:tcPr>
          <w:p>
            <w:pPr>
              <w:spacing w:after="0"/>
              <w:rPr>
                <w:sz w:val="16"/>
                <w:szCs w:val="16"/>
                <w:color w:val="auto"/>
              </w:rPr>
            </w:pPr>
          </w:p>
        </w:tc>
        <w:tc>
          <w:tcPr>
            <w:tcW w:w="2060" w:type="dxa"/>
            <w:vAlign w:val="bottom"/>
            <w:tcBorders>
              <w:bottom w:val="single" w:sz="8" w:color="auto"/>
            </w:tcBorders>
            <w:shd w:val="clear" w:color="auto" w:fill="BFBFBF"/>
          </w:tcPr>
          <w:p>
            <w:pPr>
              <w:jc w:val="right"/>
              <w:ind w:right="59"/>
              <w:spacing w:after="0"/>
              <w:rPr>
                <w:sz w:val="20"/>
                <w:szCs w:val="20"/>
                <w:color w:val="auto"/>
              </w:rPr>
            </w:pPr>
            <w:r>
              <w:rPr>
                <w:rFonts w:ascii="Arial" w:cs="Arial" w:eastAsia="Arial" w:hAnsi="Arial"/>
                <w:sz w:val="16"/>
                <w:szCs w:val="16"/>
                <w:color w:val="auto"/>
              </w:rPr>
              <w:t>14,117</w:t>
            </w:r>
          </w:p>
        </w:tc>
        <w:tc>
          <w:tcPr>
            <w:tcW w:w="0" w:type="dxa"/>
            <w:vAlign w:val="bottom"/>
          </w:tcPr>
          <w:p>
            <w:pPr>
              <w:spacing w:after="0"/>
              <w:rPr>
                <w:sz w:val="1"/>
                <w:szCs w:val="1"/>
                <w:color w:val="auto"/>
              </w:rPr>
            </w:pPr>
          </w:p>
        </w:tc>
      </w:tr>
      <w:tr>
        <w:trPr>
          <w:trHeight w:val="183"/>
        </w:trPr>
        <w:tc>
          <w:tcPr>
            <w:tcW w:w="7080" w:type="dxa"/>
            <w:vAlign w:val="bottom"/>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19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659,518</w:t>
            </w:r>
          </w:p>
        </w:tc>
        <w:tc>
          <w:tcPr>
            <w:tcW w:w="240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815,078</w:t>
            </w:r>
          </w:p>
        </w:tc>
        <w:tc>
          <w:tcPr>
            <w:tcW w:w="0" w:type="dxa"/>
            <w:vAlign w:val="bottom"/>
          </w:tcPr>
          <w:p>
            <w:pPr>
              <w:spacing w:after="0"/>
              <w:rPr>
                <w:sz w:val="1"/>
                <w:szCs w:val="1"/>
                <w:color w:val="auto"/>
              </w:rPr>
            </w:pPr>
          </w:p>
        </w:tc>
      </w:tr>
      <w:tr>
        <w:trPr>
          <w:trHeight w:val="374"/>
        </w:trPr>
        <w:tc>
          <w:tcPr>
            <w:tcW w:w="7080" w:type="dxa"/>
            <w:vAlign w:val="bottom"/>
          </w:tcPr>
          <w:p>
            <w:pPr>
              <w:ind w:left="100"/>
              <w:spacing w:after="0"/>
              <w:rPr>
                <w:sz w:val="20"/>
                <w:szCs w:val="20"/>
                <w:color w:val="auto"/>
              </w:rPr>
            </w:pPr>
            <w:r>
              <w:rPr>
                <w:rFonts w:ascii="Arial" w:cs="Arial" w:eastAsia="Arial" w:hAnsi="Arial"/>
                <w:sz w:val="16"/>
                <w:szCs w:val="16"/>
                <w:color w:val="auto"/>
              </w:rPr>
              <w:t>SHAREHOLDERS' EQUITY</w:t>
            </w:r>
          </w:p>
        </w:tc>
        <w:tc>
          <w:tcPr>
            <w:tcW w:w="19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80" w:type="dxa"/>
            <w:vAlign w:val="bottom"/>
          </w:tcPr>
          <w:p>
            <w:pPr>
              <w:ind w:left="200"/>
              <w:spacing w:after="0"/>
              <w:rPr>
                <w:sz w:val="20"/>
                <w:szCs w:val="20"/>
                <w:color w:val="auto"/>
              </w:rPr>
            </w:pPr>
            <w:r>
              <w:rPr>
                <w:rFonts w:ascii="Arial" w:cs="Arial" w:eastAsia="Arial" w:hAnsi="Arial"/>
                <w:sz w:val="16"/>
                <w:szCs w:val="16"/>
                <w:color w:val="auto"/>
              </w:rPr>
              <w:t>Preferred stock, par value $5.00 per share;</w:t>
            </w: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80" w:type="dxa"/>
            <w:vAlign w:val="bottom"/>
          </w:tcPr>
          <w:p>
            <w:pPr>
              <w:ind w:left="280"/>
              <w:spacing w:after="0"/>
              <w:rPr>
                <w:sz w:val="20"/>
                <w:szCs w:val="20"/>
                <w:color w:val="auto"/>
              </w:rPr>
            </w:pPr>
            <w:r>
              <w:rPr>
                <w:rFonts w:ascii="Arial" w:cs="Arial" w:eastAsia="Arial" w:hAnsi="Arial"/>
                <w:sz w:val="16"/>
                <w:szCs w:val="16"/>
                <w:color w:val="auto"/>
              </w:rPr>
              <w:t>authorized 2,000,000 shares; none issued</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Class A Common Stock, par value $.001 per share;</w:t>
            </w:r>
          </w:p>
        </w:tc>
        <w:tc>
          <w:tcPr>
            <w:tcW w:w="194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206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80"/>
              <w:spacing w:after="0"/>
              <w:rPr>
                <w:sz w:val="20"/>
                <w:szCs w:val="20"/>
                <w:color w:val="auto"/>
              </w:rPr>
            </w:pPr>
            <w:r>
              <w:rPr>
                <w:rFonts w:ascii="Arial" w:cs="Arial" w:eastAsia="Arial" w:hAnsi="Arial"/>
                <w:sz w:val="16"/>
                <w:szCs w:val="16"/>
                <w:color w:val="auto"/>
              </w:rPr>
              <w:t>authorized 100,000,000 shares; issued</w:t>
            </w:r>
          </w:p>
        </w:tc>
        <w:tc>
          <w:tcPr>
            <w:tcW w:w="1940" w:type="dxa"/>
            <w:vAlign w:val="bottom"/>
            <w:shd w:val="clear" w:color="auto" w:fill="BFBFBF"/>
          </w:tcPr>
          <w:p>
            <w:pPr>
              <w:spacing w:after="0"/>
              <w:rPr>
                <w:sz w:val="16"/>
                <w:szCs w:val="16"/>
                <w:color w:val="auto"/>
              </w:rPr>
            </w:pPr>
          </w:p>
        </w:tc>
        <w:tc>
          <w:tcPr>
            <w:tcW w:w="340" w:type="dxa"/>
            <w:vAlign w:val="bottom"/>
            <w:shd w:val="clear" w:color="auto" w:fill="BFBFBF"/>
          </w:tcPr>
          <w:p>
            <w:pPr>
              <w:spacing w:after="0"/>
              <w:rPr>
                <w:sz w:val="16"/>
                <w:szCs w:val="16"/>
                <w:color w:val="auto"/>
              </w:rPr>
            </w:pPr>
          </w:p>
        </w:tc>
        <w:tc>
          <w:tcPr>
            <w:tcW w:w="2060" w:type="dxa"/>
            <w:vAlign w:val="bottom"/>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80"/>
              <w:spacing w:after="0"/>
              <w:rPr>
                <w:sz w:val="20"/>
                <w:szCs w:val="20"/>
                <w:color w:val="auto"/>
              </w:rPr>
            </w:pPr>
            <w:r>
              <w:rPr>
                <w:rFonts w:ascii="Arial" w:cs="Arial" w:eastAsia="Arial" w:hAnsi="Arial"/>
                <w:sz w:val="16"/>
                <w:szCs w:val="16"/>
                <w:color w:val="auto"/>
              </w:rPr>
              <w:t>36,589,304 in 2012 and 36,540,842 in 2011</w:t>
            </w:r>
          </w:p>
        </w:tc>
        <w:tc>
          <w:tcPr>
            <w:tcW w:w="19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37</w:t>
            </w:r>
          </w:p>
        </w:tc>
        <w:tc>
          <w:tcPr>
            <w:tcW w:w="2400" w:type="dxa"/>
            <w:vAlign w:val="bottom"/>
            <w:gridSpan w:val="2"/>
            <w:shd w:val="clear" w:color="auto" w:fill="BFBFBF"/>
          </w:tcPr>
          <w:p>
            <w:pPr>
              <w:jc w:val="right"/>
              <w:ind w:right="5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1"/>
        </w:trPr>
        <w:tc>
          <w:tcPr>
            <w:tcW w:w="7080" w:type="dxa"/>
            <w:vAlign w:val="bottom"/>
          </w:tcPr>
          <w:p>
            <w:pPr>
              <w:ind w:left="200"/>
              <w:spacing w:after="0"/>
              <w:rPr>
                <w:sz w:val="20"/>
                <w:szCs w:val="20"/>
                <w:color w:val="auto"/>
              </w:rPr>
            </w:pPr>
            <w:r>
              <w:rPr>
                <w:rFonts w:ascii="Arial" w:cs="Arial" w:eastAsia="Arial" w:hAnsi="Arial"/>
                <w:sz w:val="16"/>
                <w:szCs w:val="16"/>
                <w:color w:val="auto"/>
              </w:rPr>
              <w:t>Class B Common Stock, par value $.001 per share;</w:t>
            </w: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80" w:type="dxa"/>
            <w:vAlign w:val="bottom"/>
          </w:tcPr>
          <w:p>
            <w:pPr>
              <w:ind w:left="280"/>
              <w:spacing w:after="0"/>
              <w:rPr>
                <w:sz w:val="20"/>
                <w:szCs w:val="20"/>
                <w:color w:val="auto"/>
              </w:rPr>
            </w:pPr>
            <w:r>
              <w:rPr>
                <w:rFonts w:ascii="Arial" w:cs="Arial" w:eastAsia="Arial" w:hAnsi="Arial"/>
                <w:sz w:val="16"/>
                <w:szCs w:val="16"/>
                <w:color w:val="auto"/>
              </w:rPr>
              <w:t>authorized 25,000,000 shares; issued and</w:t>
            </w: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80" w:type="dxa"/>
            <w:vAlign w:val="bottom"/>
          </w:tcPr>
          <w:p>
            <w:pPr>
              <w:ind w:left="280"/>
              <w:spacing w:after="0"/>
              <w:rPr>
                <w:sz w:val="20"/>
                <w:szCs w:val="20"/>
                <w:color w:val="auto"/>
              </w:rPr>
            </w:pPr>
            <w:r>
              <w:rPr>
                <w:rFonts w:ascii="Arial" w:cs="Arial" w:eastAsia="Arial" w:hAnsi="Arial"/>
                <w:sz w:val="16"/>
                <w:szCs w:val="16"/>
                <w:color w:val="auto"/>
              </w:rPr>
              <w:t>outstanding 3,236,098 in 2012 and 2011</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00"/>
              <w:spacing w:after="0"/>
              <w:rPr>
                <w:sz w:val="20"/>
                <w:szCs w:val="20"/>
                <w:color w:val="auto"/>
              </w:rPr>
            </w:pPr>
            <w:r>
              <w:rPr>
                <w:rFonts w:ascii="Arial" w:cs="Arial" w:eastAsia="Arial" w:hAnsi="Arial"/>
                <w:sz w:val="16"/>
                <w:szCs w:val="16"/>
                <w:color w:val="auto"/>
              </w:rPr>
              <w:t>Additional paid in capital</w:t>
            </w:r>
          </w:p>
        </w:tc>
        <w:tc>
          <w:tcPr>
            <w:tcW w:w="19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392,187</w:t>
            </w:r>
          </w:p>
        </w:tc>
        <w:tc>
          <w:tcPr>
            <w:tcW w:w="2400" w:type="dxa"/>
            <w:vAlign w:val="bottom"/>
            <w:gridSpan w:val="2"/>
            <w:shd w:val="clear" w:color="auto" w:fill="BFBFBF"/>
          </w:tcPr>
          <w:p>
            <w:pPr>
              <w:jc w:val="right"/>
              <w:ind w:right="59"/>
              <w:spacing w:after="0"/>
              <w:rPr>
                <w:sz w:val="20"/>
                <w:szCs w:val="20"/>
                <w:color w:val="auto"/>
              </w:rPr>
            </w:pPr>
            <w:r>
              <w:rPr>
                <w:rFonts w:ascii="Arial" w:cs="Arial" w:eastAsia="Arial" w:hAnsi="Arial"/>
                <w:sz w:val="16"/>
                <w:szCs w:val="16"/>
                <w:color w:val="auto"/>
              </w:rPr>
              <w:t>391,495</w:t>
            </w:r>
          </w:p>
        </w:tc>
        <w:tc>
          <w:tcPr>
            <w:tcW w:w="0" w:type="dxa"/>
            <w:vAlign w:val="bottom"/>
          </w:tcPr>
          <w:p>
            <w:pPr>
              <w:spacing w:after="0"/>
              <w:rPr>
                <w:sz w:val="1"/>
                <w:szCs w:val="1"/>
                <w:color w:val="auto"/>
              </w:rPr>
            </w:pPr>
          </w:p>
        </w:tc>
      </w:tr>
      <w:tr>
        <w:trPr>
          <w:trHeight w:val="191"/>
        </w:trPr>
        <w:tc>
          <w:tcPr>
            <w:tcW w:w="708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426,880</w:t>
            </w:r>
          </w:p>
        </w:tc>
        <w:tc>
          <w:tcPr>
            <w:tcW w:w="2400" w:type="dxa"/>
            <w:vAlign w:val="bottom"/>
            <w:gridSpan w:val="2"/>
          </w:tcPr>
          <w:p>
            <w:pPr>
              <w:jc w:val="right"/>
              <w:ind w:right="59"/>
              <w:spacing w:after="0"/>
              <w:rPr>
                <w:sz w:val="20"/>
                <w:szCs w:val="20"/>
                <w:color w:val="auto"/>
              </w:rPr>
            </w:pPr>
            <w:r>
              <w:rPr>
                <w:rFonts w:ascii="Arial" w:cs="Arial" w:eastAsia="Arial" w:hAnsi="Arial"/>
                <w:sz w:val="16"/>
                <w:szCs w:val="16"/>
                <w:color w:val="auto"/>
              </w:rPr>
              <w:t>422,044</w:t>
            </w:r>
          </w:p>
        </w:tc>
        <w:tc>
          <w:tcPr>
            <w:tcW w:w="0" w:type="dxa"/>
            <w:vAlign w:val="bottom"/>
          </w:tcPr>
          <w:p>
            <w:pPr>
              <w:spacing w:after="0"/>
              <w:rPr>
                <w:sz w:val="1"/>
                <w:szCs w:val="1"/>
                <w:color w:val="auto"/>
              </w:rPr>
            </w:pPr>
          </w:p>
        </w:tc>
      </w:tr>
      <w:tr>
        <w:trPr>
          <w:trHeight w:val="187"/>
        </w:trPr>
        <w:tc>
          <w:tcPr>
            <w:tcW w:w="7080" w:type="dxa"/>
            <w:vAlign w:val="bottom"/>
          </w:tcPr>
          <w:p>
            <w:pPr>
              <w:ind w:left="200"/>
              <w:spacing w:after="0"/>
              <w:rPr>
                <w:sz w:val="20"/>
                <w:szCs w:val="20"/>
                <w:color w:val="auto"/>
              </w:rPr>
            </w:pPr>
            <w:r>
              <w:rPr>
                <w:rFonts w:ascii="Arial" w:cs="Arial" w:eastAsia="Arial" w:hAnsi="Arial"/>
                <w:sz w:val="16"/>
                <w:szCs w:val="16"/>
                <w:color w:val="auto"/>
              </w:rPr>
              <w:t>Accumulated items of other comprehensive income:</w:t>
            </w: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80"/>
              <w:spacing w:after="0"/>
              <w:rPr>
                <w:sz w:val="20"/>
                <w:szCs w:val="20"/>
                <w:color w:val="auto"/>
              </w:rPr>
            </w:pPr>
            <w:r>
              <w:rPr>
                <w:rFonts w:ascii="Arial" w:cs="Arial" w:eastAsia="Arial" w:hAnsi="Arial"/>
                <w:sz w:val="16"/>
                <w:szCs w:val="16"/>
                <w:color w:val="auto"/>
              </w:rPr>
              <w:t>Translation adjustments</w:t>
            </w:r>
          </w:p>
        </w:tc>
        <w:tc>
          <w:tcPr>
            <w:tcW w:w="19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(28,715)</w:t>
            </w:r>
          </w:p>
        </w:tc>
        <w:tc>
          <w:tcPr>
            <w:tcW w:w="2400" w:type="dxa"/>
            <w:vAlign w:val="bottom"/>
            <w:gridSpan w:val="2"/>
            <w:shd w:val="clear" w:color="auto" w:fill="BFBFBF"/>
          </w:tcPr>
          <w:p>
            <w:pPr>
              <w:jc w:val="right"/>
              <w:ind w:right="19"/>
              <w:spacing w:after="0"/>
              <w:rPr>
                <w:sz w:val="20"/>
                <w:szCs w:val="20"/>
                <w:color w:val="auto"/>
              </w:rPr>
            </w:pPr>
            <w:r>
              <w:rPr>
                <w:rFonts w:ascii="Arial" w:cs="Arial" w:eastAsia="Arial" w:hAnsi="Arial"/>
                <w:sz w:val="16"/>
                <w:szCs w:val="16"/>
                <w:color w:val="auto"/>
              </w:rPr>
              <w:t>(19,111)</w:t>
            </w:r>
          </w:p>
        </w:tc>
        <w:tc>
          <w:tcPr>
            <w:tcW w:w="0" w:type="dxa"/>
            <w:vAlign w:val="bottom"/>
          </w:tcPr>
          <w:p>
            <w:pPr>
              <w:spacing w:after="0"/>
              <w:rPr>
                <w:sz w:val="1"/>
                <w:szCs w:val="1"/>
                <w:color w:val="auto"/>
              </w:rPr>
            </w:pPr>
          </w:p>
        </w:tc>
      </w:tr>
      <w:tr>
        <w:trPr>
          <w:trHeight w:val="189"/>
        </w:trPr>
        <w:tc>
          <w:tcPr>
            <w:tcW w:w="7080" w:type="dxa"/>
            <w:vAlign w:val="bottom"/>
          </w:tcPr>
          <w:p>
            <w:pPr>
              <w:ind w:left="280"/>
              <w:spacing w:after="0"/>
              <w:rPr>
                <w:sz w:val="20"/>
                <w:szCs w:val="20"/>
                <w:color w:val="auto"/>
              </w:rPr>
            </w:pPr>
            <w:r>
              <w:rPr>
                <w:rFonts w:ascii="Arial" w:cs="Arial" w:eastAsia="Arial" w:hAnsi="Arial"/>
                <w:sz w:val="16"/>
                <w:szCs w:val="16"/>
                <w:color w:val="auto"/>
              </w:rPr>
              <w:t>Pension and postretirement liability adjustments</w:t>
            </w:r>
          </w:p>
        </w:tc>
        <w:tc>
          <w:tcPr>
            <w:tcW w:w="1940" w:type="dxa"/>
            <w:vAlign w:val="bottom"/>
          </w:tcPr>
          <w:p>
            <w:pPr>
              <w:jc w:val="right"/>
              <w:spacing w:after="0"/>
              <w:rPr>
                <w:sz w:val="20"/>
                <w:szCs w:val="20"/>
                <w:color w:val="auto"/>
              </w:rPr>
            </w:pPr>
            <w:r>
              <w:rPr>
                <w:rFonts w:ascii="Arial" w:cs="Arial" w:eastAsia="Arial" w:hAnsi="Arial"/>
                <w:sz w:val="16"/>
                <w:szCs w:val="16"/>
                <w:color w:val="auto"/>
              </w:rPr>
              <w:t>(52,026)</w:t>
            </w:r>
          </w:p>
        </w:tc>
        <w:tc>
          <w:tcPr>
            <w:tcW w:w="2400" w:type="dxa"/>
            <w:vAlign w:val="bottom"/>
            <w:gridSpan w:val="2"/>
          </w:tcPr>
          <w:p>
            <w:pPr>
              <w:jc w:val="right"/>
              <w:ind w:right="19"/>
              <w:spacing w:after="0"/>
              <w:rPr>
                <w:sz w:val="20"/>
                <w:szCs w:val="20"/>
                <w:color w:val="auto"/>
              </w:rPr>
            </w:pPr>
            <w:r>
              <w:rPr>
                <w:rFonts w:ascii="Arial" w:cs="Arial" w:eastAsia="Arial" w:hAnsi="Arial"/>
                <w:sz w:val="16"/>
                <w:szCs w:val="16"/>
                <w:color w:val="auto"/>
              </w:rPr>
              <w:t>(118,104)</w:t>
            </w:r>
          </w:p>
        </w:tc>
        <w:tc>
          <w:tcPr>
            <w:tcW w:w="0" w:type="dxa"/>
            <w:vAlign w:val="bottom"/>
          </w:tcPr>
          <w:p>
            <w:pPr>
              <w:spacing w:after="0"/>
              <w:rPr>
                <w:sz w:val="1"/>
                <w:szCs w:val="1"/>
                <w:color w:val="auto"/>
              </w:rPr>
            </w:pPr>
          </w:p>
        </w:tc>
      </w:tr>
      <w:tr>
        <w:trPr>
          <w:trHeight w:val="189"/>
        </w:trPr>
        <w:tc>
          <w:tcPr>
            <w:tcW w:w="7080" w:type="dxa"/>
            <w:vAlign w:val="bottom"/>
            <w:shd w:val="clear" w:color="auto" w:fill="BFBFBF"/>
          </w:tcPr>
          <w:p>
            <w:pPr>
              <w:ind w:left="280"/>
              <w:spacing w:after="0"/>
              <w:rPr>
                <w:sz w:val="20"/>
                <w:szCs w:val="20"/>
                <w:color w:val="auto"/>
              </w:rPr>
            </w:pPr>
            <w:r>
              <w:rPr>
                <w:rFonts w:ascii="Arial" w:cs="Arial" w:eastAsia="Arial" w:hAnsi="Arial"/>
                <w:sz w:val="16"/>
                <w:szCs w:val="16"/>
                <w:color w:val="auto"/>
              </w:rPr>
              <w:t>Derivative valuation adjustment</w:t>
            </w:r>
          </w:p>
        </w:tc>
        <w:tc>
          <w:tcPr>
            <w:tcW w:w="19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(2,998)</w:t>
            </w:r>
          </w:p>
        </w:tc>
        <w:tc>
          <w:tcPr>
            <w:tcW w:w="2400" w:type="dxa"/>
            <w:vAlign w:val="bottom"/>
            <w:gridSpan w:val="2"/>
            <w:shd w:val="clear" w:color="auto" w:fill="BFBFBF"/>
          </w:tcPr>
          <w:p>
            <w:pPr>
              <w:jc w:val="right"/>
              <w:ind w:right="19"/>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191"/>
        </w:trPr>
        <w:tc>
          <w:tcPr>
            <w:tcW w:w="7080" w:type="dxa"/>
            <w:vAlign w:val="bottom"/>
          </w:tcPr>
          <w:p>
            <w:pPr>
              <w:ind w:left="200"/>
              <w:spacing w:after="0"/>
              <w:rPr>
                <w:sz w:val="20"/>
                <w:szCs w:val="20"/>
                <w:color w:val="auto"/>
              </w:rPr>
            </w:pPr>
            <w:r>
              <w:rPr>
                <w:rFonts w:ascii="Arial" w:cs="Arial" w:eastAsia="Arial" w:hAnsi="Arial"/>
                <w:sz w:val="16"/>
                <w:szCs w:val="16"/>
                <w:color w:val="auto"/>
              </w:rPr>
              <w:t>Treasury stock (Class A), at cost 8,467,873 shares</w:t>
            </w: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80" w:type="dxa"/>
            <w:vAlign w:val="bottom"/>
            <w:tcBorders>
              <w:bottom w:val="single" w:sz="8" w:color="BFBFBF"/>
            </w:tcBorders>
          </w:tcPr>
          <w:p>
            <w:pPr>
              <w:ind w:left="280"/>
              <w:spacing w:after="0"/>
              <w:rPr>
                <w:sz w:val="20"/>
                <w:szCs w:val="20"/>
                <w:color w:val="auto"/>
              </w:rPr>
            </w:pPr>
            <w:r>
              <w:rPr>
                <w:rFonts w:ascii="Arial" w:cs="Arial" w:eastAsia="Arial" w:hAnsi="Arial"/>
                <w:sz w:val="16"/>
                <w:szCs w:val="16"/>
                <w:color w:val="auto"/>
              </w:rPr>
              <w:t>in 2012, and 8,479,487 shares in 2011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(257,664)</w:t>
            </w:r>
          </w:p>
        </w:tc>
        <w:tc>
          <w:tcPr>
            <w:tcW w:w="340" w:type="dxa"/>
            <w:vAlign w:val="bottom"/>
            <w:tcBorders>
              <w:bottom w:val="single" w:sz="8" w:color="BFBFBF"/>
            </w:tcBorders>
          </w:tcPr>
          <w:p>
            <w:pPr>
              <w:spacing w:after="0"/>
              <w:rPr>
                <w:sz w:val="16"/>
                <w:szCs w:val="16"/>
                <w:color w:val="auto"/>
              </w:rPr>
            </w:pPr>
          </w:p>
        </w:tc>
        <w:tc>
          <w:tcPr>
            <w:tcW w:w="2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(257,920)</w:t>
            </w:r>
          </w:p>
        </w:tc>
        <w:tc>
          <w:tcPr>
            <w:tcW w:w="0" w:type="dxa"/>
            <w:vAlign w:val="bottom"/>
          </w:tcPr>
          <w:p>
            <w:pPr>
              <w:spacing w:after="0"/>
              <w:rPr>
                <w:sz w:val="1"/>
                <w:szCs w:val="1"/>
                <w:color w:val="auto"/>
              </w:rPr>
            </w:pPr>
          </w:p>
        </w:tc>
      </w:tr>
      <w:tr>
        <w:trPr>
          <w:trHeight w:val="183"/>
        </w:trPr>
        <w:tc>
          <w:tcPr>
            <w:tcW w:w="7080" w:type="dxa"/>
            <w:vAlign w:val="bottom"/>
            <w:shd w:val="clear" w:color="auto" w:fill="BFBFBF"/>
          </w:tcPr>
          <w:p>
            <w:pPr>
              <w:ind w:left="380"/>
              <w:spacing w:after="0" w:line="183" w:lineRule="exact"/>
              <w:rPr>
                <w:sz w:val="20"/>
                <w:szCs w:val="20"/>
                <w:color w:val="auto"/>
              </w:rPr>
            </w:pPr>
            <w:r>
              <w:rPr>
                <w:rFonts w:ascii="Arial" w:cs="Arial" w:eastAsia="Arial" w:hAnsi="Arial"/>
                <w:sz w:val="16"/>
                <w:szCs w:val="16"/>
                <w:color w:val="auto"/>
              </w:rPr>
              <w:t>Total shareholders' equity</w:t>
            </w:r>
          </w:p>
        </w:tc>
        <w:tc>
          <w:tcPr>
            <w:tcW w:w="1940" w:type="dxa"/>
            <w:vAlign w:val="bottom"/>
            <w:tcBorders>
              <w:bottom w:val="single" w:sz="8" w:color="auto"/>
            </w:tcBorders>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477,704</w:t>
            </w:r>
          </w:p>
        </w:tc>
        <w:tc>
          <w:tcPr>
            <w:tcW w:w="340" w:type="dxa"/>
            <w:vAlign w:val="bottom"/>
            <w:shd w:val="clear" w:color="auto" w:fill="BFBFBF"/>
          </w:tcPr>
          <w:p>
            <w:pPr>
              <w:spacing w:after="0"/>
              <w:rPr>
                <w:sz w:val="15"/>
                <w:szCs w:val="15"/>
                <w:color w:val="auto"/>
              </w:rPr>
            </w:pPr>
          </w:p>
        </w:tc>
        <w:tc>
          <w:tcPr>
            <w:tcW w:w="2060" w:type="dxa"/>
            <w:vAlign w:val="bottom"/>
            <w:tcBorders>
              <w:bottom w:val="single" w:sz="8" w:color="auto"/>
            </w:tcBorders>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415,850</w:t>
            </w:r>
          </w:p>
        </w:tc>
        <w:tc>
          <w:tcPr>
            <w:tcW w:w="0" w:type="dxa"/>
            <w:vAlign w:val="bottom"/>
          </w:tcPr>
          <w:p>
            <w:pPr>
              <w:spacing w:after="0"/>
              <w:rPr>
                <w:sz w:val="1"/>
                <w:szCs w:val="1"/>
                <w:color w:val="auto"/>
              </w:rPr>
            </w:pPr>
          </w:p>
        </w:tc>
      </w:tr>
      <w:tr>
        <w:trPr>
          <w:trHeight w:val="183"/>
        </w:trPr>
        <w:tc>
          <w:tcPr>
            <w:tcW w:w="7080" w:type="dxa"/>
            <w:vAlign w:val="bottom"/>
          </w:tcPr>
          <w:p>
            <w:pPr>
              <w:ind w:left="38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19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$1,137,222</w:t>
            </w:r>
          </w:p>
        </w:tc>
        <w:tc>
          <w:tcPr>
            <w:tcW w:w="240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$1,230,928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gridSpan w:val="3"/>
          </w:tcPr>
          <w:p>
            <w:pPr>
              <w:jc w:val="center"/>
              <w:ind w:left="708"/>
              <w:spacing w:after="0"/>
              <w:rPr>
                <w:sz w:val="20"/>
                <w:szCs w:val="20"/>
                <w:color w:val="auto"/>
              </w:rPr>
            </w:pPr>
            <w:r>
              <w:rPr>
                <w:rFonts w:ascii="Arial" w:cs="Arial" w:eastAsia="Arial" w:hAnsi="Arial"/>
                <w:sz w:val="14"/>
                <w:szCs w:val="14"/>
                <w:color w:val="auto"/>
              </w:rPr>
              <w:t>Three Months Ended</w:t>
            </w:r>
          </w:p>
        </w:tc>
        <w:tc>
          <w:tcPr>
            <w:tcW w:w="7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color w:val="auto"/>
              </w:rPr>
              <w:t>Six Months Ended</w:t>
            </w:r>
          </w:p>
        </w:tc>
      </w:tr>
      <w:tr>
        <w:trPr>
          <w:trHeight w:val="243"/>
        </w:trPr>
        <w:tc>
          <w:tcPr>
            <w:tcW w:w="1100" w:type="dxa"/>
            <w:vAlign w:val="bottom"/>
          </w:tcPr>
          <w:p>
            <w:pPr>
              <w:spacing w:after="0"/>
              <w:rPr>
                <w:sz w:val="21"/>
                <w:szCs w:val="21"/>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color w:val="auto"/>
              </w:rPr>
              <w:t>June 30,</w:t>
            </w:r>
          </w:p>
        </w:tc>
        <w:tc>
          <w:tcPr>
            <w:tcW w:w="78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480" w:type="dxa"/>
            <w:vAlign w:val="bottom"/>
            <w:gridSpan w:val="2"/>
          </w:tcPr>
          <w:p>
            <w:pPr>
              <w:jc w:val="center"/>
              <w:ind w:left="848"/>
              <w:spacing w:after="0"/>
              <w:rPr>
                <w:sz w:val="20"/>
                <w:szCs w:val="20"/>
                <w:color w:val="auto"/>
              </w:rPr>
            </w:pPr>
            <w:r>
              <w:rPr>
                <w:rFonts w:ascii="Arial" w:cs="Arial" w:eastAsia="Arial" w:hAnsi="Arial"/>
                <w:sz w:val="14"/>
                <w:szCs w:val="14"/>
                <w:color w:val="auto"/>
              </w:rPr>
              <w:t>June 30,</w:t>
            </w:r>
          </w:p>
        </w:tc>
        <w:tc>
          <w:tcPr>
            <w:tcW w:w="920" w:type="dxa"/>
            <w:vAlign w:val="bottom"/>
          </w:tcPr>
          <w:p>
            <w:pPr>
              <w:spacing w:after="0"/>
              <w:rPr>
                <w:sz w:val="21"/>
                <w:szCs w:val="21"/>
                <w:color w:val="auto"/>
              </w:rPr>
            </w:pPr>
          </w:p>
        </w:tc>
      </w:tr>
      <w:tr>
        <w:trPr>
          <w:trHeight w:val="471"/>
        </w:trPr>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c>
          <w:tcPr>
            <w:tcW w:w="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6040" w:type="dxa"/>
            <w:vAlign w:val="bottom"/>
          </w:tcPr>
          <w:p>
            <w:pPr>
              <w:spacing w:after="0"/>
              <w:rPr>
                <w:sz w:val="24"/>
                <w:szCs w:val="24"/>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c>
          <w:tcPr>
            <w:tcW w:w="26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2011</w:t>
            </w:r>
          </w:p>
        </w:tc>
      </w:tr>
      <w:tr>
        <w:trPr>
          <w:trHeight w:val="237"/>
        </w:trPr>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4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62"/>
        </w:trPr>
        <w:tc>
          <w:tcPr>
            <w:tcW w:w="11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($33,745)</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$8,762</w:t>
            </w:r>
          </w:p>
        </w:tc>
        <w:tc>
          <w:tcPr>
            <w:tcW w:w="6040" w:type="dxa"/>
            <w:vAlign w:val="bottom"/>
            <w:shd w:val="clear" w:color="auto" w:fill="BFBFBF"/>
          </w:tcPr>
          <w:p>
            <w:pPr>
              <w:ind w:left="100"/>
              <w:spacing w:after="0"/>
              <w:rPr>
                <w:sz w:val="20"/>
                <w:szCs w:val="20"/>
                <w:color w:val="auto"/>
              </w:rPr>
            </w:pPr>
            <w:r>
              <w:rPr>
                <w:rFonts w:ascii="Arial" w:cs="Arial" w:eastAsia="Arial" w:hAnsi="Arial"/>
                <w:sz w:val="14"/>
                <w:szCs w:val="14"/>
                <w:color w:val="auto"/>
              </w:rPr>
              <w:t>Net (loss)/income</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$13,296</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$25,495</w:t>
            </w:r>
          </w:p>
        </w:tc>
      </w:tr>
      <w:tr>
        <w:trPr>
          <w:trHeight w:val="243"/>
        </w:trPr>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40" w:type="dxa"/>
            <w:vAlign w:val="bottom"/>
          </w:tcPr>
          <w:p>
            <w:pPr>
              <w:ind w:left="100"/>
              <w:spacing w:after="0"/>
              <w:rPr>
                <w:sz w:val="20"/>
                <w:szCs w:val="20"/>
                <w:color w:val="auto"/>
              </w:rPr>
            </w:pPr>
            <w:r>
              <w:rPr>
                <w:rFonts w:ascii="Arial" w:cs="Arial" w:eastAsia="Arial" w:hAnsi="Arial"/>
                <w:sz w:val="14"/>
                <w:szCs w:val="14"/>
                <w:color w:val="auto"/>
              </w:rPr>
              <w:t>Adjustments to reconcile net (loss)/income to net cash provided by operating activities:</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14,340</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14,393</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Depreciation</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28,685</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28,526</w:t>
            </w:r>
          </w:p>
        </w:tc>
      </w:tr>
      <w:tr>
        <w:trPr>
          <w:trHeight w:val="243"/>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1,767</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2,312</w:t>
            </w:r>
          </w:p>
        </w:tc>
        <w:tc>
          <w:tcPr>
            <w:tcW w:w="6040" w:type="dxa"/>
            <w:vAlign w:val="bottom"/>
          </w:tcPr>
          <w:p>
            <w:pPr>
              <w:ind w:left="160"/>
              <w:spacing w:after="0"/>
              <w:rPr>
                <w:sz w:val="20"/>
                <w:szCs w:val="20"/>
                <w:color w:val="auto"/>
              </w:rPr>
            </w:pPr>
            <w:r>
              <w:rPr>
                <w:rFonts w:ascii="Arial" w:cs="Arial" w:eastAsia="Arial" w:hAnsi="Arial"/>
                <w:sz w:val="14"/>
                <w:szCs w:val="14"/>
                <w:color w:val="auto"/>
              </w:rPr>
              <w:t>Amortization</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3,553</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4,489</w:t>
            </w: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209</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181</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Noncash interest expense</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614</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377</w:t>
            </w:r>
          </w:p>
        </w:tc>
      </w:tr>
      <w:tr>
        <w:trPr>
          <w:trHeight w:val="243"/>
        </w:trPr>
        <w:tc>
          <w:tcPr>
            <w:tcW w:w="1100" w:type="dxa"/>
            <w:vAlign w:val="bottom"/>
          </w:tcPr>
          <w:p>
            <w:pPr>
              <w:jc w:val="right"/>
              <w:ind w:right="28"/>
              <w:spacing w:after="0"/>
              <w:rPr>
                <w:sz w:val="20"/>
                <w:szCs w:val="20"/>
                <w:color w:val="auto"/>
              </w:rPr>
            </w:pPr>
            <w:r>
              <w:rPr>
                <w:rFonts w:ascii="Arial" w:cs="Arial" w:eastAsia="Arial" w:hAnsi="Arial"/>
                <w:sz w:val="14"/>
                <w:szCs w:val="14"/>
                <w:color w:val="auto"/>
              </w:rPr>
              <w:t>(57,293)</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2,189</w:t>
            </w:r>
          </w:p>
        </w:tc>
        <w:tc>
          <w:tcPr>
            <w:tcW w:w="6040" w:type="dxa"/>
            <w:vAlign w:val="bottom"/>
          </w:tcPr>
          <w:p>
            <w:pPr>
              <w:ind w:left="160"/>
              <w:spacing w:after="0"/>
              <w:rPr>
                <w:sz w:val="20"/>
                <w:szCs w:val="20"/>
                <w:color w:val="auto"/>
              </w:rPr>
            </w:pPr>
            <w:r>
              <w:rPr>
                <w:rFonts w:ascii="Arial" w:cs="Arial" w:eastAsia="Arial" w:hAnsi="Arial"/>
                <w:sz w:val="14"/>
                <w:szCs w:val="14"/>
                <w:color w:val="auto"/>
              </w:rPr>
              <w:t>Change in long-term liabilities, deferred taxes and other credits</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(117,852)</w:t>
            </w:r>
          </w:p>
        </w:tc>
        <w:tc>
          <w:tcPr>
            <w:tcW w:w="2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677</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23</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Provision for write-off of property, plant and equipment</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200</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64</w:t>
            </w:r>
          </w:p>
        </w:tc>
      </w:tr>
      <w:tr>
        <w:trPr>
          <w:trHeight w:val="243"/>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110,197</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40" w:type="dxa"/>
            <w:vAlign w:val="bottom"/>
          </w:tcPr>
          <w:p>
            <w:pPr>
              <w:ind w:left="160"/>
              <w:spacing w:after="0"/>
              <w:rPr>
                <w:sz w:val="20"/>
                <w:szCs w:val="20"/>
                <w:color w:val="auto"/>
              </w:rPr>
            </w:pPr>
            <w:r>
              <w:rPr>
                <w:rFonts w:ascii="Arial" w:cs="Arial" w:eastAsia="Arial" w:hAnsi="Arial"/>
                <w:sz w:val="14"/>
                <w:szCs w:val="14"/>
                <w:color w:val="auto"/>
              </w:rPr>
              <w:t>Write-off of pension liability adjustment due to settlement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118,350</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11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(34,709)</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(594)</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(Gain) on disposition of assets</w:t>
            </w:r>
          </w:p>
        </w:tc>
        <w:tc>
          <w:tcPr>
            <w:tcW w:w="12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(92,677)</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(1,022)</w:t>
            </w:r>
          </w:p>
        </w:tc>
      </w:tr>
      <w:tr>
        <w:trPr>
          <w:trHeight w:val="243"/>
        </w:trPr>
        <w:tc>
          <w:tcPr>
            <w:tcW w:w="11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6040" w:type="dxa"/>
            <w:vAlign w:val="bottom"/>
          </w:tcPr>
          <w:p>
            <w:pPr>
              <w:ind w:left="160"/>
              <w:spacing w:after="0"/>
              <w:rPr>
                <w:sz w:val="20"/>
                <w:szCs w:val="20"/>
                <w:color w:val="auto"/>
              </w:rPr>
            </w:pPr>
            <w:r>
              <w:rPr>
                <w:rFonts w:ascii="Arial" w:cs="Arial" w:eastAsia="Arial" w:hAnsi="Arial"/>
                <w:sz w:val="14"/>
                <w:szCs w:val="14"/>
                <w:color w:val="auto"/>
              </w:rPr>
              <w:t>Excess tax benefit of options exercised</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566</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950</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1,403</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1,290</w:t>
            </w:r>
          </w:p>
        </w:tc>
      </w:tr>
      <w:tr>
        <w:trPr>
          <w:trHeight w:val="486"/>
        </w:trPr>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4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 net of business acquisitions and divestitures: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2"/>
        </w:trPr>
        <w:tc>
          <w:tcPr>
            <w:tcW w:w="11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(13,893)</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5,049</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Accounts receivable</w:t>
            </w:r>
          </w:p>
        </w:tc>
        <w:tc>
          <w:tcPr>
            <w:tcW w:w="12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(10,525)</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6,905</w:t>
            </w:r>
          </w:p>
        </w:tc>
      </w:tr>
      <w:tr>
        <w:trPr>
          <w:trHeight w:val="243"/>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3,783</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(8,940)</w:t>
            </w:r>
          </w:p>
        </w:tc>
        <w:tc>
          <w:tcPr>
            <w:tcW w:w="604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2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(17,312)</w:t>
            </w: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619</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797</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2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(997)</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(2,473)</w:t>
            </w:r>
          </w:p>
        </w:tc>
      </w:tr>
      <w:tr>
        <w:trPr>
          <w:trHeight w:val="243"/>
        </w:trPr>
        <w:tc>
          <w:tcPr>
            <w:tcW w:w="1100" w:type="dxa"/>
            <w:vAlign w:val="bottom"/>
          </w:tcPr>
          <w:p>
            <w:pPr>
              <w:jc w:val="right"/>
              <w:ind w:right="28"/>
              <w:spacing w:after="0"/>
              <w:rPr>
                <w:sz w:val="20"/>
                <w:szCs w:val="20"/>
                <w:color w:val="auto"/>
              </w:rPr>
            </w:pPr>
            <w:r>
              <w:rPr>
                <w:rFonts w:ascii="Arial" w:cs="Arial" w:eastAsia="Arial" w:hAnsi="Arial"/>
                <w:sz w:val="14"/>
                <w:szCs w:val="14"/>
                <w:color w:val="auto"/>
              </w:rPr>
              <w:t>(6,199)</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1,654</w:t>
            </w:r>
          </w:p>
        </w:tc>
        <w:tc>
          <w:tcPr>
            <w:tcW w:w="604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3,902</w:t>
            </w: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9,179</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1,343</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Accrued liabilities</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7,364</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(4,090)</w:t>
            </w:r>
          </w:p>
        </w:tc>
      </w:tr>
      <w:tr>
        <w:trPr>
          <w:trHeight w:val="243"/>
        </w:trPr>
        <w:tc>
          <w:tcPr>
            <w:tcW w:w="1100" w:type="dxa"/>
            <w:vAlign w:val="bottom"/>
          </w:tcPr>
          <w:p>
            <w:pPr>
              <w:jc w:val="right"/>
              <w:ind w:right="28"/>
              <w:spacing w:after="0"/>
              <w:rPr>
                <w:sz w:val="20"/>
                <w:szCs w:val="20"/>
                <w:color w:val="auto"/>
              </w:rPr>
            </w:pPr>
            <w:r>
              <w:rPr>
                <w:rFonts w:ascii="Arial" w:cs="Arial" w:eastAsia="Arial" w:hAnsi="Arial"/>
                <w:sz w:val="14"/>
                <w:szCs w:val="14"/>
                <w:color w:val="auto"/>
              </w:rPr>
              <w:t>(4,486)</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1,161</w:t>
            </w:r>
          </w:p>
        </w:tc>
        <w:tc>
          <w:tcPr>
            <w:tcW w:w="6040" w:type="dxa"/>
            <w:vAlign w:val="bottom"/>
          </w:tcPr>
          <w:p>
            <w:pPr>
              <w:ind w:left="160"/>
              <w:spacing w:after="0"/>
              <w:rPr>
                <w:sz w:val="20"/>
                <w:szCs w:val="20"/>
                <w:color w:val="auto"/>
              </w:rPr>
            </w:pPr>
            <w:r>
              <w:rPr>
                <w:rFonts w:ascii="Arial" w:cs="Arial" w:eastAsia="Arial" w:hAnsi="Arial"/>
                <w:sz w:val="14"/>
                <w:szCs w:val="14"/>
                <w:color w:val="auto"/>
              </w:rPr>
              <w:t>Income taxes payable</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(2,530)</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4,859</w:t>
            </w:r>
          </w:p>
        </w:tc>
      </w:tr>
      <w:tr>
        <w:trPr>
          <w:trHeight w:val="162"/>
        </w:trPr>
        <w:tc>
          <w:tcPr>
            <w:tcW w:w="1100" w:type="dxa"/>
            <w:vAlign w:val="bottom"/>
            <w:tcBorders>
              <w:bottom w:val="single" w:sz="8" w:color="auto"/>
            </w:tcBorders>
            <w:shd w:val="clear" w:color="auto" w:fill="BFBFBF"/>
          </w:tcPr>
          <w:p>
            <w:pPr>
              <w:jc w:val="right"/>
              <w:ind w:right="28"/>
              <w:spacing w:after="0"/>
              <w:rPr>
                <w:sz w:val="20"/>
                <w:szCs w:val="20"/>
                <w:color w:val="auto"/>
              </w:rPr>
            </w:pPr>
            <w:r>
              <w:rPr>
                <w:rFonts w:ascii="Arial" w:cs="Arial" w:eastAsia="Arial" w:hAnsi="Arial"/>
                <w:sz w:val="14"/>
                <w:szCs w:val="14"/>
                <w:color w:val="auto"/>
              </w:rPr>
              <w:t>(1,784)</w:t>
            </w:r>
          </w:p>
        </w:tc>
        <w:tc>
          <w:tcPr>
            <w:tcW w:w="760" w:type="dxa"/>
            <w:vAlign w:val="bottom"/>
            <w:shd w:val="clear" w:color="auto" w:fill="BFBFBF"/>
          </w:tcPr>
          <w:p>
            <w:pPr>
              <w:spacing w:after="0"/>
              <w:rPr>
                <w:sz w:val="14"/>
                <w:szCs w:val="14"/>
                <w:color w:val="auto"/>
              </w:rPr>
            </w:pPr>
          </w:p>
        </w:tc>
        <w:tc>
          <w:tcPr>
            <w:tcW w:w="340" w:type="dxa"/>
            <w:vAlign w:val="bottom"/>
            <w:tcBorders>
              <w:bottom w:val="single" w:sz="8" w:color="auto"/>
            </w:tcBorders>
            <w:shd w:val="clear" w:color="auto" w:fill="BFBFBF"/>
          </w:tcPr>
          <w:p>
            <w:pPr>
              <w:spacing w:after="0"/>
              <w:rPr>
                <w:sz w:val="14"/>
                <w:szCs w:val="14"/>
                <w:color w:val="auto"/>
              </w:rPr>
            </w:pPr>
          </w:p>
        </w:tc>
        <w:tc>
          <w:tcPr>
            <w:tcW w:w="780" w:type="dxa"/>
            <w:vAlign w:val="bottom"/>
            <w:tcBorders>
              <w:bottom w:val="single" w:sz="8" w:color="auto"/>
            </w:tcBorders>
            <w:shd w:val="clear" w:color="auto" w:fill="BFBFBF"/>
          </w:tcPr>
          <w:p>
            <w:pPr>
              <w:jc w:val="right"/>
              <w:ind w:right="68"/>
              <w:spacing w:after="0"/>
              <w:rPr>
                <w:sz w:val="20"/>
                <w:szCs w:val="20"/>
                <w:color w:val="auto"/>
              </w:rPr>
            </w:pPr>
            <w:r>
              <w:rPr>
                <w:rFonts w:ascii="Arial" w:cs="Arial" w:eastAsia="Arial" w:hAnsi="Arial"/>
                <w:sz w:val="14"/>
                <w:szCs w:val="14"/>
                <w:color w:val="auto"/>
              </w:rPr>
              <w:t>1,491</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Other, net</w:t>
            </w:r>
          </w:p>
        </w:tc>
        <w:tc>
          <w:tcPr>
            <w:tcW w:w="1220" w:type="dxa"/>
            <w:vAlign w:val="bottom"/>
            <w:tcBorders>
              <w:bottom w:val="single" w:sz="8" w:color="auto"/>
            </w:tcBorders>
            <w:shd w:val="clear" w:color="auto" w:fill="BFBFBF"/>
          </w:tcPr>
          <w:p>
            <w:pPr>
              <w:jc w:val="right"/>
              <w:ind w:right="28"/>
              <w:spacing w:after="0"/>
              <w:rPr>
                <w:sz w:val="20"/>
                <w:szCs w:val="20"/>
                <w:color w:val="auto"/>
              </w:rPr>
            </w:pPr>
            <w:r>
              <w:rPr>
                <w:rFonts w:ascii="Arial" w:cs="Arial" w:eastAsia="Arial" w:hAnsi="Arial"/>
                <w:sz w:val="14"/>
                <w:szCs w:val="14"/>
                <w:color w:val="auto"/>
              </w:rPr>
              <w:t>(2,167)</w:t>
            </w:r>
          </w:p>
        </w:tc>
        <w:tc>
          <w:tcPr>
            <w:tcW w:w="260" w:type="dxa"/>
            <w:vAlign w:val="bottom"/>
            <w:shd w:val="clear" w:color="auto" w:fill="BFBFBF"/>
          </w:tcPr>
          <w:p>
            <w:pPr>
              <w:spacing w:after="0"/>
              <w:rPr>
                <w:sz w:val="14"/>
                <w:szCs w:val="14"/>
                <w:color w:val="auto"/>
              </w:rPr>
            </w:pPr>
          </w:p>
        </w:tc>
        <w:tc>
          <w:tcPr>
            <w:tcW w:w="920" w:type="dxa"/>
            <w:vAlign w:val="bottom"/>
            <w:tcBorders>
              <w:bottom w:val="single" w:sz="8" w:color="auto"/>
            </w:tcBorders>
            <w:shd w:val="clear" w:color="auto" w:fill="BFBFBF"/>
          </w:tcPr>
          <w:p>
            <w:pPr>
              <w:jc w:val="right"/>
              <w:ind w:right="68"/>
              <w:spacing w:after="0"/>
              <w:rPr>
                <w:sz w:val="20"/>
                <w:szCs w:val="20"/>
                <w:color w:val="auto"/>
              </w:rPr>
            </w:pPr>
            <w:r>
              <w:rPr>
                <w:rFonts w:ascii="Arial" w:cs="Arial" w:eastAsia="Arial" w:hAnsi="Arial"/>
                <w:sz w:val="14"/>
                <w:szCs w:val="14"/>
                <w:color w:val="auto"/>
              </w:rPr>
              <w:t>847</w:t>
            </w:r>
          </w:p>
        </w:tc>
      </w:tr>
      <w:tr>
        <w:trPr>
          <w:trHeight w:val="223"/>
        </w:trPr>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(10,780)</w:t>
            </w:r>
          </w:p>
        </w:tc>
        <w:tc>
          <w:tcPr>
            <w:tcW w:w="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30,750</w:t>
            </w:r>
          </w:p>
        </w:tc>
        <w:tc>
          <w:tcPr>
            <w:tcW w:w="6040" w:type="dxa"/>
            <w:vAlign w:val="bottom"/>
          </w:tcPr>
          <w:p>
            <w:pPr>
              <w:ind w:left="160"/>
              <w:spacing w:after="0"/>
              <w:rPr>
                <w:sz w:val="20"/>
                <w:szCs w:val="20"/>
                <w:color w:val="auto"/>
              </w:rPr>
            </w:pPr>
            <w:r>
              <w:rPr>
                <w:rFonts w:ascii="Arial" w:cs="Arial" w:eastAsia="Arial" w:hAnsi="Arial"/>
                <w:sz w:val="14"/>
                <w:szCs w:val="14"/>
                <w:color w:val="auto"/>
              </w:rPr>
              <w:t>Net cash (used in)/provided by operating activities</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(53,448)</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51,798</w:t>
            </w:r>
          </w:p>
        </w:tc>
      </w:tr>
      <w:tr>
        <w:trPr>
          <w:trHeight w:val="480"/>
        </w:trPr>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40" w:type="dxa"/>
            <w:vAlign w:val="bottom"/>
          </w:tcPr>
          <w:p>
            <w:pPr>
              <w:ind w:left="100"/>
              <w:spacing w:after="0"/>
              <w:rPr>
                <w:sz w:val="20"/>
                <w:szCs w:val="20"/>
                <w:color w:val="auto"/>
              </w:rPr>
            </w:pPr>
            <w:r>
              <w:rPr>
                <w:rFonts w:ascii="Arial" w:cs="Arial" w:eastAsia="Arial" w:hAnsi="Arial"/>
                <w:sz w:val="14"/>
                <w:szCs w:val="14"/>
                <w:color w:val="auto"/>
              </w:rPr>
              <w:t>INVESTING ACTIVITIES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2"/>
        </w:trPr>
        <w:tc>
          <w:tcPr>
            <w:tcW w:w="11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(9,881)</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(8,975)</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Purchases of property, plant and equipment</w:t>
            </w:r>
          </w:p>
        </w:tc>
        <w:tc>
          <w:tcPr>
            <w:tcW w:w="12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(14,190)</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(13,894)</w:t>
            </w:r>
          </w:p>
        </w:tc>
      </w:tr>
      <w:tr>
        <w:trPr>
          <w:trHeight w:val="243"/>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(705)</w:t>
            </w:r>
          </w:p>
        </w:tc>
        <w:tc>
          <w:tcPr>
            <w:tcW w:w="6040" w:type="dxa"/>
            <w:vAlign w:val="bottom"/>
          </w:tcPr>
          <w:p>
            <w:pPr>
              <w:ind w:left="160"/>
              <w:spacing w:after="0"/>
              <w:rPr>
                <w:sz w:val="20"/>
                <w:szCs w:val="20"/>
                <w:color w:val="auto"/>
              </w:rPr>
            </w:pPr>
            <w:r>
              <w:rPr>
                <w:rFonts w:ascii="Arial" w:cs="Arial" w:eastAsia="Arial" w:hAnsi="Arial"/>
                <w:sz w:val="14"/>
                <w:szCs w:val="14"/>
                <w:color w:val="auto"/>
              </w:rPr>
              <w:t>Purchased software</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(1,752)</w:t>
            </w:r>
          </w:p>
        </w:tc>
      </w:tr>
      <w:tr>
        <w:trPr>
          <w:trHeight w:val="162"/>
        </w:trPr>
        <w:tc>
          <w:tcPr>
            <w:tcW w:w="1100" w:type="dxa"/>
            <w:vAlign w:val="bottom"/>
            <w:shd w:val="clear" w:color="auto" w:fill="BFBFB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1,159</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Proceeds from sale of assets</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2,860</w:t>
            </w:r>
          </w:p>
        </w:tc>
      </w:tr>
      <w:tr>
        <w:trPr>
          <w:trHeight w:val="243"/>
        </w:trPr>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38,081</w:t>
            </w:r>
          </w:p>
        </w:tc>
        <w:tc>
          <w:tcPr>
            <w:tcW w:w="760" w:type="dxa"/>
            <w:vAlign w:val="bottom"/>
            <w:tcBorders>
              <w:bottom w:val="single" w:sz="8" w:color="BFBFB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40" w:type="dxa"/>
            <w:vAlign w:val="bottom"/>
            <w:tcBorders>
              <w:bottom w:val="single" w:sz="8" w:color="BFBFBF"/>
            </w:tcBorders>
          </w:tcPr>
          <w:p>
            <w:pPr>
              <w:ind w:left="160"/>
              <w:spacing w:after="0"/>
              <w:rPr>
                <w:sz w:val="20"/>
                <w:szCs w:val="20"/>
                <w:color w:val="auto"/>
              </w:rPr>
            </w:pPr>
            <w:r>
              <w:rPr>
                <w:rFonts w:ascii="Arial" w:cs="Arial" w:eastAsia="Arial" w:hAnsi="Arial"/>
                <w:sz w:val="14"/>
                <w:szCs w:val="14"/>
                <w:color w:val="auto"/>
              </w:rPr>
              <w:t>Proceeds from sale of discontinued operations</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150,654</w:t>
            </w:r>
          </w:p>
        </w:tc>
        <w:tc>
          <w:tcPr>
            <w:tcW w:w="260" w:type="dxa"/>
            <w:vAlign w:val="bottom"/>
            <w:tcBorders>
              <w:bottom w:val="single" w:sz="8" w:color="BFBFBF"/>
            </w:tcBorders>
          </w:tcPr>
          <w:p>
            <w:pPr>
              <w:spacing w:after="0"/>
              <w:rPr>
                <w:sz w:val="21"/>
                <w:szCs w:val="21"/>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156"/>
        </w:trPr>
        <w:tc>
          <w:tcPr>
            <w:tcW w:w="1100" w:type="dxa"/>
            <w:vAlign w:val="bottom"/>
            <w:tcBorders>
              <w:bottom w:val="single" w:sz="8" w:color="auto"/>
            </w:tcBorders>
            <w:shd w:val="clear" w:color="auto" w:fill="BFBFBF"/>
          </w:tcPr>
          <w:p>
            <w:pPr>
              <w:jc w:val="right"/>
              <w:ind w:right="68"/>
              <w:spacing w:after="0" w:line="155" w:lineRule="exact"/>
              <w:rPr>
                <w:sz w:val="20"/>
                <w:szCs w:val="20"/>
                <w:color w:val="auto"/>
              </w:rPr>
            </w:pPr>
            <w:r>
              <w:rPr>
                <w:rFonts w:ascii="Arial" w:cs="Arial" w:eastAsia="Arial" w:hAnsi="Arial"/>
                <w:sz w:val="14"/>
                <w:szCs w:val="14"/>
                <w:color w:val="auto"/>
              </w:rPr>
              <w:t>28,222</w:t>
            </w:r>
          </w:p>
        </w:tc>
        <w:tc>
          <w:tcPr>
            <w:tcW w:w="76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78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(8,521)</w:t>
            </w:r>
          </w:p>
        </w:tc>
        <w:tc>
          <w:tcPr>
            <w:tcW w:w="6040" w:type="dxa"/>
            <w:vAlign w:val="bottom"/>
            <w:shd w:val="clear" w:color="auto" w:fill="BFBFBF"/>
          </w:tcPr>
          <w:p>
            <w:pPr>
              <w:ind w:left="160"/>
              <w:spacing w:after="0" w:line="155" w:lineRule="exact"/>
              <w:rPr>
                <w:sz w:val="20"/>
                <w:szCs w:val="20"/>
                <w:color w:val="auto"/>
              </w:rPr>
            </w:pPr>
            <w:r>
              <w:rPr>
                <w:rFonts w:ascii="Arial" w:cs="Arial" w:eastAsia="Arial" w:hAnsi="Arial"/>
                <w:sz w:val="14"/>
                <w:szCs w:val="14"/>
                <w:color w:val="auto"/>
              </w:rPr>
              <w:t>Net cash provided by/(used in) investing activities</w:t>
            </w:r>
          </w:p>
        </w:tc>
        <w:tc>
          <w:tcPr>
            <w:tcW w:w="1220" w:type="dxa"/>
            <w:vAlign w:val="bottom"/>
            <w:tcBorders>
              <w:bottom w:val="single" w:sz="8" w:color="auto"/>
            </w:tcBorders>
            <w:shd w:val="clear" w:color="auto" w:fill="BFBFBF"/>
          </w:tcPr>
          <w:p>
            <w:pPr>
              <w:jc w:val="right"/>
              <w:ind w:right="68"/>
              <w:spacing w:after="0" w:line="155" w:lineRule="exact"/>
              <w:rPr>
                <w:sz w:val="20"/>
                <w:szCs w:val="20"/>
                <w:color w:val="auto"/>
              </w:rPr>
            </w:pPr>
            <w:r>
              <w:rPr>
                <w:rFonts w:ascii="Arial" w:cs="Arial" w:eastAsia="Arial" w:hAnsi="Arial"/>
                <w:sz w:val="14"/>
                <w:szCs w:val="14"/>
                <w:color w:val="auto"/>
              </w:rPr>
              <w:t>136,456</w:t>
            </w:r>
          </w:p>
        </w:tc>
        <w:tc>
          <w:tcPr>
            <w:tcW w:w="260" w:type="dxa"/>
            <w:vAlign w:val="bottom"/>
            <w:tcBorders>
              <w:bottom w:val="single" w:sz="8" w:color="auto"/>
            </w:tcBorders>
            <w:shd w:val="clear" w:color="auto" w:fill="BFBFBF"/>
          </w:tcPr>
          <w:p>
            <w:pPr>
              <w:spacing w:after="0"/>
              <w:rPr>
                <w:sz w:val="13"/>
                <w:szCs w:val="13"/>
                <w:color w:val="auto"/>
              </w:rPr>
            </w:pPr>
          </w:p>
        </w:tc>
        <w:tc>
          <w:tcPr>
            <w:tcW w:w="92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(12,786)</w:t>
            </w:r>
          </w:p>
        </w:tc>
      </w:tr>
      <w:tr>
        <w:trPr>
          <w:trHeight w:val="480"/>
        </w:trPr>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40" w:type="dxa"/>
            <w:vAlign w:val="bottom"/>
          </w:tcPr>
          <w:p>
            <w:pPr>
              <w:ind w:left="100"/>
              <w:spacing w:after="0"/>
              <w:rPr>
                <w:sz w:val="20"/>
                <w:szCs w:val="20"/>
                <w:color w:val="auto"/>
              </w:rPr>
            </w:pPr>
            <w:r>
              <w:rPr>
                <w:rFonts w:ascii="Arial" w:cs="Arial" w:eastAsia="Arial" w:hAnsi="Arial"/>
                <w:sz w:val="14"/>
                <w:szCs w:val="14"/>
                <w:color w:val="auto"/>
              </w:rPr>
              <w:t>FINANCING ACTIVITIES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29,164</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4</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Proceeds from borrowings</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38,164</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644</w:t>
            </w:r>
          </w:p>
        </w:tc>
      </w:tr>
      <w:tr>
        <w:trPr>
          <w:trHeight w:val="243"/>
        </w:trPr>
        <w:tc>
          <w:tcPr>
            <w:tcW w:w="1100" w:type="dxa"/>
            <w:vAlign w:val="bottom"/>
          </w:tcPr>
          <w:p>
            <w:pPr>
              <w:jc w:val="right"/>
              <w:ind w:right="28"/>
              <w:spacing w:after="0"/>
              <w:rPr>
                <w:sz w:val="20"/>
                <w:szCs w:val="20"/>
                <w:color w:val="auto"/>
              </w:rPr>
            </w:pPr>
            <w:r>
              <w:rPr>
                <w:rFonts w:ascii="Arial" w:cs="Arial" w:eastAsia="Arial" w:hAnsi="Arial"/>
                <w:sz w:val="14"/>
                <w:szCs w:val="14"/>
                <w:color w:val="auto"/>
              </w:rPr>
              <w:t>(11,981)</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6040" w:type="dxa"/>
            <w:vAlign w:val="bottom"/>
          </w:tcPr>
          <w:p>
            <w:pPr>
              <w:ind w:left="160"/>
              <w:spacing w:after="0"/>
              <w:rPr>
                <w:sz w:val="20"/>
                <w:szCs w:val="20"/>
                <w:color w:val="auto"/>
              </w:rPr>
            </w:pPr>
            <w:r>
              <w:rPr>
                <w:rFonts w:ascii="Arial" w:cs="Arial" w:eastAsia="Arial" w:hAnsi="Arial"/>
                <w:sz w:val="14"/>
                <w:szCs w:val="14"/>
                <w:color w:val="auto"/>
              </w:rPr>
              <w:t>Principal payments on debt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(69,223)</w:t>
            </w:r>
          </w:p>
        </w:tc>
        <w:tc>
          <w:tcPr>
            <w:tcW w:w="2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(7,997)</w:t>
            </w: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79</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192</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Proceeds from options exercised</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268</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301</w:t>
            </w:r>
          </w:p>
        </w:tc>
      </w:tr>
      <w:tr>
        <w:trPr>
          <w:trHeight w:val="243"/>
        </w:trPr>
        <w:tc>
          <w:tcPr>
            <w:tcW w:w="11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6040" w:type="dxa"/>
            <w:vAlign w:val="bottom"/>
          </w:tcPr>
          <w:p>
            <w:pPr>
              <w:ind w:left="160"/>
              <w:spacing w:after="0"/>
              <w:rPr>
                <w:sz w:val="20"/>
                <w:szCs w:val="20"/>
                <w:color w:val="auto"/>
              </w:rPr>
            </w:pPr>
            <w:r>
              <w:rPr>
                <w:rFonts w:ascii="Arial" w:cs="Arial" w:eastAsia="Arial" w:hAnsi="Arial"/>
                <w:sz w:val="14"/>
                <w:szCs w:val="14"/>
                <w:color w:val="auto"/>
              </w:rPr>
              <w:t>Excess tax benefit of options exercised</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w:t>
            </w: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w:t>
            </w:r>
          </w:p>
        </w:tc>
        <w:tc>
          <w:tcPr>
            <w:tcW w:w="6040" w:type="dxa"/>
            <w:vAlign w:val="bottom"/>
            <w:shd w:val="clear" w:color="auto" w:fill="BFBFBF"/>
          </w:tcPr>
          <w:p>
            <w:pPr>
              <w:ind w:left="160"/>
              <w:spacing w:after="0"/>
              <w:rPr>
                <w:sz w:val="20"/>
                <w:szCs w:val="20"/>
                <w:color w:val="auto"/>
              </w:rPr>
            </w:pPr>
            <w:r>
              <w:rPr>
                <w:rFonts w:ascii="Arial" w:cs="Arial" w:eastAsia="Arial" w:hAnsi="Arial"/>
                <w:sz w:val="14"/>
                <w:szCs w:val="14"/>
                <w:color w:val="auto"/>
              </w:rPr>
              <w:t>Debt issuance costs</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w:t>
            </w:r>
          </w:p>
        </w:tc>
      </w:tr>
      <w:tr>
        <w:trPr>
          <w:trHeight w:val="243"/>
        </w:trPr>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(4,069)</w:t>
            </w:r>
          </w:p>
        </w:tc>
        <w:tc>
          <w:tcPr>
            <w:tcW w:w="760" w:type="dxa"/>
            <w:vAlign w:val="bottom"/>
            <w:tcBorders>
              <w:bottom w:val="single" w:sz="8" w:color="BFBFB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(3,750)</w:t>
            </w:r>
          </w:p>
        </w:tc>
        <w:tc>
          <w:tcPr>
            <w:tcW w:w="6040" w:type="dxa"/>
            <w:vAlign w:val="bottom"/>
            <w:tcBorders>
              <w:bottom w:val="single" w:sz="8" w:color="BFBFBF"/>
            </w:tcBorders>
          </w:tcPr>
          <w:p>
            <w:pPr>
              <w:ind w:left="160"/>
              <w:spacing w:after="0"/>
              <w:rPr>
                <w:sz w:val="20"/>
                <w:szCs w:val="20"/>
                <w:color w:val="auto"/>
              </w:rPr>
            </w:pPr>
            <w:r>
              <w:rPr>
                <w:rFonts w:ascii="Arial" w:cs="Arial" w:eastAsia="Arial" w:hAnsi="Arial"/>
                <w:sz w:val="14"/>
                <w:szCs w:val="14"/>
                <w:color w:val="auto"/>
              </w:rPr>
              <w:t>Dividends paid</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(8,138)</w:t>
            </w:r>
          </w:p>
        </w:tc>
        <w:tc>
          <w:tcPr>
            <w:tcW w:w="260" w:type="dxa"/>
            <w:vAlign w:val="bottom"/>
            <w:tcBorders>
              <w:bottom w:val="single" w:sz="8" w:color="BFBFBF"/>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(7,494)</w:t>
            </w:r>
          </w:p>
        </w:tc>
      </w:tr>
      <w:tr>
        <w:trPr>
          <w:trHeight w:val="156"/>
        </w:trPr>
        <w:tc>
          <w:tcPr>
            <w:tcW w:w="1100" w:type="dxa"/>
            <w:vAlign w:val="bottom"/>
            <w:tcBorders>
              <w:bottom w:val="single" w:sz="8" w:color="auto"/>
            </w:tcBorders>
            <w:shd w:val="clear" w:color="auto" w:fill="BFBFBF"/>
          </w:tcPr>
          <w:p>
            <w:pPr>
              <w:jc w:val="right"/>
              <w:ind w:right="68"/>
              <w:spacing w:after="0" w:line="155" w:lineRule="exact"/>
              <w:rPr>
                <w:sz w:val="20"/>
                <w:szCs w:val="20"/>
                <w:color w:val="auto"/>
              </w:rPr>
            </w:pPr>
            <w:r>
              <w:rPr>
                <w:rFonts w:ascii="Arial" w:cs="Arial" w:eastAsia="Arial" w:hAnsi="Arial"/>
                <w:sz w:val="14"/>
                <w:szCs w:val="14"/>
                <w:color w:val="auto"/>
              </w:rPr>
              <w:t>13,201</w:t>
            </w:r>
          </w:p>
        </w:tc>
        <w:tc>
          <w:tcPr>
            <w:tcW w:w="760" w:type="dxa"/>
            <w:vAlign w:val="bottom"/>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78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(4,513)</w:t>
            </w:r>
          </w:p>
        </w:tc>
        <w:tc>
          <w:tcPr>
            <w:tcW w:w="6040" w:type="dxa"/>
            <w:vAlign w:val="bottom"/>
            <w:shd w:val="clear" w:color="auto" w:fill="BFBFBF"/>
          </w:tcPr>
          <w:p>
            <w:pPr>
              <w:ind w:left="160"/>
              <w:spacing w:after="0" w:line="155" w:lineRule="exact"/>
              <w:rPr>
                <w:sz w:val="20"/>
                <w:szCs w:val="20"/>
                <w:color w:val="auto"/>
              </w:rPr>
            </w:pPr>
            <w:r>
              <w:rPr>
                <w:rFonts w:ascii="Arial" w:cs="Arial" w:eastAsia="Arial" w:hAnsi="Arial"/>
                <w:sz w:val="14"/>
                <w:szCs w:val="14"/>
                <w:color w:val="auto"/>
              </w:rPr>
              <w:t>Net cash provided by/(used in) financing activities</w:t>
            </w:r>
          </w:p>
        </w:tc>
        <w:tc>
          <w:tcPr>
            <w:tcW w:w="122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(38,918)</w:t>
            </w:r>
          </w:p>
        </w:tc>
        <w:tc>
          <w:tcPr>
            <w:tcW w:w="260" w:type="dxa"/>
            <w:vAlign w:val="bottom"/>
            <w:shd w:val="clear" w:color="auto" w:fill="BFBFBF"/>
          </w:tcPr>
          <w:p>
            <w:pPr>
              <w:spacing w:after="0"/>
              <w:rPr>
                <w:sz w:val="13"/>
                <w:szCs w:val="13"/>
                <w:color w:val="auto"/>
              </w:rPr>
            </w:pPr>
          </w:p>
        </w:tc>
        <w:tc>
          <w:tcPr>
            <w:tcW w:w="920" w:type="dxa"/>
            <w:vAlign w:val="bottom"/>
            <w:tcBorders>
              <w:bottom w:val="single" w:sz="8" w:color="auto"/>
            </w:tcBorders>
            <w:shd w:val="clear" w:color="auto" w:fill="BFBFBF"/>
          </w:tcPr>
          <w:p>
            <w:pPr>
              <w:jc w:val="right"/>
              <w:ind w:right="28"/>
              <w:spacing w:after="0" w:line="155" w:lineRule="exact"/>
              <w:rPr>
                <w:sz w:val="20"/>
                <w:szCs w:val="20"/>
                <w:color w:val="auto"/>
              </w:rPr>
            </w:pPr>
            <w:r>
              <w:rPr>
                <w:rFonts w:ascii="Arial" w:cs="Arial" w:eastAsia="Arial" w:hAnsi="Arial"/>
                <w:sz w:val="14"/>
                <w:szCs w:val="14"/>
                <w:color w:val="auto"/>
              </w:rPr>
              <w:t>(14,511)</w:t>
            </w:r>
          </w:p>
        </w:tc>
      </w:tr>
      <w:tr>
        <w:trPr>
          <w:trHeight w:val="480"/>
        </w:trPr>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(6,976)</w:t>
            </w:r>
          </w:p>
        </w:tc>
        <w:tc>
          <w:tcPr>
            <w:tcW w:w="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1,812</w:t>
            </w:r>
          </w:p>
        </w:tc>
        <w:tc>
          <w:tcPr>
            <w:tcW w:w="6040" w:type="dxa"/>
            <w:vAlign w:val="bottom"/>
          </w:tcPr>
          <w:p>
            <w:pPr>
              <w:ind w:left="100"/>
              <w:spacing w:after="0"/>
              <w:rPr>
                <w:sz w:val="20"/>
                <w:szCs w:val="20"/>
                <w:color w:val="auto"/>
              </w:rPr>
            </w:pPr>
            <w:r>
              <w:rPr>
                <w:rFonts w:ascii="Arial" w:cs="Arial" w:eastAsia="Arial" w:hAnsi="Arial"/>
                <w:sz w:val="14"/>
                <w:szCs w:val="14"/>
                <w:color w:val="auto"/>
              </w:rPr>
              <w:t>Effect of exchange rate changes on cash and cash equivalents</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1,593</w:t>
            </w:r>
          </w:p>
        </w:tc>
        <w:tc>
          <w:tcPr>
            <w:tcW w:w="260" w:type="dxa"/>
            <w:vAlign w:val="bottom"/>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10,244</w:t>
            </w:r>
          </w:p>
        </w:tc>
      </w:tr>
      <w:tr>
        <w:trPr>
          <w:trHeight w:val="237"/>
        </w:trPr>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62"/>
        </w:trPr>
        <w:tc>
          <w:tcPr>
            <w:tcW w:w="110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23,667</w:t>
            </w:r>
          </w:p>
        </w:tc>
        <w:tc>
          <w:tcPr>
            <w:tcW w:w="760" w:type="dxa"/>
            <w:vAlign w:val="bottom"/>
            <w:shd w:val="clear" w:color="auto" w:fill="BFBFBF"/>
          </w:tcPr>
          <w:p>
            <w:pPr>
              <w:spacing w:after="0"/>
              <w:rPr>
                <w:sz w:val="14"/>
                <w:szCs w:val="14"/>
                <w:color w:val="auto"/>
              </w:rPr>
            </w:pPr>
          </w:p>
        </w:tc>
        <w:tc>
          <w:tcPr>
            <w:tcW w:w="340" w:type="dxa"/>
            <w:vAlign w:val="bottom"/>
            <w:shd w:val="clear" w:color="auto" w:fill="BFBFBF"/>
          </w:tcPr>
          <w:p>
            <w:pPr>
              <w:spacing w:after="0"/>
              <w:rPr>
                <w:sz w:val="14"/>
                <w:szCs w:val="14"/>
                <w:color w:val="auto"/>
              </w:rPr>
            </w:pPr>
          </w:p>
        </w:tc>
        <w:tc>
          <w:tcPr>
            <w:tcW w:w="78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19,528</w:t>
            </w:r>
          </w:p>
        </w:tc>
        <w:tc>
          <w:tcPr>
            <w:tcW w:w="6040" w:type="dxa"/>
            <w:vAlign w:val="bottom"/>
            <w:shd w:val="clear" w:color="auto" w:fill="BFBFBF"/>
          </w:tcPr>
          <w:p>
            <w:pPr>
              <w:ind w:left="100"/>
              <w:spacing w:after="0"/>
              <w:rPr>
                <w:sz w:val="20"/>
                <w:szCs w:val="20"/>
                <w:color w:val="auto"/>
              </w:rPr>
            </w:pPr>
            <w:r>
              <w:rPr>
                <w:rFonts w:ascii="Arial" w:cs="Arial" w:eastAsia="Arial" w:hAnsi="Arial"/>
                <w:sz w:val="14"/>
                <w:szCs w:val="14"/>
                <w:color w:val="auto"/>
              </w:rPr>
              <w:t>Increase in cash and cash equivalents</w:t>
            </w:r>
          </w:p>
        </w:tc>
        <w:tc>
          <w:tcPr>
            <w:tcW w:w="12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45,683</w:t>
            </w:r>
          </w:p>
        </w:tc>
        <w:tc>
          <w:tcPr>
            <w:tcW w:w="260" w:type="dxa"/>
            <w:vAlign w:val="bottom"/>
            <w:shd w:val="clear" w:color="auto" w:fill="BFBFBF"/>
          </w:tcPr>
          <w:p>
            <w:pPr>
              <w:spacing w:after="0"/>
              <w:rPr>
                <w:sz w:val="14"/>
                <w:szCs w:val="14"/>
                <w:color w:val="auto"/>
              </w:rPr>
            </w:pPr>
          </w:p>
        </w:tc>
        <w:tc>
          <w:tcPr>
            <w:tcW w:w="920" w:type="dxa"/>
            <w:vAlign w:val="bottom"/>
            <w:shd w:val="clear" w:color="auto" w:fill="BFBFBF"/>
          </w:tcPr>
          <w:p>
            <w:pPr>
              <w:jc w:val="right"/>
              <w:ind w:right="68"/>
              <w:spacing w:after="0"/>
              <w:rPr>
                <w:sz w:val="20"/>
                <w:szCs w:val="20"/>
                <w:color w:val="auto"/>
              </w:rPr>
            </w:pPr>
            <w:r>
              <w:rPr>
                <w:rFonts w:ascii="Arial" w:cs="Arial" w:eastAsia="Arial" w:hAnsi="Arial"/>
                <w:sz w:val="14"/>
                <w:szCs w:val="14"/>
                <w:color w:val="auto"/>
              </w:rPr>
              <w:t>34,745</w:t>
            </w:r>
          </w:p>
        </w:tc>
      </w:tr>
      <w:tr>
        <w:trPr>
          <w:trHeight w:val="243"/>
        </w:trPr>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FBFB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(5,352)</w:t>
            </w:r>
          </w:p>
        </w:tc>
        <w:tc>
          <w:tcPr>
            <w:tcW w:w="6040" w:type="dxa"/>
            <w:vAlign w:val="bottom"/>
            <w:tcBorders>
              <w:bottom w:val="single" w:sz="8" w:color="BFBFBF"/>
            </w:tcBorders>
          </w:tcPr>
          <w:p>
            <w:pPr>
              <w:ind w:left="100"/>
              <w:spacing w:after="0"/>
              <w:rPr>
                <w:sz w:val="20"/>
                <w:szCs w:val="20"/>
                <w:color w:val="auto"/>
              </w:rPr>
            </w:pPr>
            <w:r>
              <w:rPr>
                <w:rFonts w:ascii="Arial" w:cs="Arial" w:eastAsia="Arial" w:hAnsi="Arial"/>
                <w:sz w:val="14"/>
                <w:szCs w:val="14"/>
                <w:color w:val="auto"/>
              </w:rPr>
              <w:t>Change in cash balances of discontinued operations</w:t>
            </w:r>
          </w:p>
        </w:tc>
        <w:tc>
          <w:tcPr>
            <w:tcW w:w="1220" w:type="dxa"/>
            <w:vAlign w:val="bottom"/>
            <w:tcBorders>
              <w:bottom w:val="single" w:sz="8" w:color="BFBFBF"/>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FBFBF"/>
            </w:tcBorders>
          </w:tcPr>
          <w:p>
            <w:pPr>
              <w:spacing w:after="0"/>
              <w:rPr>
                <w:sz w:val="21"/>
                <w:szCs w:val="21"/>
                <w:color w:val="auto"/>
              </w:rPr>
            </w:pPr>
          </w:p>
        </w:tc>
        <w:tc>
          <w:tcPr>
            <w:tcW w:w="920" w:type="dxa"/>
            <w:vAlign w:val="bottom"/>
            <w:tcBorders>
              <w:bottom w:val="single" w:sz="8" w:color="BFBFBF"/>
            </w:tcBorders>
          </w:tcPr>
          <w:p>
            <w:pPr>
              <w:jc w:val="right"/>
              <w:ind w:right="28"/>
              <w:spacing w:after="0"/>
              <w:rPr>
                <w:sz w:val="20"/>
                <w:szCs w:val="20"/>
                <w:color w:val="auto"/>
              </w:rPr>
            </w:pPr>
            <w:r>
              <w:rPr>
                <w:rFonts w:ascii="Arial" w:cs="Arial" w:eastAsia="Arial" w:hAnsi="Arial"/>
                <w:sz w:val="14"/>
                <w:szCs w:val="14"/>
                <w:color w:val="auto"/>
              </w:rPr>
              <w:t>(976)</w:t>
            </w:r>
          </w:p>
        </w:tc>
      </w:tr>
      <w:tr>
        <w:trPr>
          <w:trHeight w:val="156"/>
        </w:trPr>
        <w:tc>
          <w:tcPr>
            <w:tcW w:w="1100" w:type="dxa"/>
            <w:vAlign w:val="bottom"/>
            <w:tcBorders>
              <w:bottom w:val="single" w:sz="8" w:color="auto"/>
            </w:tcBorders>
            <w:shd w:val="clear" w:color="auto" w:fill="BFBFBF"/>
          </w:tcPr>
          <w:p>
            <w:pPr>
              <w:jc w:val="right"/>
              <w:ind w:right="68"/>
              <w:spacing w:after="0" w:line="155" w:lineRule="exact"/>
              <w:rPr>
                <w:sz w:val="20"/>
                <w:szCs w:val="20"/>
                <w:color w:val="auto"/>
              </w:rPr>
            </w:pPr>
            <w:r>
              <w:rPr>
                <w:rFonts w:ascii="Arial" w:cs="Arial" w:eastAsia="Arial" w:hAnsi="Arial"/>
                <w:sz w:val="14"/>
                <w:szCs w:val="14"/>
                <w:color w:val="auto"/>
              </w:rPr>
              <w:t>140,925</w:t>
            </w:r>
          </w:p>
        </w:tc>
        <w:tc>
          <w:tcPr>
            <w:tcW w:w="76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780" w:type="dxa"/>
            <w:vAlign w:val="bottom"/>
            <w:tcBorders>
              <w:bottom w:val="single" w:sz="8" w:color="auto"/>
            </w:tcBorders>
            <w:shd w:val="clear" w:color="auto" w:fill="BFBFBF"/>
          </w:tcPr>
          <w:p>
            <w:pPr>
              <w:jc w:val="right"/>
              <w:ind w:right="68"/>
              <w:spacing w:after="0" w:line="155" w:lineRule="exact"/>
              <w:rPr>
                <w:sz w:val="20"/>
                <w:szCs w:val="20"/>
                <w:color w:val="auto"/>
              </w:rPr>
            </w:pPr>
            <w:r>
              <w:rPr>
                <w:rFonts w:ascii="Arial" w:cs="Arial" w:eastAsia="Arial" w:hAnsi="Arial"/>
                <w:sz w:val="14"/>
                <w:szCs w:val="14"/>
                <w:color w:val="auto"/>
              </w:rPr>
              <w:t>137,518</w:t>
            </w:r>
          </w:p>
        </w:tc>
        <w:tc>
          <w:tcPr>
            <w:tcW w:w="6040" w:type="dxa"/>
            <w:vAlign w:val="bottom"/>
            <w:shd w:val="clear" w:color="auto" w:fill="BFBFBF"/>
          </w:tcPr>
          <w:p>
            <w:pPr>
              <w:ind w:left="100"/>
              <w:spacing w:after="0" w:line="155" w:lineRule="exact"/>
              <w:rPr>
                <w:sz w:val="20"/>
                <w:szCs w:val="20"/>
                <w:color w:val="auto"/>
              </w:rPr>
            </w:pPr>
            <w:r>
              <w:rPr>
                <w:rFonts w:ascii="Arial" w:cs="Arial" w:eastAsia="Arial" w:hAnsi="Arial"/>
                <w:sz w:val="14"/>
                <w:szCs w:val="14"/>
                <w:color w:val="auto"/>
              </w:rPr>
              <w:t>Cash and cash equivalents at beginning of period</w:t>
            </w:r>
          </w:p>
        </w:tc>
        <w:tc>
          <w:tcPr>
            <w:tcW w:w="1220" w:type="dxa"/>
            <w:vAlign w:val="bottom"/>
            <w:tcBorders>
              <w:bottom w:val="single" w:sz="8" w:color="auto"/>
            </w:tcBorders>
            <w:shd w:val="clear" w:color="auto" w:fill="BFBFBF"/>
          </w:tcPr>
          <w:p>
            <w:pPr>
              <w:jc w:val="right"/>
              <w:ind w:right="68"/>
              <w:spacing w:after="0" w:line="155" w:lineRule="exact"/>
              <w:rPr>
                <w:sz w:val="20"/>
                <w:szCs w:val="20"/>
                <w:color w:val="auto"/>
              </w:rPr>
            </w:pPr>
            <w:r>
              <w:rPr>
                <w:rFonts w:ascii="Arial" w:cs="Arial" w:eastAsia="Arial" w:hAnsi="Arial"/>
                <w:sz w:val="14"/>
                <w:szCs w:val="14"/>
                <w:color w:val="auto"/>
              </w:rPr>
              <w:t>118,909</w:t>
            </w:r>
          </w:p>
        </w:tc>
        <w:tc>
          <w:tcPr>
            <w:tcW w:w="260" w:type="dxa"/>
            <w:vAlign w:val="bottom"/>
            <w:tcBorders>
              <w:bottom w:val="single" w:sz="8" w:color="auto"/>
            </w:tcBorders>
            <w:shd w:val="clear" w:color="auto" w:fill="BFBFBF"/>
          </w:tcPr>
          <w:p>
            <w:pPr>
              <w:spacing w:after="0"/>
              <w:rPr>
                <w:sz w:val="13"/>
                <w:szCs w:val="13"/>
                <w:color w:val="auto"/>
              </w:rPr>
            </w:pPr>
          </w:p>
        </w:tc>
        <w:tc>
          <w:tcPr>
            <w:tcW w:w="920" w:type="dxa"/>
            <w:vAlign w:val="bottom"/>
            <w:tcBorders>
              <w:bottom w:val="single" w:sz="8" w:color="auto"/>
            </w:tcBorders>
            <w:shd w:val="clear" w:color="auto" w:fill="BFBFBF"/>
          </w:tcPr>
          <w:p>
            <w:pPr>
              <w:jc w:val="right"/>
              <w:ind w:right="68"/>
              <w:spacing w:after="0" w:line="155" w:lineRule="exact"/>
              <w:rPr>
                <w:sz w:val="20"/>
                <w:szCs w:val="20"/>
                <w:color w:val="auto"/>
              </w:rPr>
            </w:pPr>
            <w:r>
              <w:rPr>
                <w:rFonts w:ascii="Arial" w:cs="Arial" w:eastAsia="Arial" w:hAnsi="Arial"/>
                <w:sz w:val="14"/>
                <w:szCs w:val="14"/>
                <w:color w:val="auto"/>
              </w:rPr>
              <w:t>117,925</w:t>
            </w:r>
          </w:p>
        </w:tc>
      </w:tr>
      <w:tr>
        <w:trPr>
          <w:trHeight w:val="210"/>
        </w:trPr>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$164,592</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$151,694</w:t>
            </w:r>
          </w:p>
        </w:tc>
        <w:tc>
          <w:tcPr>
            <w:tcW w:w="6040" w:type="dxa"/>
            <w:vAlign w:val="bottom"/>
          </w:tcPr>
          <w:p>
            <w:pPr>
              <w:ind w:left="100"/>
              <w:spacing w:after="0"/>
              <w:rPr>
                <w:sz w:val="20"/>
                <w:szCs w:val="20"/>
                <w:color w:val="auto"/>
              </w:rPr>
            </w:pPr>
            <w:r>
              <w:rPr>
                <w:rFonts w:ascii="Arial" w:cs="Arial" w:eastAsia="Arial" w:hAnsi="Arial"/>
                <w:sz w:val="14"/>
                <w:szCs w:val="14"/>
                <w:color w:val="auto"/>
              </w:rPr>
              <w:t>Cash and cash equivalents at end of period</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$164,592</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$151,694</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color w:val="auto"/>
        </w:rPr>
        <w:t>ALBANY INTERNATIONAL CORP.</w:t>
      </w:r>
    </w:p>
    <w:p>
      <w:pPr>
        <w:jc w:val="center"/>
        <w:ind w:right="-79"/>
        <w:spacing w:after="0" w:line="234" w:lineRule="auto"/>
        <w:rPr>
          <w:sz w:val="20"/>
          <w:szCs w:val="20"/>
          <w:color w:val="auto"/>
        </w:rPr>
      </w:pPr>
      <w:r>
        <w:rPr>
          <w:rFonts w:ascii="Arial" w:cs="Arial" w:eastAsia="Arial" w:hAnsi="Arial"/>
          <w:sz w:val="18"/>
          <w:szCs w:val="18"/>
          <w:color w:val="auto"/>
        </w:rPr>
        <w:t>NOTES TO CONSOLIDATED FINANCIAL STATEMENTS</w:t>
      </w:r>
    </w:p>
    <w:p>
      <w:pPr>
        <w:jc w:val="center"/>
        <w:ind w:right="-79"/>
        <w:spacing w:after="0" w:line="235"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85" w:lineRule="exact"/>
        <w:rPr>
          <w:sz w:val="20"/>
          <w:szCs w:val="20"/>
          <w:color w:val="auto"/>
        </w:rPr>
      </w:pPr>
    </w:p>
    <w:p>
      <w:pPr>
        <w:jc w:val="both"/>
        <w:ind w:right="220"/>
        <w:spacing w:after="0" w:line="234" w:lineRule="auto"/>
        <w:rPr>
          <w:sz w:val="20"/>
          <w:szCs w:val="20"/>
          <w:color w:val="auto"/>
        </w:rPr>
      </w:pPr>
      <w:r>
        <w:rPr>
          <w:rFonts w:ascii="Arial" w:cs="Arial" w:eastAsia="Arial" w:hAnsi="Arial"/>
          <w:sz w:val="18"/>
          <w:szCs w:val="18"/>
          <w:color w:val="auto"/>
        </w:rPr>
        <w:t>In our opinion, the accompanying unaudited consolidated financial statements contain all adjustments, consisting of only normal, recurring adjustments, necessary for a fair presentation of results for such periods. The results for any interim period are not necessarily indicative of results for the full year. The preparation of financial statements for interim periods does not require all of the disclosures normally included in financial statements prepared in accordance with accounting principles generally accepted in the United States of America (U.S. GAAP).</w:t>
      </w:r>
    </w:p>
    <w:p>
      <w:pPr>
        <w:spacing w:after="0" w:line="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Accordingly, certain information and footnote disclosures normally included in financial statements prepared in accordance with accounting principles generally accepted in the United States of America have been omitted. The December 31, 2011 financial position data included herein was derived from the audited consolidated financial statements included in the 2011 Form 10-K but does not include all disclosures required by U.S. GAAP. These consolidated financial statements should be read in conjunction with our Annual Report on Form 10-K as filed with the SEC for the year ended December 31, 2011.</w:t>
      </w:r>
    </w:p>
    <w:p>
      <w:pPr>
        <w:spacing w:after="0" w:line="16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Effective with the first quarter of 2012, we merged our Paper Machine Clothing (PMC) and Engineered Fabrics (EF) business segments. The combined segment is called Machine Clothing (MC). The change was made to better align financial reporting with our organizational structure. In the fourth quarter of 2011, we announced the sale of our Albany Doors business (ADS) and, beginning with the fourth quarter of 2011, we presented the results of that business as a discontinued operation. Additionally, in the second quarter of 2012, the Company announced the</w:t>
      </w:r>
    </w:p>
    <w:p>
      <w:pPr>
        <w:spacing w:after="0" w:line="3"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sale of its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and, the Company is now presenting the results of that business as a discontinued operation. On July 20, 2012, the Company filed a Form 8-K and a Form 8-K/A with tables that illustrate the effects of these changes on previously-issued financial statements.</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34"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2. Discontinued Operations</w:t>
      </w:r>
    </w:p>
    <w:p>
      <w:pPr>
        <w:spacing w:after="0" w:line="20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business to Assa Abloy AB for $130 million. Closing on the transaction occurred on January 11, 2012. Under the terms of the contract, Assa Abloy AB acquired our equity ownership of Albany Doors Systems GmbH in Germany, Albany Door Systems AB in Sweden, and other ADS affiliates in Germany, France, the Netherlands, Turkey, Poland, Belgium, New Zealand, and other countries, as well as the remaining ADS business assets, most of which are located in the United States, Australia, China, and Italy. In the second quarter of 2012, the purchaser completed certain legal registration activities in China, allowing the parties to complete the transfer of assets and liabilities of the ADS business in that country.</w:t>
      </w:r>
    </w:p>
    <w:p>
      <w:pPr>
        <w:spacing w:after="0" w:line="19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the first quarter of 2012 the Company recorded a pre-tax gain of $58.0 million, including $17.4 million which was payable by the purchaser as of March 31, 2012. In the second quarter of 2012, we recorded adjustments to the sale transaction which had the effect of reducing the gain by $0.3 million. The initial purchase price of $130 million included $13 million to be paid in July 2013. We recorded the value of that consideration on a present value basis and, as of June 30, 2012, we have a receivable of $ 12.5 million included in Other assets. Additionally, in March 2012, we agreed with the purchaser on certain post-closing adjustments and in April 2012, we received a payment of $5.0 million to reflect that agreement.</w:t>
      </w:r>
    </w:p>
    <w:p>
      <w:pPr>
        <w:spacing w:after="0" w:line="192" w:lineRule="exact"/>
        <w:rPr>
          <w:sz w:val="20"/>
          <w:szCs w:val="20"/>
          <w:color w:val="auto"/>
        </w:rPr>
      </w:pPr>
    </w:p>
    <w:p>
      <w:pPr>
        <w:ind w:right="200"/>
        <w:spacing w:after="0" w:line="209" w:lineRule="auto"/>
        <w:rPr>
          <w:sz w:val="20"/>
          <w:szCs w:val="20"/>
          <w:color w:val="auto"/>
        </w:rPr>
      </w:pPr>
      <w:r>
        <w:rPr>
          <w:rFonts w:ascii="Arial" w:cs="Arial" w:eastAsia="Arial" w:hAnsi="Arial"/>
          <w:sz w:val="18"/>
          <w:szCs w:val="18"/>
          <w:color w:val="auto"/>
        </w:rPr>
        <w:t>In May 2012, we announced an agreement to sell our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for $38.0 million and that transaction closed on June 29, 2012. The Company recorded a pre-tax gain of $35.0 million as result of that sale. The purchase price included $4.0 million which is held in escrow and is included in Accounts receivable as of June 30, 2012.</w:t>
      </w:r>
    </w:p>
    <w:p>
      <w:pPr>
        <w:spacing w:after="0" w:line="19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accordance with the applicable accounting guidance for discontinued businesses, the associated results of operations and financial position are reported separately in the accompanying Consolidated Statements of Operations and Balance Sheets. Cash flows of the discontinued operation were combined with cash flows from continuing operations in the consolidated statements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820" w:type="dxa"/>
            <w:vAlign w:val="bottom"/>
          </w:tcPr>
          <w:p>
            <w:pPr>
              <w:jc w:val="center"/>
              <w:ind w:right="150"/>
              <w:spacing w:after="0"/>
              <w:rPr>
                <w:sz w:val="20"/>
                <w:szCs w:val="20"/>
                <w:color w:val="auto"/>
              </w:rPr>
            </w:pPr>
            <w:r>
              <w:rPr>
                <w:rFonts w:ascii="Arial" w:cs="Arial" w:eastAsia="Arial" w:hAnsi="Arial"/>
                <w:sz w:val="18"/>
                <w:szCs w:val="18"/>
                <w:color w:val="auto"/>
                <w:w w:val="99"/>
              </w:rPr>
              <w:t>Three months</w:t>
            </w:r>
          </w:p>
        </w:tc>
        <w:tc>
          <w:tcPr>
            <w:tcW w:w="1920" w:type="dxa"/>
            <w:vAlign w:val="bottom"/>
          </w:tcPr>
          <w:p>
            <w:pPr>
              <w:jc w:val="center"/>
              <w:ind w:right="250"/>
              <w:spacing w:after="0"/>
              <w:rPr>
                <w:sz w:val="20"/>
                <w:szCs w:val="20"/>
                <w:color w:val="auto"/>
              </w:rPr>
            </w:pPr>
            <w:r>
              <w:rPr>
                <w:rFonts w:ascii="Arial" w:cs="Arial" w:eastAsia="Arial" w:hAnsi="Arial"/>
                <w:sz w:val="18"/>
                <w:szCs w:val="18"/>
                <w:color w:val="auto"/>
                <w:w w:val="99"/>
              </w:rPr>
              <w:t>Three months</w:t>
            </w:r>
          </w:p>
        </w:tc>
        <w:tc>
          <w:tcPr>
            <w:tcW w:w="1840" w:type="dxa"/>
            <w:vAlign w:val="bottom"/>
          </w:tcPr>
          <w:p>
            <w:pPr>
              <w:jc w:val="center"/>
              <w:spacing w:after="0"/>
              <w:rPr>
                <w:sz w:val="20"/>
                <w:szCs w:val="20"/>
                <w:color w:val="auto"/>
              </w:rPr>
            </w:pPr>
            <w:r>
              <w:rPr>
                <w:rFonts w:ascii="Arial" w:cs="Arial" w:eastAsia="Arial" w:hAnsi="Arial"/>
                <w:sz w:val="18"/>
                <w:szCs w:val="18"/>
                <w:color w:val="auto"/>
              </w:rPr>
              <w:t>Six months</w:t>
            </w:r>
          </w:p>
        </w:tc>
        <w:tc>
          <w:tcPr>
            <w:tcW w:w="1600" w:type="dxa"/>
            <w:vAlign w:val="bottom"/>
          </w:tcPr>
          <w:p>
            <w:pPr>
              <w:jc w:val="center"/>
              <w:ind w:right="10"/>
              <w:spacing w:after="0"/>
              <w:rPr>
                <w:sz w:val="20"/>
                <w:szCs w:val="20"/>
                <w:color w:val="auto"/>
              </w:rPr>
            </w:pPr>
            <w:r>
              <w:rPr>
                <w:rFonts w:ascii="Arial" w:cs="Arial" w:eastAsia="Arial" w:hAnsi="Arial"/>
                <w:sz w:val="18"/>
                <w:szCs w:val="18"/>
                <w:color w:val="auto"/>
              </w:rPr>
              <w:t>Six months</w:t>
            </w:r>
          </w:p>
        </w:tc>
      </w:tr>
      <w:tr>
        <w:trPr>
          <w:trHeight w:val="229"/>
        </w:trPr>
        <w:tc>
          <w:tcPr>
            <w:tcW w:w="4240" w:type="dxa"/>
            <w:vAlign w:val="bottom"/>
          </w:tcPr>
          <w:p>
            <w:pPr>
              <w:spacing w:after="0"/>
              <w:rPr>
                <w:sz w:val="19"/>
                <w:szCs w:val="19"/>
                <w:color w:val="auto"/>
              </w:rPr>
            </w:pPr>
          </w:p>
        </w:tc>
        <w:tc>
          <w:tcPr>
            <w:tcW w:w="1820" w:type="dxa"/>
            <w:vAlign w:val="bottom"/>
          </w:tcPr>
          <w:p>
            <w:pPr>
              <w:jc w:val="center"/>
              <w:ind w:right="150"/>
              <w:spacing w:after="0"/>
              <w:rPr>
                <w:sz w:val="20"/>
                <w:szCs w:val="20"/>
                <w:color w:val="auto"/>
              </w:rPr>
            </w:pPr>
            <w:r>
              <w:rPr>
                <w:rFonts w:ascii="Arial" w:cs="Arial" w:eastAsia="Arial" w:hAnsi="Arial"/>
                <w:sz w:val="18"/>
                <w:szCs w:val="18"/>
                <w:color w:val="auto"/>
                <w:w w:val="99"/>
              </w:rPr>
              <w:t>ended</w:t>
            </w:r>
          </w:p>
        </w:tc>
        <w:tc>
          <w:tcPr>
            <w:tcW w:w="1920" w:type="dxa"/>
            <w:vAlign w:val="bottom"/>
          </w:tcPr>
          <w:p>
            <w:pPr>
              <w:jc w:val="center"/>
              <w:ind w:right="250"/>
              <w:spacing w:after="0"/>
              <w:rPr>
                <w:sz w:val="20"/>
                <w:szCs w:val="20"/>
                <w:color w:val="auto"/>
              </w:rPr>
            </w:pPr>
            <w:r>
              <w:rPr>
                <w:rFonts w:ascii="Arial" w:cs="Arial" w:eastAsia="Arial" w:hAnsi="Arial"/>
                <w:sz w:val="18"/>
                <w:szCs w:val="18"/>
                <w:color w:val="auto"/>
                <w:w w:val="99"/>
              </w:rPr>
              <w:t>ended</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ended</w:t>
            </w:r>
          </w:p>
        </w:tc>
        <w:tc>
          <w:tcPr>
            <w:tcW w:w="1600" w:type="dxa"/>
            <w:vAlign w:val="bottom"/>
          </w:tcPr>
          <w:p>
            <w:pPr>
              <w:jc w:val="center"/>
              <w:ind w:right="10"/>
              <w:spacing w:after="0"/>
              <w:rPr>
                <w:sz w:val="20"/>
                <w:szCs w:val="20"/>
                <w:color w:val="auto"/>
              </w:rPr>
            </w:pPr>
            <w:r>
              <w:rPr>
                <w:rFonts w:ascii="Arial" w:cs="Arial" w:eastAsia="Arial" w:hAnsi="Arial"/>
                <w:sz w:val="18"/>
                <w:szCs w:val="18"/>
                <w:color w:val="auto"/>
                <w:w w:val="99"/>
              </w:rPr>
              <w:t>ended</w:t>
            </w:r>
          </w:p>
        </w:tc>
      </w:tr>
      <w:tr>
        <w:trPr>
          <w:trHeight w:val="203"/>
        </w:trPr>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jc w:val="center"/>
              <w:ind w:right="150"/>
              <w:spacing w:after="0" w:line="203" w:lineRule="exact"/>
              <w:rPr>
                <w:sz w:val="20"/>
                <w:szCs w:val="20"/>
                <w:color w:val="auto"/>
              </w:rPr>
            </w:pPr>
            <w:r>
              <w:rPr>
                <w:rFonts w:ascii="Arial" w:cs="Arial" w:eastAsia="Arial" w:hAnsi="Arial"/>
                <w:sz w:val="18"/>
                <w:szCs w:val="18"/>
                <w:color w:val="auto"/>
                <w:w w:val="99"/>
              </w:rPr>
              <w:t>June 30, 2012</w:t>
            </w:r>
          </w:p>
        </w:tc>
        <w:tc>
          <w:tcPr>
            <w:tcW w:w="1920" w:type="dxa"/>
            <w:vAlign w:val="bottom"/>
            <w:tcBorders>
              <w:bottom w:val="single" w:sz="8" w:color="auto"/>
            </w:tcBorders>
          </w:tcPr>
          <w:p>
            <w:pPr>
              <w:jc w:val="center"/>
              <w:ind w:right="250"/>
              <w:spacing w:after="0" w:line="203" w:lineRule="exact"/>
              <w:rPr>
                <w:sz w:val="20"/>
                <w:szCs w:val="20"/>
                <w:color w:val="auto"/>
              </w:rPr>
            </w:pPr>
            <w:r>
              <w:rPr>
                <w:rFonts w:ascii="Arial" w:cs="Arial" w:eastAsia="Arial" w:hAnsi="Arial"/>
                <w:sz w:val="18"/>
                <w:szCs w:val="18"/>
                <w:color w:val="auto"/>
                <w:w w:val="99"/>
              </w:rPr>
              <w:t>June 30, 2011</w:t>
            </w:r>
          </w:p>
        </w:tc>
        <w:tc>
          <w:tcPr>
            <w:tcW w:w="18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June 30, 2012</w:t>
            </w:r>
          </w:p>
        </w:tc>
        <w:tc>
          <w:tcPr>
            <w:tcW w:w="160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w w:val="99"/>
              </w:rPr>
              <w:t>June 30, 2011</w:t>
            </w:r>
          </w:p>
        </w:tc>
      </w:tr>
      <w:tr>
        <w:trPr>
          <w:trHeight w:val="493"/>
        </w:trPr>
        <w:tc>
          <w:tcPr>
            <w:tcW w:w="424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$10,283</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$54,334</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$19,774</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$106,230</w:t>
            </w:r>
          </w:p>
        </w:tc>
      </w:tr>
      <w:tr>
        <w:trPr>
          <w:trHeight w:val="431"/>
        </w:trPr>
        <w:tc>
          <w:tcPr>
            <w:tcW w:w="4240" w:type="dxa"/>
            <w:vAlign w:val="bottom"/>
          </w:tcPr>
          <w:p>
            <w:pPr>
              <w:ind w:left="100"/>
              <w:spacing w:after="0"/>
              <w:rPr>
                <w:sz w:val="20"/>
                <w:szCs w:val="20"/>
                <w:color w:val="auto"/>
              </w:rPr>
            </w:pPr>
            <w:r>
              <w:rPr>
                <w:rFonts w:ascii="Arial" w:cs="Arial" w:eastAsia="Arial" w:hAnsi="Arial"/>
                <w:sz w:val="18"/>
                <w:szCs w:val="18"/>
                <w:color w:val="auto"/>
              </w:rPr>
              <w:t>Income from operations of discontinued business</w:t>
            </w: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7"/>
        </w:trPr>
        <w:tc>
          <w:tcPr>
            <w:tcW w:w="4240" w:type="dxa"/>
            <w:vAlign w:val="bottom"/>
          </w:tcPr>
          <w:p>
            <w:pPr>
              <w:ind w:left="100"/>
              <w:spacing w:after="0"/>
              <w:rPr>
                <w:sz w:val="20"/>
                <w:szCs w:val="20"/>
                <w:color w:val="auto"/>
              </w:rPr>
            </w:pPr>
            <w:r>
              <w:rPr>
                <w:rFonts w:ascii="Arial" w:cs="Arial" w:eastAsia="Arial" w:hAnsi="Arial"/>
                <w:sz w:val="18"/>
                <w:szCs w:val="18"/>
                <w:color w:val="auto"/>
              </w:rPr>
              <w:t>before tax</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2,760</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6,434</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4,776</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12,991</w:t>
            </w:r>
          </w:p>
        </w:tc>
      </w:tr>
      <w:tr>
        <w:trPr>
          <w:trHeight w:val="486"/>
        </w:trPr>
        <w:tc>
          <w:tcPr>
            <w:tcW w:w="4240" w:type="dxa"/>
            <w:vAlign w:val="bottom"/>
          </w:tcPr>
          <w:p>
            <w:pPr>
              <w:ind w:left="100"/>
              <w:spacing w:after="0"/>
              <w:rPr>
                <w:sz w:val="20"/>
                <w:szCs w:val="20"/>
                <w:color w:val="auto"/>
              </w:rPr>
            </w:pPr>
            <w:r>
              <w:rPr>
                <w:rFonts w:ascii="Arial" w:cs="Arial" w:eastAsia="Arial" w:hAnsi="Arial"/>
                <w:sz w:val="18"/>
                <w:szCs w:val="18"/>
                <w:color w:val="auto"/>
              </w:rPr>
              <w:t>Gain on disposition of discontinued operations</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34,709</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92,677</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86"/>
        </w:trPr>
        <w:tc>
          <w:tcPr>
            <w:tcW w:w="424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13,439</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2,220</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26,253</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4,262</w:t>
            </w:r>
          </w:p>
        </w:tc>
      </w:tr>
      <w:tr>
        <w:trPr>
          <w:trHeight w:val="189"/>
        </w:trPr>
        <w:tc>
          <w:tcPr>
            <w:tcW w:w="4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8" w:name="page9"/>
    <w:bookmarkEnd w:id="8"/>
    <w:p>
      <w:pPr>
        <w:ind w:right="240"/>
        <w:spacing w:after="0" w:line="246" w:lineRule="auto"/>
        <w:rPr>
          <w:sz w:val="20"/>
          <w:szCs w:val="20"/>
          <w:color w:val="auto"/>
        </w:rPr>
      </w:pPr>
      <w:r>
        <w:rPr>
          <w:rFonts w:ascii="Arial" w:cs="Arial" w:eastAsia="Arial" w:hAnsi="Arial"/>
          <w:sz w:val="18"/>
          <w:szCs w:val="18"/>
          <w:color w:val="auto"/>
        </w:rPr>
        <w:t>The table below summarizes major categories of assets and liabilities for the discontinued businesses that are included in the accompanying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5100" w:type="dxa"/>
            <w:vAlign w:val="bottom"/>
          </w:tcPr>
          <w:p>
            <w:pPr>
              <w:spacing w:after="0"/>
              <w:rPr>
                <w:sz w:val="24"/>
                <w:szCs w:val="24"/>
                <w:color w:val="auto"/>
              </w:rPr>
            </w:pPr>
          </w:p>
        </w:tc>
        <w:tc>
          <w:tcPr>
            <w:tcW w:w="1240" w:type="dxa"/>
            <w:vAlign w:val="bottom"/>
          </w:tcPr>
          <w:p>
            <w:pPr>
              <w:jc w:val="center"/>
              <w:ind w:left="290"/>
              <w:spacing w:after="0"/>
              <w:rPr>
                <w:sz w:val="20"/>
                <w:szCs w:val="20"/>
                <w:color w:val="auto"/>
              </w:rPr>
            </w:pPr>
            <w:r>
              <w:rPr>
                <w:rFonts w:ascii="Arial" w:cs="Arial" w:eastAsia="Arial" w:hAnsi="Arial"/>
                <w:sz w:val="18"/>
                <w:szCs w:val="18"/>
                <w:color w:val="auto"/>
                <w:w w:val="95"/>
              </w:rPr>
              <w:t>Primaloft</w:t>
            </w:r>
            <w:r>
              <w:rPr>
                <w:rFonts w:ascii="Arial" w:cs="Arial" w:eastAsia="Arial" w:hAnsi="Arial"/>
                <w:sz w:val="30"/>
                <w:szCs w:val="30"/>
                <w:color w:val="auto"/>
                <w:w w:val="95"/>
                <w:vertAlign w:val="superscript"/>
              </w:rPr>
              <w:t>®</w:t>
            </w:r>
          </w:p>
        </w:tc>
        <w:tc>
          <w:tcPr>
            <w:tcW w:w="720" w:type="dxa"/>
            <w:vAlign w:val="bottom"/>
          </w:tcPr>
          <w:p>
            <w:pPr>
              <w:spacing w:after="0"/>
              <w:rPr>
                <w:sz w:val="24"/>
                <w:szCs w:val="24"/>
                <w:color w:val="auto"/>
              </w:rPr>
            </w:pPr>
          </w:p>
        </w:tc>
        <w:tc>
          <w:tcPr>
            <w:tcW w:w="260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Albany Door Systems</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94"/>
              </w:rPr>
              <w:t>Total</w:t>
            </w:r>
          </w:p>
        </w:tc>
        <w:tc>
          <w:tcPr>
            <w:tcW w:w="740" w:type="dxa"/>
            <w:vAlign w:val="bottom"/>
          </w:tcPr>
          <w:p>
            <w:pPr>
              <w:spacing w:after="0"/>
              <w:rPr>
                <w:sz w:val="24"/>
                <w:szCs w:val="24"/>
                <w:color w:val="auto"/>
              </w:rPr>
            </w:pPr>
          </w:p>
        </w:tc>
      </w:tr>
      <w:tr>
        <w:trPr>
          <w:trHeight w:val="203"/>
        </w:trPr>
        <w:tc>
          <w:tcPr>
            <w:tcW w:w="5100" w:type="dxa"/>
            <w:vAlign w:val="bottom"/>
          </w:tcPr>
          <w:p>
            <w:pPr>
              <w:spacing w:after="0"/>
              <w:rPr>
                <w:sz w:val="17"/>
                <w:szCs w:val="17"/>
                <w:color w:val="auto"/>
              </w:rPr>
            </w:pPr>
          </w:p>
        </w:tc>
        <w:tc>
          <w:tcPr>
            <w:tcW w:w="1960" w:type="dxa"/>
            <w:vAlign w:val="bottom"/>
            <w:gridSpan w:val="2"/>
          </w:tcPr>
          <w:p>
            <w:pPr>
              <w:jc w:val="center"/>
              <w:ind w:right="250"/>
              <w:spacing w:after="0" w:line="202" w:lineRule="exact"/>
              <w:rPr>
                <w:sz w:val="20"/>
                <w:szCs w:val="20"/>
                <w:color w:val="auto"/>
              </w:rPr>
            </w:pPr>
            <w:r>
              <w:rPr>
                <w:rFonts w:ascii="Arial" w:cs="Arial" w:eastAsia="Arial" w:hAnsi="Arial"/>
                <w:sz w:val="18"/>
                <w:szCs w:val="18"/>
                <w:color w:val="auto"/>
              </w:rPr>
              <w:t>December 31,</w:t>
            </w:r>
          </w:p>
        </w:tc>
        <w:tc>
          <w:tcPr>
            <w:tcW w:w="170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9"/>
              </w:rPr>
              <w:t>December 31,</w:t>
            </w:r>
          </w:p>
        </w:tc>
        <w:tc>
          <w:tcPr>
            <w:tcW w:w="900" w:type="dxa"/>
            <w:vAlign w:val="bottom"/>
          </w:tcPr>
          <w:p>
            <w:pPr>
              <w:spacing w:after="0"/>
              <w:rPr>
                <w:sz w:val="17"/>
                <w:szCs w:val="17"/>
                <w:color w:val="auto"/>
              </w:rPr>
            </w:pPr>
          </w:p>
        </w:tc>
        <w:tc>
          <w:tcPr>
            <w:tcW w:w="1760" w:type="dxa"/>
            <w:vAlign w:val="bottom"/>
            <w:gridSpan w:val="2"/>
          </w:tcPr>
          <w:p>
            <w:pPr>
              <w:jc w:val="center"/>
              <w:ind w:right="50"/>
              <w:spacing w:after="0" w:line="202" w:lineRule="exact"/>
              <w:rPr>
                <w:sz w:val="20"/>
                <w:szCs w:val="20"/>
                <w:color w:val="auto"/>
              </w:rPr>
            </w:pPr>
            <w:r>
              <w:rPr>
                <w:rFonts w:ascii="Arial" w:cs="Arial" w:eastAsia="Arial" w:hAnsi="Arial"/>
                <w:sz w:val="18"/>
                <w:szCs w:val="18"/>
                <w:color w:val="auto"/>
              </w:rPr>
              <w:t>December 31,</w:t>
            </w:r>
          </w:p>
        </w:tc>
      </w:tr>
      <w:tr>
        <w:trPr>
          <w:trHeight w:val="203"/>
        </w:trPr>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bottom w:val="single" w:sz="8" w:color="auto"/>
            </w:tcBorders>
          </w:tcPr>
          <w:p>
            <w:pPr>
              <w:jc w:val="center"/>
              <w:ind w:left="290"/>
              <w:spacing w:after="0" w:line="203" w:lineRule="exact"/>
              <w:rPr>
                <w:sz w:val="20"/>
                <w:szCs w:val="20"/>
                <w:color w:val="auto"/>
              </w:rPr>
            </w:pPr>
            <w:r>
              <w:rPr>
                <w:rFonts w:ascii="Arial" w:cs="Arial" w:eastAsia="Arial" w:hAnsi="Arial"/>
                <w:sz w:val="18"/>
                <w:szCs w:val="18"/>
                <w:color w:val="auto"/>
              </w:rPr>
              <w:t>2011</w:t>
            </w:r>
          </w:p>
        </w:tc>
        <w:tc>
          <w:tcPr>
            <w:tcW w:w="7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left="490"/>
              <w:spacing w:after="0" w:line="203" w:lineRule="exact"/>
              <w:rPr>
                <w:sz w:val="20"/>
                <w:szCs w:val="20"/>
                <w:color w:val="auto"/>
              </w:rPr>
            </w:pPr>
            <w:r>
              <w:rPr>
                <w:rFonts w:ascii="Arial" w:cs="Arial" w:eastAsia="Arial" w:hAnsi="Arial"/>
                <w:sz w:val="18"/>
                <w:szCs w:val="18"/>
                <w:color w:val="auto"/>
                <w:w w:val="99"/>
              </w:rPr>
              <w:t>2011</w:t>
            </w:r>
          </w:p>
        </w:tc>
        <w:tc>
          <w:tcPr>
            <w:tcW w:w="9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490"/>
              <w:spacing w:after="0" w:line="203" w:lineRule="exact"/>
              <w:rPr>
                <w:sz w:val="20"/>
                <w:szCs w:val="20"/>
                <w:color w:val="auto"/>
              </w:rPr>
            </w:pPr>
            <w:r>
              <w:rPr>
                <w:rFonts w:ascii="Arial" w:cs="Arial" w:eastAsia="Arial" w:hAnsi="Arial"/>
                <w:sz w:val="18"/>
                <w:szCs w:val="18"/>
                <w:color w:val="auto"/>
                <w:w w:val="99"/>
              </w:rPr>
              <w:t>2011</w:t>
            </w:r>
          </w:p>
        </w:tc>
        <w:tc>
          <w:tcPr>
            <w:tcW w:w="740" w:type="dxa"/>
            <w:vAlign w:val="bottom"/>
            <w:tcBorders>
              <w:bottom w:val="single" w:sz="8" w:color="auto"/>
            </w:tcBorders>
          </w:tcPr>
          <w:p>
            <w:pPr>
              <w:spacing w:after="0"/>
              <w:rPr>
                <w:sz w:val="17"/>
                <w:szCs w:val="17"/>
                <w:color w:val="auto"/>
              </w:rPr>
            </w:pPr>
          </w:p>
        </w:tc>
      </w:tr>
      <w:tr>
        <w:trPr>
          <w:trHeight w:val="250"/>
        </w:trPr>
        <w:tc>
          <w:tcPr>
            <w:tcW w:w="5100" w:type="dxa"/>
            <w:vAlign w:val="bottom"/>
          </w:tcPr>
          <w:p>
            <w:pPr>
              <w:ind w:left="100"/>
              <w:spacing w:after="0"/>
              <w:rPr>
                <w:sz w:val="20"/>
                <w:szCs w:val="20"/>
                <w:color w:val="auto"/>
              </w:rPr>
            </w:pPr>
            <w:r>
              <w:rPr>
                <w:rFonts w:ascii="Arial" w:cs="Arial" w:eastAsia="Arial" w:hAnsi="Arial"/>
                <w:sz w:val="18"/>
                <w:szCs w:val="18"/>
                <w:color w:val="auto"/>
              </w:rPr>
              <w:t>Assets of Discontinued Operations:</w:t>
            </w: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31"/>
        </w:trPr>
        <w:tc>
          <w:tcPr>
            <w:tcW w:w="5100" w:type="dxa"/>
            <w:vAlign w:val="bottom"/>
          </w:tcPr>
          <w:p>
            <w:pPr>
              <w:ind w:left="100"/>
              <w:spacing w:after="0"/>
              <w:rPr>
                <w:sz w:val="20"/>
                <w:szCs w:val="20"/>
                <w:color w:val="auto"/>
              </w:rPr>
            </w:pPr>
            <w:r>
              <w:rPr>
                <w:rFonts w:ascii="Arial" w:cs="Arial" w:eastAsia="Arial" w:hAnsi="Arial"/>
                <w:sz w:val="18"/>
                <w:szCs w:val="18"/>
                <w:color w:val="auto"/>
              </w:rPr>
              <w:t>Cash</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13,545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13,545</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1240" w:type="dxa"/>
            <w:vAlign w:val="bottom"/>
          </w:tcPr>
          <w:p>
            <w:pPr>
              <w:spacing w:after="0"/>
              <w:rPr>
                <w:sz w:val="17"/>
                <w:szCs w:val="17"/>
                <w:color w:val="auto"/>
              </w:rPr>
            </w:pPr>
          </w:p>
        </w:tc>
        <w:tc>
          <w:tcPr>
            <w:tcW w:w="72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3"/>
              </w:rPr>
              <w:t>1,338</w:t>
            </w:r>
          </w:p>
        </w:tc>
        <w:tc>
          <w:tcPr>
            <w:tcW w:w="170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35,120</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36,458</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1240" w:type="dxa"/>
            <w:vAlign w:val="bottom"/>
          </w:tcPr>
          <w:p>
            <w:pPr>
              <w:spacing w:after="0"/>
              <w:rPr>
                <w:sz w:val="17"/>
                <w:szCs w:val="17"/>
                <w:color w:val="auto"/>
              </w:rPr>
            </w:pPr>
          </w:p>
        </w:tc>
        <w:tc>
          <w:tcPr>
            <w:tcW w:w="72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3"/>
              </w:rPr>
              <w:t>3,846</w:t>
            </w:r>
          </w:p>
        </w:tc>
        <w:tc>
          <w:tcPr>
            <w:tcW w:w="170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12,661</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16,507</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1240" w:type="dxa"/>
            <w:vAlign w:val="bottom"/>
          </w:tcPr>
          <w:p>
            <w:pPr>
              <w:spacing w:after="0"/>
              <w:rPr>
                <w:sz w:val="17"/>
                <w:szCs w:val="17"/>
                <w:color w:val="auto"/>
              </w:rPr>
            </w:pPr>
          </w:p>
        </w:tc>
        <w:tc>
          <w:tcPr>
            <w:tcW w:w="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563</w:t>
            </w:r>
          </w:p>
        </w:tc>
        <w:tc>
          <w:tcPr>
            <w:tcW w:w="170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6,344</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6,907</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Goodwill and intangibles</w:t>
            </w:r>
          </w:p>
        </w:tc>
        <w:tc>
          <w:tcPr>
            <w:tcW w:w="1240" w:type="dxa"/>
            <w:vAlign w:val="bottom"/>
          </w:tcPr>
          <w:p>
            <w:pPr>
              <w:spacing w:after="0"/>
              <w:rPr>
                <w:sz w:val="17"/>
                <w:szCs w:val="17"/>
                <w:color w:val="auto"/>
              </w:rPr>
            </w:pPr>
          </w:p>
        </w:tc>
        <w:tc>
          <w:tcPr>
            <w:tcW w:w="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39,227</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39,227</w:t>
            </w:r>
          </w:p>
        </w:tc>
      </w:tr>
      <w:tr>
        <w:trPr>
          <w:trHeight w:val="203"/>
        </w:trPr>
        <w:tc>
          <w:tcPr>
            <w:tcW w:w="51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Other current and noncurrent assets</w:t>
            </w:r>
          </w:p>
        </w:tc>
        <w:tc>
          <w:tcPr>
            <w:tcW w:w="1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60</w:t>
            </w:r>
          </w:p>
        </w:tc>
        <w:tc>
          <w:tcPr>
            <w:tcW w:w="1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5,114</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5,174</w:t>
            </w:r>
          </w:p>
        </w:tc>
      </w:tr>
      <w:tr>
        <w:trPr>
          <w:trHeight w:val="196"/>
        </w:trPr>
        <w:tc>
          <w:tcPr>
            <w:tcW w:w="51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assets of discontinued operation</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3"/>
              </w:rPr>
              <w:t>5,807</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8"/>
              </w:rPr>
              <w:t>112,011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5"/>
              </w:rPr>
              <w:t>117,818</w:t>
            </w:r>
          </w:p>
        </w:tc>
      </w:tr>
      <w:tr>
        <w:trPr>
          <w:trHeight w:val="493"/>
        </w:trPr>
        <w:tc>
          <w:tcPr>
            <w:tcW w:w="5100" w:type="dxa"/>
            <w:vAlign w:val="bottom"/>
          </w:tcPr>
          <w:p>
            <w:pPr>
              <w:ind w:left="100"/>
              <w:spacing w:after="0"/>
              <w:rPr>
                <w:sz w:val="20"/>
                <w:szCs w:val="20"/>
                <w:color w:val="auto"/>
              </w:rPr>
            </w:pPr>
            <w:r>
              <w:rPr>
                <w:rFonts w:ascii="Arial" w:cs="Arial" w:eastAsia="Arial" w:hAnsi="Arial"/>
                <w:sz w:val="18"/>
                <w:szCs w:val="18"/>
                <w:color w:val="auto"/>
              </w:rPr>
              <w:t>Liabilities of Discontinued Operations:</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1"/>
        </w:trPr>
        <w:tc>
          <w:tcPr>
            <w:tcW w:w="51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955</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8,300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9,255</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240" w:type="dxa"/>
            <w:vAlign w:val="bottom"/>
          </w:tcPr>
          <w:p>
            <w:pPr>
              <w:spacing w:after="0"/>
              <w:rPr>
                <w:sz w:val="17"/>
                <w:szCs w:val="17"/>
                <w:color w:val="auto"/>
              </w:rPr>
            </w:pPr>
          </w:p>
        </w:tc>
        <w:tc>
          <w:tcPr>
            <w:tcW w:w="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545</w:t>
            </w:r>
          </w:p>
        </w:tc>
        <w:tc>
          <w:tcPr>
            <w:tcW w:w="170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10,883</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11,428</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240" w:type="dxa"/>
            <w:vAlign w:val="bottom"/>
          </w:tcPr>
          <w:p>
            <w:pPr>
              <w:spacing w:after="0"/>
              <w:rPr>
                <w:sz w:val="17"/>
                <w:szCs w:val="17"/>
                <w:color w:val="auto"/>
              </w:rPr>
            </w:pPr>
          </w:p>
        </w:tc>
        <w:tc>
          <w:tcPr>
            <w:tcW w:w="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1,763</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1,763</w:t>
            </w:r>
          </w:p>
        </w:tc>
      </w:tr>
      <w:tr>
        <w:trPr>
          <w:trHeight w:val="203"/>
        </w:trPr>
        <w:tc>
          <w:tcPr>
            <w:tcW w:w="5100" w:type="dxa"/>
            <w:vAlign w:val="bottom"/>
          </w:tcPr>
          <w:p>
            <w:pPr>
              <w:ind w:left="100"/>
              <w:spacing w:after="0" w:line="202" w:lineRule="exact"/>
              <w:rPr>
                <w:sz w:val="20"/>
                <w:szCs w:val="20"/>
                <w:color w:val="auto"/>
              </w:rPr>
            </w:pPr>
            <w:r>
              <w:rPr>
                <w:rFonts w:ascii="Arial" w:cs="Arial" w:eastAsia="Arial" w:hAnsi="Arial"/>
                <w:sz w:val="18"/>
                <w:szCs w:val="18"/>
                <w:color w:val="auto"/>
              </w:rPr>
              <w:t>Liabilities for defined benefit pension plans</w:t>
            </w:r>
          </w:p>
        </w:tc>
        <w:tc>
          <w:tcPr>
            <w:tcW w:w="1240" w:type="dxa"/>
            <w:vAlign w:val="bottom"/>
          </w:tcPr>
          <w:p>
            <w:pPr>
              <w:spacing w:after="0"/>
              <w:rPr>
                <w:sz w:val="17"/>
                <w:szCs w:val="17"/>
                <w:color w:val="auto"/>
              </w:rPr>
            </w:pPr>
          </w:p>
        </w:tc>
        <w:tc>
          <w:tcPr>
            <w:tcW w:w="7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9,513</w:t>
            </w:r>
          </w:p>
        </w:tc>
        <w:tc>
          <w:tcPr>
            <w:tcW w:w="102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9,513</w:t>
            </w:r>
          </w:p>
        </w:tc>
      </w:tr>
      <w:tr>
        <w:trPr>
          <w:trHeight w:val="203"/>
        </w:trPr>
        <w:tc>
          <w:tcPr>
            <w:tcW w:w="51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Other noncurrent liabilities</w:t>
            </w:r>
          </w:p>
        </w:tc>
        <w:tc>
          <w:tcPr>
            <w:tcW w:w="1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52</w:t>
            </w:r>
          </w:p>
        </w:tc>
        <w:tc>
          <w:tcPr>
            <w:tcW w:w="1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4,552</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4,604</w:t>
            </w:r>
          </w:p>
        </w:tc>
      </w:tr>
      <w:tr>
        <w:trPr>
          <w:trHeight w:val="196"/>
        </w:trPr>
        <w:tc>
          <w:tcPr>
            <w:tcW w:w="51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liabilities of discontinued operation</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3"/>
              </w:rPr>
              <w:t>1,552</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35,011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36,563</w:t>
            </w:r>
          </w:p>
        </w:tc>
      </w:tr>
      <w:tr>
        <w:trPr>
          <w:trHeight w:val="763"/>
        </w:trPr>
        <w:tc>
          <w:tcPr>
            <w:tcW w:w="5100" w:type="dxa"/>
            <w:vAlign w:val="bottom"/>
          </w:tcPr>
          <w:p>
            <w:pPr>
              <w:spacing w:after="0"/>
              <w:rPr>
                <w:sz w:val="24"/>
                <w:szCs w:val="24"/>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0"/>
        </w:trPr>
        <w:tc>
          <w:tcPr>
            <w:tcW w:w="5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63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Reportable Segment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data by reportable segment, reconciled to consolidated totals included in the financial statements: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Three Months Ended</w:t>
            </w:r>
          </w:p>
        </w:tc>
        <w:tc>
          <w:tcPr>
            <w:tcW w:w="234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Six Months Ended</w:t>
            </w:r>
          </w:p>
        </w:tc>
      </w:tr>
      <w:tr>
        <w:trPr>
          <w:trHeight w:val="228"/>
        </w:trPr>
        <w:tc>
          <w:tcPr>
            <w:tcW w:w="5380" w:type="dxa"/>
            <w:vAlign w:val="bottom"/>
          </w:tcPr>
          <w:p>
            <w:pPr>
              <w:spacing w:after="0"/>
              <w:rPr>
                <w:sz w:val="19"/>
                <w:szCs w:val="19"/>
                <w:color w:val="auto"/>
              </w:rPr>
            </w:pPr>
          </w:p>
        </w:tc>
        <w:tc>
          <w:tcPr>
            <w:tcW w:w="3700" w:type="dxa"/>
            <w:vAlign w:val="bottom"/>
            <w:gridSpan w:val="2"/>
          </w:tcPr>
          <w:p>
            <w:pPr>
              <w:jc w:val="right"/>
              <w:ind w:right="890"/>
              <w:spacing w:after="0"/>
              <w:rPr>
                <w:sz w:val="20"/>
                <w:szCs w:val="20"/>
                <w:color w:val="auto"/>
              </w:rPr>
            </w:pPr>
            <w:r>
              <w:rPr>
                <w:rFonts w:ascii="Arial" w:cs="Arial" w:eastAsia="Arial" w:hAnsi="Arial"/>
                <w:sz w:val="18"/>
                <w:szCs w:val="18"/>
                <w:color w:val="auto"/>
              </w:rPr>
              <w:t>June 30,</w:t>
            </w:r>
          </w:p>
        </w:tc>
        <w:tc>
          <w:tcPr>
            <w:tcW w:w="2340" w:type="dxa"/>
            <w:vAlign w:val="bottom"/>
            <w:gridSpan w:val="2"/>
          </w:tcPr>
          <w:p>
            <w:pPr>
              <w:jc w:val="right"/>
              <w:ind w:right="650"/>
              <w:spacing w:after="0"/>
              <w:rPr>
                <w:sz w:val="20"/>
                <w:szCs w:val="20"/>
                <w:color w:val="auto"/>
              </w:rPr>
            </w:pPr>
            <w:r>
              <w:rPr>
                <w:rFonts w:ascii="Arial" w:cs="Arial" w:eastAsia="Arial" w:hAnsi="Arial"/>
                <w:sz w:val="18"/>
                <w:szCs w:val="18"/>
                <w:color w:val="auto"/>
              </w:rPr>
              <w:t>June 30,</w:t>
            </w:r>
          </w:p>
        </w:tc>
      </w:tr>
      <w:tr>
        <w:trPr>
          <w:trHeight w:val="203"/>
        </w:trPr>
        <w:tc>
          <w:tcPr>
            <w:tcW w:w="53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(in thousands)</w:t>
            </w:r>
          </w:p>
        </w:tc>
        <w:tc>
          <w:tcPr>
            <w:tcW w:w="24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2012</w:t>
            </w:r>
          </w:p>
        </w:tc>
        <w:tc>
          <w:tcPr>
            <w:tcW w:w="13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2011</w:t>
            </w:r>
          </w:p>
        </w:tc>
        <w:tc>
          <w:tcPr>
            <w:tcW w:w="13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2012</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2011</w:t>
            </w:r>
          </w:p>
        </w:tc>
      </w:tr>
      <w:tr>
        <w:trPr>
          <w:trHeight w:val="493"/>
        </w:trPr>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Net Sales</w:t>
            </w: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Machine Clothing</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$177,122</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$179,177</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$341,410</w:t>
            </w:r>
          </w:p>
        </w:tc>
        <w:tc>
          <w:tcPr>
            <w:tcW w:w="1040" w:type="dxa"/>
            <w:vAlign w:val="bottom"/>
          </w:tcPr>
          <w:p>
            <w:pPr>
              <w:jc w:val="right"/>
              <w:spacing w:after="0"/>
              <w:rPr>
                <w:sz w:val="20"/>
                <w:szCs w:val="20"/>
                <w:color w:val="auto"/>
              </w:rPr>
            </w:pPr>
            <w:r>
              <w:rPr>
                <w:rFonts w:ascii="Arial" w:cs="Arial" w:eastAsia="Arial" w:hAnsi="Arial"/>
                <w:sz w:val="18"/>
                <w:szCs w:val="18"/>
                <w:color w:val="auto"/>
              </w:rPr>
              <w:t>$367,659</w:t>
            </w:r>
          </w:p>
        </w:tc>
      </w:tr>
      <w:tr>
        <w:trPr>
          <w:trHeight w:val="230"/>
        </w:trPr>
        <w:tc>
          <w:tcPr>
            <w:tcW w:w="5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Engineered Composites</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14,818</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10,504</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30,607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21,976</w:t>
            </w:r>
          </w:p>
        </w:tc>
      </w:tr>
      <w:tr>
        <w:trPr>
          <w:trHeight w:val="196"/>
        </w:trPr>
        <w:tc>
          <w:tcPr>
            <w:tcW w:w="53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Consolidated total</w:t>
            </w:r>
          </w:p>
        </w:tc>
        <w:tc>
          <w:tcPr>
            <w:tcW w:w="2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$191,940</w:t>
            </w:r>
          </w:p>
        </w:tc>
        <w:tc>
          <w:tcPr>
            <w:tcW w:w="13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$189,681</w:t>
            </w:r>
          </w:p>
        </w:tc>
        <w:tc>
          <w:tcPr>
            <w:tcW w:w="13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$372,017</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$389,635</w:t>
            </w:r>
          </w:p>
        </w:tc>
      </w:tr>
      <w:tr>
        <w:trPr>
          <w:trHeight w:val="493"/>
        </w:trPr>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Operating income</w:t>
            </w: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5380" w:type="dxa"/>
            <w:vAlign w:val="bottom"/>
          </w:tcPr>
          <w:p>
            <w:pPr>
              <w:ind w:left="200"/>
              <w:spacing w:after="0"/>
              <w:rPr>
                <w:sz w:val="20"/>
                <w:szCs w:val="20"/>
                <w:color w:val="auto"/>
              </w:rPr>
            </w:pPr>
            <w:r>
              <w:rPr>
                <w:rFonts w:ascii="Arial" w:cs="Arial" w:eastAsia="Arial" w:hAnsi="Arial"/>
                <w:sz w:val="18"/>
                <w:szCs w:val="18"/>
                <w:color w:val="auto"/>
              </w:rPr>
              <w:t>Machine Clothing</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$44,997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$37,709</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$75,842</w:t>
            </w:r>
          </w:p>
        </w:tc>
        <w:tc>
          <w:tcPr>
            <w:tcW w:w="1040" w:type="dxa"/>
            <w:vAlign w:val="bottom"/>
          </w:tcPr>
          <w:p>
            <w:pPr>
              <w:jc w:val="right"/>
              <w:spacing w:after="0"/>
              <w:rPr>
                <w:sz w:val="20"/>
                <w:szCs w:val="20"/>
                <w:color w:val="auto"/>
              </w:rPr>
            </w:pPr>
            <w:r>
              <w:rPr>
                <w:rFonts w:ascii="Arial" w:cs="Arial" w:eastAsia="Arial" w:hAnsi="Arial"/>
                <w:sz w:val="18"/>
                <w:szCs w:val="18"/>
                <w:color w:val="auto"/>
              </w:rPr>
              <w:t>$87,980</w:t>
            </w:r>
          </w:p>
        </w:tc>
      </w:tr>
      <w:tr>
        <w:trPr>
          <w:trHeight w:val="203"/>
        </w:trPr>
        <w:tc>
          <w:tcPr>
            <w:tcW w:w="5380" w:type="dxa"/>
            <w:vAlign w:val="bottom"/>
          </w:tcPr>
          <w:p>
            <w:pPr>
              <w:ind w:left="200"/>
              <w:spacing w:after="0" w:line="202" w:lineRule="exact"/>
              <w:rPr>
                <w:sz w:val="20"/>
                <w:szCs w:val="20"/>
                <w:color w:val="auto"/>
              </w:rPr>
            </w:pPr>
            <w:r>
              <w:rPr>
                <w:rFonts w:ascii="Arial" w:cs="Arial" w:eastAsia="Arial" w:hAnsi="Arial"/>
                <w:sz w:val="18"/>
                <w:szCs w:val="18"/>
                <w:color w:val="auto"/>
              </w:rPr>
              <w:t>Engineered Composites</w:t>
            </w:r>
          </w:p>
        </w:tc>
        <w:tc>
          <w:tcPr>
            <w:tcW w:w="2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(369)</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(1,144)</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(2,187)</w:t>
            </w:r>
          </w:p>
        </w:tc>
      </w:tr>
      <w:tr>
        <w:trPr>
          <w:trHeight w:val="203"/>
        </w:trPr>
        <w:tc>
          <w:tcPr>
            <w:tcW w:w="5380" w:type="dxa"/>
            <w:vAlign w:val="bottom"/>
          </w:tcPr>
          <w:p>
            <w:pPr>
              <w:ind w:left="200"/>
              <w:spacing w:after="0" w:line="202" w:lineRule="exact"/>
              <w:rPr>
                <w:sz w:val="20"/>
                <w:szCs w:val="20"/>
                <w:color w:val="auto"/>
              </w:rPr>
            </w:pPr>
            <w:r>
              <w:rPr>
                <w:rFonts w:ascii="Arial" w:cs="Arial" w:eastAsia="Arial" w:hAnsi="Arial"/>
                <w:sz w:val="18"/>
                <w:szCs w:val="18"/>
                <w:color w:val="auto"/>
              </w:rPr>
              <w:t>Research expense</w:t>
            </w:r>
          </w:p>
        </w:tc>
        <w:tc>
          <w:tcPr>
            <w:tcW w:w="2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(7,253)</w:t>
            </w: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(7,212)</w:t>
            </w:r>
          </w:p>
        </w:tc>
        <w:tc>
          <w:tcPr>
            <w:tcW w:w="13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(13,318)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(14,377)</w:t>
            </w:r>
          </w:p>
        </w:tc>
      </w:tr>
      <w:tr>
        <w:trPr>
          <w:trHeight w:val="203"/>
        </w:trPr>
        <w:tc>
          <w:tcPr>
            <w:tcW w:w="538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Unallocated expenses</w:t>
            </w:r>
          </w:p>
        </w:tc>
        <w:tc>
          <w:tcPr>
            <w:tcW w:w="24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(123,379)</w:t>
            </w:r>
          </w:p>
        </w:tc>
        <w:tc>
          <w:tcPr>
            <w:tcW w:w="13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(16,873)</w:t>
            </w:r>
          </w:p>
        </w:tc>
        <w:tc>
          <w:tcPr>
            <w:tcW w:w="13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(149,097)</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(33,862)</w:t>
            </w:r>
          </w:p>
        </w:tc>
      </w:tr>
      <w:tr>
        <w:trPr>
          <w:trHeight w:val="253"/>
        </w:trPr>
        <w:tc>
          <w:tcPr>
            <w:tcW w:w="5380" w:type="dxa"/>
            <w:vAlign w:val="bottom"/>
          </w:tcPr>
          <w:p>
            <w:pPr>
              <w:ind w:left="200"/>
              <w:spacing w:after="0"/>
              <w:rPr>
                <w:sz w:val="20"/>
                <w:szCs w:val="20"/>
                <w:color w:val="auto"/>
              </w:rPr>
            </w:pPr>
            <w:r>
              <w:rPr>
                <w:rFonts w:ascii="Arial" w:cs="Arial" w:eastAsia="Arial" w:hAnsi="Arial"/>
                <w:sz w:val="18"/>
                <w:szCs w:val="18"/>
                <w:color w:val="auto"/>
              </w:rPr>
              <w:t>Operating (loss)/income before reconciling items</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(86,004)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12,480</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(86,913</w:t>
            </w:r>
            <w:r>
              <w:rPr>
                <w:rFonts w:ascii="Arial" w:cs="Arial" w:eastAsia="Arial" w:hAnsi="Arial"/>
                <w:sz w:val="21"/>
                <w:szCs w:val="2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37,554</w:t>
            </w:r>
          </w:p>
        </w:tc>
      </w:tr>
      <w:tr>
        <w:trPr>
          <w:trHeight w:val="483"/>
        </w:trPr>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Reconciling items:</w:t>
            </w: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53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3,969</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4,786</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8,613</w:t>
            </w:r>
          </w:p>
        </w:tc>
        <w:tc>
          <w:tcPr>
            <w:tcW w:w="1040" w:type="dxa"/>
            <w:vAlign w:val="bottom"/>
          </w:tcPr>
          <w:p>
            <w:pPr>
              <w:jc w:val="right"/>
              <w:spacing w:after="0"/>
              <w:rPr>
                <w:sz w:val="20"/>
                <w:szCs w:val="20"/>
                <w:color w:val="auto"/>
              </w:rPr>
            </w:pPr>
            <w:r>
              <w:rPr>
                <w:rFonts w:ascii="Arial" w:cs="Arial" w:eastAsia="Arial" w:hAnsi="Arial"/>
                <w:sz w:val="18"/>
                <w:szCs w:val="18"/>
                <w:color w:val="auto"/>
              </w:rPr>
              <w:t>9,562</w:t>
            </w:r>
          </w:p>
        </w:tc>
      </w:tr>
      <w:tr>
        <w:trPr>
          <w:trHeight w:val="250"/>
        </w:trPr>
        <w:tc>
          <w:tcPr>
            <w:tcW w:w="5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(income)/expense, net</w:t>
            </w:r>
          </w:p>
        </w:tc>
        <w:tc>
          <w:tcPr>
            <w:tcW w:w="2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(2,555</w:t>
            </w:r>
            <w:r>
              <w:rPr>
                <w:rFonts w:ascii="Arial" w:cs="Arial" w:eastAsia="Arial" w:hAnsi="Arial"/>
                <w:sz w:val="21"/>
                <w:szCs w:val="21"/>
                <w:color w:val="auto"/>
              </w:rPr>
              <w:t>)</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1,993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r>
      <w:tr>
        <w:trPr>
          <w:trHeight w:val="196"/>
        </w:trPr>
        <w:tc>
          <w:tcPr>
            <w:tcW w:w="53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(Loss)/income before income taxes</w:t>
            </w:r>
          </w:p>
        </w:tc>
        <w:tc>
          <w:tcPr>
            <w:tcW w:w="24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($87,418)</w:t>
            </w:r>
          </w:p>
        </w:tc>
        <w:tc>
          <w:tcPr>
            <w:tcW w:w="13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$7,687</w:t>
            </w:r>
          </w:p>
        </w:tc>
        <w:tc>
          <w:tcPr>
            <w:tcW w:w="13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($97,519)</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$23,172</w:t>
            </w:r>
          </w:p>
        </w:tc>
      </w:tr>
    </w:tbl>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table below presents pension settlement and restructuring costs by reportable segment for the three and six month periods ended June 30, 2012 and 2011: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Three Months Ended</w:t>
            </w:r>
          </w:p>
        </w:tc>
        <w:tc>
          <w:tcPr>
            <w:tcW w:w="3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color w:val="auto"/>
              </w:rPr>
              <w:t>Six Months Ended</w:t>
            </w:r>
          </w:p>
        </w:tc>
      </w:tr>
      <w:tr>
        <w:trPr>
          <w:trHeight w:val="206"/>
        </w:trPr>
        <w:tc>
          <w:tcPr>
            <w:tcW w:w="44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300" w:type="dxa"/>
            <w:vAlign w:val="bottom"/>
          </w:tcPr>
          <w:p>
            <w:pPr>
              <w:jc w:val="right"/>
              <w:spacing w:after="0" w:line="206" w:lineRule="exact"/>
              <w:rPr>
                <w:sz w:val="20"/>
                <w:szCs w:val="20"/>
                <w:color w:val="auto"/>
              </w:rPr>
            </w:pPr>
            <w:r>
              <w:rPr>
                <w:rFonts w:ascii="Arial" w:cs="Arial" w:eastAsia="Arial" w:hAnsi="Arial"/>
                <w:sz w:val="18"/>
                <w:szCs w:val="18"/>
                <w:color w:val="auto"/>
              </w:rPr>
              <w:t>June 30,</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6" w:lineRule="exact"/>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25"/>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2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2011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2011</w:t>
            </w:r>
          </w:p>
        </w:tc>
      </w:tr>
      <w:tr>
        <w:trPr>
          <w:trHeight w:val="493"/>
        </w:trPr>
        <w:tc>
          <w:tcPr>
            <w:tcW w:w="4460" w:type="dxa"/>
            <w:vAlign w:val="bottom"/>
          </w:tcPr>
          <w:p>
            <w:pPr>
              <w:ind w:left="100"/>
              <w:spacing w:after="0"/>
              <w:rPr>
                <w:sz w:val="20"/>
                <w:szCs w:val="20"/>
                <w:color w:val="auto"/>
              </w:rPr>
            </w:pPr>
            <w:r>
              <w:rPr>
                <w:rFonts w:ascii="Arial" w:cs="Arial" w:eastAsia="Arial" w:hAnsi="Arial"/>
                <w:sz w:val="18"/>
                <w:szCs w:val="18"/>
                <w:b w:val="1"/>
                <w:bCs w:val="1"/>
                <w:color w:val="auto"/>
              </w:rPr>
              <w:t>Pension settlement</w:t>
            </w:r>
          </w:p>
        </w:tc>
        <w:tc>
          <w:tcPr>
            <w:tcW w:w="2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4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Unallocated expenses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8"/>
              </w:rPr>
              <w:t>110,560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8"/>
              </w:rPr>
              <w:t>119,735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93"/>
        </w:trPr>
        <w:tc>
          <w:tcPr>
            <w:tcW w:w="4460" w:type="dxa"/>
            <w:vAlign w:val="bottom"/>
          </w:tcPr>
          <w:p>
            <w:pPr>
              <w:ind w:left="100"/>
              <w:spacing w:after="0"/>
              <w:rPr>
                <w:sz w:val="20"/>
                <w:szCs w:val="20"/>
                <w:color w:val="auto"/>
              </w:rPr>
            </w:pPr>
            <w:r>
              <w:rPr>
                <w:rFonts w:ascii="Arial" w:cs="Arial" w:eastAsia="Arial" w:hAnsi="Arial"/>
                <w:sz w:val="18"/>
                <w:szCs w:val="18"/>
                <w:b w:val="1"/>
                <w:bCs w:val="1"/>
                <w:color w:val="auto"/>
              </w:rPr>
              <w:t>Restructuring expense</w:t>
            </w:r>
          </w:p>
        </w:tc>
        <w:tc>
          <w:tcPr>
            <w:tcW w:w="2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Machine Clothing</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2,903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572</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3,576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Engineered Composites</w:t>
            </w:r>
          </w:p>
        </w:tc>
        <w:tc>
          <w:tcPr>
            <w:tcW w:w="2440" w:type="dxa"/>
            <w:vAlign w:val="bottom"/>
          </w:tcPr>
          <w:p>
            <w:pPr>
              <w:spacing w:after="0"/>
              <w:rPr>
                <w:sz w:val="21"/>
                <w:szCs w:val="21"/>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1"/>
                <w:szCs w:val="21"/>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Unallocated expenses</w:t>
            </w:r>
          </w:p>
        </w:tc>
        <w:tc>
          <w:tcPr>
            <w:tcW w:w="2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249</w:t>
            </w:r>
          </w:p>
        </w:tc>
        <w:tc>
          <w:tcPr>
            <w:tcW w:w="8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1,115</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(166)</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1,103</w:t>
            </w:r>
          </w:p>
        </w:tc>
      </w:tr>
      <w:tr>
        <w:trPr>
          <w:trHeight w:val="196"/>
        </w:trPr>
        <w:tc>
          <w:tcPr>
            <w:tcW w:w="44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Consolidated total</w:t>
            </w:r>
          </w:p>
        </w:tc>
        <w:tc>
          <w:tcPr>
            <w:tcW w:w="2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3,152</w:t>
            </w:r>
          </w:p>
        </w:tc>
        <w:tc>
          <w:tcPr>
            <w:tcW w:w="880" w:type="dxa"/>
            <w:vAlign w:val="bottom"/>
            <w:tcBorders>
              <w:bottom w:val="single" w:sz="8" w:color="auto"/>
            </w:tcBorders>
            <w:gridSpan w:val="2"/>
          </w:tcPr>
          <w:p>
            <w:pPr>
              <w:jc w:val="right"/>
              <w:ind w:right="190"/>
              <w:spacing w:after="0" w:line="196" w:lineRule="exact"/>
              <w:rPr>
                <w:sz w:val="20"/>
                <w:szCs w:val="20"/>
                <w:color w:val="auto"/>
              </w:rPr>
            </w:pPr>
            <w:r>
              <w:rPr>
                <w:rFonts w:ascii="Arial" w:cs="Arial" w:eastAsia="Arial" w:hAnsi="Arial"/>
                <w:sz w:val="18"/>
                <w:szCs w:val="18"/>
                <w:color w:val="auto"/>
              </w:rPr>
              <w:t>$1,731</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3,410</w:t>
            </w: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$1,765</w:t>
            </w:r>
          </w:p>
        </w:tc>
      </w:tr>
    </w:tbl>
    <w:p>
      <w:pPr>
        <w:spacing w:after="0" w:line="377"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2012 expense was principally related to a reduction in workforce in Sweden and the previously announced curtailment of manufacturing in New York and Wisconsin. Those costs were partially offset by a reduction in accruals related to the relocation of the Company’s headquarters. The 2011 expense was principally due to the same integration and the substantial completion of the SAP conversion project.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the total assets of reportable segments during this period.</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Pensions and Other Benefits</w:t>
      </w:r>
    </w:p>
    <w:p>
      <w:pPr>
        <w:spacing w:after="0" w:line="20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sponsor defined benefit pension plans in various countries. The amount of contributions to the plans is based on several factors including the funding rules in each country. We also provide certain medical, dental and life insurance benefits (“Other Postretirement Benefits”) for retired United States and Canadian employees that meet program qualifications. We currently fund this plan as claims are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29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six months ended June 30, 2012 and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4220" w:type="dxa"/>
            <w:vAlign w:val="bottom"/>
            <w:gridSpan w:val="2"/>
          </w:tcPr>
          <w:p>
            <w:pPr>
              <w:jc w:val="right"/>
              <w:ind w:right="610"/>
              <w:spacing w:after="0"/>
              <w:rPr>
                <w:sz w:val="20"/>
                <w:szCs w:val="20"/>
                <w:color w:val="auto"/>
              </w:rPr>
            </w:pPr>
            <w:r>
              <w:rPr>
                <w:rFonts w:ascii="Arial" w:cs="Arial" w:eastAsia="Arial" w:hAnsi="Arial"/>
                <w:sz w:val="18"/>
                <w:szCs w:val="18"/>
                <w:color w:val="auto"/>
              </w:rPr>
              <w:t>Pension Plans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Other Postretirement Benefits</w:t>
            </w:r>
          </w:p>
        </w:tc>
      </w:tr>
      <w:tr>
        <w:trPr>
          <w:trHeight w:val="225"/>
        </w:trPr>
        <w:tc>
          <w:tcPr>
            <w:tcW w:w="4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3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493"/>
        </w:trPr>
        <w:tc>
          <w:tcPr>
            <w:tcW w:w="4540" w:type="dxa"/>
            <w:vAlign w:val="bottom"/>
          </w:tcPr>
          <w:p>
            <w:pPr>
              <w:ind w:left="100"/>
              <w:spacing w:after="0"/>
              <w:rPr>
                <w:sz w:val="20"/>
                <w:szCs w:val="20"/>
                <w:color w:val="auto"/>
              </w:rPr>
            </w:pPr>
            <w:r>
              <w:rPr>
                <w:rFonts w:ascii="Arial" w:cs="Arial" w:eastAsia="Arial" w:hAnsi="Arial"/>
                <w:sz w:val="18"/>
                <w:szCs w:val="18"/>
                <w:color w:val="auto"/>
              </w:rPr>
              <w:t>Service cost</w:t>
            </w:r>
          </w:p>
        </w:tc>
        <w:tc>
          <w:tcPr>
            <w:tcW w:w="3080" w:type="dxa"/>
            <w:vAlign w:val="bottom"/>
          </w:tcPr>
          <w:p>
            <w:pPr>
              <w:jc w:val="right"/>
              <w:ind w:right="270"/>
              <w:spacing w:after="0"/>
              <w:rPr>
                <w:sz w:val="20"/>
                <w:szCs w:val="20"/>
                <w:color w:val="auto"/>
              </w:rPr>
            </w:pPr>
            <w:r>
              <w:rPr>
                <w:rFonts w:ascii="Arial" w:cs="Arial" w:eastAsia="Arial" w:hAnsi="Arial"/>
                <w:sz w:val="18"/>
                <w:szCs w:val="18"/>
                <w:b w:val="1"/>
                <w:bCs w:val="1"/>
                <w:color w:val="auto"/>
              </w:rPr>
              <w:t>$1,699</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$1,698</w:t>
            </w: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$536</w:t>
            </w:r>
          </w:p>
        </w:tc>
        <w:tc>
          <w:tcPr>
            <w:tcW w:w="108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43"/>
        </w:trPr>
        <w:tc>
          <w:tcPr>
            <w:tcW w:w="454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3080" w:type="dxa"/>
            <w:vAlign w:val="bottom"/>
          </w:tcPr>
          <w:p>
            <w:pPr>
              <w:jc w:val="right"/>
              <w:ind w:right="270"/>
              <w:spacing w:after="0"/>
              <w:rPr>
                <w:sz w:val="20"/>
                <w:szCs w:val="20"/>
                <w:color w:val="auto"/>
              </w:rPr>
            </w:pPr>
            <w:r>
              <w:rPr>
                <w:rFonts w:ascii="Arial" w:cs="Arial" w:eastAsia="Arial" w:hAnsi="Arial"/>
                <w:sz w:val="18"/>
                <w:szCs w:val="18"/>
                <w:b w:val="1"/>
                <w:bCs w:val="1"/>
                <w:color w:val="auto"/>
              </w:rPr>
              <w:t>7,589</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10,068</w:t>
            </w: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1,844</w:t>
            </w:r>
          </w:p>
        </w:tc>
        <w:tc>
          <w:tcPr>
            <w:tcW w:w="108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43"/>
        </w:trPr>
        <w:tc>
          <w:tcPr>
            <w:tcW w:w="4540" w:type="dxa"/>
            <w:vAlign w:val="bottom"/>
          </w:tcPr>
          <w:p>
            <w:pPr>
              <w:ind w:left="100"/>
              <w:spacing w:after="0"/>
              <w:rPr>
                <w:sz w:val="20"/>
                <w:szCs w:val="20"/>
                <w:color w:val="auto"/>
              </w:rPr>
            </w:pPr>
            <w:r>
              <w:rPr>
                <w:rFonts w:ascii="Arial" w:cs="Arial" w:eastAsia="Arial" w:hAnsi="Arial"/>
                <w:sz w:val="18"/>
                <w:szCs w:val="18"/>
                <w:color w:val="auto"/>
              </w:rPr>
              <w:t>Expected return on plan assets</w:t>
            </w:r>
          </w:p>
        </w:tc>
        <w:tc>
          <w:tcPr>
            <w:tcW w:w="3080" w:type="dxa"/>
            <w:vAlign w:val="bottom"/>
          </w:tcPr>
          <w:p>
            <w:pPr>
              <w:jc w:val="right"/>
              <w:ind w:right="210"/>
              <w:spacing w:after="0"/>
              <w:rPr>
                <w:sz w:val="20"/>
                <w:szCs w:val="20"/>
                <w:color w:val="auto"/>
              </w:rPr>
            </w:pPr>
            <w:r>
              <w:rPr>
                <w:rFonts w:ascii="Arial" w:cs="Arial" w:eastAsia="Arial" w:hAnsi="Arial"/>
                <w:sz w:val="18"/>
                <w:szCs w:val="18"/>
                <w:b w:val="1"/>
                <w:bCs w:val="1"/>
                <w:color w:val="auto"/>
              </w:rPr>
              <w:t>(7,184)</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(7,962)</w:t>
            </w: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454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3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Transition obligation</w:t>
            </w:r>
          </w:p>
        </w:tc>
        <w:tc>
          <w:tcPr>
            <w:tcW w:w="3080" w:type="dxa"/>
            <w:vAlign w:val="bottom"/>
          </w:tcPr>
          <w:p>
            <w:pPr>
              <w:jc w:val="right"/>
              <w:ind w:right="270"/>
              <w:spacing w:after="0"/>
              <w:rPr>
                <w:sz w:val="20"/>
                <w:szCs w:val="20"/>
                <w:color w:val="auto"/>
              </w:rPr>
            </w:pPr>
            <w:r>
              <w:rPr>
                <w:rFonts w:ascii="Arial" w:cs="Arial" w:eastAsia="Arial" w:hAnsi="Arial"/>
                <w:sz w:val="18"/>
                <w:szCs w:val="18"/>
                <w:b w:val="1"/>
                <w:bCs w:val="1"/>
                <w:color w:val="auto"/>
              </w:rPr>
              <w:t>37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Prior service cost/(credit)</w:t>
            </w:r>
          </w:p>
        </w:tc>
        <w:tc>
          <w:tcPr>
            <w:tcW w:w="3080" w:type="dxa"/>
            <w:vAlign w:val="bottom"/>
          </w:tcPr>
          <w:p>
            <w:pPr>
              <w:jc w:val="right"/>
              <w:ind w:right="270"/>
              <w:spacing w:after="0"/>
              <w:rPr>
                <w:sz w:val="20"/>
                <w:szCs w:val="20"/>
                <w:color w:val="auto"/>
              </w:rPr>
            </w:pPr>
            <w:r>
              <w:rPr>
                <w:rFonts w:ascii="Arial" w:cs="Arial" w:eastAsia="Arial" w:hAnsi="Arial"/>
                <w:sz w:val="18"/>
                <w:szCs w:val="18"/>
                <w:b w:val="1"/>
                <w:bCs w:val="1"/>
                <w:color w:val="auto"/>
              </w:rPr>
              <w:t>17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(1,834)</w:t>
            </w:r>
          </w:p>
        </w:tc>
        <w:tc>
          <w:tcPr>
            <w:tcW w:w="108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Net actuarial loss</w:t>
            </w:r>
          </w:p>
        </w:tc>
        <w:tc>
          <w:tcPr>
            <w:tcW w:w="3080" w:type="dxa"/>
            <w:vAlign w:val="bottom"/>
          </w:tcPr>
          <w:p>
            <w:pPr>
              <w:jc w:val="right"/>
              <w:ind w:right="270"/>
              <w:spacing w:after="0"/>
              <w:rPr>
                <w:sz w:val="20"/>
                <w:szCs w:val="20"/>
                <w:color w:val="auto"/>
              </w:rPr>
            </w:pPr>
            <w:r>
              <w:rPr>
                <w:rFonts w:ascii="Arial" w:cs="Arial" w:eastAsia="Arial" w:hAnsi="Arial"/>
                <w:sz w:val="18"/>
                <w:szCs w:val="18"/>
                <w:b w:val="1"/>
                <w:bCs w:val="1"/>
                <w:color w:val="auto"/>
              </w:rPr>
              <w:t>2,839</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2,844</w:t>
            </w: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1,608</w:t>
            </w:r>
          </w:p>
        </w:tc>
        <w:tc>
          <w:tcPr>
            <w:tcW w:w="108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432"/>
        </w:trPr>
        <w:tc>
          <w:tcPr>
            <w:tcW w:w="4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Settlement charge</w:t>
            </w:r>
          </w:p>
        </w:tc>
        <w:tc>
          <w:tcPr>
            <w:tcW w:w="3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119,735</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5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periodic benefit costs</w:t>
            </w:r>
          </w:p>
        </w:tc>
        <w:tc>
          <w:tcPr>
            <w:tcW w:w="30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$124,732</w:t>
            </w:r>
          </w:p>
        </w:tc>
        <w:tc>
          <w:tcPr>
            <w:tcW w:w="11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$6,710</w:t>
            </w:r>
          </w:p>
        </w:tc>
        <w:tc>
          <w:tcPr>
            <w:tcW w:w="15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$2,154</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$2,038</w:t>
            </w:r>
          </w:p>
        </w:tc>
      </w:tr>
    </w:tbl>
    <w:p>
      <w:pPr>
        <w:spacing w:after="0" w:line="202"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In the first quarter of 2012, the Company announced a plan to significantly reduce its pension plan liabilities by settling certain pension obligations leading to settlement charges totaling $119.7 million for the first six months of 2012. In the first quarter of 2012, we recorded a settlement charge of $9.2 million related to the extinguishment of our pension plan liability in Sweden. In the second quarter of 2012, we recorded settlement charges totaling $110.6 million related to settling a majority of the defined benefit pension plan liabilities in the United States and Canada. As a result of settling these pension liabilities and making additional voluntary contributions, the combined unfunded pension liability declined from $101.2 million as of December 31, 2011 to $26.9 million at June 30, 2012.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Restructuring</w:t>
      </w:r>
    </w:p>
    <w:p>
      <w:pPr>
        <w:spacing w:after="0" w:line="220"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Restructuring expenses in 2012 were principally related to a reduction in workforce in Sweden and the previously announced curtailment of manufacturing in New York and Wisconsin. Those costs were partially offset by a reduction in accruals related to the relocation of the Company’s headquarters.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charges reported in the Statement of Operations under “Restructuring and other, net” for 2012 and 2011: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7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Six months ended</w:t>
            </w: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260" w:type="dxa"/>
            <w:vAlign w:val="bottom"/>
          </w:tcPr>
          <w:p>
            <w:pPr>
              <w:jc w:val="right"/>
              <w:ind w:right="690"/>
              <w:spacing w:after="0" w:line="202" w:lineRule="exact"/>
              <w:rPr>
                <w:sz w:val="20"/>
                <w:szCs w:val="20"/>
                <w:color w:val="auto"/>
              </w:rPr>
            </w:pPr>
            <w:r>
              <w:rPr>
                <w:rFonts w:ascii="Arial" w:cs="Arial" w:eastAsia="Arial" w:hAnsi="Arial"/>
                <w:sz w:val="18"/>
                <w:szCs w:val="18"/>
                <w:color w:val="auto"/>
              </w:rPr>
              <w:t>June 30,</w:t>
            </w:r>
          </w:p>
        </w:tc>
        <w:tc>
          <w:tcPr>
            <w:tcW w:w="1760" w:type="dxa"/>
            <w:vAlign w:val="bottom"/>
          </w:tcPr>
          <w:p>
            <w:pPr>
              <w:spacing w:after="0"/>
              <w:rPr>
                <w:sz w:val="17"/>
                <w:szCs w:val="17"/>
                <w:color w:val="auto"/>
              </w:rPr>
            </w:pPr>
          </w:p>
        </w:tc>
        <w:tc>
          <w:tcPr>
            <w:tcW w:w="17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8"/>
              </w:rPr>
              <w:t>June 30,</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(in thousands)</w:t>
            </w:r>
          </w:p>
        </w:tc>
        <w:tc>
          <w:tcPr>
            <w:tcW w:w="3260" w:type="dxa"/>
            <w:vAlign w:val="bottom"/>
            <w:tcBorders>
              <w:bottom w:val="single" w:sz="8" w:color="auto"/>
            </w:tcBorders>
          </w:tcPr>
          <w:p>
            <w:pPr>
              <w:jc w:val="right"/>
              <w:ind w:right="830"/>
              <w:spacing w:after="0" w:line="203" w:lineRule="exact"/>
              <w:rPr>
                <w:sz w:val="20"/>
                <w:szCs w:val="20"/>
                <w:color w:val="auto"/>
              </w:rPr>
            </w:pPr>
            <w:r>
              <w:rPr>
                <w:rFonts w:ascii="Arial" w:cs="Arial" w:eastAsia="Arial" w:hAnsi="Arial"/>
                <w:sz w:val="18"/>
                <w:szCs w:val="18"/>
                <w:color w:val="auto"/>
              </w:rPr>
              <w:t>2012</w:t>
            </w:r>
          </w:p>
        </w:tc>
        <w:tc>
          <w:tcPr>
            <w:tcW w:w="1760" w:type="dxa"/>
            <w:vAlign w:val="bottom"/>
            <w:tcBorders>
              <w:bottom w:val="single" w:sz="8" w:color="auto"/>
            </w:tcBorders>
          </w:tcPr>
          <w:p>
            <w:pPr>
              <w:jc w:val="right"/>
              <w:ind w:right="1010"/>
              <w:spacing w:after="0" w:line="203" w:lineRule="exact"/>
              <w:rPr>
                <w:sz w:val="20"/>
                <w:szCs w:val="20"/>
                <w:color w:val="auto"/>
              </w:rPr>
            </w:pPr>
            <w:r>
              <w:rPr>
                <w:rFonts w:ascii="Arial" w:cs="Arial" w:eastAsia="Arial" w:hAnsi="Arial"/>
                <w:sz w:val="18"/>
                <w:szCs w:val="18"/>
                <w:color w:val="auto"/>
              </w:rPr>
              <w:t>2011</w:t>
            </w:r>
          </w:p>
        </w:tc>
        <w:tc>
          <w:tcPr>
            <w:tcW w:w="1700" w:type="dxa"/>
            <w:vAlign w:val="bottom"/>
            <w:tcBorders>
              <w:bottom w:val="single" w:sz="8" w:color="auto"/>
            </w:tcBorders>
          </w:tcPr>
          <w:p>
            <w:pPr>
              <w:jc w:val="right"/>
              <w:ind w:right="710"/>
              <w:spacing w:after="0" w:line="203" w:lineRule="exact"/>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Pr>
          <w:p>
            <w:pPr>
              <w:ind w:left="20"/>
              <w:spacing w:after="0" w:line="195" w:lineRule="exact"/>
              <w:rPr>
                <w:sz w:val="20"/>
                <w:szCs w:val="20"/>
                <w:color w:val="auto"/>
              </w:rPr>
            </w:pPr>
            <w:r>
              <w:rPr>
                <w:rFonts w:ascii="Arial" w:cs="Arial" w:eastAsia="Arial" w:hAnsi="Arial"/>
                <w:sz w:val="18"/>
                <w:szCs w:val="18"/>
                <w:color w:val="auto"/>
              </w:rPr>
              <w:t>Machine Clothing</w:t>
            </w:r>
          </w:p>
        </w:tc>
        <w:tc>
          <w:tcPr>
            <w:tcW w:w="3260" w:type="dxa"/>
            <w:vAlign w:val="bottom"/>
          </w:tcPr>
          <w:p>
            <w:pPr>
              <w:jc w:val="right"/>
              <w:ind w:right="830"/>
              <w:spacing w:after="0" w:line="195" w:lineRule="exact"/>
              <w:rPr>
                <w:sz w:val="20"/>
                <w:szCs w:val="20"/>
                <w:color w:val="auto"/>
              </w:rPr>
            </w:pPr>
            <w:r>
              <w:rPr>
                <w:rFonts w:ascii="Arial" w:cs="Arial" w:eastAsia="Arial" w:hAnsi="Arial"/>
                <w:sz w:val="18"/>
                <w:szCs w:val="18"/>
                <w:color w:val="auto"/>
              </w:rPr>
              <w:t>$2,903</w:t>
            </w:r>
          </w:p>
        </w:tc>
        <w:tc>
          <w:tcPr>
            <w:tcW w:w="1760" w:type="dxa"/>
            <w:vAlign w:val="bottom"/>
          </w:tcPr>
          <w:p>
            <w:pPr>
              <w:jc w:val="right"/>
              <w:ind w:right="1010"/>
              <w:spacing w:after="0" w:line="195" w:lineRule="exact"/>
              <w:rPr>
                <w:sz w:val="20"/>
                <w:szCs w:val="20"/>
                <w:color w:val="auto"/>
              </w:rPr>
            </w:pPr>
            <w:r>
              <w:rPr>
                <w:rFonts w:ascii="Arial" w:cs="Arial" w:eastAsia="Arial" w:hAnsi="Arial"/>
                <w:sz w:val="18"/>
                <w:szCs w:val="18"/>
                <w:color w:val="auto"/>
              </w:rPr>
              <w:t>$572</w:t>
            </w:r>
          </w:p>
        </w:tc>
        <w:tc>
          <w:tcPr>
            <w:tcW w:w="1700" w:type="dxa"/>
            <w:vAlign w:val="bottom"/>
          </w:tcPr>
          <w:p>
            <w:pPr>
              <w:jc w:val="right"/>
              <w:ind w:right="710"/>
              <w:spacing w:after="0" w:line="195" w:lineRule="exact"/>
              <w:rPr>
                <w:sz w:val="20"/>
                <w:szCs w:val="20"/>
                <w:color w:val="auto"/>
              </w:rPr>
            </w:pPr>
            <w:r>
              <w:rPr>
                <w:rFonts w:ascii="Arial" w:cs="Arial" w:eastAsia="Arial" w:hAnsi="Arial"/>
                <w:sz w:val="18"/>
                <w:szCs w:val="18"/>
                <w:color w:val="auto"/>
              </w:rPr>
              <w:t>$3,576</w:t>
            </w:r>
          </w:p>
        </w:tc>
        <w:tc>
          <w:tcPr>
            <w:tcW w:w="340" w:type="dxa"/>
            <w:vAlign w:val="bottom"/>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$605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Engineered Composites</w:t>
            </w:r>
          </w:p>
        </w:tc>
        <w:tc>
          <w:tcPr>
            <w:tcW w:w="3260" w:type="dxa"/>
            <w:vAlign w:val="bottom"/>
          </w:tcPr>
          <w:p>
            <w:pPr>
              <w:ind w:left="21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1010"/>
              <w:spacing w:after="0" w:line="202" w:lineRule="exact"/>
              <w:rPr>
                <w:sz w:val="20"/>
                <w:szCs w:val="20"/>
                <w:color w:val="auto"/>
              </w:rPr>
            </w:pPr>
            <w:r>
              <w:rPr>
                <w:rFonts w:ascii="Arial" w:cs="Arial" w:eastAsia="Arial" w:hAnsi="Arial"/>
                <w:sz w:val="18"/>
                <w:szCs w:val="18"/>
                <w:color w:val="auto"/>
              </w:rPr>
              <w:t>44</w:t>
            </w:r>
          </w:p>
        </w:tc>
        <w:tc>
          <w:tcPr>
            <w:tcW w:w="17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Unallocated expenses</w:t>
            </w:r>
          </w:p>
        </w:tc>
        <w:tc>
          <w:tcPr>
            <w:tcW w:w="3260" w:type="dxa"/>
            <w:vAlign w:val="bottom"/>
            <w:tcBorders>
              <w:bottom w:val="single" w:sz="8" w:color="auto"/>
            </w:tcBorders>
          </w:tcPr>
          <w:p>
            <w:pPr>
              <w:jc w:val="right"/>
              <w:ind w:right="830"/>
              <w:spacing w:after="0" w:line="203" w:lineRule="exact"/>
              <w:rPr>
                <w:sz w:val="20"/>
                <w:szCs w:val="20"/>
                <w:color w:val="auto"/>
              </w:rPr>
            </w:pPr>
            <w:r>
              <w:rPr>
                <w:rFonts w:ascii="Arial" w:cs="Arial" w:eastAsia="Arial" w:hAnsi="Arial"/>
                <w:sz w:val="18"/>
                <w:szCs w:val="18"/>
                <w:color w:val="auto"/>
              </w:rPr>
              <w:t>249</w:t>
            </w:r>
          </w:p>
        </w:tc>
        <w:tc>
          <w:tcPr>
            <w:tcW w:w="1760" w:type="dxa"/>
            <w:vAlign w:val="bottom"/>
            <w:tcBorders>
              <w:bottom w:val="single" w:sz="8" w:color="auto"/>
            </w:tcBorders>
          </w:tcPr>
          <w:p>
            <w:pPr>
              <w:jc w:val="right"/>
              <w:ind w:right="1010"/>
              <w:spacing w:after="0" w:line="203" w:lineRule="exact"/>
              <w:rPr>
                <w:sz w:val="20"/>
                <w:szCs w:val="20"/>
                <w:color w:val="auto"/>
              </w:rPr>
            </w:pPr>
            <w:r>
              <w:rPr>
                <w:rFonts w:ascii="Arial" w:cs="Arial" w:eastAsia="Arial" w:hAnsi="Arial"/>
                <w:sz w:val="18"/>
                <w:szCs w:val="18"/>
                <w:color w:val="auto"/>
              </w:rPr>
              <w:t>1,115</w:t>
            </w:r>
          </w:p>
        </w:tc>
        <w:tc>
          <w:tcPr>
            <w:tcW w:w="1700" w:type="dxa"/>
            <w:vAlign w:val="bottom"/>
            <w:tcBorders>
              <w:bottom w:val="single" w:sz="8" w:color="auto"/>
            </w:tcBorders>
          </w:tcPr>
          <w:p>
            <w:pPr>
              <w:jc w:val="center"/>
              <w:ind w:right="110"/>
              <w:spacing w:after="0" w:line="203" w:lineRule="exact"/>
              <w:rPr>
                <w:sz w:val="20"/>
                <w:szCs w:val="20"/>
                <w:color w:val="auto"/>
              </w:rPr>
            </w:pPr>
            <w:r>
              <w:rPr>
                <w:rFonts w:ascii="Arial" w:cs="Arial" w:eastAsia="Arial" w:hAnsi="Arial"/>
                <w:sz w:val="18"/>
                <w:szCs w:val="18"/>
                <w:color w:val="auto"/>
                <w:w w:val="99"/>
              </w:rPr>
              <w:t>(166)</w:t>
            </w: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26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color w:val="auto"/>
              </w:rPr>
              <w:t>$3,152</w:t>
            </w:r>
          </w:p>
        </w:tc>
        <w:tc>
          <w:tcPr>
            <w:tcW w:w="1760" w:type="dxa"/>
            <w:vAlign w:val="bottom"/>
            <w:tcBorders>
              <w:bottom w:val="single" w:sz="8" w:color="auto"/>
            </w:tcBorders>
          </w:tcPr>
          <w:p>
            <w:pPr>
              <w:jc w:val="right"/>
              <w:ind w:right="1010"/>
              <w:spacing w:after="0" w:line="196" w:lineRule="exact"/>
              <w:rPr>
                <w:sz w:val="20"/>
                <w:szCs w:val="20"/>
                <w:color w:val="auto"/>
              </w:rPr>
            </w:pPr>
            <w:r>
              <w:rPr>
                <w:rFonts w:ascii="Arial" w:cs="Arial" w:eastAsia="Arial" w:hAnsi="Arial"/>
                <w:sz w:val="18"/>
                <w:szCs w:val="18"/>
                <w:color w:val="auto"/>
              </w:rPr>
              <w:t>$1,731</w:t>
            </w:r>
          </w:p>
        </w:tc>
        <w:tc>
          <w:tcPr>
            <w:tcW w:w="17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rPr>
              <w:t>$3,410</w:t>
            </w: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3820" w:type="dxa"/>
            <w:vAlign w:val="bottom"/>
            <w:gridSpan w:val="2"/>
          </w:tcPr>
          <w:p>
            <w:pPr>
              <w:spacing w:after="0"/>
              <w:rPr>
                <w:sz w:val="24"/>
                <w:szCs w:val="24"/>
                <w:color w:val="auto"/>
              </w:rPr>
            </w:pPr>
          </w:p>
        </w:tc>
        <w:tc>
          <w:tcPr>
            <w:tcW w:w="3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Six months ended June 30, 2012</w:t>
            </w:r>
          </w:p>
        </w:tc>
        <w:tc>
          <w:tcPr>
            <w:tcW w:w="32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Total restructuring costs</w:t>
            </w:r>
          </w:p>
        </w:tc>
        <w:tc>
          <w:tcPr>
            <w:tcW w:w="17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Termination and</w:t>
            </w:r>
          </w:p>
        </w:tc>
        <w:tc>
          <w:tcPr>
            <w:tcW w:w="258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Impairment of plant and</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3260" w:type="dxa"/>
            <w:vAlign w:val="bottom"/>
          </w:tcPr>
          <w:p>
            <w:pPr>
              <w:ind w:left="2180"/>
              <w:spacing w:after="0" w:line="203" w:lineRule="exact"/>
              <w:rPr>
                <w:sz w:val="20"/>
                <w:szCs w:val="20"/>
                <w:color w:val="auto"/>
              </w:rPr>
            </w:pPr>
            <w:r>
              <w:rPr>
                <w:rFonts w:ascii="Arial" w:cs="Arial" w:eastAsia="Arial" w:hAnsi="Arial"/>
                <w:sz w:val="18"/>
                <w:szCs w:val="18"/>
                <w:color w:val="auto"/>
              </w:rPr>
              <w:t>incurred</w:t>
            </w:r>
          </w:p>
        </w:tc>
        <w:tc>
          <w:tcPr>
            <w:tcW w:w="176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other costs</w:t>
            </w:r>
          </w:p>
        </w:tc>
        <w:tc>
          <w:tcPr>
            <w:tcW w:w="1700" w:type="dxa"/>
            <w:vAlign w:val="bottom"/>
          </w:tcPr>
          <w:p>
            <w:pPr>
              <w:spacing w:after="0"/>
              <w:rPr>
                <w:sz w:val="17"/>
                <w:szCs w:val="17"/>
                <w:color w:val="auto"/>
              </w:rPr>
            </w:pPr>
          </w:p>
        </w:tc>
        <w:tc>
          <w:tcPr>
            <w:tcW w:w="920" w:type="dxa"/>
            <w:vAlign w:val="bottom"/>
            <w:gridSpan w:val="4"/>
          </w:tcPr>
          <w:p>
            <w:pPr>
              <w:ind w:left="40"/>
              <w:spacing w:after="0" w:line="203" w:lineRule="exact"/>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195"/>
        </w:trPr>
        <w:tc>
          <w:tcPr>
            <w:tcW w:w="38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Machine Clothing</w:t>
            </w:r>
          </w:p>
        </w:tc>
        <w:tc>
          <w:tcPr>
            <w:tcW w:w="32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$3,576</w:t>
            </w:r>
          </w:p>
        </w:tc>
        <w:tc>
          <w:tcPr>
            <w:tcW w:w="176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$3,576</w:t>
            </w:r>
          </w:p>
        </w:tc>
        <w:tc>
          <w:tcPr>
            <w:tcW w:w="17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Engineered Composites</w:t>
            </w:r>
          </w:p>
        </w:tc>
        <w:tc>
          <w:tcPr>
            <w:tcW w:w="32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Unallocated expenses</w:t>
            </w:r>
          </w:p>
        </w:tc>
        <w:tc>
          <w:tcPr>
            <w:tcW w:w="326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(166)</w:t>
            </w:r>
          </w:p>
        </w:tc>
        <w:tc>
          <w:tcPr>
            <w:tcW w:w="17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380</w:t>
            </w:r>
          </w:p>
        </w:tc>
        <w:tc>
          <w:tcPr>
            <w:tcW w:w="1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3260" w:type="dxa"/>
            <w:vAlign w:val="bottom"/>
          </w:tcPr>
          <w:p>
            <w:pPr>
              <w:jc w:val="right"/>
              <w:ind w:right="390"/>
              <w:spacing w:after="0" w:line="196" w:lineRule="exact"/>
              <w:rPr>
                <w:sz w:val="20"/>
                <w:szCs w:val="20"/>
                <w:color w:val="auto"/>
              </w:rPr>
            </w:pPr>
            <w:r>
              <w:rPr>
                <w:rFonts w:ascii="Arial" w:cs="Arial" w:eastAsia="Arial" w:hAnsi="Arial"/>
                <w:sz w:val="18"/>
                <w:szCs w:val="18"/>
                <w:color w:val="auto"/>
              </w:rPr>
              <w:t>$3,410</w:t>
            </w:r>
          </w:p>
        </w:tc>
        <w:tc>
          <w:tcPr>
            <w:tcW w:w="176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$3,956</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color w:val="auto"/>
              </w:rPr>
              <w:t>Six months ended June 30, 2011</w:t>
            </w:r>
          </w:p>
        </w:tc>
        <w:tc>
          <w:tcPr>
            <w:tcW w:w="326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gridSpan w:val="2"/>
            <w:vMerge w:val="continue"/>
          </w:tcPr>
          <w:p>
            <w:pPr>
              <w:spacing w:after="0"/>
              <w:rPr>
                <w:sz w:val="16"/>
                <w:szCs w:val="16"/>
                <w:color w:val="auto"/>
              </w:rPr>
            </w:pPr>
          </w:p>
        </w:tc>
        <w:tc>
          <w:tcPr>
            <w:tcW w:w="326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Total restructuring costs</w:t>
            </w:r>
          </w:p>
        </w:tc>
        <w:tc>
          <w:tcPr>
            <w:tcW w:w="176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Termination and</w:t>
            </w:r>
          </w:p>
        </w:tc>
        <w:tc>
          <w:tcPr>
            <w:tcW w:w="258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Impairment of plant and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3260" w:type="dxa"/>
            <w:vAlign w:val="bottom"/>
          </w:tcPr>
          <w:p>
            <w:pPr>
              <w:ind w:left="2180"/>
              <w:spacing w:after="0" w:line="203" w:lineRule="exact"/>
              <w:rPr>
                <w:sz w:val="20"/>
                <w:szCs w:val="20"/>
                <w:color w:val="auto"/>
              </w:rPr>
            </w:pPr>
            <w:r>
              <w:rPr>
                <w:rFonts w:ascii="Arial" w:cs="Arial" w:eastAsia="Arial" w:hAnsi="Arial"/>
                <w:sz w:val="18"/>
                <w:szCs w:val="18"/>
                <w:color w:val="auto"/>
              </w:rPr>
              <w:t>incurred</w:t>
            </w:r>
          </w:p>
        </w:tc>
        <w:tc>
          <w:tcPr>
            <w:tcW w:w="176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other costs</w:t>
            </w:r>
          </w:p>
        </w:tc>
        <w:tc>
          <w:tcPr>
            <w:tcW w:w="1700" w:type="dxa"/>
            <w:vAlign w:val="bottom"/>
          </w:tcPr>
          <w:p>
            <w:pPr>
              <w:spacing w:after="0"/>
              <w:rPr>
                <w:sz w:val="17"/>
                <w:szCs w:val="17"/>
                <w:color w:val="auto"/>
              </w:rPr>
            </w:pPr>
          </w:p>
        </w:tc>
        <w:tc>
          <w:tcPr>
            <w:tcW w:w="920" w:type="dxa"/>
            <w:vAlign w:val="bottom"/>
            <w:gridSpan w:val="4"/>
          </w:tcPr>
          <w:p>
            <w:pPr>
              <w:ind w:left="40"/>
              <w:spacing w:after="0" w:line="203" w:lineRule="exact"/>
              <w:rPr>
                <w:sz w:val="20"/>
                <w:szCs w:val="20"/>
                <w:color w:val="auto"/>
              </w:rPr>
            </w:pPr>
            <w:r>
              <w:rPr>
                <w:rFonts w:ascii="Arial" w:cs="Arial" w:eastAsia="Arial" w:hAnsi="Arial"/>
                <w:sz w:val="18"/>
                <w:szCs w:val="18"/>
                <w:color w:val="auto"/>
              </w:rPr>
              <w:t>equipment</w:t>
            </w:r>
          </w:p>
        </w:tc>
        <w:tc>
          <w:tcPr>
            <w:tcW w:w="0" w:type="dxa"/>
            <w:vAlign w:val="bottom"/>
          </w:tcPr>
          <w:p>
            <w:pPr>
              <w:spacing w:after="0"/>
              <w:rPr>
                <w:sz w:val="1"/>
                <w:szCs w:val="1"/>
                <w:color w:val="auto"/>
              </w:rPr>
            </w:pPr>
          </w:p>
        </w:tc>
      </w:tr>
      <w:tr>
        <w:trPr>
          <w:trHeight w:val="195"/>
        </w:trPr>
        <w:tc>
          <w:tcPr>
            <w:tcW w:w="38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Machine Clothing</w:t>
            </w:r>
          </w:p>
        </w:tc>
        <w:tc>
          <w:tcPr>
            <w:tcW w:w="326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$605</w:t>
            </w:r>
          </w:p>
        </w:tc>
        <w:tc>
          <w:tcPr>
            <w:tcW w:w="176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$605</w:t>
            </w:r>
          </w:p>
        </w:tc>
        <w:tc>
          <w:tcPr>
            <w:tcW w:w="17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Engineered Composites</w:t>
            </w:r>
          </w:p>
        </w:tc>
        <w:tc>
          <w:tcPr>
            <w:tcW w:w="3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57</w:t>
            </w:r>
          </w:p>
        </w:tc>
        <w:tc>
          <w:tcPr>
            <w:tcW w:w="17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57</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Unallocated expenses</w:t>
            </w:r>
          </w:p>
        </w:tc>
        <w:tc>
          <w:tcPr>
            <w:tcW w:w="32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1,103</w:t>
            </w:r>
          </w:p>
        </w:tc>
        <w:tc>
          <w:tcPr>
            <w:tcW w:w="17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1,103</w:t>
            </w:r>
          </w:p>
        </w:tc>
        <w:tc>
          <w:tcPr>
            <w:tcW w:w="1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32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$1,765</w:t>
            </w:r>
          </w:p>
        </w:tc>
        <w:tc>
          <w:tcPr>
            <w:tcW w:w="17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$1,765</w:t>
            </w:r>
          </w:p>
        </w:tc>
        <w:tc>
          <w:tcPr>
            <w:tcW w:w="1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year-to-date summaries of changes in restructuring liabilities for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0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Restructuring charges</w:t>
            </w:r>
          </w:p>
        </w:tc>
        <w:tc>
          <w:tcPr>
            <w:tcW w:w="18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r>
      <w:tr>
        <w:trPr>
          <w:trHeight w:val="203"/>
        </w:trPr>
        <w:tc>
          <w:tcPr>
            <w:tcW w:w="1900" w:type="dxa"/>
            <w:vAlign w:val="bottom"/>
          </w:tcPr>
          <w:p>
            <w:pPr>
              <w:spacing w:after="0"/>
              <w:rPr>
                <w:sz w:val="17"/>
                <w:szCs w:val="17"/>
                <w:color w:val="auto"/>
              </w:rPr>
            </w:pPr>
          </w:p>
        </w:tc>
        <w:tc>
          <w:tcPr>
            <w:tcW w:w="25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accrued December 31,</w:t>
            </w: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Currency translation/</w:t>
            </w:r>
          </w:p>
        </w:tc>
        <w:tc>
          <w:tcPr>
            <w:tcW w:w="186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charges accrued</w:t>
            </w:r>
          </w:p>
        </w:tc>
      </w:tr>
      <w:tr>
        <w:trPr>
          <w:trHeight w:val="203"/>
        </w:trPr>
        <w:tc>
          <w:tcPr>
            <w:tcW w:w="190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252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2011</w:t>
            </w:r>
          </w:p>
        </w:tc>
        <w:tc>
          <w:tcPr>
            <w:tcW w:w="180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New accruals</w:t>
            </w:r>
          </w:p>
        </w:tc>
        <w:tc>
          <w:tcPr>
            <w:tcW w:w="11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Payments</w:t>
            </w:r>
          </w:p>
        </w:tc>
        <w:tc>
          <w:tcPr>
            <w:tcW w:w="220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other</w:t>
            </w:r>
          </w:p>
        </w:tc>
        <w:tc>
          <w:tcPr>
            <w:tcW w:w="1860" w:type="dxa"/>
            <w:vAlign w:val="bottom"/>
            <w:gridSpan w:val="2"/>
          </w:tcPr>
          <w:p>
            <w:pPr>
              <w:ind w:left="680"/>
              <w:spacing w:after="0" w:line="203" w:lineRule="exact"/>
              <w:rPr>
                <w:sz w:val="20"/>
                <w:szCs w:val="20"/>
                <w:color w:val="auto"/>
              </w:rPr>
            </w:pPr>
            <w:r>
              <w:rPr>
                <w:rFonts w:ascii="Arial" w:cs="Arial" w:eastAsia="Arial" w:hAnsi="Arial"/>
                <w:sz w:val="18"/>
                <w:szCs w:val="18"/>
                <w:color w:val="auto"/>
              </w:rPr>
              <w:t>June 30, 2012</w:t>
            </w:r>
          </w:p>
        </w:tc>
      </w:tr>
      <w:tr>
        <w:trPr>
          <w:trHeight w:val="399"/>
        </w:trPr>
        <w:tc>
          <w:tcPr>
            <w:tcW w:w="1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Termination costs</w:t>
            </w:r>
          </w:p>
        </w:tc>
        <w:tc>
          <w:tcPr>
            <w:tcW w:w="25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$6,979</w:t>
            </w:r>
          </w:p>
        </w:tc>
        <w:tc>
          <w:tcPr>
            <w:tcW w:w="1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$3,830</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($2,778)</w:t>
            </w:r>
          </w:p>
        </w:tc>
        <w:tc>
          <w:tcPr>
            <w:tcW w:w="2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($243)</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20" w:type="dxa"/>
            <w:vAlign w:val="bottom"/>
          </w:tcPr>
          <w:p>
            <w:pPr>
              <w:spacing w:after="0"/>
              <w:rPr>
                <w:sz w:val="24"/>
                <w:szCs w:val="24"/>
                <w:color w:val="auto"/>
              </w:rPr>
            </w:pPr>
          </w:p>
        </w:tc>
      </w:tr>
      <w:tr>
        <w:trPr>
          <w:trHeight w:val="601"/>
        </w:trPr>
        <w:tc>
          <w:tcPr>
            <w:tcW w:w="19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1900" w:type="dxa"/>
            <w:vAlign w:val="bottom"/>
          </w:tcPr>
          <w:p>
            <w:pPr>
              <w:spacing w:after="0"/>
              <w:rPr>
                <w:sz w:val="16"/>
                <w:szCs w:val="16"/>
                <w:color w:val="auto"/>
              </w:rPr>
            </w:pPr>
          </w:p>
        </w:tc>
        <w:tc>
          <w:tcPr>
            <w:tcW w:w="252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Restructuring</w:t>
            </w:r>
          </w:p>
        </w:tc>
        <w:tc>
          <w:tcPr>
            <w:tcW w:w="1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40" w:type="dxa"/>
            <w:vAlign w:val="bottom"/>
          </w:tcPr>
          <w:p>
            <w:pPr>
              <w:jc w:val="right"/>
              <w:spacing w:after="0" w:line="195" w:lineRule="exact"/>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6"/>
                <w:szCs w:val="16"/>
                <w:color w:val="auto"/>
              </w:rPr>
            </w:pPr>
          </w:p>
        </w:tc>
      </w:tr>
      <w:tr>
        <w:trPr>
          <w:trHeight w:val="203"/>
        </w:trPr>
        <w:tc>
          <w:tcPr>
            <w:tcW w:w="1900" w:type="dxa"/>
            <w:vAlign w:val="bottom"/>
          </w:tcPr>
          <w:p>
            <w:pPr>
              <w:spacing w:after="0"/>
              <w:rPr>
                <w:sz w:val="17"/>
                <w:szCs w:val="17"/>
                <w:color w:val="auto"/>
              </w:rPr>
            </w:pPr>
          </w:p>
        </w:tc>
        <w:tc>
          <w:tcPr>
            <w:tcW w:w="25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charges accrued</w:t>
            </w: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Currency translation/</w:t>
            </w:r>
          </w:p>
        </w:tc>
        <w:tc>
          <w:tcPr>
            <w:tcW w:w="1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charges accrued</w:t>
            </w:r>
          </w:p>
        </w:tc>
      </w:tr>
      <w:tr>
        <w:trPr>
          <w:trHeight w:val="203"/>
        </w:trPr>
        <w:tc>
          <w:tcPr>
            <w:tcW w:w="19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25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December 31, 2010</w:t>
            </w:r>
          </w:p>
        </w:tc>
        <w:tc>
          <w:tcPr>
            <w:tcW w:w="18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New accruals</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Payments</w:t>
            </w:r>
          </w:p>
        </w:tc>
        <w:tc>
          <w:tcPr>
            <w:tcW w:w="22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other</w:t>
            </w:r>
          </w:p>
        </w:tc>
        <w:tc>
          <w:tcPr>
            <w:tcW w:w="1860" w:type="dxa"/>
            <w:vAlign w:val="bottom"/>
            <w:tcBorders>
              <w:bottom w:val="single" w:sz="8" w:color="auto"/>
            </w:tcBorders>
            <w:gridSpan w:val="2"/>
          </w:tcPr>
          <w:p>
            <w:pPr>
              <w:ind w:left="700"/>
              <w:spacing w:after="0" w:line="203" w:lineRule="exact"/>
              <w:rPr>
                <w:sz w:val="20"/>
                <w:szCs w:val="20"/>
                <w:color w:val="auto"/>
              </w:rPr>
            </w:pPr>
            <w:r>
              <w:rPr>
                <w:rFonts w:ascii="Arial" w:cs="Arial" w:eastAsia="Arial" w:hAnsi="Arial"/>
                <w:sz w:val="18"/>
                <w:szCs w:val="18"/>
                <w:color w:val="auto"/>
                <w:w w:val="99"/>
              </w:rPr>
              <w:t>June 30, 2011</w:t>
            </w:r>
          </w:p>
        </w:tc>
      </w:tr>
      <w:tr>
        <w:trPr>
          <w:trHeight w:val="399"/>
        </w:trPr>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Termination costs</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$2,809</w:t>
            </w:r>
          </w:p>
        </w:tc>
        <w:tc>
          <w:tcPr>
            <w:tcW w:w="18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1,645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2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$135</w:t>
            </w:r>
          </w:p>
        </w:tc>
        <w:tc>
          <w:tcPr>
            <w:tcW w:w="186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$3,087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substantially all accruals for restructuring liabilities as of June 30, 2012 will be paid within one year.</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Other (Income)/Expense, 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consists of the following:</w:t>
      </w:r>
    </w:p>
    <w:tbl>
      <w:tblPr>
        <w:tblLayout w:type="fixed"/>
        <w:tblInd w:w="0" w:type="dxa"/>
        <w:tblCellMar>
          <w:top w:w="0" w:type="dxa"/>
          <w:left w:w="0" w:type="dxa"/>
          <w:bottom w:w="0" w:type="dxa"/>
          <w:right w:w="0" w:type="dxa"/>
        </w:tblCellMar>
      </w:tblPr>
      <w:tr>
        <w:trPr>
          <w:trHeight w:val="217"/>
        </w:trPr>
        <w:tc>
          <w:tcPr>
            <w:tcW w:w="524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Three Months Ended</w:t>
            </w:r>
          </w:p>
        </w:tc>
        <w:tc>
          <w:tcPr>
            <w:tcW w:w="248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221"/>
        </w:trPr>
        <w:tc>
          <w:tcPr>
            <w:tcW w:w="5240" w:type="dxa"/>
            <w:vAlign w:val="bottom"/>
          </w:tcPr>
          <w:p>
            <w:pPr>
              <w:spacing w:after="0"/>
              <w:rPr>
                <w:sz w:val="19"/>
                <w:szCs w:val="19"/>
                <w:color w:val="auto"/>
              </w:rPr>
            </w:pPr>
          </w:p>
        </w:tc>
        <w:tc>
          <w:tcPr>
            <w:tcW w:w="2500" w:type="dxa"/>
            <w:vAlign w:val="bottom"/>
          </w:tcPr>
          <w:p>
            <w:pPr>
              <w:ind w:left="1740"/>
              <w:spacing w:after="0"/>
              <w:rPr>
                <w:sz w:val="20"/>
                <w:szCs w:val="20"/>
                <w:color w:val="auto"/>
              </w:rPr>
            </w:pPr>
            <w:r>
              <w:rPr>
                <w:rFonts w:ascii="Arial" w:cs="Arial" w:eastAsia="Arial" w:hAnsi="Arial"/>
                <w:sz w:val="18"/>
                <w:szCs w:val="18"/>
                <w:color w:val="auto"/>
              </w:rPr>
              <w:t>June 30,</w:t>
            </w:r>
          </w:p>
        </w:tc>
        <w:tc>
          <w:tcPr>
            <w:tcW w:w="1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500" w:type="dxa"/>
            <w:vAlign w:val="bottom"/>
            <w:tcBorders>
              <w:bottom w:val="single" w:sz="8" w:color="auto"/>
            </w:tcBorders>
          </w:tcPr>
          <w:p>
            <w:pPr>
              <w:jc w:val="right"/>
              <w:ind w:right="810"/>
              <w:spacing w:after="0" w:line="203" w:lineRule="exact"/>
              <w:rPr>
                <w:sz w:val="20"/>
                <w:szCs w:val="20"/>
                <w:color w:val="auto"/>
              </w:rPr>
            </w:pPr>
            <w:r>
              <w:rPr>
                <w:rFonts w:ascii="Arial" w:cs="Arial" w:eastAsia="Arial" w:hAnsi="Arial"/>
                <w:sz w:val="18"/>
                <w:szCs w:val="18"/>
                <w:color w:val="auto"/>
              </w:rPr>
              <w:t>2012</w:t>
            </w:r>
          </w:p>
        </w:tc>
        <w:tc>
          <w:tcPr>
            <w:tcW w:w="1200" w:type="dxa"/>
            <w:vAlign w:val="bottom"/>
            <w:tcBorders>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rPr>
              <w:t>2011</w:t>
            </w:r>
          </w:p>
        </w:tc>
        <w:tc>
          <w:tcPr>
            <w:tcW w:w="1520" w:type="dxa"/>
            <w:vAlign w:val="bottom"/>
            <w:tcBorders>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rPr>
              <w:t>2012</w:t>
            </w:r>
          </w:p>
        </w:tc>
        <w:tc>
          <w:tcPr>
            <w:tcW w:w="9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Currency transactions</w:t>
            </w:r>
          </w:p>
        </w:tc>
        <w:tc>
          <w:tcPr>
            <w:tcW w:w="2500" w:type="dxa"/>
            <w:vAlign w:val="bottom"/>
          </w:tcPr>
          <w:p>
            <w:pPr>
              <w:jc w:val="right"/>
              <w:ind w:right="330"/>
              <w:spacing w:after="0" w:line="195" w:lineRule="exact"/>
              <w:rPr>
                <w:sz w:val="20"/>
                <w:szCs w:val="20"/>
                <w:color w:val="auto"/>
              </w:rPr>
            </w:pPr>
            <w:r>
              <w:rPr>
                <w:rFonts w:ascii="Arial" w:cs="Arial" w:eastAsia="Arial" w:hAnsi="Arial"/>
                <w:sz w:val="18"/>
                <w:szCs w:val="18"/>
                <w:color w:val="auto"/>
              </w:rPr>
              <w:t>($3,133)</w:t>
            </w:r>
          </w:p>
        </w:tc>
        <w:tc>
          <w:tcPr>
            <w:tcW w:w="12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($491)</w:t>
            </w:r>
          </w:p>
        </w:tc>
        <w:tc>
          <w:tcPr>
            <w:tcW w:w="152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$699</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$3,375</w:t>
            </w:r>
          </w:p>
        </w:tc>
        <w:tc>
          <w:tcPr>
            <w:tcW w:w="20" w:type="dxa"/>
            <w:vAlign w:val="bottom"/>
          </w:tcPr>
          <w:p>
            <w:pPr>
              <w:spacing w:after="0"/>
              <w:rPr>
                <w:sz w:val="16"/>
                <w:szCs w:val="16"/>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Amortization of debt issuance costs and loan origination fees</w:t>
            </w:r>
          </w:p>
        </w:tc>
        <w:tc>
          <w:tcPr>
            <w:tcW w:w="2500" w:type="dxa"/>
            <w:vAlign w:val="bottom"/>
          </w:tcPr>
          <w:p>
            <w:pPr>
              <w:ind w:left="1740"/>
              <w:spacing w:after="0" w:line="202" w:lineRule="exact"/>
              <w:rPr>
                <w:sz w:val="20"/>
                <w:szCs w:val="20"/>
                <w:color w:val="auto"/>
              </w:rPr>
            </w:pPr>
            <w:r>
              <w:rPr>
                <w:rFonts w:ascii="Arial" w:cs="Arial" w:eastAsia="Arial" w:hAnsi="Arial"/>
                <w:sz w:val="18"/>
                <w:szCs w:val="18"/>
                <w:color w:val="auto"/>
              </w:rPr>
              <w:t>533</w:t>
            </w:r>
          </w:p>
        </w:tc>
        <w:tc>
          <w:tcPr>
            <w:tcW w:w="12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436</w:t>
            </w:r>
          </w:p>
        </w:tc>
        <w:tc>
          <w:tcPr>
            <w:tcW w:w="15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1,209</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922</w:t>
            </w:r>
          </w:p>
        </w:tc>
        <w:tc>
          <w:tcPr>
            <w:tcW w:w="20" w:type="dxa"/>
            <w:vAlign w:val="bottom"/>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Letter of credit fees</w:t>
            </w:r>
          </w:p>
        </w:tc>
        <w:tc>
          <w:tcPr>
            <w:tcW w:w="2500" w:type="dxa"/>
            <w:vAlign w:val="bottom"/>
          </w:tcPr>
          <w:p>
            <w:pPr>
              <w:ind w:left="1740"/>
              <w:spacing w:after="0" w:line="202" w:lineRule="exact"/>
              <w:rPr>
                <w:sz w:val="20"/>
                <w:szCs w:val="20"/>
                <w:color w:val="auto"/>
              </w:rPr>
            </w:pPr>
            <w:r>
              <w:rPr>
                <w:rFonts w:ascii="Arial" w:cs="Arial" w:eastAsia="Arial" w:hAnsi="Arial"/>
                <w:sz w:val="18"/>
                <w:szCs w:val="18"/>
                <w:color w:val="auto"/>
              </w:rPr>
              <w:t>351</w:t>
            </w:r>
          </w:p>
        </w:tc>
        <w:tc>
          <w:tcPr>
            <w:tcW w:w="12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(16)</w:t>
            </w:r>
          </w:p>
        </w:tc>
        <w:tc>
          <w:tcPr>
            <w:tcW w:w="15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770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20" w:type="dxa"/>
            <w:vAlign w:val="bottom"/>
          </w:tcPr>
          <w:p>
            <w:pPr>
              <w:spacing w:after="0"/>
              <w:rPr>
                <w:sz w:val="17"/>
                <w:szCs w:val="17"/>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Other, net</w:t>
            </w:r>
          </w:p>
        </w:tc>
        <w:tc>
          <w:tcPr>
            <w:tcW w:w="25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(306)</w:t>
            </w:r>
          </w:p>
        </w:tc>
        <w:tc>
          <w:tcPr>
            <w:tcW w:w="120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78</w:t>
            </w:r>
          </w:p>
        </w:tc>
        <w:tc>
          <w:tcPr>
            <w:tcW w:w="152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(685)</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(64)</w:t>
            </w:r>
          </w:p>
        </w:tc>
      </w:tr>
      <w:tr>
        <w:trPr>
          <w:trHeight w:val="196"/>
        </w:trPr>
        <w:tc>
          <w:tcPr>
            <w:tcW w:w="52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50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($2,555)</w:t>
            </w:r>
          </w:p>
        </w:tc>
        <w:tc>
          <w:tcPr>
            <w:tcW w:w="12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w:t>
            </w:r>
          </w:p>
        </w:tc>
        <w:tc>
          <w:tcPr>
            <w:tcW w:w="152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$1,993</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$4,820</w:t>
            </w:r>
          </w:p>
        </w:tc>
        <w:tc>
          <w:tcPr>
            <w:tcW w:w="20" w:type="dxa"/>
            <w:vAlign w:val="bottom"/>
          </w:tcPr>
          <w:p>
            <w:pPr>
              <w:spacing w:after="0"/>
              <w:rPr>
                <w:sz w:val="17"/>
                <w:szCs w:val="17"/>
                <w:color w:val="auto"/>
              </w:rPr>
            </w:pPr>
          </w:p>
        </w:tc>
      </w:tr>
      <w:tr>
        <w:trPr>
          <w:trHeight w:val="385"/>
        </w:trPr>
        <w:tc>
          <w:tcPr>
            <w:tcW w:w="5240" w:type="dxa"/>
            <w:vAlign w:val="bottom"/>
          </w:tcPr>
          <w:p>
            <w:pPr>
              <w:spacing w:after="0"/>
              <w:rPr>
                <w:sz w:val="24"/>
                <w:szCs w:val="24"/>
                <w:color w:val="auto"/>
              </w:rPr>
            </w:pPr>
          </w:p>
        </w:tc>
        <w:tc>
          <w:tcPr>
            <w:tcW w:w="2500" w:type="dxa"/>
            <w:vAlign w:val="bottom"/>
          </w:tcPr>
          <w:p>
            <w:pPr>
              <w:jc w:val="right"/>
              <w:ind w:right="1830"/>
              <w:spacing w:after="0"/>
              <w:rPr>
                <w:sz w:val="20"/>
                <w:szCs w:val="20"/>
                <w:color w:val="auto"/>
              </w:rPr>
            </w:pPr>
            <w:r>
              <w:rPr>
                <w:rFonts w:ascii="Arial" w:cs="Arial" w:eastAsia="Arial" w:hAnsi="Arial"/>
                <w:sz w:val="18"/>
                <w:szCs w:val="18"/>
                <w:color w:val="auto"/>
              </w:rPr>
              <w:t>11</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420"/>
          </w:cols>
          <w:pgMar w:left="240" w:top="61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income tax expense/(benefit) for the three and six month periods ended June 30,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Three Months Ended</w:t>
            </w:r>
          </w:p>
        </w:tc>
        <w:tc>
          <w:tcPr>
            <w:tcW w:w="2140" w:type="dxa"/>
            <w:vAlign w:val="bottom"/>
            <w:tcBorders>
              <w:top w:val="single" w:sz="8" w:color="auto"/>
            </w:tcBorders>
            <w:gridSpan w:val="2"/>
          </w:tcPr>
          <w:p>
            <w:pPr>
              <w:jc w:val="right"/>
              <w:ind w:right="339"/>
              <w:spacing w:after="0"/>
              <w:rPr>
                <w:sz w:val="20"/>
                <w:szCs w:val="20"/>
                <w:color w:val="auto"/>
              </w:rPr>
            </w:pPr>
            <w:r>
              <w:rPr>
                <w:rFonts w:ascii="Arial" w:cs="Arial" w:eastAsia="Arial" w:hAnsi="Arial"/>
                <w:sz w:val="16"/>
                <w:szCs w:val="16"/>
                <w:color w:val="auto"/>
              </w:rPr>
              <w:t>Six Months Ended</w:t>
            </w:r>
          </w:p>
        </w:tc>
      </w:tr>
      <w:tr>
        <w:trPr>
          <w:trHeight w:val="238"/>
        </w:trPr>
        <w:tc>
          <w:tcPr>
            <w:tcW w:w="6780" w:type="dxa"/>
            <w:vAlign w:val="bottom"/>
          </w:tcPr>
          <w:p>
            <w:pPr>
              <w:spacing w:after="0"/>
              <w:rPr>
                <w:sz w:val="20"/>
                <w:szCs w:val="20"/>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June 30,</w:t>
            </w:r>
          </w:p>
        </w:tc>
        <w:tc>
          <w:tcPr>
            <w:tcW w:w="102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June 30,</w:t>
            </w:r>
          </w:p>
        </w:tc>
        <w:tc>
          <w:tcPr>
            <w:tcW w:w="660" w:type="dxa"/>
            <w:vAlign w:val="bottom"/>
          </w:tcPr>
          <w:p>
            <w:pPr>
              <w:spacing w:after="0"/>
              <w:rPr>
                <w:sz w:val="20"/>
                <w:szCs w:val="20"/>
                <w:color w:val="auto"/>
              </w:rPr>
            </w:pPr>
          </w:p>
        </w:tc>
      </w:tr>
      <w:tr>
        <w:trPr>
          <w:trHeight w:val="187"/>
        </w:trPr>
        <w:tc>
          <w:tcPr>
            <w:tcW w:w="6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w:t>
            </w: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2012</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2011</w:t>
            </w: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428"/>
        </w:trPr>
        <w:tc>
          <w:tcPr>
            <w:tcW w:w="6780" w:type="dxa"/>
            <w:vAlign w:val="bottom"/>
          </w:tcPr>
          <w:p>
            <w:pPr>
              <w:spacing w:after="0"/>
              <w:rPr>
                <w:sz w:val="20"/>
                <w:szCs w:val="20"/>
                <w:color w:val="auto"/>
              </w:rPr>
            </w:pPr>
            <w:r>
              <w:rPr>
                <w:rFonts w:ascii="Arial" w:cs="Arial" w:eastAsia="Arial" w:hAnsi="Arial"/>
                <w:sz w:val="16"/>
                <w:szCs w:val="16"/>
                <w:color w:val="auto"/>
              </w:rPr>
              <w:t>Income tax expense/(benefit) based on income from continuing operations, at estimated tax</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5"/>
        </w:trPr>
        <w:tc>
          <w:tcPr>
            <w:tcW w:w="6780" w:type="dxa"/>
            <w:vAlign w:val="bottom"/>
          </w:tcPr>
          <w:p>
            <w:pPr>
              <w:spacing w:after="0"/>
              <w:rPr>
                <w:sz w:val="20"/>
                <w:szCs w:val="20"/>
                <w:color w:val="auto"/>
              </w:rPr>
            </w:pPr>
            <w:r>
              <w:rPr>
                <w:rFonts w:ascii="Arial" w:cs="Arial" w:eastAsia="Arial" w:hAnsi="Arial"/>
                <w:sz w:val="16"/>
                <w:szCs w:val="16"/>
                <w:color w:val="auto"/>
              </w:rPr>
              <w:t>rates of 26.5% in 2012 and 33.6% in 2011, respectively</w:t>
            </w:r>
          </w:p>
        </w:tc>
        <w:tc>
          <w:tcPr>
            <w:tcW w:w="1480" w:type="dxa"/>
            <w:vAlign w:val="bottom"/>
          </w:tcPr>
          <w:p>
            <w:pPr>
              <w:jc w:val="right"/>
              <w:ind w:right="539"/>
              <w:spacing w:after="0"/>
              <w:rPr>
                <w:sz w:val="20"/>
                <w:szCs w:val="20"/>
                <w:color w:val="auto"/>
              </w:rPr>
            </w:pPr>
            <w:r>
              <w:rPr>
                <w:rFonts w:ascii="Arial" w:cs="Arial" w:eastAsia="Arial" w:hAnsi="Arial"/>
                <w:sz w:val="16"/>
                <w:szCs w:val="16"/>
                <w:color w:val="auto"/>
              </w:rPr>
              <w:t>$6,133</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$2,582</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$5,896</w:t>
            </w:r>
          </w:p>
        </w:tc>
        <w:tc>
          <w:tcPr>
            <w:tcW w:w="660" w:type="dxa"/>
            <w:vAlign w:val="bottom"/>
          </w:tcPr>
          <w:p>
            <w:pPr>
              <w:jc w:val="right"/>
              <w:spacing w:after="0"/>
              <w:rPr>
                <w:sz w:val="20"/>
                <w:szCs w:val="20"/>
                <w:color w:val="auto"/>
              </w:rPr>
            </w:pPr>
            <w:r>
              <w:rPr>
                <w:rFonts w:ascii="Arial" w:cs="Arial" w:eastAsia="Arial" w:hAnsi="Arial"/>
                <w:sz w:val="16"/>
                <w:szCs w:val="16"/>
                <w:color w:val="auto"/>
              </w:rPr>
              <w:t>$7,784</w:t>
            </w:r>
          </w:p>
        </w:tc>
      </w:tr>
      <w:tr>
        <w:trPr>
          <w:trHeight w:val="243"/>
        </w:trPr>
        <w:tc>
          <w:tcPr>
            <w:tcW w:w="6780" w:type="dxa"/>
            <w:vAlign w:val="bottom"/>
          </w:tcPr>
          <w:p>
            <w:pPr>
              <w:spacing w:after="0"/>
              <w:rPr>
                <w:sz w:val="20"/>
                <w:szCs w:val="20"/>
                <w:color w:val="auto"/>
              </w:rPr>
            </w:pPr>
            <w:r>
              <w:rPr>
                <w:rFonts w:ascii="Arial" w:cs="Arial" w:eastAsia="Arial" w:hAnsi="Arial"/>
                <w:sz w:val="16"/>
                <w:szCs w:val="16"/>
                <w:color w:val="auto"/>
              </w:rPr>
              <w:t>Settlement of pension plan</w:t>
            </w:r>
          </w:p>
        </w:tc>
        <w:tc>
          <w:tcPr>
            <w:tcW w:w="1480" w:type="dxa"/>
            <w:vAlign w:val="bottom"/>
          </w:tcPr>
          <w:p>
            <w:pPr>
              <w:jc w:val="right"/>
              <w:ind w:right="499"/>
              <w:spacing w:after="0"/>
              <w:rPr>
                <w:sz w:val="20"/>
                <w:szCs w:val="20"/>
                <w:color w:val="auto"/>
              </w:rPr>
            </w:pPr>
            <w:r>
              <w:rPr>
                <w:rFonts w:ascii="Arial" w:cs="Arial" w:eastAsia="Arial" w:hAnsi="Arial"/>
                <w:sz w:val="16"/>
                <w:szCs w:val="16"/>
                <w:color w:val="auto"/>
              </w:rPr>
              <w:t>(37,047)</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(39,460)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780" w:type="dxa"/>
            <w:vAlign w:val="bottom"/>
          </w:tcPr>
          <w:p>
            <w:pPr>
              <w:spacing w:after="0"/>
              <w:rPr>
                <w:sz w:val="20"/>
                <w:szCs w:val="20"/>
                <w:color w:val="auto"/>
              </w:rPr>
            </w:pPr>
            <w:r>
              <w:rPr>
                <w:rFonts w:ascii="Arial" w:cs="Arial" w:eastAsia="Arial" w:hAnsi="Arial"/>
                <w:sz w:val="16"/>
                <w:szCs w:val="16"/>
                <w:color w:val="auto"/>
              </w:rPr>
              <w:t>Tax rate adjustment on pension plan settlement</w:t>
            </w:r>
          </w:p>
        </w:tc>
        <w:tc>
          <w:tcPr>
            <w:tcW w:w="1480" w:type="dxa"/>
            <w:vAlign w:val="bottom"/>
          </w:tcPr>
          <w:p>
            <w:pPr>
              <w:jc w:val="right"/>
              <w:ind w:right="539"/>
              <w:spacing w:after="0"/>
              <w:rPr>
                <w:sz w:val="20"/>
                <w:szCs w:val="20"/>
                <w:color w:val="auto"/>
              </w:rPr>
            </w:pPr>
            <w:r>
              <w:rPr>
                <w:rFonts w:ascii="Arial" w:cs="Arial" w:eastAsia="Arial" w:hAnsi="Arial"/>
                <w:sz w:val="16"/>
                <w:szCs w:val="16"/>
                <w:color w:val="auto"/>
              </w:rPr>
              <w:t>886</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6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change in estimated tax rates</w:t>
            </w: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(297)</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522</w:t>
            </w: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780" w:type="dxa"/>
            <w:vAlign w:val="bottom"/>
          </w:tcPr>
          <w:p>
            <w:pPr>
              <w:spacing w:after="0"/>
              <w:rPr>
                <w:sz w:val="20"/>
                <w:szCs w:val="20"/>
                <w:color w:val="auto"/>
              </w:rPr>
            </w:pPr>
            <w:r>
              <w:rPr>
                <w:rFonts w:ascii="Arial" w:cs="Arial" w:eastAsia="Arial" w:hAnsi="Arial"/>
                <w:sz w:val="16"/>
                <w:szCs w:val="16"/>
                <w:color w:val="auto"/>
              </w:rPr>
              <w:t>Income tax from continuing operations before discrete items</w:t>
            </w:r>
          </w:p>
        </w:tc>
        <w:tc>
          <w:tcPr>
            <w:tcW w:w="1480" w:type="dxa"/>
            <w:vAlign w:val="bottom"/>
          </w:tcPr>
          <w:p>
            <w:pPr>
              <w:jc w:val="right"/>
              <w:ind w:right="499"/>
              <w:spacing w:after="0"/>
              <w:rPr>
                <w:sz w:val="20"/>
                <w:szCs w:val="20"/>
                <w:color w:val="auto"/>
              </w:rPr>
            </w:pPr>
            <w:r>
              <w:rPr>
                <w:rFonts w:ascii="Arial" w:cs="Arial" w:eastAsia="Arial" w:hAnsi="Arial"/>
                <w:sz w:val="16"/>
                <w:szCs w:val="16"/>
                <w:color w:val="auto"/>
              </w:rPr>
              <w:t>($30,325)</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$3,104</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($33,564)</w:t>
            </w:r>
          </w:p>
        </w:tc>
        <w:tc>
          <w:tcPr>
            <w:tcW w:w="660" w:type="dxa"/>
            <w:vAlign w:val="bottom"/>
          </w:tcPr>
          <w:p>
            <w:pPr>
              <w:jc w:val="right"/>
              <w:spacing w:after="0"/>
              <w:rPr>
                <w:sz w:val="20"/>
                <w:szCs w:val="20"/>
                <w:color w:val="auto"/>
              </w:rPr>
            </w:pPr>
            <w:r>
              <w:rPr>
                <w:rFonts w:ascii="Arial" w:cs="Arial" w:eastAsia="Arial" w:hAnsi="Arial"/>
                <w:sz w:val="16"/>
                <w:szCs w:val="16"/>
                <w:color w:val="auto"/>
              </w:rPr>
              <w:t>$7,784</w:t>
            </w:r>
          </w:p>
        </w:tc>
      </w:tr>
      <w:tr>
        <w:trPr>
          <w:trHeight w:val="486"/>
        </w:trPr>
        <w:tc>
          <w:tcPr>
            <w:tcW w:w="6780" w:type="dxa"/>
            <w:vAlign w:val="bottom"/>
          </w:tcPr>
          <w:p>
            <w:pPr>
              <w:spacing w:after="0"/>
              <w:rPr>
                <w:sz w:val="20"/>
                <w:szCs w:val="20"/>
                <w:color w:val="auto"/>
              </w:rPr>
            </w:pPr>
            <w:r>
              <w:rPr>
                <w:rFonts w:ascii="Arial" w:cs="Arial" w:eastAsia="Arial" w:hAnsi="Arial"/>
                <w:sz w:val="16"/>
                <w:szCs w:val="16"/>
                <w:color w:val="auto"/>
              </w:rPr>
              <w:t>Discrete tax expense(benefit):</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6"/>
        </w:trPr>
        <w:tc>
          <w:tcPr>
            <w:tcW w:w="67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Provision for/resolution of tax audits and contingencies</w:t>
            </w: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682</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35</w:t>
            </w: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(6,051)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w:t>
            </w:r>
          </w:p>
        </w:tc>
      </w:tr>
      <w:tr>
        <w:trPr>
          <w:trHeight w:val="183"/>
        </w:trPr>
        <w:tc>
          <w:tcPr>
            <w:tcW w:w="6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income tax expense/(benefit)</w:t>
            </w:r>
          </w:p>
        </w:tc>
        <w:tc>
          <w:tcPr>
            <w:tcW w:w="148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($29,643)</w:t>
            </w:r>
          </w:p>
        </w:tc>
        <w:tc>
          <w:tcPr>
            <w:tcW w:w="102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$3,139</w:t>
            </w:r>
          </w:p>
        </w:tc>
        <w:tc>
          <w:tcPr>
            <w:tcW w:w="14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($39,615)</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$6,406</w:t>
            </w:r>
          </w:p>
        </w:tc>
      </w:tr>
    </w:tbl>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second quarter estimated effective tax rate on continuing operations was 26.5 percent in 2012, as compared to 33.6 percent for the same period in 2011. The decrease in the rate was primarily due to a change in the distribution of income and loss amongst the various countries within which we operate.</w:t>
      </w:r>
    </w:p>
    <w:p>
      <w:pPr>
        <w:spacing w:after="0" w:line="1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We are currently under audit in the U.S. and non-U.S. tax jurisdictions, including but not limited to Canada, Germany, France, and Sweden. Tax reserves are recorded for the outcome of these uncertainties in accordance with US GAAP.</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$ 0 million to a net decrease of $5.7 million, from the re-evaluation of certain uncertain tax positions arising in examinations, in appeals, or in the courts, or from the closure of tax statutes. Not included in the range is $22.7 million of tax benefits in Germany related to a 1999 reorganization that have been challenged by the German tax authorities in the course of an audit of tax years 2000-2003. In 2008 the German Federal Tax Court denied tax benefits to other taxpayers in a case involving German tax laws relevant to our reorganization. One of these cases involved a non-German party, and in the ruling in that case, the German Federal Tax Court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German Federal Tax Court for further consideration. In May 2010 the German Federal Tax Court released its decision, in which it resolved certain tax issues that may be relevant to our audit and remanded the case to a lower court for further development. Although we were required to pay approximately $12.7 million to the German tax authorities in order to continue to pursue the position,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189"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The Company is in the process of evaluating its tax-planning strategies to determine if an action could be taken to reduce or eliminate its valuation allowances on its deferred tax assets. It is reasonably possible that over the next twelve months that these actions could result in recognition of a discrete benefit of $8.7 million.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Earnings Per Share</w:t>
      </w:r>
    </w:p>
    <w:p>
      <w:pPr>
        <w:spacing w:after="0" w:line="20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Earnings per share are computed using the weighted average number of shares of Class A Common Stock and Class B Common Stock outstanding during the period. Diluted earnings per share include the effect of all potentially dilutive securities.</w:t>
      </w:r>
    </w:p>
    <w:p>
      <w:pPr>
        <w:spacing w:after="0" w:line="15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amounts used in computing earnings per share, including the effect on income and the weighted average number of shares of potentially dilutive securities,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Three Months Ended</w:t>
            </w:r>
          </w:p>
        </w:tc>
        <w:tc>
          <w:tcPr>
            <w:tcW w:w="268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20"/>
                <w:szCs w:val="20"/>
                <w:color w:val="auto"/>
              </w:rPr>
            </w:pPr>
          </w:p>
        </w:tc>
      </w:tr>
      <w:tr>
        <w:trPr>
          <w:trHeight w:val="228"/>
        </w:trPr>
        <w:tc>
          <w:tcPr>
            <w:tcW w:w="52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June 30,</w:t>
            </w:r>
          </w:p>
        </w:tc>
        <w:tc>
          <w:tcPr>
            <w:tcW w:w="1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market price data)</w:t>
            </w:r>
          </w:p>
        </w:tc>
        <w:tc>
          <w:tcPr>
            <w:tcW w:w="228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rPr>
              <w:t>2012</w:t>
            </w:r>
          </w:p>
        </w:tc>
        <w:tc>
          <w:tcPr>
            <w:tcW w:w="1220" w:type="dxa"/>
            <w:vAlign w:val="bottom"/>
            <w:tcBorders>
              <w:bottom w:val="single" w:sz="8" w:color="auto"/>
            </w:tcBorders>
          </w:tcPr>
          <w:p>
            <w:pPr>
              <w:jc w:val="right"/>
              <w:ind w:right="710"/>
              <w:spacing w:after="0" w:line="203" w:lineRule="exact"/>
              <w:rPr>
                <w:sz w:val="20"/>
                <w:szCs w:val="20"/>
                <w:color w:val="auto"/>
              </w:rPr>
            </w:pPr>
            <w:r>
              <w:rPr>
                <w:rFonts w:ascii="Arial" w:cs="Arial" w:eastAsia="Arial" w:hAnsi="Arial"/>
                <w:sz w:val="18"/>
                <w:szCs w:val="18"/>
                <w:color w:val="auto"/>
                <w:w w:val="99"/>
              </w:rPr>
              <w:t>2011</w:t>
            </w:r>
          </w:p>
        </w:tc>
        <w:tc>
          <w:tcPr>
            <w:tcW w:w="1640" w:type="dxa"/>
            <w:vAlign w:val="bottom"/>
            <w:tcBorders>
              <w:bottom w:val="single" w:sz="8" w:color="auto"/>
            </w:tcBorders>
          </w:tcPr>
          <w:p>
            <w:pPr>
              <w:jc w:val="right"/>
              <w:ind w:right="870"/>
              <w:spacing w:after="0" w:line="203" w:lineRule="exact"/>
              <w:rPr>
                <w:sz w:val="20"/>
                <w:szCs w:val="20"/>
                <w:color w:val="auto"/>
              </w:rPr>
            </w:pPr>
            <w:r>
              <w:rPr>
                <w:rFonts w:ascii="Arial" w:cs="Arial" w:eastAsia="Arial" w:hAnsi="Arial"/>
                <w:sz w:val="18"/>
                <w:szCs w:val="18"/>
                <w:color w:val="auto"/>
              </w:rPr>
              <w:t>2012</w:t>
            </w:r>
          </w:p>
        </w:tc>
        <w:tc>
          <w:tcPr>
            <w:tcW w:w="104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2011</w:t>
            </w:r>
          </w:p>
        </w:tc>
        <w:tc>
          <w:tcPr>
            <w:tcW w:w="20" w:type="dxa"/>
            <w:vAlign w:val="bottom"/>
          </w:tcPr>
          <w:p>
            <w:pPr>
              <w:spacing w:after="0"/>
              <w:rPr>
                <w:sz w:val="17"/>
                <w:szCs w:val="17"/>
                <w:color w:val="auto"/>
              </w:rPr>
            </w:pPr>
          </w:p>
        </w:tc>
      </w:tr>
      <w:tr>
        <w:trPr>
          <w:trHeight w:val="439"/>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income/(loss) available to common shareholders</w:t>
            </w:r>
          </w:p>
        </w:tc>
        <w:tc>
          <w:tcPr>
            <w:tcW w:w="2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($33,745)</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$8,762</w:t>
            </w:r>
          </w:p>
        </w:tc>
        <w:tc>
          <w:tcPr>
            <w:tcW w:w="1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$13,296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$25,495</w:t>
            </w:r>
          </w:p>
        </w:tc>
        <w:tc>
          <w:tcPr>
            <w:tcW w:w="20" w:type="dxa"/>
            <w:vAlign w:val="bottom"/>
          </w:tcPr>
          <w:p>
            <w:pPr>
              <w:spacing w:after="0"/>
              <w:rPr>
                <w:sz w:val="24"/>
                <w:szCs w:val="24"/>
                <w:color w:val="auto"/>
              </w:rPr>
            </w:pPr>
          </w:p>
        </w:tc>
      </w:tr>
      <w:tr>
        <w:trPr>
          <w:trHeight w:val="493"/>
        </w:trPr>
        <w:tc>
          <w:tcPr>
            <w:tcW w:w="524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2"/>
        </w:trPr>
        <w:tc>
          <w:tcPr>
            <w:tcW w:w="5240" w:type="dxa"/>
            <w:vAlign w:val="bottom"/>
          </w:tcPr>
          <w:p>
            <w:pPr>
              <w:ind w:left="160"/>
              <w:spacing w:after="0"/>
              <w:rPr>
                <w:sz w:val="20"/>
                <w:szCs w:val="20"/>
                <w:color w:val="auto"/>
              </w:rPr>
            </w:pPr>
            <w:r>
              <w:rPr>
                <w:rFonts w:ascii="Arial" w:cs="Arial" w:eastAsia="Arial" w:hAnsi="Arial"/>
                <w:sz w:val="18"/>
                <w:szCs w:val="18"/>
                <w:color w:val="auto"/>
              </w:rPr>
              <w:t>Weighted average number of shares used in</w:t>
            </w:r>
          </w:p>
        </w:tc>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5240" w:type="dxa"/>
            <w:vAlign w:val="bottom"/>
          </w:tcPr>
          <w:p>
            <w:pPr>
              <w:ind w:left="160"/>
              <w:spacing w:after="0"/>
              <w:rPr>
                <w:sz w:val="20"/>
                <w:szCs w:val="20"/>
                <w:color w:val="auto"/>
              </w:rPr>
            </w:pPr>
            <w:r>
              <w:rPr>
                <w:rFonts w:ascii="Arial" w:cs="Arial" w:eastAsia="Arial" w:hAnsi="Arial"/>
                <w:sz w:val="18"/>
                <w:szCs w:val="18"/>
                <w:color w:val="auto"/>
              </w:rPr>
              <w:t>calculating basic net income per share</w:t>
            </w:r>
          </w:p>
        </w:tc>
        <w:tc>
          <w:tcPr>
            <w:tcW w:w="2280" w:type="dxa"/>
            <w:vAlign w:val="bottom"/>
          </w:tcPr>
          <w:p>
            <w:pPr>
              <w:jc w:val="right"/>
              <w:ind w:right="490"/>
              <w:spacing w:after="0"/>
              <w:rPr>
                <w:sz w:val="20"/>
                <w:szCs w:val="20"/>
                <w:color w:val="auto"/>
              </w:rPr>
            </w:pPr>
            <w:r>
              <w:rPr>
                <w:rFonts w:ascii="Arial" w:cs="Arial" w:eastAsia="Arial" w:hAnsi="Arial"/>
                <w:sz w:val="18"/>
                <w:szCs w:val="18"/>
                <w:color w:val="auto"/>
              </w:rPr>
              <w:t>31,349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31,263</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31,329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31,243</w:t>
            </w:r>
          </w:p>
        </w:tc>
      </w:tr>
      <w:tr>
        <w:trPr>
          <w:trHeight w:val="486"/>
        </w:trPr>
        <w:tc>
          <w:tcPr>
            <w:tcW w:w="524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524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2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69</w:t>
            </w: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4"/>
                <w:szCs w:val="24"/>
                <w:color w:val="auto"/>
              </w:rPr>
            </w:pPr>
          </w:p>
        </w:tc>
      </w:tr>
      <w:tr>
        <w:trPr>
          <w:trHeight w:val="432"/>
        </w:trPr>
        <w:tc>
          <w:tcPr>
            <w:tcW w:w="5240" w:type="dxa"/>
            <w:vAlign w:val="bottom"/>
          </w:tcPr>
          <w:p>
            <w:pPr>
              <w:ind w:left="160"/>
              <w:spacing w:after="0"/>
              <w:rPr>
                <w:sz w:val="20"/>
                <w:szCs w:val="20"/>
                <w:color w:val="auto"/>
              </w:rPr>
            </w:pPr>
            <w:r>
              <w:rPr>
                <w:rFonts w:ascii="Arial" w:cs="Arial" w:eastAsia="Arial" w:hAnsi="Arial"/>
                <w:sz w:val="18"/>
                <w:szCs w:val="18"/>
                <w:color w:val="auto"/>
              </w:rPr>
              <w:t>Long-term incentive plan</w:t>
            </w:r>
          </w:p>
        </w:tc>
        <w:tc>
          <w:tcPr>
            <w:tcW w:w="22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82</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120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479"/>
        </w:trPr>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Weighted average number of shares used in</w:t>
            </w:r>
          </w:p>
        </w:tc>
        <w:tc>
          <w:tcPr>
            <w:tcW w:w="2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28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31,349</w:t>
            </w:r>
          </w:p>
        </w:tc>
        <w:tc>
          <w:tcPr>
            <w:tcW w:w="122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31,489</w:t>
            </w:r>
          </w:p>
        </w:tc>
        <w:tc>
          <w:tcPr>
            <w:tcW w:w="164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31,518</w:t>
            </w:r>
          </w:p>
        </w:tc>
        <w:tc>
          <w:tcPr>
            <w:tcW w:w="10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31,455</w:t>
            </w:r>
          </w:p>
        </w:tc>
      </w:tr>
      <w:tr>
        <w:trPr>
          <w:trHeight w:val="493"/>
        </w:trPr>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 of stock-based compensation plans</w:t>
            </w:r>
          </w:p>
        </w:tc>
        <w:tc>
          <w:tcPr>
            <w:tcW w:w="2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that were not included in the computation of</w:t>
            </w:r>
          </w:p>
        </w:tc>
        <w:tc>
          <w:tcPr>
            <w:tcW w:w="2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diluted earnings per share because</w:t>
            </w:r>
          </w:p>
        </w:tc>
        <w:tc>
          <w:tcPr>
            <w:tcW w:w="2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5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to do so would have been antidilutive</w:t>
            </w:r>
          </w:p>
        </w:tc>
        <w:tc>
          <w:tcPr>
            <w:tcW w:w="228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479"/>
        </w:trPr>
        <w:tc>
          <w:tcPr>
            <w:tcW w:w="524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28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$20.22</w:t>
            </w:r>
          </w:p>
        </w:tc>
        <w:tc>
          <w:tcPr>
            <w:tcW w:w="122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$25.32</w:t>
            </w:r>
          </w:p>
        </w:tc>
        <w:tc>
          <w:tcPr>
            <w:tcW w:w="164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$22.08</w:t>
            </w:r>
          </w:p>
        </w:tc>
        <w:tc>
          <w:tcPr>
            <w:tcW w:w="10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$24.57</w:t>
            </w:r>
          </w:p>
        </w:tc>
      </w:tr>
      <w:tr>
        <w:trPr>
          <w:trHeight w:val="493"/>
        </w:trPr>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income/(loss) per share:</w:t>
            </w:r>
          </w:p>
        </w:tc>
        <w:tc>
          <w:tcPr>
            <w:tcW w:w="2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5240" w:type="dxa"/>
            <w:vAlign w:val="bottom"/>
          </w:tcPr>
          <w:p>
            <w:pPr>
              <w:ind w:left="160"/>
              <w:spacing w:after="0"/>
              <w:rPr>
                <w:sz w:val="20"/>
                <w:szCs w:val="20"/>
                <w:color w:val="auto"/>
              </w:rPr>
            </w:pPr>
            <w:r>
              <w:rPr>
                <w:rFonts w:ascii="Arial" w:cs="Arial" w:eastAsia="Arial" w:hAnsi="Arial"/>
                <w:sz w:val="18"/>
                <w:szCs w:val="18"/>
                <w:color w:val="auto"/>
              </w:rPr>
              <w:t>Basic</w:t>
            </w:r>
          </w:p>
        </w:tc>
        <w:tc>
          <w:tcPr>
            <w:tcW w:w="2280" w:type="dxa"/>
            <w:vAlign w:val="bottom"/>
          </w:tcPr>
          <w:p>
            <w:pPr>
              <w:jc w:val="right"/>
              <w:ind w:right="430"/>
              <w:spacing w:after="0"/>
              <w:rPr>
                <w:sz w:val="20"/>
                <w:szCs w:val="20"/>
                <w:color w:val="auto"/>
              </w:rPr>
            </w:pPr>
            <w:r>
              <w:rPr>
                <w:rFonts w:ascii="Arial" w:cs="Arial" w:eastAsia="Arial" w:hAnsi="Arial"/>
                <w:sz w:val="18"/>
                <w:szCs w:val="18"/>
                <w:color w:val="auto"/>
              </w:rPr>
              <w:t>($1.08)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$0.28</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$0.42</w:t>
            </w:r>
          </w:p>
        </w:tc>
        <w:tc>
          <w:tcPr>
            <w:tcW w:w="1040" w:type="dxa"/>
            <w:vAlign w:val="bottom"/>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24"/>
                <w:szCs w:val="24"/>
                <w:color w:val="auto"/>
              </w:rPr>
            </w:pPr>
          </w:p>
        </w:tc>
      </w:tr>
      <w:tr>
        <w:trPr>
          <w:trHeight w:val="432"/>
        </w:trPr>
        <w:tc>
          <w:tcPr>
            <w:tcW w:w="5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2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($1.08)</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$0.28</w:t>
            </w:r>
          </w:p>
        </w:tc>
        <w:tc>
          <w:tcPr>
            <w:tcW w:w="1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$0.42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0" w:type="dxa"/>
            <w:vAlign w:val="bottom"/>
            <w:tcBorders>
              <w:bottom w:val="single" w:sz="8" w:color="auto"/>
            </w:tcBorders>
          </w:tcPr>
          <w:p>
            <w:pPr>
              <w:spacing w:after="0"/>
              <w:rPr>
                <w:sz w:val="24"/>
                <w:szCs w:val="24"/>
                <w:color w:val="auto"/>
              </w:rPr>
            </w:pPr>
          </w:p>
        </w:tc>
      </w:tr>
    </w:tbl>
    <w:p>
      <w:pPr>
        <w:spacing w:after="0" w:line="323" w:lineRule="exact"/>
        <w:rPr>
          <w:sz w:val="20"/>
          <w:szCs w:val="20"/>
          <w:color w:val="auto"/>
        </w:rPr>
      </w:pPr>
    </w:p>
    <w:p>
      <w:pPr>
        <w:ind w:right="3560"/>
        <w:spacing w:after="0" w:line="246" w:lineRule="auto"/>
        <w:rPr>
          <w:sz w:val="20"/>
          <w:szCs w:val="20"/>
          <w:color w:val="auto"/>
        </w:rPr>
      </w:pPr>
      <w:r>
        <w:rPr>
          <w:rFonts w:ascii="Arial" w:cs="Arial" w:eastAsia="Arial" w:hAnsi="Arial"/>
          <w:sz w:val="18"/>
          <w:szCs w:val="18"/>
          <w:color w:val="auto"/>
        </w:rPr>
        <w:t>As of June 30, 2012 and 2011, there was no dilution resulting from the convertible debt instrument, purchased call option, and warrant that are described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377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shares issued and outstanding: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2820" w:type="dxa"/>
            <w:vAlign w:val="bottom"/>
          </w:tcPr>
          <w:p>
            <w:pPr>
              <w:jc w:val="right"/>
              <w:ind w:right="1090"/>
              <w:spacing w:after="0"/>
              <w:rPr>
                <w:sz w:val="20"/>
                <w:szCs w:val="20"/>
                <w:color w:val="auto"/>
              </w:rPr>
            </w:pPr>
            <w:r>
              <w:rPr>
                <w:rFonts w:ascii="Arial" w:cs="Arial" w:eastAsia="Arial" w:hAnsi="Arial"/>
                <w:sz w:val="18"/>
                <w:szCs w:val="18"/>
                <w:color w:val="auto"/>
              </w:rPr>
              <w:t>Class A</w:t>
            </w:r>
          </w:p>
        </w:tc>
        <w:tc>
          <w:tcPr>
            <w:tcW w:w="2140" w:type="dxa"/>
            <w:vAlign w:val="bottom"/>
          </w:tcPr>
          <w:p>
            <w:pPr>
              <w:jc w:val="right"/>
              <w:ind w:right="930"/>
              <w:spacing w:after="0"/>
              <w:rPr>
                <w:sz w:val="20"/>
                <w:szCs w:val="20"/>
                <w:color w:val="auto"/>
              </w:rPr>
            </w:pPr>
            <w:r>
              <w:rPr>
                <w:rFonts w:ascii="Arial" w:cs="Arial" w:eastAsia="Arial" w:hAnsi="Arial"/>
                <w:sz w:val="18"/>
                <w:szCs w:val="18"/>
                <w:color w:val="auto"/>
              </w:rPr>
              <w:t>Class B</w:t>
            </w:r>
          </w:p>
        </w:tc>
        <w:tc>
          <w:tcPr>
            <w:tcW w:w="2320" w:type="dxa"/>
            <w:vAlign w:val="bottom"/>
          </w:tcPr>
          <w:p>
            <w:pPr>
              <w:jc w:val="right"/>
              <w:ind w:right="690"/>
              <w:spacing w:after="0"/>
              <w:rPr>
                <w:sz w:val="20"/>
                <w:szCs w:val="20"/>
                <w:color w:val="auto"/>
              </w:rPr>
            </w:pPr>
            <w:r>
              <w:rPr>
                <w:rFonts w:ascii="Arial" w:cs="Arial" w:eastAsia="Arial" w:hAnsi="Arial"/>
                <w:sz w:val="18"/>
                <w:szCs w:val="18"/>
                <w:color w:val="auto"/>
              </w:rPr>
              <w:t>Less: Treasury</w:t>
            </w:r>
          </w:p>
        </w:tc>
        <w:tc>
          <w:tcPr>
            <w:tcW w:w="1860" w:type="dxa"/>
            <w:vAlign w:val="bottom"/>
          </w:tcPr>
          <w:p>
            <w:pPr>
              <w:jc w:val="right"/>
              <w:ind w:right="450"/>
              <w:spacing w:after="0"/>
              <w:rPr>
                <w:sz w:val="20"/>
                <w:szCs w:val="20"/>
                <w:color w:val="auto"/>
              </w:rPr>
            </w:pPr>
            <w:r>
              <w:rPr>
                <w:rFonts w:ascii="Arial" w:cs="Arial" w:eastAsia="Arial" w:hAnsi="Arial"/>
                <w:sz w:val="18"/>
                <w:szCs w:val="18"/>
                <w:color w:val="auto"/>
              </w:rPr>
              <w:t>Net shares</w:t>
            </w:r>
          </w:p>
        </w:tc>
      </w:tr>
      <w:tr>
        <w:trPr>
          <w:trHeight w:val="216"/>
        </w:trPr>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Shares</w:t>
            </w:r>
          </w:p>
        </w:tc>
        <w:tc>
          <w:tcPr>
            <w:tcW w:w="2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Shares</w:t>
            </w:r>
          </w:p>
        </w:tc>
        <w:tc>
          <w:tcPr>
            <w:tcW w:w="23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Shares</w:t>
            </w:r>
          </w:p>
        </w:tc>
        <w:tc>
          <w:tcPr>
            <w:tcW w:w="1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Outstanding</w:t>
            </w:r>
          </w:p>
        </w:tc>
      </w:tr>
      <w:tr>
        <w:trPr>
          <w:trHeight w:val="466"/>
        </w:trPr>
        <w:tc>
          <w:tcPr>
            <w:tcW w:w="2280" w:type="dxa"/>
            <w:vAlign w:val="bottom"/>
          </w:tcPr>
          <w:p>
            <w:pPr>
              <w:spacing w:after="0"/>
              <w:rPr>
                <w:sz w:val="20"/>
                <w:szCs w:val="20"/>
                <w:color w:val="auto"/>
              </w:rPr>
            </w:pPr>
            <w:r>
              <w:rPr>
                <w:rFonts w:ascii="Arial" w:cs="Arial" w:eastAsia="Arial" w:hAnsi="Arial"/>
                <w:sz w:val="18"/>
                <w:szCs w:val="18"/>
                <w:color w:val="auto"/>
              </w:rPr>
              <w:t>June 30, 2011</w:t>
            </w:r>
          </w:p>
        </w:tc>
        <w:tc>
          <w:tcPr>
            <w:tcW w:w="2820" w:type="dxa"/>
            <w:vAlign w:val="bottom"/>
          </w:tcPr>
          <w:p>
            <w:pPr>
              <w:jc w:val="right"/>
              <w:ind w:right="430"/>
              <w:spacing w:after="0"/>
              <w:rPr>
                <w:sz w:val="20"/>
                <w:szCs w:val="20"/>
                <w:color w:val="auto"/>
              </w:rPr>
            </w:pPr>
            <w:r>
              <w:rPr>
                <w:rFonts w:ascii="Arial" w:cs="Arial" w:eastAsia="Arial" w:hAnsi="Arial"/>
                <w:sz w:val="18"/>
                <w:szCs w:val="18"/>
                <w:color w:val="auto"/>
              </w:rPr>
              <w:t>36,515,942</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3,236,098</w:t>
            </w:r>
          </w:p>
        </w:tc>
        <w:tc>
          <w:tcPr>
            <w:tcW w:w="2320" w:type="dxa"/>
            <w:vAlign w:val="bottom"/>
          </w:tcPr>
          <w:p>
            <w:pPr>
              <w:jc w:val="right"/>
              <w:ind w:right="310"/>
              <w:spacing w:after="0"/>
              <w:rPr>
                <w:sz w:val="20"/>
                <w:szCs w:val="20"/>
                <w:color w:val="auto"/>
              </w:rPr>
            </w:pPr>
            <w:r>
              <w:rPr>
                <w:rFonts w:ascii="Arial" w:cs="Arial" w:eastAsia="Arial" w:hAnsi="Arial"/>
                <w:sz w:val="18"/>
                <w:szCs w:val="18"/>
                <w:color w:val="auto"/>
              </w:rPr>
              <w:t>(8,479,487)</w:t>
            </w:r>
          </w:p>
        </w:tc>
        <w:tc>
          <w:tcPr>
            <w:tcW w:w="1860" w:type="dxa"/>
            <w:vAlign w:val="bottom"/>
          </w:tcPr>
          <w:p>
            <w:pPr>
              <w:jc w:val="right"/>
              <w:spacing w:after="0"/>
              <w:rPr>
                <w:sz w:val="20"/>
                <w:szCs w:val="20"/>
                <w:color w:val="auto"/>
              </w:rPr>
            </w:pPr>
            <w:r>
              <w:rPr>
                <w:rFonts w:ascii="Arial" w:cs="Arial" w:eastAsia="Arial" w:hAnsi="Arial"/>
                <w:sz w:val="18"/>
                <w:szCs w:val="18"/>
                <w:color w:val="auto"/>
              </w:rPr>
              <w:t>31,272,553</w:t>
            </w: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March 31, 2012</w:t>
            </w:r>
          </w:p>
        </w:tc>
        <w:tc>
          <w:tcPr>
            <w:tcW w:w="2820" w:type="dxa"/>
            <w:vAlign w:val="bottom"/>
          </w:tcPr>
          <w:p>
            <w:pPr>
              <w:jc w:val="right"/>
              <w:ind w:right="430"/>
              <w:spacing w:after="0"/>
              <w:rPr>
                <w:sz w:val="20"/>
                <w:szCs w:val="20"/>
                <w:color w:val="auto"/>
              </w:rPr>
            </w:pPr>
            <w:r>
              <w:rPr>
                <w:rFonts w:ascii="Arial" w:cs="Arial" w:eastAsia="Arial" w:hAnsi="Arial"/>
                <w:sz w:val="18"/>
                <w:szCs w:val="18"/>
                <w:color w:val="auto"/>
              </w:rPr>
              <w:t>36,585,004</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3,236,098</w:t>
            </w:r>
          </w:p>
        </w:tc>
        <w:tc>
          <w:tcPr>
            <w:tcW w:w="2320" w:type="dxa"/>
            <w:vAlign w:val="bottom"/>
          </w:tcPr>
          <w:p>
            <w:pPr>
              <w:jc w:val="right"/>
              <w:ind w:right="310"/>
              <w:spacing w:after="0"/>
              <w:rPr>
                <w:sz w:val="20"/>
                <w:szCs w:val="20"/>
                <w:color w:val="auto"/>
              </w:rPr>
            </w:pPr>
            <w:r>
              <w:rPr>
                <w:rFonts w:ascii="Arial" w:cs="Arial" w:eastAsia="Arial" w:hAnsi="Arial"/>
                <w:sz w:val="18"/>
                <w:szCs w:val="18"/>
                <w:color w:val="auto"/>
              </w:rPr>
              <w:t>(8,479,487)</w:t>
            </w:r>
          </w:p>
        </w:tc>
        <w:tc>
          <w:tcPr>
            <w:tcW w:w="1860" w:type="dxa"/>
            <w:vAlign w:val="bottom"/>
          </w:tcPr>
          <w:p>
            <w:pPr>
              <w:jc w:val="right"/>
              <w:spacing w:after="0"/>
              <w:rPr>
                <w:sz w:val="20"/>
                <w:szCs w:val="20"/>
                <w:color w:val="auto"/>
              </w:rPr>
            </w:pPr>
            <w:r>
              <w:rPr>
                <w:rFonts w:ascii="Arial" w:cs="Arial" w:eastAsia="Arial" w:hAnsi="Arial"/>
                <w:sz w:val="18"/>
                <w:szCs w:val="18"/>
                <w:color w:val="auto"/>
              </w:rPr>
              <w:t>31,341,615</w:t>
            </w:r>
          </w:p>
        </w:tc>
      </w:tr>
      <w:tr>
        <w:trPr>
          <w:trHeight w:val="216"/>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2012</w:t>
            </w:r>
          </w:p>
        </w:tc>
        <w:tc>
          <w:tcPr>
            <w:tcW w:w="2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36,589,304</w:t>
            </w:r>
          </w:p>
        </w:tc>
        <w:tc>
          <w:tcPr>
            <w:tcW w:w="2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3,236,098</w:t>
            </w:r>
          </w:p>
        </w:tc>
        <w:tc>
          <w:tcPr>
            <w:tcW w:w="2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(8,467,873)</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31,357,529</w:t>
            </w:r>
          </w:p>
        </w:tc>
      </w:tr>
      <w:tr>
        <w:trPr>
          <w:trHeight w:val="601"/>
        </w:trPr>
        <w:tc>
          <w:tcPr>
            <w:tcW w:w="2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140" w:type="dxa"/>
            <w:vAlign w:val="bottom"/>
          </w:tcPr>
          <w:p>
            <w:pPr>
              <w:jc w:val="right"/>
              <w:ind w:right="1330"/>
              <w:spacing w:after="0"/>
              <w:rPr>
                <w:sz w:val="20"/>
                <w:szCs w:val="20"/>
                <w:color w:val="auto"/>
              </w:rPr>
            </w:pPr>
            <w:r>
              <w:rPr>
                <w:rFonts w:ascii="Arial" w:cs="Arial" w:eastAsia="Arial" w:hAnsi="Arial"/>
                <w:sz w:val="18"/>
                <w:szCs w:val="18"/>
                <w:color w:val="auto"/>
              </w:rPr>
              <w:t>13</w:t>
            </w:r>
          </w:p>
        </w:tc>
        <w:tc>
          <w:tcPr>
            <w:tcW w:w="23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6"/>
        </w:trPr>
        <w:tc>
          <w:tcPr>
            <w:tcW w:w="2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1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Inventories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44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June 30, 2012</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31, 2011</w:t>
            </w:r>
          </w:p>
        </w:tc>
        <w:tc>
          <w:tcPr>
            <w:tcW w:w="20" w:type="dxa"/>
            <w:vAlign w:val="bottom"/>
          </w:tcPr>
          <w:p>
            <w:pPr>
              <w:spacing w:after="0"/>
              <w:rPr>
                <w:sz w:val="18"/>
                <w:szCs w:val="18"/>
                <w:color w:val="auto"/>
              </w:rPr>
            </w:pPr>
          </w:p>
        </w:tc>
      </w:tr>
      <w:tr>
        <w:trPr>
          <w:trHeight w:val="466"/>
        </w:trPr>
        <w:tc>
          <w:tcPr>
            <w:tcW w:w="4660" w:type="dxa"/>
            <w:vAlign w:val="bottom"/>
          </w:tcPr>
          <w:p>
            <w:pPr>
              <w:spacing w:after="0"/>
              <w:rPr>
                <w:sz w:val="20"/>
                <w:szCs w:val="20"/>
                <w:color w:val="auto"/>
              </w:rPr>
            </w:pPr>
            <w:r>
              <w:rPr>
                <w:rFonts w:ascii="Arial" w:cs="Arial" w:eastAsia="Arial" w:hAnsi="Arial"/>
                <w:sz w:val="18"/>
                <w:szCs w:val="18"/>
                <w:color w:val="auto"/>
              </w:rPr>
              <w:t>Finished goods</w:t>
            </w:r>
          </w:p>
        </w:tc>
        <w:tc>
          <w:tcPr>
            <w:tcW w:w="4440" w:type="dxa"/>
            <w:vAlign w:val="bottom"/>
          </w:tcPr>
          <w:p>
            <w:pPr>
              <w:jc w:val="right"/>
              <w:ind w:right="650"/>
              <w:spacing w:after="0"/>
              <w:rPr>
                <w:sz w:val="20"/>
                <w:szCs w:val="20"/>
                <w:color w:val="auto"/>
              </w:rPr>
            </w:pPr>
            <w:r>
              <w:rPr>
                <w:rFonts w:ascii="Arial" w:cs="Arial" w:eastAsia="Arial" w:hAnsi="Arial"/>
                <w:sz w:val="18"/>
                <w:szCs w:val="18"/>
                <w:b w:val="1"/>
                <w:bCs w:val="1"/>
                <w:color w:val="auto"/>
              </w:rPr>
              <w:t>$58,585</w:t>
            </w:r>
          </w:p>
        </w:tc>
        <w:tc>
          <w:tcPr>
            <w:tcW w:w="2320" w:type="dxa"/>
            <w:vAlign w:val="bottom"/>
          </w:tcPr>
          <w:p>
            <w:pPr>
              <w:jc w:val="right"/>
              <w:spacing w:after="0"/>
              <w:rPr>
                <w:sz w:val="20"/>
                <w:szCs w:val="20"/>
                <w:color w:val="auto"/>
              </w:rPr>
            </w:pPr>
            <w:r>
              <w:rPr>
                <w:rFonts w:ascii="Arial" w:cs="Arial" w:eastAsia="Arial" w:hAnsi="Arial"/>
                <w:sz w:val="18"/>
                <w:szCs w:val="18"/>
                <w:color w:val="auto"/>
              </w:rPr>
              <w:t>$61,540</w:t>
            </w:r>
          </w:p>
        </w:tc>
        <w:tc>
          <w:tcPr>
            <w:tcW w:w="20" w:type="dxa"/>
            <w:vAlign w:val="bottom"/>
          </w:tcPr>
          <w:p>
            <w:pPr>
              <w:spacing w:after="0"/>
              <w:rPr>
                <w:sz w:val="24"/>
                <w:szCs w:val="24"/>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Work in process</w:t>
            </w:r>
          </w:p>
        </w:tc>
        <w:tc>
          <w:tcPr>
            <w:tcW w:w="4440" w:type="dxa"/>
            <w:vAlign w:val="bottom"/>
          </w:tcPr>
          <w:p>
            <w:pPr>
              <w:jc w:val="right"/>
              <w:ind w:right="650"/>
              <w:spacing w:after="0"/>
              <w:rPr>
                <w:sz w:val="20"/>
                <w:szCs w:val="20"/>
                <w:color w:val="auto"/>
              </w:rPr>
            </w:pPr>
            <w:r>
              <w:rPr>
                <w:rFonts w:ascii="Arial" w:cs="Arial" w:eastAsia="Arial" w:hAnsi="Arial"/>
                <w:sz w:val="18"/>
                <w:szCs w:val="18"/>
                <w:b w:val="1"/>
                <w:bCs w:val="1"/>
                <w:color w:val="auto"/>
              </w:rPr>
              <w:t>45,446</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39,552</w:t>
            </w:r>
          </w:p>
        </w:tc>
      </w:tr>
      <w:tr>
        <w:trPr>
          <w:trHeight w:val="250"/>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Raw material and supplies</w:t>
            </w:r>
          </w:p>
        </w:tc>
        <w:tc>
          <w:tcPr>
            <w:tcW w:w="4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24,942</w:t>
            </w:r>
          </w:p>
        </w:tc>
        <w:tc>
          <w:tcPr>
            <w:tcW w:w="2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28,711</w:t>
            </w:r>
          </w:p>
        </w:tc>
      </w:tr>
      <w:tr>
        <w:trPr>
          <w:trHeight w:val="203"/>
        </w:trPr>
        <w:tc>
          <w:tcPr>
            <w:tcW w:w="4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 inventories</w:t>
            </w:r>
          </w:p>
        </w:tc>
        <w:tc>
          <w:tcPr>
            <w:tcW w:w="4440" w:type="dxa"/>
            <w:vAlign w:val="bottom"/>
            <w:tcBorders>
              <w:bottom w:val="single" w:sz="8" w:color="auto"/>
            </w:tcBorders>
          </w:tcPr>
          <w:p>
            <w:pPr>
              <w:jc w:val="right"/>
              <w:ind w:right="650"/>
              <w:spacing w:after="0" w:line="202" w:lineRule="exact"/>
              <w:rPr>
                <w:sz w:val="20"/>
                <w:szCs w:val="20"/>
                <w:color w:val="auto"/>
              </w:rPr>
            </w:pPr>
            <w:r>
              <w:rPr>
                <w:rFonts w:ascii="Arial" w:cs="Arial" w:eastAsia="Arial" w:hAnsi="Arial"/>
                <w:sz w:val="18"/>
                <w:szCs w:val="18"/>
                <w:b w:val="1"/>
                <w:bCs w:val="1"/>
                <w:color w:val="auto"/>
              </w:rPr>
              <w:t>$128,973</w:t>
            </w:r>
          </w:p>
        </w:tc>
        <w:tc>
          <w:tcPr>
            <w:tcW w:w="23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$129,803</w:t>
            </w:r>
          </w:p>
        </w:tc>
      </w:tr>
    </w:tbl>
    <w:p>
      <w:pPr>
        <w:spacing w:after="0" w:line="377"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We record a provision for obsolete inventory based on the age and category of the inventories.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6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6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7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2012 the Company applied the qualitative assessment approach (See Recent Accounting Pronouncements footnote) in performing its annual evaluation of goodwill and concluded that no impairment provision was required. In addition, there were no amounts at risk due to the large spread between the fair and carrying values.</w:t>
      </w:r>
    </w:p>
    <w:p>
      <w:pPr>
        <w:spacing w:after="0" w:line="16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January 1, 2012 to June 30, 2012,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Balance at</w:t>
            </w:r>
          </w:p>
        </w:tc>
        <w:tc>
          <w:tcPr>
            <w:tcW w:w="15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Currency</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December 31, 2011</w:t>
            </w:r>
          </w:p>
        </w:tc>
        <w:tc>
          <w:tcPr>
            <w:tcW w:w="15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Translation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2012</w:t>
            </w:r>
          </w:p>
        </w:tc>
      </w:tr>
      <w:tr>
        <w:trPr>
          <w:trHeight w:val="398"/>
        </w:trPr>
        <w:tc>
          <w:tcPr>
            <w:tcW w:w="460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AEC trade names</w:t>
            </w:r>
          </w:p>
        </w:tc>
        <w:tc>
          <w:tcPr>
            <w:tcW w:w="2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$43</w:t>
            </w:r>
          </w:p>
        </w:tc>
        <w:tc>
          <w:tcPr>
            <w:tcW w:w="15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($2)</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AEC customer contracts</w:t>
            </w:r>
          </w:p>
        </w:tc>
        <w:tc>
          <w:tcPr>
            <w:tcW w:w="2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808</w:t>
            </w:r>
          </w:p>
        </w:tc>
        <w:tc>
          <w:tcPr>
            <w:tcW w:w="156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(101)</w:t>
            </w:r>
          </w:p>
        </w:tc>
        <w:tc>
          <w:tcPr>
            <w:tcW w:w="540" w:type="dxa"/>
            <w:vAlign w:val="bottom"/>
          </w:tcPr>
          <w:p>
            <w:pPr>
              <w:spacing w:after="0"/>
              <w:rPr>
                <w:sz w:val="17"/>
                <w:szCs w:val="17"/>
                <w:color w:val="auto"/>
              </w:rPr>
            </w:pPr>
          </w:p>
        </w:tc>
        <w:tc>
          <w:tcPr>
            <w:tcW w:w="9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707</w:t>
            </w:r>
          </w:p>
        </w:tc>
      </w:tr>
      <w:tr>
        <w:trPr>
          <w:trHeight w:val="203"/>
        </w:trPr>
        <w:tc>
          <w:tcPr>
            <w:tcW w:w="20" w:type="dxa"/>
            <w:vAlign w:val="bottom"/>
          </w:tcPr>
          <w:p>
            <w:pPr>
              <w:spacing w:after="0"/>
              <w:rPr>
                <w:sz w:val="17"/>
                <w:szCs w:val="17"/>
                <w:color w:val="auto"/>
              </w:rPr>
            </w:pPr>
          </w:p>
        </w:tc>
        <w:tc>
          <w:tcPr>
            <w:tcW w:w="458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AEC technology</w:t>
            </w:r>
          </w:p>
        </w:tc>
        <w:tc>
          <w:tcPr>
            <w:tcW w:w="23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228</w:t>
            </w:r>
          </w:p>
        </w:tc>
        <w:tc>
          <w:tcPr>
            <w:tcW w:w="1560" w:type="dxa"/>
            <w:vAlign w:val="bottom"/>
            <w:tcBorders>
              <w:bottom w:val="single" w:sz="8" w:color="auto"/>
            </w:tcBorders>
          </w:tcPr>
          <w:p>
            <w:pPr>
              <w:jc w:val="right"/>
              <w:ind w:right="213"/>
              <w:spacing w:after="0" w:line="203" w:lineRule="exact"/>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w:t>
            </w:r>
          </w:p>
        </w:tc>
      </w:tr>
      <w:tr>
        <w:trPr>
          <w:trHeight w:val="196"/>
        </w:trPr>
        <w:tc>
          <w:tcPr>
            <w:tcW w:w="2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38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$1,079</w:t>
            </w:r>
          </w:p>
        </w:tc>
        <w:tc>
          <w:tcPr>
            <w:tcW w:w="1560" w:type="dxa"/>
            <w:vAlign w:val="bottom"/>
            <w:tcBorders>
              <w:bottom w:val="single" w:sz="8" w:color="auto"/>
            </w:tcBorders>
          </w:tcPr>
          <w:p>
            <w:pPr>
              <w:jc w:val="right"/>
              <w:ind w:right="213"/>
              <w:spacing w:after="0" w:line="196" w:lineRule="exact"/>
              <w:rPr>
                <w:sz w:val="20"/>
                <w:szCs w:val="20"/>
                <w:color w:val="auto"/>
              </w:rPr>
            </w:pPr>
            <w:r>
              <w:rPr>
                <w:rFonts w:ascii="Arial" w:cs="Arial" w:eastAsia="Arial" w:hAnsi="Arial"/>
                <w:sz w:val="18"/>
                <w:szCs w:val="18"/>
                <w:color w:val="auto"/>
              </w:rPr>
              <w:t>($115)</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$964</w:t>
            </w:r>
          </w:p>
        </w:tc>
      </w:tr>
      <w:tr>
        <w:trPr>
          <w:trHeight w:val="398"/>
        </w:trPr>
        <w:tc>
          <w:tcPr>
            <w:tcW w:w="460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Goodwill, Machine Clothing reporting unit</w:t>
            </w:r>
          </w:p>
        </w:tc>
        <w:tc>
          <w:tcPr>
            <w:tcW w:w="238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$75,469</w:t>
            </w:r>
          </w:p>
        </w:tc>
        <w:tc>
          <w:tcPr>
            <w:tcW w:w="1560" w:type="dxa"/>
            <w:vAlign w:val="bottom"/>
            <w:tcBorders>
              <w:bottom w:val="single" w:sz="8" w:color="auto"/>
            </w:tcBorders>
          </w:tcPr>
          <w:p>
            <w:pPr>
              <w:jc w:val="right"/>
              <w:ind w:right="273"/>
              <w:spacing w:after="0" w:line="203" w:lineRule="exact"/>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7"/>
              </w:rPr>
              <w:t>1,298)</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$74,171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of amortized intangible assets for the years ending December 31, 2012 through 2016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Annual Amortization</w:t>
            </w:r>
          </w:p>
        </w:tc>
        <w:tc>
          <w:tcPr>
            <w:tcW w:w="20" w:type="dxa"/>
            <w:vAlign w:val="bottom"/>
          </w:tcPr>
          <w:p>
            <w:pPr>
              <w:spacing w:after="0"/>
              <w:rPr>
                <w:sz w:val="18"/>
                <w:szCs w:val="18"/>
                <w:color w:val="auto"/>
              </w:rPr>
            </w:pPr>
          </w:p>
        </w:tc>
      </w:tr>
      <w:tr>
        <w:trPr>
          <w:trHeight w:val="203"/>
        </w:trPr>
        <w:tc>
          <w:tcPr>
            <w:tcW w:w="2320" w:type="dxa"/>
            <w:vAlign w:val="bottom"/>
            <w:tcBorders>
              <w:bottom w:val="single" w:sz="8" w:color="auto"/>
            </w:tcBorders>
          </w:tcPr>
          <w:p>
            <w:pPr>
              <w:ind w:left="540"/>
              <w:spacing w:after="0" w:line="203" w:lineRule="exact"/>
              <w:rPr>
                <w:sz w:val="20"/>
                <w:szCs w:val="20"/>
                <w:color w:val="auto"/>
              </w:rPr>
            </w:pPr>
            <w:r>
              <w:rPr>
                <w:rFonts w:ascii="Arial" w:cs="Arial" w:eastAsia="Arial" w:hAnsi="Arial"/>
                <w:sz w:val="18"/>
                <w:szCs w:val="18"/>
                <w:color w:val="auto"/>
              </w:rPr>
              <w:t>Year</w:t>
            </w:r>
          </w:p>
        </w:tc>
        <w:tc>
          <w:tcPr>
            <w:tcW w:w="338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r>
      <w:tr>
        <w:trPr>
          <w:trHeight w:val="250"/>
        </w:trPr>
        <w:tc>
          <w:tcPr>
            <w:tcW w:w="2320" w:type="dxa"/>
            <w:vAlign w:val="bottom"/>
          </w:tcPr>
          <w:p>
            <w:pPr>
              <w:ind w:left="520"/>
              <w:spacing w:after="0"/>
              <w:rPr>
                <w:sz w:val="20"/>
                <w:szCs w:val="20"/>
                <w:color w:val="auto"/>
              </w:rPr>
            </w:pPr>
            <w:r>
              <w:rPr>
                <w:rFonts w:ascii="Arial" w:cs="Arial" w:eastAsia="Arial" w:hAnsi="Arial"/>
                <w:sz w:val="18"/>
                <w:szCs w:val="18"/>
                <w:color w:val="auto"/>
              </w:rPr>
              <w:t>2012</w:t>
            </w:r>
          </w:p>
        </w:tc>
        <w:tc>
          <w:tcPr>
            <w:tcW w:w="340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43"/>
        </w:trPr>
        <w:tc>
          <w:tcPr>
            <w:tcW w:w="2320" w:type="dxa"/>
            <w:vAlign w:val="bottom"/>
          </w:tcPr>
          <w:p>
            <w:pPr>
              <w:ind w:left="520"/>
              <w:spacing w:after="0"/>
              <w:rPr>
                <w:sz w:val="20"/>
                <w:szCs w:val="20"/>
                <w:color w:val="auto"/>
              </w:rPr>
            </w:pPr>
            <w:r>
              <w:rPr>
                <w:rFonts w:ascii="Arial" w:cs="Arial" w:eastAsia="Arial" w:hAnsi="Arial"/>
                <w:sz w:val="18"/>
                <w:szCs w:val="18"/>
                <w:color w:val="auto"/>
              </w:rPr>
              <w:t>2013</w:t>
            </w:r>
          </w:p>
        </w:tc>
        <w:tc>
          <w:tcPr>
            <w:tcW w:w="33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1"/>
                <w:szCs w:val="21"/>
                <w:color w:val="auto"/>
              </w:rPr>
            </w:pPr>
          </w:p>
        </w:tc>
      </w:tr>
      <w:tr>
        <w:trPr>
          <w:trHeight w:val="243"/>
        </w:trPr>
        <w:tc>
          <w:tcPr>
            <w:tcW w:w="2320" w:type="dxa"/>
            <w:vAlign w:val="bottom"/>
          </w:tcPr>
          <w:p>
            <w:pPr>
              <w:ind w:left="520"/>
              <w:spacing w:after="0"/>
              <w:rPr>
                <w:sz w:val="20"/>
                <w:szCs w:val="20"/>
                <w:color w:val="auto"/>
              </w:rPr>
            </w:pPr>
            <w:r>
              <w:rPr>
                <w:rFonts w:ascii="Arial" w:cs="Arial" w:eastAsia="Arial" w:hAnsi="Arial"/>
                <w:sz w:val="18"/>
                <w:szCs w:val="18"/>
                <w:color w:val="auto"/>
              </w:rPr>
              <w:t>2014</w:t>
            </w:r>
          </w:p>
        </w:tc>
        <w:tc>
          <w:tcPr>
            <w:tcW w:w="33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1"/>
                <w:szCs w:val="21"/>
                <w:color w:val="auto"/>
              </w:rPr>
            </w:pPr>
          </w:p>
        </w:tc>
      </w:tr>
      <w:tr>
        <w:trPr>
          <w:trHeight w:val="229"/>
        </w:trPr>
        <w:tc>
          <w:tcPr>
            <w:tcW w:w="2320" w:type="dxa"/>
            <w:vAlign w:val="bottom"/>
          </w:tcPr>
          <w:p>
            <w:pPr>
              <w:ind w:left="520"/>
              <w:spacing w:after="0"/>
              <w:rPr>
                <w:sz w:val="20"/>
                <w:szCs w:val="20"/>
                <w:color w:val="auto"/>
              </w:rPr>
            </w:pPr>
            <w:r>
              <w:rPr>
                <w:rFonts w:ascii="Arial" w:cs="Arial" w:eastAsia="Arial" w:hAnsi="Arial"/>
                <w:sz w:val="18"/>
                <w:szCs w:val="18"/>
                <w:color w:val="auto"/>
              </w:rPr>
              <w:t>2015</w:t>
            </w:r>
          </w:p>
        </w:tc>
        <w:tc>
          <w:tcPr>
            <w:tcW w:w="33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r>
      <w:tr>
        <w:trPr>
          <w:trHeight w:val="203"/>
        </w:trPr>
        <w:tc>
          <w:tcPr>
            <w:tcW w:w="2320" w:type="dxa"/>
            <w:vAlign w:val="bottom"/>
            <w:tcBorders>
              <w:bottom w:val="single" w:sz="8" w:color="auto"/>
            </w:tcBorders>
          </w:tcPr>
          <w:p>
            <w:pPr>
              <w:ind w:left="520"/>
              <w:spacing w:after="0" w:line="203" w:lineRule="exact"/>
              <w:rPr>
                <w:sz w:val="20"/>
                <w:szCs w:val="20"/>
                <w:color w:val="auto"/>
              </w:rPr>
            </w:pPr>
            <w:r>
              <w:rPr>
                <w:rFonts w:ascii="Arial" w:cs="Arial" w:eastAsia="Arial" w:hAnsi="Arial"/>
                <w:sz w:val="18"/>
                <w:szCs w:val="18"/>
                <w:color w:val="auto"/>
              </w:rPr>
              <w:t>2016</w:t>
            </w:r>
          </w:p>
        </w:tc>
        <w:tc>
          <w:tcPr>
            <w:tcW w:w="34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29</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(in thousands, except interest rates)</w:t>
            </w:r>
          </w:p>
        </w:tc>
        <w:tc>
          <w:tcPr>
            <w:tcW w:w="3800" w:type="dxa"/>
            <w:vAlign w:val="bottom"/>
            <w:tcBorders>
              <w:top w:val="single" w:sz="8" w:color="auto"/>
            </w:tcBorders>
          </w:tcPr>
          <w:p>
            <w:pPr>
              <w:jc w:val="center"/>
              <w:ind w:left="1770"/>
              <w:spacing w:after="0"/>
              <w:rPr>
                <w:sz w:val="20"/>
                <w:szCs w:val="20"/>
                <w:color w:val="auto"/>
              </w:rPr>
            </w:pPr>
            <w:r>
              <w:rPr>
                <w:rFonts w:ascii="Arial" w:cs="Arial" w:eastAsia="Arial" w:hAnsi="Arial"/>
                <w:sz w:val="18"/>
                <w:szCs w:val="18"/>
                <w:color w:val="auto"/>
              </w:rPr>
              <w:t>June 30,</w:t>
            </w:r>
          </w:p>
        </w:tc>
        <w:tc>
          <w:tcPr>
            <w:tcW w:w="22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109"/>
        </w:trPr>
        <w:tc>
          <w:tcPr>
            <w:tcW w:w="5360" w:type="dxa"/>
            <w:vAlign w:val="bottom"/>
            <w:vMerge w:val="continue"/>
          </w:tcPr>
          <w:p>
            <w:pPr>
              <w:spacing w:after="0"/>
              <w:rPr>
                <w:sz w:val="9"/>
                <w:szCs w:val="9"/>
                <w:color w:val="auto"/>
              </w:rPr>
            </w:pPr>
          </w:p>
        </w:tc>
        <w:tc>
          <w:tcPr>
            <w:tcW w:w="3800" w:type="dxa"/>
            <w:vAlign w:val="bottom"/>
            <w:vMerge w:val="restart"/>
          </w:tcPr>
          <w:p>
            <w:pPr>
              <w:jc w:val="right"/>
              <w:ind w:right="670"/>
              <w:spacing w:after="0" w:line="203" w:lineRule="exact"/>
              <w:rPr>
                <w:sz w:val="20"/>
                <w:szCs w:val="20"/>
                <w:color w:val="auto"/>
              </w:rPr>
            </w:pPr>
            <w:r>
              <w:rPr>
                <w:rFonts w:ascii="Arial" w:cs="Arial" w:eastAsia="Arial" w:hAnsi="Arial"/>
                <w:sz w:val="18"/>
                <w:szCs w:val="18"/>
                <w:color w:val="auto"/>
              </w:rPr>
              <w:t>2012</w:t>
            </w:r>
          </w:p>
        </w:tc>
        <w:tc>
          <w:tcPr>
            <w:tcW w:w="2260" w:type="dxa"/>
            <w:vAlign w:val="bottom"/>
            <w:vMerge w:val="restart"/>
          </w:tcPr>
          <w:p>
            <w:pPr>
              <w:jc w:val="right"/>
              <w:ind w:right="790"/>
              <w:spacing w:after="0" w:line="203"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95"/>
        </w:trPr>
        <w:tc>
          <w:tcPr>
            <w:tcW w:w="536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vMerge w:val="continue"/>
          </w:tcPr>
          <w:p>
            <w:pPr>
              <w:spacing w:after="0"/>
              <w:rPr>
                <w:sz w:val="8"/>
                <w:szCs w:val="8"/>
                <w:color w:val="auto"/>
              </w:rPr>
            </w:pPr>
          </w:p>
        </w:tc>
        <w:tc>
          <w:tcPr>
            <w:tcW w:w="22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16" w:right="239" w:bottom="1440" w:gutter="0" w:footer="0" w:header="0"/>
        </w:sectPr>
      </w:pPr>
    </w:p>
    <w:p>
      <w:pPr>
        <w:spacing w:after="0" w:line="42"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Convertible notes, par value $ 28,437, issued in March 2006 with fixed contractual interest rates of 2.25%, due in 2026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Private placement with a fixed interest rate of 6.84%, due in 2013 through 2017</w:t>
      </w:r>
    </w:p>
    <w:p>
      <w:pPr>
        <w:spacing w:after="0" w:line="266" w:lineRule="exact"/>
        <w:rPr>
          <w:sz w:val="20"/>
          <w:szCs w:val="20"/>
          <w:color w:val="auto"/>
        </w:rPr>
      </w:pPr>
    </w:p>
    <w:p>
      <w:pPr>
        <w:ind w:right="960"/>
        <w:spacing w:after="0" w:line="246" w:lineRule="auto"/>
        <w:rPr>
          <w:sz w:val="20"/>
          <w:szCs w:val="20"/>
          <w:color w:val="auto"/>
        </w:rPr>
      </w:pPr>
      <w:r>
        <w:rPr>
          <w:rFonts w:ascii="Arial" w:cs="Arial" w:eastAsia="Arial" w:hAnsi="Arial"/>
          <w:sz w:val="18"/>
          <w:szCs w:val="18"/>
          <w:color w:val="auto"/>
        </w:rPr>
        <w:t>Credit agreement with borrowings outstanding at an end of period interest rate of 3.66% in 2012 and 3.61% in 2011, due in 2015</w:t>
      </w:r>
    </w:p>
    <w:p>
      <w:pPr>
        <w:spacing w:after="0" w:line="224" w:lineRule="exact"/>
        <w:rPr>
          <w:sz w:val="20"/>
          <w:szCs w:val="20"/>
          <w:color w:val="auto"/>
        </w:rPr>
      </w:pPr>
    </w:p>
    <w:p>
      <w:pPr>
        <w:ind w:right="860"/>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 end of period rate of 3.06% in 2012 and 3.05% 2011, due in varying amounts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4335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33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$27,842</w:t>
      </w:r>
      <w:r>
        <w:rPr>
          <w:sz w:val="20"/>
          <w:szCs w:val="20"/>
          <w:color w:val="auto"/>
        </w:rPr>
        <w:tab/>
      </w:r>
      <w:r>
        <w:rPr>
          <w:rFonts w:ascii="Arial" w:cs="Arial" w:eastAsia="Arial" w:hAnsi="Arial"/>
          <w:sz w:val="18"/>
          <w:szCs w:val="18"/>
          <w:color w:val="auto"/>
        </w:rPr>
        <w:t>$27,228</w:t>
      </w:r>
    </w:p>
    <w:p>
      <w:pPr>
        <w:spacing w:after="0" w:line="360"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150,000</w:t>
      </w:r>
      <w:r>
        <w:rPr>
          <w:sz w:val="20"/>
          <w:szCs w:val="20"/>
          <w:color w:val="auto"/>
        </w:rPr>
        <w:tab/>
      </w:r>
      <w:r>
        <w:rPr>
          <w:rFonts w:ascii="Arial" w:cs="Arial" w:eastAsia="Arial" w:hAnsi="Arial"/>
          <w:sz w:val="18"/>
          <w:szCs w:val="18"/>
          <w:color w:val="auto"/>
        </w:rPr>
        <w:t>150,000</w:t>
      </w:r>
    </w:p>
    <w:p>
      <w:pPr>
        <w:spacing w:after="0" w:line="360"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156,000</w:t>
      </w:r>
      <w:r>
        <w:rPr>
          <w:sz w:val="20"/>
          <w:szCs w:val="20"/>
          <w:color w:val="auto"/>
        </w:rPr>
        <w:tab/>
      </w:r>
      <w:r>
        <w:rPr>
          <w:rFonts w:ascii="Arial" w:cs="Arial" w:eastAsia="Arial" w:hAnsi="Arial"/>
          <w:sz w:val="18"/>
          <w:szCs w:val="18"/>
          <w:color w:val="auto"/>
        </w:rPr>
        <w:t>187,000</w:t>
      </w:r>
    </w:p>
    <w:p>
      <w:pPr>
        <w:spacing w:after="0" w:line="200" w:lineRule="exact"/>
        <w:rPr>
          <w:sz w:val="20"/>
          <w:szCs w:val="20"/>
          <w:color w:val="auto"/>
        </w:rPr>
      </w:pPr>
    </w:p>
    <w:p>
      <w:pPr>
        <w:spacing w:after="0" w:line="349" w:lineRule="exact"/>
        <w:rPr>
          <w:sz w:val="20"/>
          <w:szCs w:val="20"/>
          <w:color w:val="auto"/>
        </w:rPr>
      </w:pPr>
    </w:p>
    <w:p>
      <w:pPr>
        <w:ind w:left="100"/>
        <w:spacing w:after="0"/>
        <w:tabs>
          <w:tab w:leader="none" w:pos="2680" w:val="left"/>
        </w:tabs>
        <w:rPr>
          <w:sz w:val="20"/>
          <w:szCs w:val="20"/>
          <w:color w:val="auto"/>
        </w:rPr>
      </w:pPr>
      <w:r>
        <w:rPr>
          <w:rFonts w:ascii="Arial" w:cs="Arial" w:eastAsia="Arial" w:hAnsi="Arial"/>
          <w:sz w:val="18"/>
          <w:szCs w:val="18"/>
          <w:color w:val="auto"/>
        </w:rPr>
        <w:t>10,145</w:t>
      </w:r>
      <w:r>
        <w:rPr>
          <w:sz w:val="20"/>
          <w:szCs w:val="20"/>
          <w:color w:val="auto"/>
        </w:rPr>
        <w:tab/>
      </w:r>
      <w:r>
        <w:rPr>
          <w:rFonts w:ascii="Arial" w:cs="Arial" w:eastAsia="Arial" w:hAnsi="Arial"/>
          <w:sz w:val="18"/>
          <w:szCs w:val="18"/>
          <w:color w:val="auto"/>
        </w:rPr>
        <w:t>10,160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126365</wp:posOffset>
            </wp:positionV>
            <wp:extent cx="2444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343,987</w:t>
      </w:r>
      <w:r>
        <w:rPr>
          <w:sz w:val="20"/>
          <w:szCs w:val="20"/>
          <w:color w:val="auto"/>
        </w:rPr>
        <w:tab/>
      </w:r>
      <w:r>
        <w:rPr>
          <w:rFonts w:ascii="Arial" w:cs="Arial" w:eastAsia="Arial" w:hAnsi="Arial"/>
          <w:sz w:val="18"/>
          <w:szCs w:val="18"/>
          <w:color w:val="auto"/>
        </w:rPr>
        <w:t>374,388</w:t>
      </w:r>
    </w:p>
    <w:p>
      <w:pPr>
        <w:spacing w:after="0" w:line="279" w:lineRule="exact"/>
        <w:rPr>
          <w:sz w:val="20"/>
          <w:szCs w:val="20"/>
          <w:color w:val="auto"/>
        </w:rPr>
      </w:pPr>
    </w:p>
    <w:p>
      <w:pPr>
        <w:ind w:left="20"/>
        <w:spacing w:after="0"/>
        <w:tabs>
          <w:tab w:leader="none" w:pos="2700" w:val="left"/>
        </w:tabs>
        <w:rPr>
          <w:sz w:val="20"/>
          <w:szCs w:val="20"/>
          <w:color w:val="auto"/>
        </w:rPr>
      </w:pPr>
      <w:r>
        <w:rPr>
          <w:rFonts w:ascii="Arial" w:cs="Arial" w:eastAsia="Arial" w:hAnsi="Arial"/>
          <w:sz w:val="18"/>
          <w:szCs w:val="18"/>
          <w:color w:val="auto"/>
        </w:rPr>
        <w:t>(30,355)</w:t>
      </w:r>
      <w:r>
        <w:rPr>
          <w:sz w:val="20"/>
          <w:szCs w:val="20"/>
          <w:color w:val="auto"/>
        </w:rPr>
        <w:tab/>
      </w:r>
      <w:r>
        <w:rPr>
          <w:rFonts w:ascii="Arial" w:cs="Arial" w:eastAsia="Arial" w:hAnsi="Arial"/>
          <w:sz w:val="18"/>
          <w:szCs w:val="18"/>
          <w:color w:val="auto"/>
        </w:rPr>
        <w:t>(1,263)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444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616" w:right="2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5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$313,632</w:t>
            </w:r>
          </w:p>
        </w:tc>
        <w:tc>
          <w:tcPr>
            <w:tcW w:w="44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$373,125</w:t>
            </w:r>
          </w:p>
        </w:tc>
      </w:tr>
    </w:tbl>
    <w:p>
      <w:pPr>
        <w:spacing w:after="0" w:line="17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note agreement and guaranty (“the Prudential agreement”) was entered into in October 2005 and was amended and restated September 17, 2010, with the Prudential Insurance Company of America, and certain other purchasers, in an aggregate principal amount of $ 150 million, with interest at 6.84% and a maturity date of October 25, 2017. There are mandatory payments of $50 million on October 25, 2013 and October 25, 2015. At the noteholders’ election, certain prepayments may also be required in connection with certain asset dispositions or financings. The notes may not otherwise be prepaid without a premium, under certain market conditions. The note agreement contains customary terms, as well as affirmative covenants, negative covenants, and events of default comparable to those in our current principal credit facility. For disclosure purposes, we are required to measure the fair value of outstanding debt on a recurring basis. As of June 30, 2012, the fair value of the note agreement was approximately $173.9 million. This was measured using active market interest rates which qualifies the Prudential notes as a level 2 instrument in the hierarchy for inputs used in measuring fair value.</w:t>
      </w:r>
    </w:p>
    <w:p>
      <w:pPr>
        <w:spacing w:after="0" w:line="16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On July 16, 2010, we entered into a $390 million unsecured five-year revolving credit facility agreement, under which $156 million of borrowings outstanding as of June 30, 2012. The 2010 credit agreement replaces the previous $460 million credit agreement made in 2006. The applicable interest rate for borrowings under the 2010 agreement, as well as under the former agreement, is LIBOR plus a spread, based on our leverage ratio at the time of borrowing.</w:t>
      </w:r>
    </w:p>
    <w:p>
      <w:pPr>
        <w:spacing w:after="0" w:line="17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June 30, 2012 we would have been able to borrow an additional $234 million under the credit agreement.</w:t>
      </w:r>
    </w:p>
    <w:p>
      <w:pPr>
        <w:spacing w:after="0" w:line="1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Also on July 16, 2010, we entered into interest rate hedging transactions that have the effect of fixing the LIBOR portion of the effective interest rate (before addition of the spread) on $105 million of the indebtedness drawn under the 2010 agreement at the rate of 2.04% for the next five years. Under the terms of these transactions, we pay the fixed rate of 2.04% and the counterparties pay a floating rate based on the three-month LIBOR rate at each quarterly calculation date, which on April 16, 2012 was 0.47%. The net effect is to fix the effective interest rate on $105 million of indebtedness at 2.04%, plus the applicable spread, until these swap agreements expire on July 16, 2015. On April 16, the applicable spread was 225 basis points, yielding an effective annual rate of 4.29%. This interest rate swap is accounted for as a hedge of future cash flows, as further described in Note 12 of the Notes to Consolidated Financial Statements.</w:t>
      </w:r>
    </w:p>
    <w:p>
      <w:pPr>
        <w:spacing w:after="0" w:line="16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Reflecting, in each case, the effect of subsequent amendments to each agreement, we are currently required to maintain a leverage ratio of not greater than 3.50 to 1.00 and a minimum interest coverage of 3.00 to 1.00 under the credit agreement and Prudential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type w:val="continuous"/>
        </w:sectPr>
      </w:pPr>
    </w:p>
    <w:bookmarkStart w:id="18" w:name="page19"/>
    <w:bookmarkEnd w:id="18"/>
    <w:p>
      <w:pPr>
        <w:jc w:val="both"/>
        <w:ind w:right="320"/>
        <w:spacing w:after="0"/>
        <w:rPr>
          <w:sz w:val="20"/>
          <w:szCs w:val="20"/>
          <w:color w:val="auto"/>
        </w:rPr>
      </w:pPr>
      <w:r>
        <w:rPr>
          <w:rFonts w:ascii="Arial" w:cs="Arial" w:eastAsia="Arial" w:hAnsi="Arial"/>
          <w:sz w:val="18"/>
          <w:szCs w:val="18"/>
          <w:color w:val="auto"/>
        </w:rPr>
        <w:t>As of June 30, 2012, our leverage ratio was 1.11 to 1.00 and our interest coverage ratio was 13.82 to 1.00. We may purchase our Common Stock or pay dividends to the extent our leverage ratio remains at or below 3.50 to 1.00, and may make acquisitions with cash provided our leverage ratio would not exceed 3.00 to 1.00 after giving pro forma effect to the acquisition.</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2006, we issued $180 million principal amount of 2.25% convertible notes. The notes are convertible upon the occurrence of specified events and at any time on or after February 15, 2013, into cash up to the principal amount of notes converted and shares of our Class A common stock with respect to the remainder, if any, of our conversion obligation at a conversion rate of 23.2078 shares per $1,000 principal amount of notes (equivalent to a conversion price of $43.09 per share of Class A common stock). As of June 30, 2012, $ 28.4 million principal amount of convertible notes were outstanding, with a fair value of approximately $27.1 million, This was measured using quoted prices in active markets which qualifies the convertible notes as a level 2 instrument in the hierarchy for inputs used in measuring fair value. These amounts reflect the reduction in principal amount and fair value as a result of purchases made in 2009.</w:t>
      </w:r>
    </w:p>
    <w:p>
      <w:pPr>
        <w:spacing w:after="0" w:line="163" w:lineRule="exact"/>
        <w:rPr>
          <w:sz w:val="20"/>
          <w:szCs w:val="20"/>
          <w:color w:val="auto"/>
        </w:rPr>
      </w:pPr>
    </w:p>
    <w:p>
      <w:pPr>
        <w:jc w:val="both"/>
        <w:ind w:right="160"/>
        <w:spacing w:after="0" w:line="234" w:lineRule="auto"/>
        <w:rPr>
          <w:sz w:val="20"/>
          <w:szCs w:val="20"/>
          <w:color w:val="auto"/>
        </w:rPr>
      </w:pPr>
      <w:r>
        <w:rPr>
          <w:rFonts w:ascii="Arial" w:cs="Arial" w:eastAsia="Arial" w:hAnsi="Arial"/>
          <w:sz w:val="18"/>
          <w:szCs w:val="18"/>
          <w:color w:val="auto"/>
        </w:rPr>
        <w:t>Holders may convert their notes at any time on or after February 15, 2013. Before February 15, 2013, a holder may convert notes during the five-business day period immediately after any period of five consecutive trading days in which the trading price per note for each of such five days was less than 103% of the product of the last reported sale price of our Class A common stock and the conversion rate on such day.</w:t>
      </w:r>
    </w:p>
    <w:p>
      <w:pPr>
        <w:spacing w:after="0" w:line="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Additionally, holders may convert prior to February 15, 2013, if we elect to distribute to all or substantially all of our Class A shareholders (a) rights or warrants to purchase shares of Class A common stock for less than their trading value, or (b) assets, debt securities, or rights to purchase securities, which distribution has a per-share value exceeding 15% of the current trading value of the Class A common stock.</w:t>
      </w:r>
    </w:p>
    <w:p>
      <w:pPr>
        <w:spacing w:after="0" w:line="16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Converting holders are entitled to receive, upon conversion of their notes, (1) an amount in cash equal to the lesser of the principal amount of the note and the note’s conversion value, and (2) if the conversion value of the note exceeds the principal amount, shares of our Class A common stock in respect of the excess conversion value. The conversion rate of the notes (subject to adjustment upon the occurrence of certain events) is 23.2078 shares per $1,000 principal amount of notes (equivalent to a conversion price of $43.09 per share of Class A common stock). The exact amount payable upon conversion would be determined in accordance with the terms of the indenture pursuant to which the notes were issued and will be based on a daily conversion value calculated on a proportionate basis by reference to the volume-weighted average price of our Class A common stock for each day during a twenty-five day period relating to the conversion.</w:t>
      </w:r>
    </w:p>
    <w:p>
      <w:pPr>
        <w:spacing w:after="0" w:line="176"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notes are not redeemable before March 15, 2013. On or after March 15, 2013, we may, at our option, redeem for cash all or part of the notes for a price equal to 100% of the principal amount of the notes to be purchased, plus any accrued and unpaid interest, including any additional interest, up to but excluding the redemption date.</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each of March 15, 2013, and March 15, 2021, holders may require that we purchase all or a portion of their notes at a purchase price equal to 100% of the principal amount of the notes to be purchased, plus any accrued and unpaid interest, including any additional interest, up to but excluding the purchase date. Holders also have the right to require that we repurchase notes upon the occurrence of certain fundamental events, including, without limitation, (1) a person or group, other than the Standish family, becoming beneficial owner of shares of common stock carrying more than 50% of the voting power of our common stock, (2) consummation of an exchange offer, tender offer, or similar event whereby our Class A common stock is converted into cash, securities, or other property, or any sale, lease, or other transfer of all or substantially all of our consolidated assets, (3) approval by our stockholders of a plan or proposal of liquidation or dissolution, or (4) the delisting of our Class A common stock under certain circumstances.</w:t>
      </w:r>
    </w:p>
    <w:p>
      <w:pPr>
        <w:spacing w:after="0" w:line="16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connection with the sale of the notes, we entered into hedge and warrant transactions with respect to our Class A common stock. These transactions are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the hedge transactions, if we deliver notice to the counterparties of any conversion of the notes on or prior to March 15, 2013, the counterparties are in the aggregate obligated to deliver to the Company the number of shares of Class A common stock that we are obligated to deliver to the holders of the notes with respect to such conversion, exclusive of any shares deliverable by the Company by reason of any additional (or “make whole”) premium relating to the notes or by reason of any election by the Company to unilaterally increase the conversion rate. The note hedge and warrant transactions had a net cost of $14.7 million. Pursuant to the warrant transactions, we sold a total of 4.1 million warrants, each exercisable to buy a single share of Class A common stock at an initial strike price of $52.25 per share. The warrants are American-style warrants (exercisable at any time), and expire over a period of sixty trading days beginning on September 15, 2013. If the warrants are exercised when they expire, we may choose either net cash or net share settlement. If the warrants are exercised before they expire, they must be net share settled. If we elect to net cash settle the warrants, we will pay cash in an amount equal to, for each exercise of warrants, (i) the number of warrants exercised multiplied by (ii) the excess of the volume weighted average price of the our Class A common stock on the expiration date of such warrants (the “settlement price”) over the strike price. Under net share settlement, we will deliver to the warrant holders a number 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19" w:name="page20"/>
    <w:bookmarkEnd w:id="19"/>
    <w:p>
      <w:pPr>
        <w:ind w:right="460"/>
        <w:spacing w:after="0" w:line="246" w:lineRule="auto"/>
        <w:rPr>
          <w:sz w:val="20"/>
          <w:szCs w:val="20"/>
          <w:color w:val="auto"/>
        </w:rPr>
      </w:pPr>
      <w:r>
        <w:rPr>
          <w:rFonts w:ascii="Arial" w:cs="Arial" w:eastAsia="Arial" w:hAnsi="Arial"/>
          <w:sz w:val="18"/>
          <w:szCs w:val="18"/>
          <w:color w:val="auto"/>
        </w:rPr>
        <w:t>shares of our Class A common stock equal to, for each exercise of warrants, the amount payable upon net cash settlement divided by the settlement price.</w:t>
      </w:r>
    </w:p>
    <w:p>
      <w:pPr>
        <w:spacing w:after="0" w:line="17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of June 30, 2012, the carrying amounts of the debt and equity components of our bifurcated convertible debt instrument were $27.8 million and $25.5 million, respectively. The equity component is included in additional paid-in capital in the equity section of the balance sheet.</w:t>
      </w:r>
    </w:p>
    <w:p>
      <w:pPr>
        <w:spacing w:after="0" w:line="15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convertible feature of the notes, the convertible note hedge, and the warrant transactions each meet the requirements of the applicable accounting guidance to be accounted for as equity instruments. As such, the convertible feature of the notes has not been accounted for as a derivative (which would be marked to market each reporting period) and in the event the debt is converted, no gain or loss is recognized, as the cash payment of principal reduces the recorded liability and the issuance of common shares would be recorded in stockholders’ equity.</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addition, the amount paid for the call option and the premium received for the warrant were recorded as additional paid-in capital in the accompanying Consolidated Balance Sheets and are not accounted for as derivatives (which would be marked to market each reporting period). Incremental net shares for the convertible note feature and the warrant agreement will be included in future diluted earnings per share calculations for those periods in which our average common stock price exceeds $ 43.09 per share in the case of the Senior Notes and $49.20 per share in the case of the warrants. The purchased call option is antidilutive and is excluded from the diluted earnings per share calculation.</w:t>
      </w:r>
    </w:p>
    <w:p>
      <w:pPr>
        <w:spacing w:after="0" w:line="16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Indebtedness under the note and guaranty agreement, the convertible notes, and the credit agreement is ranked equally in right of payment to all unsecured senior debt.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as of June 30, 2012.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Fair Value Measurements</w:t>
      </w:r>
    </w:p>
    <w:p>
      <w:pPr>
        <w:spacing w:after="0" w:line="2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The hierarchy is broken down into three general levels: Level 1 inputs are quoted prices in active markets for identical assets or liabilities; Level 2 inputs include data points that are observable, such as quoted prices for similar assets or liabilities in active markets, quoted prices for identical assets or similar assets or liabilities in markets that are not active, and inputs (other than quoted prices) such as interest rates and yield curves that are observable for the asset and liability, either directly or indirectly; Level 3 inputs are unobservable data points for the asset or liability, and include situations in which there is little, if any, market activity for the asset or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fair-value hierarchy for our financial assets and liabilities measured at fair value on a recurring basis: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34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Significant other</w:t>
            </w:r>
          </w:p>
        </w:tc>
        <w:tc>
          <w:tcPr>
            <w:tcW w:w="20" w:type="dxa"/>
            <w:vAlign w:val="bottom"/>
          </w:tcPr>
          <w:p>
            <w:pPr>
              <w:spacing w:after="0"/>
              <w:rPr>
                <w:sz w:val="16"/>
                <w:szCs w:val="16"/>
                <w:color w:val="auto"/>
              </w:rPr>
            </w:pPr>
          </w:p>
        </w:tc>
      </w:tr>
      <w:tr>
        <w:trPr>
          <w:trHeight w:val="203"/>
        </w:trPr>
        <w:tc>
          <w:tcPr>
            <w:tcW w:w="39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40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Quoted prices in active markets</w:t>
            </w:r>
          </w:p>
        </w:tc>
        <w:tc>
          <w:tcPr>
            <w:tcW w:w="188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observable inputs</w:t>
            </w:r>
          </w:p>
        </w:tc>
      </w:tr>
      <w:tr>
        <w:trPr>
          <w:trHeight w:val="225"/>
        </w:trPr>
        <w:tc>
          <w:tcPr>
            <w:tcW w:w="39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 fair value</w:t>
            </w:r>
          </w:p>
        </w:tc>
        <w:tc>
          <w:tcPr>
            <w:tcW w:w="3400" w:type="dxa"/>
            <w:vAlign w:val="bottom"/>
          </w:tcPr>
          <w:p>
            <w:pPr>
              <w:jc w:val="right"/>
              <w:ind w:right="1390"/>
              <w:spacing w:after="0"/>
              <w:rPr>
                <w:sz w:val="20"/>
                <w:szCs w:val="20"/>
                <w:color w:val="auto"/>
              </w:rPr>
            </w:pPr>
            <w:r>
              <w:rPr>
                <w:rFonts w:ascii="Arial" w:cs="Arial" w:eastAsia="Arial" w:hAnsi="Arial"/>
                <w:sz w:val="18"/>
                <w:szCs w:val="18"/>
                <w:b w:val="1"/>
                <w:bCs w:val="1"/>
                <w:color w:val="auto"/>
              </w:rPr>
              <w:t>(Level 1)</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(Level 2)</w:t>
            </w:r>
          </w:p>
        </w:tc>
      </w:tr>
      <w:tr>
        <w:trPr>
          <w:trHeight w:val="250"/>
        </w:trPr>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Fair Value at June 30, 2012</w:t>
            </w:r>
          </w:p>
        </w:tc>
        <w:tc>
          <w:tcPr>
            <w:tcW w:w="2180" w:type="dxa"/>
            <w:vAlign w:val="bottom"/>
            <w:tcBorders>
              <w:top w:val="single" w:sz="8" w:color="auto"/>
            </w:tcBorders>
          </w:tcPr>
          <w:p>
            <w:pPr>
              <w:spacing w:after="0"/>
              <w:rPr>
                <w:sz w:val="21"/>
                <w:szCs w:val="21"/>
                <w:color w:val="auto"/>
              </w:rPr>
            </w:pPr>
          </w:p>
        </w:tc>
        <w:tc>
          <w:tcPr>
            <w:tcW w:w="340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$39,750</w:t>
            </w:r>
          </w:p>
        </w:tc>
        <w:tc>
          <w:tcPr>
            <w:tcW w:w="3400" w:type="dxa"/>
            <w:vAlign w:val="bottom"/>
          </w:tcPr>
          <w:p>
            <w:pPr>
              <w:jc w:val="right"/>
              <w:ind w:right="50"/>
              <w:spacing w:after="0"/>
              <w:rPr>
                <w:sz w:val="20"/>
                <w:szCs w:val="20"/>
                <w:color w:val="auto"/>
              </w:rPr>
            </w:pPr>
            <w:r>
              <w:rPr>
                <w:rFonts w:ascii="Arial" w:cs="Arial" w:eastAsia="Arial" w:hAnsi="Arial"/>
                <w:sz w:val="18"/>
                <w:szCs w:val="18"/>
                <w:color w:val="auto"/>
              </w:rPr>
              <w:t>$39,750</w:t>
            </w:r>
          </w:p>
        </w:tc>
        <w:tc>
          <w:tcPr>
            <w:tcW w:w="186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Common stock of foreign public company</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581</w:t>
            </w:r>
          </w:p>
        </w:tc>
        <w:tc>
          <w:tcPr>
            <w:tcW w:w="3400" w:type="dxa"/>
            <w:vAlign w:val="bottom"/>
          </w:tcPr>
          <w:p>
            <w:pPr>
              <w:jc w:val="right"/>
              <w:ind w:right="50"/>
              <w:spacing w:after="0"/>
              <w:rPr>
                <w:sz w:val="20"/>
                <w:szCs w:val="20"/>
                <w:color w:val="auto"/>
              </w:rPr>
            </w:pPr>
            <w:r>
              <w:rPr>
                <w:rFonts w:ascii="Arial" w:cs="Arial" w:eastAsia="Arial" w:hAnsi="Arial"/>
                <w:sz w:val="18"/>
                <w:szCs w:val="18"/>
                <w:color w:val="auto"/>
              </w:rPr>
              <w:t>581</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Foreign exchange contracts</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193</w:t>
            </w:r>
          </w:p>
        </w:tc>
        <w:tc>
          <w:tcPr>
            <w:tcW w:w="3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(4,914)</w:t>
            </w:r>
          </w:p>
        </w:tc>
        <w:tc>
          <w:tcPr>
            <w:tcW w:w="3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(4,914)</w:t>
            </w:r>
          </w:p>
        </w:tc>
      </w:tr>
      <w:tr>
        <w:trPr>
          <w:trHeight w:val="189"/>
        </w:trPr>
        <w:tc>
          <w:tcPr>
            <w:tcW w:w="39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493"/>
        </w:trPr>
        <w:tc>
          <w:tcPr>
            <w:tcW w:w="3980" w:type="dxa"/>
            <w:vAlign w:val="bottom"/>
          </w:tcPr>
          <w:p>
            <w:pPr>
              <w:spacing w:after="0"/>
              <w:rPr>
                <w:sz w:val="20"/>
                <w:szCs w:val="20"/>
                <w:color w:val="auto"/>
              </w:rPr>
            </w:pPr>
            <w:r>
              <w:rPr>
                <w:rFonts w:ascii="Arial" w:cs="Arial" w:eastAsia="Arial" w:hAnsi="Arial"/>
                <w:sz w:val="18"/>
                <w:szCs w:val="18"/>
                <w:b w:val="1"/>
                <w:bCs w:val="1"/>
                <w:color w:val="auto"/>
              </w:rPr>
              <w:t>Fair Value at December 31, 2011</w:t>
            </w:r>
          </w:p>
        </w:tc>
        <w:tc>
          <w:tcPr>
            <w:tcW w:w="2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$30,287</w:t>
            </w:r>
          </w:p>
        </w:tc>
        <w:tc>
          <w:tcPr>
            <w:tcW w:w="3400" w:type="dxa"/>
            <w:vAlign w:val="bottom"/>
          </w:tcPr>
          <w:p>
            <w:pPr>
              <w:jc w:val="right"/>
              <w:ind w:right="50"/>
              <w:spacing w:after="0"/>
              <w:rPr>
                <w:sz w:val="20"/>
                <w:szCs w:val="20"/>
                <w:color w:val="auto"/>
              </w:rPr>
            </w:pPr>
            <w:r>
              <w:rPr>
                <w:rFonts w:ascii="Arial" w:cs="Arial" w:eastAsia="Arial" w:hAnsi="Arial"/>
                <w:sz w:val="18"/>
                <w:szCs w:val="18"/>
                <w:color w:val="auto"/>
              </w:rPr>
              <w:t>$30,287</w:t>
            </w:r>
          </w:p>
        </w:tc>
        <w:tc>
          <w:tcPr>
            <w:tcW w:w="186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Common stock of foreign public company</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577</w:t>
            </w:r>
          </w:p>
        </w:tc>
        <w:tc>
          <w:tcPr>
            <w:tcW w:w="3400" w:type="dxa"/>
            <w:vAlign w:val="bottom"/>
          </w:tcPr>
          <w:p>
            <w:pPr>
              <w:jc w:val="right"/>
              <w:ind w:right="50"/>
              <w:spacing w:after="0"/>
              <w:rPr>
                <w:sz w:val="20"/>
                <w:szCs w:val="20"/>
                <w:color w:val="auto"/>
              </w:rPr>
            </w:pPr>
            <w:r>
              <w:rPr>
                <w:rFonts w:ascii="Arial" w:cs="Arial" w:eastAsia="Arial" w:hAnsi="Arial"/>
                <w:sz w:val="18"/>
                <w:szCs w:val="18"/>
                <w:color w:val="auto"/>
              </w:rPr>
              <w:t>577</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Foreign exchange contracts</w:t>
            </w:r>
          </w:p>
        </w:tc>
        <w:tc>
          <w:tcPr>
            <w:tcW w:w="21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3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2180" w:type="dxa"/>
            <w:vAlign w:val="bottom"/>
          </w:tcPr>
          <w:p>
            <w:pPr>
              <w:jc w:val="right"/>
              <w:ind w:right="150"/>
              <w:spacing w:after="0"/>
              <w:rPr>
                <w:sz w:val="20"/>
                <w:szCs w:val="20"/>
                <w:color w:val="auto"/>
              </w:rPr>
            </w:pPr>
            <w:r>
              <w:rPr>
                <w:rFonts w:ascii="Arial" w:cs="Arial" w:eastAsia="Arial" w:hAnsi="Arial"/>
                <w:sz w:val="18"/>
                <w:szCs w:val="18"/>
                <w:color w:val="auto"/>
              </w:rPr>
              <w:t>(4,251)</w:t>
            </w:r>
          </w:p>
        </w:tc>
        <w:tc>
          <w:tcPr>
            <w:tcW w:w="3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six-months ended June 30, 2012, there were no transfers between levels 1, 2, and 3.</w:t>
      </w:r>
    </w:p>
    <w:p>
      <w:pPr>
        <w:spacing w:after="0" w:line="17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7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16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 Gains for the six months ended June 30, 2012 and 2011 were $0.1 million and $0.3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1" w:name="page22"/>
    <w:bookmarkEnd w:id="21"/>
    <w:p>
      <w:pPr>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171"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Changes in exchange rates can result in revaluation gains and losses that are recorded in Selling, General, Technical, Product Engineering, and Research expenses or Other income/expense, net. Revaluation gains and losses occur when our business units have intercompany or third-party trade receivable or payable balances in a currency other than their local reporting (or functional) currency.</w:t>
      </w:r>
    </w:p>
    <w:p>
      <w:pPr>
        <w:spacing w:after="0" w:line="16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order to mitigate foreign exchange volatility in the financial statements, we periodically enter into foreign currency financial instruments from time to time. There were no foreign currency financial instruments designated as hedging instruments at June 30, 2012.</w:t>
      </w:r>
    </w:p>
    <w:p>
      <w:pPr>
        <w:spacing w:after="0" w:line="15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described in Note 11 of the Notes to Consolidated Financial Statements, on July 16, 2010, we entered into a $390 million unsecured five-year revolving credit facility agreement. The applicable interest rate for borrowings under the agreement is LIBOR plus a spread, based on our leverage ratio at the time of borrowing. Interest rate changes on this variable rate debt cause changes in cash flows, and in order to mitigate this cash flow risk we have fixed a portion of the effective interest rate on part of the indebtedness drawn under the agreement by entering into interest rate hedging transactions on July 16, 2010. This interest rate swap locked in our interest rate on the forecasted outstanding borrowings of $105 million at 2.04% plus the credit spread on the debt for a five year period. The credit spread is based on the pricing grid, which can go as low as 2.0% or as high as 2.75%, based on our leverage ratio.</w:t>
      </w:r>
    </w:p>
    <w:p>
      <w:pPr>
        <w:spacing w:after="0" w:line="16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interest rate swap is accounted for as a hedge of future cash flows. The fair value of our interest rate swap is derived from a discounted cash flow analysis based on the terms of the contract and the interest rate curve, and is recorded in the Consolidated Balance Sheets as of June 30, 2012 as Other noncurrent liabilities of $ 4.9 million. Unrealized gains and losses on the swap will flow through the caption Derivative valuation adjustment in the Shareholders’ equity section of the Consolidated Balance Sheets, to the extent that the hedge is highly effective. Gains and losses related to the ineffective portion of the hedge will be recognized in the current period in earnings. Amounts accumulated in Other comprehensive income are reclassified as Interest expense, net when the related interest payments (that is, the hedged forecasted transactions) affect earnings. Interest expense related to the swap totaled $0.8 million and $0.9 million for the six months ended June 30, 2012 and 2011,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7"/>
        </w:trPr>
        <w:tc>
          <w:tcPr>
            <w:tcW w:w="5120" w:type="dxa"/>
            <w:vAlign w:val="bottom"/>
            <w:gridSpan w:val="2"/>
          </w:tcPr>
          <w:p>
            <w:pPr>
              <w:spacing w:after="0"/>
              <w:rPr>
                <w:sz w:val="20"/>
                <w:szCs w:val="20"/>
                <w:color w:val="auto"/>
              </w:rPr>
            </w:pPr>
            <w:r>
              <w:rPr>
                <w:rFonts w:ascii="Arial" w:cs="Arial" w:eastAsia="Arial" w:hAnsi="Arial"/>
                <w:sz w:val="18"/>
                <w:szCs w:val="18"/>
                <w:color w:val="auto"/>
              </w:rPr>
              <w:t>Fair value amounts of derivative instruments were as follows:</w:t>
            </w:r>
          </w:p>
        </w:tc>
        <w:tc>
          <w:tcPr>
            <w:tcW w:w="2880" w:type="dxa"/>
            <w:vAlign w:val="bottom"/>
          </w:tcPr>
          <w:p>
            <w:pPr>
              <w:spacing w:after="0"/>
              <w:rPr>
                <w:sz w:val="18"/>
                <w:szCs w:val="18"/>
                <w:color w:val="auto"/>
              </w:rPr>
            </w:pPr>
          </w:p>
        </w:tc>
        <w:tc>
          <w:tcPr>
            <w:tcW w:w="1840" w:type="dxa"/>
            <w:vAlign w:val="bottom"/>
            <w:vMerge w:val="restart"/>
          </w:tcPr>
          <w:p>
            <w:pPr>
              <w:jc w:val="right"/>
              <w:ind w:right="470"/>
              <w:spacing w:after="0"/>
              <w:rPr>
                <w:sz w:val="20"/>
                <w:szCs w:val="20"/>
                <w:color w:val="auto"/>
              </w:rPr>
            </w:pPr>
            <w:r>
              <w:rPr>
                <w:rFonts w:ascii="Arial" w:cs="Arial" w:eastAsia="Arial" w:hAnsi="Arial"/>
                <w:sz w:val="18"/>
                <w:szCs w:val="18"/>
                <w:color w:val="auto"/>
              </w:rPr>
              <w:t>June 30,</w:t>
            </w:r>
          </w:p>
        </w:tc>
        <w:tc>
          <w:tcPr>
            <w:tcW w:w="1580" w:type="dxa"/>
            <w:vAlign w:val="bottom"/>
            <w:vMerge w:val="restart"/>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8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rPr>
              <w:t>Balance sheet caption</w:t>
            </w:r>
          </w:p>
        </w:tc>
        <w:tc>
          <w:tcPr>
            <w:tcW w:w="1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2012</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66"/>
        </w:trPr>
        <w:tc>
          <w:tcPr>
            <w:tcW w:w="5120" w:type="dxa"/>
            <w:vAlign w:val="bottom"/>
            <w:gridSpan w:val="2"/>
          </w:tcPr>
          <w:p>
            <w:pPr>
              <w:spacing w:after="0"/>
              <w:rPr>
                <w:sz w:val="20"/>
                <w:szCs w:val="20"/>
                <w:color w:val="auto"/>
              </w:rPr>
            </w:pPr>
            <w:r>
              <w:rPr>
                <w:rFonts w:ascii="Arial" w:cs="Arial" w:eastAsia="Arial" w:hAnsi="Arial"/>
                <w:sz w:val="18"/>
                <w:szCs w:val="18"/>
                <w:color w:val="auto"/>
              </w:rPr>
              <w:t>Asset Derivatives</w:t>
            </w: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spacing w:after="0"/>
              <w:rPr>
                <w:sz w:val="20"/>
                <w:szCs w:val="20"/>
                <w:color w:val="auto"/>
              </w:rPr>
            </w:pPr>
            <w:r>
              <w:rPr>
                <w:rFonts w:ascii="Arial" w:cs="Arial" w:eastAsia="Arial" w:hAnsi="Arial"/>
                <w:sz w:val="18"/>
                <w:szCs w:val="18"/>
                <w:color w:val="auto"/>
              </w:rPr>
              <w:t>Derivatives not designated as hedging instruments:</w:t>
            </w:r>
          </w:p>
        </w:tc>
        <w:tc>
          <w:tcPr>
            <w:tcW w:w="2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Foreign exchange contracts</w:t>
            </w:r>
          </w:p>
        </w:tc>
        <w:tc>
          <w:tcPr>
            <w:tcW w:w="28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9"/>
              </w:rPr>
              <w:t>Other assets</w:t>
            </w: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 derivatives not designated as hedging instruments</w:t>
            </w:r>
          </w:p>
        </w:tc>
        <w:tc>
          <w:tcPr>
            <w:tcW w:w="28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$193</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asset derivatives</w:t>
            </w:r>
          </w:p>
        </w:tc>
        <w:tc>
          <w:tcPr>
            <w:tcW w:w="28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$193</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709"/>
        </w:trPr>
        <w:tc>
          <w:tcPr>
            <w:tcW w:w="5120" w:type="dxa"/>
            <w:vAlign w:val="bottom"/>
            <w:gridSpan w:val="2"/>
          </w:tcPr>
          <w:p>
            <w:pPr>
              <w:spacing w:after="0"/>
              <w:rPr>
                <w:sz w:val="20"/>
                <w:szCs w:val="20"/>
                <w:color w:val="auto"/>
              </w:rPr>
            </w:pPr>
            <w:r>
              <w:rPr>
                <w:rFonts w:ascii="Arial" w:cs="Arial" w:eastAsia="Arial" w:hAnsi="Arial"/>
                <w:sz w:val="18"/>
                <w:szCs w:val="18"/>
                <w:color w:val="auto"/>
              </w:rPr>
              <w:t>Liability Derivatives</w:t>
            </w: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spacing w:after="0"/>
              <w:rPr>
                <w:sz w:val="20"/>
                <w:szCs w:val="20"/>
                <w:color w:val="auto"/>
              </w:rPr>
            </w:pPr>
            <w:r>
              <w:rPr>
                <w:rFonts w:ascii="Arial" w:cs="Arial" w:eastAsia="Arial" w:hAnsi="Arial"/>
                <w:sz w:val="18"/>
                <w:szCs w:val="18"/>
                <w:color w:val="auto"/>
              </w:rPr>
              <w:t>Derivatives designated as hedging instruments:</w:t>
            </w:r>
          </w:p>
        </w:tc>
        <w:tc>
          <w:tcPr>
            <w:tcW w:w="2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Interest rate swap</w:t>
            </w:r>
          </w:p>
        </w:tc>
        <w:tc>
          <w:tcPr>
            <w:tcW w:w="28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rPr>
              <w:t>Other noncurrent liabilities</w:t>
            </w: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($4,914)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 liability derivatives designated as hedging instruments</w:t>
            </w:r>
          </w:p>
        </w:tc>
        <w:tc>
          <w:tcPr>
            <w:tcW w:w="28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($4,914)</w:t>
            </w: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20" w:type="dxa"/>
            <w:vAlign w:val="bottom"/>
            <w:gridSpan w:val="2"/>
          </w:tcPr>
          <w:p>
            <w:pPr>
              <w:spacing w:after="0" w:line="196" w:lineRule="exact"/>
              <w:rPr>
                <w:sz w:val="20"/>
                <w:szCs w:val="20"/>
                <w:color w:val="auto"/>
              </w:rPr>
            </w:pPr>
            <w:r>
              <w:rPr>
                <w:rFonts w:ascii="Arial" w:cs="Arial" w:eastAsia="Arial" w:hAnsi="Arial"/>
                <w:sz w:val="18"/>
                <w:szCs w:val="18"/>
                <w:color w:val="auto"/>
              </w:rPr>
              <w:t>Total liability derivatives</w:t>
            </w:r>
          </w:p>
        </w:tc>
        <w:tc>
          <w:tcPr>
            <w:tcW w:w="2880" w:type="dxa"/>
            <w:vAlign w:val="bottom"/>
          </w:tcPr>
          <w:p>
            <w:pPr>
              <w:spacing w:after="0"/>
              <w:rPr>
                <w:sz w:val="17"/>
                <w:szCs w:val="17"/>
                <w:color w:val="auto"/>
              </w:rPr>
            </w:pPr>
          </w:p>
        </w:tc>
        <w:tc>
          <w:tcPr>
            <w:tcW w:w="18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($4,914)</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510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derivatives</w:t>
            </w:r>
          </w:p>
        </w:tc>
        <w:tc>
          <w:tcPr>
            <w:tcW w:w="28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($4,721)</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(Losses)/gains on changes in fair value of derivative instruments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Three months ended</w:t>
            </w:r>
          </w:p>
        </w:tc>
        <w:tc>
          <w:tcPr>
            <w:tcW w:w="240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r>
      <w:tr>
        <w:trPr>
          <w:trHeight w:val="203"/>
        </w:trPr>
        <w:tc>
          <w:tcPr>
            <w:tcW w:w="5380" w:type="dxa"/>
            <w:vAlign w:val="bottom"/>
          </w:tcPr>
          <w:p>
            <w:pPr>
              <w:spacing w:after="0"/>
              <w:rPr>
                <w:sz w:val="17"/>
                <w:szCs w:val="17"/>
                <w:color w:val="auto"/>
              </w:rPr>
            </w:pPr>
          </w:p>
        </w:tc>
        <w:tc>
          <w:tcPr>
            <w:tcW w:w="3640" w:type="dxa"/>
            <w:vAlign w:val="bottom"/>
            <w:gridSpan w:val="2"/>
          </w:tcPr>
          <w:p>
            <w:pPr>
              <w:jc w:val="right"/>
              <w:ind w:right="1030"/>
              <w:spacing w:after="0" w:line="202" w:lineRule="exact"/>
              <w:rPr>
                <w:sz w:val="20"/>
                <w:szCs w:val="20"/>
                <w:color w:val="auto"/>
              </w:rPr>
            </w:pPr>
            <w:r>
              <w:rPr>
                <w:rFonts w:ascii="Arial" w:cs="Arial" w:eastAsia="Arial" w:hAnsi="Arial"/>
                <w:sz w:val="18"/>
                <w:szCs w:val="18"/>
                <w:color w:val="auto"/>
              </w:rPr>
              <w:t>June 30,</w:t>
            </w:r>
          </w:p>
        </w:tc>
        <w:tc>
          <w:tcPr>
            <w:tcW w:w="1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June 30,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22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2012</w:t>
            </w:r>
          </w:p>
        </w:tc>
        <w:tc>
          <w:tcPr>
            <w:tcW w:w="140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2011</w:t>
            </w:r>
          </w:p>
        </w:tc>
        <w:tc>
          <w:tcPr>
            <w:tcW w:w="1740" w:type="dxa"/>
            <w:vAlign w:val="bottom"/>
          </w:tcPr>
          <w:p>
            <w:pPr>
              <w:jc w:val="right"/>
              <w:ind w:right="610"/>
              <w:spacing w:after="0" w:line="203" w:lineRule="exact"/>
              <w:rPr>
                <w:sz w:val="20"/>
                <w:szCs w:val="20"/>
                <w:color w:val="auto"/>
              </w:rPr>
            </w:pPr>
            <w:r>
              <w:rPr>
                <w:rFonts w:ascii="Arial" w:cs="Arial" w:eastAsia="Arial" w:hAnsi="Arial"/>
                <w:sz w:val="18"/>
                <w:szCs w:val="18"/>
                <w:color w:val="auto"/>
              </w:rPr>
              <w:t>2012</w:t>
            </w:r>
          </w:p>
        </w:tc>
        <w:tc>
          <w:tcPr>
            <w:tcW w:w="6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2011</w:t>
            </w:r>
          </w:p>
        </w:tc>
      </w:tr>
      <w:tr>
        <w:trPr>
          <w:trHeight w:val="466"/>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Derivatives designated as hedging instruments</w:t>
            </w:r>
          </w:p>
        </w:tc>
        <w:tc>
          <w:tcPr>
            <w:tcW w:w="22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5380" w:type="dxa"/>
            <w:vAlign w:val="bottom"/>
          </w:tcPr>
          <w:p>
            <w:pPr>
              <w:ind w:left="10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1</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$193</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($1,328)</w:t>
            </w: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$405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4"/>
        </w:trPr>
        <w:tc>
          <w:tcPr>
            <w:tcW w:w="5380" w:type="dxa"/>
            <w:vAlign w:val="bottom"/>
          </w:tcPr>
          <w:p>
            <w:pPr>
              <w:ind w:left="100"/>
              <w:spacing w:after="0"/>
              <w:rPr>
                <w:sz w:val="20"/>
                <w:szCs w:val="20"/>
                <w:color w:val="auto"/>
              </w:rPr>
            </w:pPr>
            <w:r>
              <w:rPr>
                <w:rFonts w:ascii="Arial" w:cs="Arial" w:eastAsia="Arial" w:hAnsi="Arial"/>
                <w:sz w:val="18"/>
                <w:szCs w:val="18"/>
                <w:color w:val="auto"/>
              </w:rPr>
              <w:t xml:space="preserve">Foreign exchange options </w:t>
            </w:r>
            <w:r>
              <w:rPr>
                <w:rFonts w:ascii="Arial" w:cs="Arial" w:eastAsia="Arial" w:hAnsi="Arial"/>
                <w:sz w:val="23"/>
                <w:szCs w:val="23"/>
                <w:color w:val="auto"/>
                <w:vertAlign w:val="superscript"/>
              </w:rPr>
              <w:t>2</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24</w:t>
            </w:r>
          </w:p>
        </w:tc>
        <w:tc>
          <w:tcPr>
            <w:tcW w:w="1740" w:type="dxa"/>
            <w:vAlign w:val="bottom"/>
          </w:tcPr>
          <w:p>
            <w:pPr>
              <w:jc w:val="right"/>
              <w:ind w:right="610"/>
              <w:spacing w:after="0"/>
              <w:rPr>
                <w:sz w:val="20"/>
                <w:szCs w:val="20"/>
                <w:color w:val="auto"/>
              </w:rPr>
            </w:pPr>
            <w:r>
              <w:rPr>
                <w:rFonts w:ascii="Arial" w:cs="Arial" w:eastAsia="Arial" w:hAnsi="Arial"/>
                <w:sz w:val="18"/>
                <w:szCs w:val="18"/>
                <w:color w:val="auto"/>
              </w:rPr>
              <w:t>118</w:t>
            </w: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4"/>
                <w:szCs w:val="24"/>
                <w:color w:val="auto"/>
              </w:rPr>
            </w:pPr>
          </w:p>
        </w:tc>
      </w:tr>
      <w:tr>
        <w:trPr>
          <w:trHeight w:val="125"/>
        </w:trPr>
        <w:tc>
          <w:tcPr>
            <w:tcW w:w="53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391" w:lineRule="exact"/>
        <w:rPr>
          <w:sz w:val="20"/>
          <w:szCs w:val="20"/>
          <w:color w:val="auto"/>
        </w:rPr>
      </w:pPr>
    </w:p>
    <w:p>
      <w:pPr>
        <w:ind w:left="360" w:right="180" w:hanging="168"/>
        <w:spacing w:after="0" w:line="246"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Unrealized losses are recognized in Other comprehensive income, net of tax. This derivative was an effective hedge of interest rate cash flow risk for the three months ended June 30, 2012.</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 (Losses)/gains are recognized in Other expense, net.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were defending 4,426 claims as of July 20, 2012.</w:t>
      </w:r>
    </w:p>
    <w:p>
      <w:pPr>
        <w:spacing w:after="0" w:line="17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960" w:type="dxa"/>
            <w:vAlign w:val="bottom"/>
            <w:tcBorders>
              <w:top w:val="single" w:sz="8" w:color="auto"/>
              <w:left w:val="single" w:sz="8" w:color="auto"/>
            </w:tcBorders>
          </w:tcPr>
          <w:p>
            <w:pPr>
              <w:spacing w:after="0"/>
              <w:rPr>
                <w:sz w:val="14"/>
                <w:szCs w:val="14"/>
                <w:color w:val="auto"/>
              </w:rPr>
            </w:pPr>
          </w:p>
        </w:tc>
        <w:tc>
          <w:tcPr>
            <w:tcW w:w="1940" w:type="dxa"/>
            <w:vAlign w:val="bottom"/>
            <w:tcBorders>
              <w:top w:val="single" w:sz="8" w:color="auto"/>
              <w:right w:val="single" w:sz="8" w:color="auto"/>
            </w:tcBorders>
            <w:vMerge w:val="restart"/>
          </w:tcPr>
          <w:p>
            <w:pPr>
              <w:jc w:val="center"/>
              <w:ind w:right="928"/>
              <w:spacing w:after="0"/>
              <w:rPr>
                <w:sz w:val="20"/>
                <w:szCs w:val="20"/>
                <w:color w:val="auto"/>
              </w:rPr>
            </w:pPr>
            <w:r>
              <w:rPr>
                <w:rFonts w:ascii="Arial" w:cs="Arial" w:eastAsia="Arial" w:hAnsi="Arial"/>
                <w:sz w:val="14"/>
                <w:szCs w:val="14"/>
                <w:i w:val="1"/>
                <w:iCs w:val="1"/>
                <w:color w:val="auto"/>
              </w:rPr>
              <w:t>Year ended</w:t>
            </w:r>
          </w:p>
        </w:tc>
        <w:tc>
          <w:tcPr>
            <w:tcW w:w="1700" w:type="dxa"/>
            <w:vAlign w:val="bottom"/>
            <w:tcBorders>
              <w:top w:val="single" w:sz="8" w:color="auto"/>
              <w:right w:val="single" w:sz="8" w:color="auto"/>
            </w:tcBorders>
          </w:tcPr>
          <w:p>
            <w:pPr>
              <w:spacing w:after="0"/>
              <w:rPr>
                <w:sz w:val="14"/>
                <w:szCs w:val="14"/>
                <w:color w:val="auto"/>
              </w:rPr>
            </w:pPr>
          </w:p>
        </w:tc>
        <w:tc>
          <w:tcPr>
            <w:tcW w:w="196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rPr>
              <w:t>Amounts Paid</w:t>
            </w: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14"/>
                <w:szCs w:val="14"/>
                <w:i w:val="1"/>
                <w:iCs w:val="1"/>
                <w:color w:val="auto"/>
              </w:rPr>
              <w:t>Opening Number</w:t>
            </w:r>
          </w:p>
        </w:tc>
        <w:tc>
          <w:tcPr>
            <w:tcW w:w="196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14"/>
                <w:szCs w:val="14"/>
                <w:i w:val="1"/>
                <w:iCs w:val="1"/>
                <w:color w:val="auto"/>
              </w:rPr>
              <w:t>Claims Dismissed,</w:t>
            </w:r>
          </w:p>
        </w:tc>
        <w:tc>
          <w:tcPr>
            <w:tcW w:w="12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restart"/>
          </w:tcPr>
          <w:p>
            <w:pPr>
              <w:jc w:val="right"/>
              <w:ind w:right="294"/>
              <w:spacing w:after="0"/>
              <w:rPr>
                <w:sz w:val="20"/>
                <w:szCs w:val="20"/>
                <w:color w:val="auto"/>
              </w:rPr>
            </w:pPr>
            <w:r>
              <w:rPr>
                <w:rFonts w:ascii="Arial" w:cs="Arial" w:eastAsia="Arial" w:hAnsi="Arial"/>
                <w:sz w:val="14"/>
                <w:szCs w:val="14"/>
                <w:i w:val="1"/>
                <w:iCs w:val="1"/>
                <w:color w:val="auto"/>
              </w:rPr>
              <w:t>Closing Number</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(thousands) to Settle</w:t>
            </w:r>
          </w:p>
        </w:tc>
        <w:tc>
          <w:tcPr>
            <w:tcW w:w="0" w:type="dxa"/>
            <w:vAlign w:val="bottom"/>
          </w:tcPr>
          <w:p>
            <w:pPr>
              <w:spacing w:after="0"/>
              <w:rPr>
                <w:sz w:val="1"/>
                <w:szCs w:val="1"/>
                <w:color w:val="auto"/>
              </w:rPr>
            </w:pPr>
          </w:p>
        </w:tc>
      </w:tr>
      <w:tr>
        <w:trPr>
          <w:trHeight w:val="81"/>
        </w:trPr>
        <w:tc>
          <w:tcPr>
            <w:tcW w:w="96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vMerge w:val="restart"/>
          </w:tcPr>
          <w:p>
            <w:pPr>
              <w:jc w:val="center"/>
              <w:ind w:right="888"/>
              <w:spacing w:after="0"/>
              <w:rPr>
                <w:sz w:val="20"/>
                <w:szCs w:val="20"/>
                <w:color w:val="auto"/>
              </w:rPr>
            </w:pPr>
            <w:r>
              <w:rPr>
                <w:rFonts w:ascii="Arial" w:cs="Arial" w:eastAsia="Arial" w:hAnsi="Arial"/>
                <w:sz w:val="14"/>
                <w:szCs w:val="14"/>
                <w:i w:val="1"/>
                <w:iCs w:val="1"/>
                <w:color w:val="auto"/>
              </w:rPr>
              <w:t>December 31,</w:t>
            </w:r>
          </w:p>
        </w:tc>
        <w:tc>
          <w:tcPr>
            <w:tcW w:w="170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960" w:type="dxa"/>
            <w:vAlign w:val="bottom"/>
            <w:tcBorders>
              <w:lef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right"/>
              <w:ind w:right="474"/>
              <w:spacing w:after="0"/>
              <w:rPr>
                <w:sz w:val="20"/>
                <w:szCs w:val="20"/>
                <w:color w:val="auto"/>
              </w:rPr>
            </w:pPr>
            <w:r>
              <w:rPr>
                <w:rFonts w:ascii="Arial" w:cs="Arial" w:eastAsia="Arial" w:hAnsi="Arial"/>
                <w:sz w:val="14"/>
                <w:szCs w:val="14"/>
                <w:i w:val="1"/>
                <w:iCs w:val="1"/>
                <w:color w:val="auto"/>
              </w:rPr>
              <w:t>of Claims</w:t>
            </w:r>
          </w:p>
        </w:tc>
        <w:tc>
          <w:tcPr>
            <w:tcW w:w="196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14"/>
                <w:szCs w:val="14"/>
                <w:i w:val="1"/>
                <w:iCs w:val="1"/>
                <w:color w:val="auto"/>
              </w:rPr>
              <w:t>Settled, or Resolved</w:t>
            </w:r>
          </w:p>
        </w:tc>
        <w:tc>
          <w:tcPr>
            <w:tcW w:w="1240" w:type="dxa"/>
            <w:vAlign w:val="bottom"/>
            <w:tcBorders>
              <w:right w:val="single" w:sz="8" w:color="auto"/>
            </w:tcBorders>
            <w:vMerge w:val="restart"/>
          </w:tcPr>
          <w:p>
            <w:pPr>
              <w:jc w:val="right"/>
              <w:ind w:right="172"/>
              <w:spacing w:after="0"/>
              <w:rPr>
                <w:sz w:val="20"/>
                <w:szCs w:val="20"/>
                <w:color w:val="auto"/>
              </w:rPr>
            </w:pPr>
            <w:r>
              <w:rPr>
                <w:rFonts w:ascii="Arial" w:cs="Arial" w:eastAsia="Arial" w:hAnsi="Arial"/>
                <w:sz w:val="14"/>
                <w:szCs w:val="14"/>
                <w:i w:val="1"/>
                <w:iCs w:val="1"/>
                <w:color w:val="auto"/>
              </w:rPr>
              <w:t>New Claims</w:t>
            </w:r>
          </w:p>
        </w:tc>
        <w:tc>
          <w:tcPr>
            <w:tcW w:w="1700" w:type="dxa"/>
            <w:vAlign w:val="bottom"/>
            <w:tcBorders>
              <w:right w:val="single" w:sz="8" w:color="auto"/>
            </w:tcBorders>
            <w:vMerge w:val="restart"/>
          </w:tcPr>
          <w:p>
            <w:pPr>
              <w:jc w:val="right"/>
              <w:ind w:right="474"/>
              <w:spacing w:after="0"/>
              <w:rPr>
                <w:sz w:val="20"/>
                <w:szCs w:val="20"/>
                <w:color w:val="auto"/>
              </w:rPr>
            </w:pPr>
            <w:r>
              <w:rPr>
                <w:rFonts w:ascii="Arial" w:cs="Arial" w:eastAsia="Arial" w:hAnsi="Arial"/>
                <w:sz w:val="14"/>
                <w:szCs w:val="14"/>
                <w:i w:val="1"/>
                <w:iCs w:val="1"/>
                <w:color w:val="auto"/>
              </w:rPr>
              <w:t>of Claims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or Resolve ($)</w:t>
            </w:r>
          </w:p>
        </w:tc>
        <w:tc>
          <w:tcPr>
            <w:tcW w:w="0" w:type="dxa"/>
            <w:vAlign w:val="bottom"/>
          </w:tcPr>
          <w:p>
            <w:pPr>
              <w:spacing w:after="0"/>
              <w:rPr>
                <w:sz w:val="1"/>
                <w:szCs w:val="1"/>
                <w:color w:val="auto"/>
              </w:rPr>
            </w:pPr>
          </w:p>
        </w:tc>
      </w:tr>
      <w:tr>
        <w:trPr>
          <w:trHeight w:val="66"/>
        </w:trPr>
        <w:tc>
          <w:tcPr>
            <w:tcW w:w="960" w:type="dxa"/>
            <w:vAlign w:val="bottom"/>
            <w:tcBorders>
              <w:left w:val="single" w:sz="8" w:color="auto"/>
              <w:bottom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vMerge w:val="continue"/>
          </w:tcPr>
          <w:p>
            <w:pPr>
              <w:spacing w:after="0"/>
              <w:rPr>
                <w:sz w:val="5"/>
                <w:szCs w:val="5"/>
                <w:color w:val="auto"/>
              </w:rPr>
            </w:pPr>
          </w:p>
        </w:tc>
        <w:tc>
          <w:tcPr>
            <w:tcW w:w="1960" w:type="dxa"/>
            <w:vAlign w:val="bottom"/>
            <w:tcBorders>
              <w:bottom w:val="single" w:sz="8" w:color="auto"/>
              <w:right w:val="single" w:sz="8" w:color="auto"/>
            </w:tcBorders>
            <w:vMerge w:val="continue"/>
          </w:tcPr>
          <w:p>
            <w:pPr>
              <w:spacing w:after="0"/>
              <w:rPr>
                <w:sz w:val="5"/>
                <w:szCs w:val="5"/>
                <w:color w:val="auto"/>
              </w:rPr>
            </w:pPr>
          </w:p>
        </w:tc>
        <w:tc>
          <w:tcPr>
            <w:tcW w:w="1240" w:type="dxa"/>
            <w:vAlign w:val="bottom"/>
            <w:tcBorders>
              <w:bottom w:val="single" w:sz="8" w:color="auto"/>
              <w:right w:val="single" w:sz="8" w:color="auto"/>
            </w:tcBorders>
            <w:vMerge w:val="continue"/>
          </w:tcPr>
          <w:p>
            <w:pPr>
              <w:spacing w:after="0"/>
              <w:rPr>
                <w:sz w:val="5"/>
                <w:szCs w:val="5"/>
                <w:color w:val="auto"/>
              </w:rPr>
            </w:pPr>
          </w:p>
        </w:tc>
        <w:tc>
          <w:tcPr>
            <w:tcW w:w="1700" w:type="dxa"/>
            <w:vAlign w:val="bottom"/>
            <w:tcBorders>
              <w:bottom w:val="single" w:sz="8" w:color="auto"/>
              <w:right w:val="single" w:sz="8" w:color="auto"/>
            </w:tcBorders>
            <w:vMerge w:val="continue"/>
          </w:tcPr>
          <w:p>
            <w:pPr>
              <w:spacing w:after="0"/>
              <w:rPr>
                <w:sz w:val="5"/>
                <w:szCs w:val="5"/>
                <w:color w:val="auto"/>
              </w:rPr>
            </w:pPr>
          </w:p>
        </w:tc>
        <w:tc>
          <w:tcPr>
            <w:tcW w:w="19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i w:val="1"/>
                <w:iCs w:val="1"/>
                <w:color w:val="auto"/>
              </w:rPr>
              <w:t>2005</w:t>
            </w: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29,411</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6,257</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1,297</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24,451</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504</w:t>
            </w:r>
          </w:p>
        </w:tc>
        <w:tc>
          <w:tcPr>
            <w:tcW w:w="0" w:type="dxa"/>
            <w:vAlign w:val="bottom"/>
          </w:tcPr>
          <w:p>
            <w:pPr>
              <w:spacing w:after="0"/>
              <w:rPr>
                <w:sz w:val="1"/>
                <w:szCs w:val="1"/>
                <w:color w:val="auto"/>
              </w:rPr>
            </w:pPr>
          </w:p>
        </w:tc>
      </w:tr>
      <w:tr>
        <w:trPr>
          <w:trHeight w:val="196"/>
        </w:trPr>
        <w:tc>
          <w:tcPr>
            <w:tcW w:w="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i w:val="1"/>
                <w:iCs w:val="1"/>
                <w:color w:val="auto"/>
              </w:rPr>
              <w:t>2006</w:t>
            </w: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24,451</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6,841</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1,806</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19,416</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3,879</w:t>
            </w:r>
          </w:p>
        </w:tc>
        <w:tc>
          <w:tcPr>
            <w:tcW w:w="0" w:type="dxa"/>
            <w:vAlign w:val="bottom"/>
          </w:tcPr>
          <w:p>
            <w:pPr>
              <w:spacing w:after="0"/>
              <w:rPr>
                <w:sz w:val="1"/>
                <w:szCs w:val="1"/>
                <w:color w:val="auto"/>
              </w:rPr>
            </w:pPr>
          </w:p>
        </w:tc>
      </w:tr>
      <w:tr>
        <w:trPr>
          <w:trHeight w:val="196"/>
        </w:trPr>
        <w:tc>
          <w:tcPr>
            <w:tcW w:w="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i w:val="1"/>
                <w:iCs w:val="1"/>
                <w:color w:val="auto"/>
              </w:rPr>
              <w:t>2007</w:t>
            </w: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19,416</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808</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190</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18,798</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196"/>
        </w:trPr>
        <w:tc>
          <w:tcPr>
            <w:tcW w:w="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i w:val="1"/>
                <w:iCs w:val="1"/>
                <w:color w:val="auto"/>
              </w:rPr>
              <w:t>2008</w:t>
            </w: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18,798</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523</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110</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18,385</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196"/>
        </w:trPr>
        <w:tc>
          <w:tcPr>
            <w:tcW w:w="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i w:val="1"/>
                <w:iCs w:val="1"/>
                <w:color w:val="auto"/>
              </w:rPr>
              <w:t>2009</w:t>
            </w: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18,385</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9,482</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42</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8,945</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88</w:t>
            </w:r>
          </w:p>
        </w:tc>
        <w:tc>
          <w:tcPr>
            <w:tcW w:w="0" w:type="dxa"/>
            <w:vAlign w:val="bottom"/>
          </w:tcPr>
          <w:p>
            <w:pPr>
              <w:spacing w:after="0"/>
              <w:rPr>
                <w:sz w:val="1"/>
                <w:szCs w:val="1"/>
                <w:color w:val="auto"/>
              </w:rPr>
            </w:pPr>
          </w:p>
        </w:tc>
      </w:tr>
      <w:tr>
        <w:trPr>
          <w:trHeight w:val="196"/>
        </w:trPr>
        <w:tc>
          <w:tcPr>
            <w:tcW w:w="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i w:val="1"/>
                <w:iCs w:val="1"/>
                <w:color w:val="auto"/>
              </w:rPr>
              <w:t>2010</w:t>
            </w: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8,945</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3,963</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188</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5,170</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196"/>
        </w:trPr>
        <w:tc>
          <w:tcPr>
            <w:tcW w:w="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i w:val="1"/>
                <w:iCs w:val="1"/>
                <w:color w:val="auto"/>
              </w:rPr>
              <w:t>2011</w:t>
            </w: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5,170</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789</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65</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4,446</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1,111</w:t>
            </w:r>
          </w:p>
        </w:tc>
        <w:tc>
          <w:tcPr>
            <w:tcW w:w="0" w:type="dxa"/>
            <w:vAlign w:val="bottom"/>
          </w:tcPr>
          <w:p>
            <w:pPr>
              <w:spacing w:after="0"/>
              <w:rPr>
                <w:sz w:val="1"/>
                <w:szCs w:val="1"/>
                <w:color w:val="auto"/>
              </w:rPr>
            </w:pPr>
          </w:p>
        </w:tc>
      </w:tr>
      <w:tr>
        <w:trPr>
          <w:trHeight w:val="196"/>
        </w:trPr>
        <w:tc>
          <w:tcPr>
            <w:tcW w:w="9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i w:val="1"/>
                <w:iCs w:val="1"/>
                <w:color w:val="auto"/>
              </w:rPr>
              <w:t>2012 to date</w:t>
            </w:r>
          </w:p>
        </w:tc>
        <w:tc>
          <w:tcPr>
            <w:tcW w:w="19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4,446</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69</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49</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4,426</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513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Exposure and disease information sufficient meaningfully to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July 20, 2012, we had resolved, by means of settlement or dismissal, 36,349 claims. The total cost of resolving all claims was $8,628,500. Of this amount, almost 100% was paid by our insurance carrier. The Company has approximately $130 million in confirmed insurance coverage that should be available with respect to current and future asbestos claims, as well as additional insurance coverage that we should be able to access.</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Brandon Drying Fabrics, Inc. (“Brandon”), a subsidiary of Geschmay Corp., which is a subsidiary of the Company, is also a separate defendant in many of the asbestos cases in which Albany is named as a defendant. Brandon was defending against 7,873 claims as of July 20, 2012.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4" w:name="page25"/>
    <w:bookmarkEnd w:id="24"/>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900" w:type="dxa"/>
            <w:vAlign w:val="bottom"/>
            <w:tcBorders>
              <w:top w:val="single" w:sz="8" w:color="auto"/>
              <w:left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vMerge w:val="restart"/>
          </w:tcPr>
          <w:p>
            <w:pPr>
              <w:jc w:val="right"/>
              <w:ind w:right="434"/>
              <w:spacing w:after="0"/>
              <w:rPr>
                <w:sz w:val="20"/>
                <w:szCs w:val="20"/>
                <w:color w:val="auto"/>
              </w:rPr>
            </w:pPr>
            <w:r>
              <w:rPr>
                <w:rFonts w:ascii="Arial" w:cs="Arial" w:eastAsia="Arial" w:hAnsi="Arial"/>
                <w:sz w:val="14"/>
                <w:szCs w:val="14"/>
                <w:i w:val="1"/>
                <w:iCs w:val="1"/>
                <w:color w:val="auto"/>
              </w:rPr>
              <w:t>Opening Number</w:t>
            </w:r>
          </w:p>
        </w:tc>
        <w:tc>
          <w:tcPr>
            <w:tcW w:w="196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Claims Dismissed,</w:t>
            </w:r>
          </w:p>
        </w:tc>
        <w:tc>
          <w:tcPr>
            <w:tcW w:w="124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i w:val="1"/>
                <w:iCs w:val="1"/>
                <w:color w:val="auto"/>
              </w:rPr>
              <w:t>Closing Number</w:t>
            </w:r>
          </w:p>
        </w:tc>
        <w:tc>
          <w:tcPr>
            <w:tcW w:w="19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i w:val="1"/>
                <w:iCs w:val="1"/>
                <w:color w:val="auto"/>
              </w:rPr>
              <w:t>Amounts Paid</w:t>
            </w:r>
          </w:p>
        </w:tc>
        <w:tc>
          <w:tcPr>
            <w:tcW w:w="0" w:type="dxa"/>
            <w:vAlign w:val="bottom"/>
          </w:tcPr>
          <w:p>
            <w:pPr>
              <w:spacing w:after="0"/>
              <w:rPr>
                <w:sz w:val="1"/>
                <w:szCs w:val="1"/>
                <w:color w:val="auto"/>
              </w:rPr>
            </w:pPr>
          </w:p>
        </w:tc>
      </w:tr>
      <w:tr>
        <w:trPr>
          <w:trHeight w:val="81"/>
        </w:trPr>
        <w:tc>
          <w:tcPr>
            <w:tcW w:w="2900" w:type="dxa"/>
            <w:vAlign w:val="bottom"/>
            <w:tcBorders>
              <w:left w:val="single" w:sz="8" w:color="auto"/>
              <w:right w:val="single" w:sz="8" w:color="auto"/>
            </w:tcBorders>
            <w:vMerge w:val="restart"/>
          </w:tcPr>
          <w:p>
            <w:pPr>
              <w:ind w:left="600"/>
              <w:spacing w:after="0"/>
              <w:rPr>
                <w:sz w:val="20"/>
                <w:szCs w:val="20"/>
                <w:color w:val="auto"/>
              </w:rPr>
            </w:pPr>
            <w:r>
              <w:rPr>
                <w:rFonts w:ascii="Arial" w:cs="Arial" w:eastAsia="Arial" w:hAnsi="Arial"/>
                <w:sz w:val="14"/>
                <w:szCs w:val="14"/>
                <w:i w:val="1"/>
                <w:iCs w:val="1"/>
                <w:color w:val="auto"/>
              </w:rPr>
              <w:t>Year ended December 31,</w:t>
            </w:r>
          </w:p>
        </w:tc>
        <w:tc>
          <w:tcPr>
            <w:tcW w:w="170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restart"/>
          </w:tcPr>
          <w:p>
            <w:pPr>
              <w:jc w:val="right"/>
              <w:ind w:right="312"/>
              <w:spacing w:after="0"/>
              <w:rPr>
                <w:sz w:val="20"/>
                <w:szCs w:val="20"/>
                <w:color w:val="auto"/>
              </w:rPr>
            </w:pPr>
            <w:r>
              <w:rPr>
                <w:rFonts w:ascii="Arial" w:cs="Arial" w:eastAsia="Arial" w:hAnsi="Arial"/>
                <w:sz w:val="14"/>
                <w:szCs w:val="14"/>
                <w:i w:val="1"/>
                <w:iCs w:val="1"/>
                <w:color w:val="auto"/>
              </w:rPr>
              <w:t>New Claims</w:t>
            </w:r>
          </w:p>
        </w:tc>
        <w:tc>
          <w:tcPr>
            <w:tcW w:w="170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i w:val="1"/>
                <w:iCs w:val="1"/>
                <w:color w:val="auto"/>
              </w:rPr>
              <w:t>(thousands) to Settle</w:t>
            </w:r>
          </w:p>
        </w:tc>
        <w:tc>
          <w:tcPr>
            <w:tcW w:w="0" w:type="dxa"/>
            <w:vAlign w:val="bottom"/>
          </w:tcPr>
          <w:p>
            <w:pPr>
              <w:spacing w:after="0"/>
              <w:rPr>
                <w:sz w:val="1"/>
                <w:szCs w:val="1"/>
                <w:color w:val="auto"/>
              </w:rPr>
            </w:pPr>
          </w:p>
        </w:tc>
      </w:tr>
      <w:tr>
        <w:trPr>
          <w:trHeight w:val="81"/>
        </w:trPr>
        <w:tc>
          <w:tcPr>
            <w:tcW w:w="2900" w:type="dxa"/>
            <w:vAlign w:val="bottom"/>
            <w:tcBorders>
              <w:left w:val="single" w:sz="8" w:color="auto"/>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right"/>
              <w:ind w:right="934"/>
              <w:spacing w:after="0"/>
              <w:rPr>
                <w:sz w:val="20"/>
                <w:szCs w:val="20"/>
                <w:color w:val="auto"/>
              </w:rPr>
            </w:pPr>
            <w:r>
              <w:rPr>
                <w:rFonts w:ascii="Arial" w:cs="Arial" w:eastAsia="Arial" w:hAnsi="Arial"/>
                <w:sz w:val="14"/>
                <w:szCs w:val="14"/>
                <w:i w:val="1"/>
                <w:iCs w:val="1"/>
                <w:color w:val="auto"/>
              </w:rPr>
              <w:t>of Claims</w:t>
            </w:r>
          </w:p>
        </w:tc>
        <w:tc>
          <w:tcPr>
            <w:tcW w:w="19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Settled, or Resolved</w:t>
            </w:r>
          </w:p>
        </w:tc>
        <w:tc>
          <w:tcPr>
            <w:tcW w:w="124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i w:val="1"/>
                <w:iCs w:val="1"/>
                <w:color w:val="auto"/>
              </w:rPr>
              <w:t>of Claims</w:t>
            </w:r>
          </w:p>
        </w:tc>
        <w:tc>
          <w:tcPr>
            <w:tcW w:w="1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900" w:type="dxa"/>
            <w:vAlign w:val="bottom"/>
            <w:tcBorders>
              <w:left w:val="single" w:sz="8" w:color="auto"/>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i w:val="1"/>
                <w:iCs w:val="1"/>
                <w:color w:val="auto"/>
              </w:rPr>
              <w:t>or Resolve ($)</w:t>
            </w:r>
          </w:p>
        </w:tc>
        <w:tc>
          <w:tcPr>
            <w:tcW w:w="0" w:type="dxa"/>
            <w:vAlign w:val="bottom"/>
          </w:tcPr>
          <w:p>
            <w:pPr>
              <w:spacing w:after="0"/>
              <w:rPr>
                <w:sz w:val="1"/>
                <w:szCs w:val="1"/>
                <w:color w:val="auto"/>
              </w:rPr>
            </w:pPr>
          </w:p>
        </w:tc>
      </w:tr>
      <w:tr>
        <w:trPr>
          <w:trHeight w:val="66"/>
        </w:trPr>
        <w:tc>
          <w:tcPr>
            <w:tcW w:w="290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2005</w:t>
            </w:r>
          </w:p>
        </w:tc>
        <w:tc>
          <w:tcPr>
            <w:tcW w:w="1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9,985</w:t>
            </w:r>
          </w:p>
        </w:tc>
        <w:tc>
          <w:tcPr>
            <w:tcW w:w="19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642</w:t>
            </w:r>
          </w:p>
        </w:tc>
        <w:tc>
          <w:tcPr>
            <w:tcW w:w="12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223</w:t>
            </w:r>
          </w:p>
        </w:tc>
        <w:tc>
          <w:tcPr>
            <w:tcW w:w="1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9,566</w:t>
            </w:r>
          </w:p>
        </w:tc>
        <w:tc>
          <w:tcPr>
            <w:tcW w:w="192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2006</w:t>
            </w:r>
          </w:p>
        </w:tc>
        <w:tc>
          <w:tcPr>
            <w:tcW w:w="170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i w:val="1"/>
                <w:iCs w:val="1"/>
                <w:color w:val="auto"/>
              </w:rPr>
              <w:t>9,566</w:t>
            </w:r>
          </w:p>
        </w:tc>
        <w:tc>
          <w:tcPr>
            <w:tcW w:w="19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1,182</w:t>
            </w:r>
          </w:p>
        </w:tc>
        <w:tc>
          <w:tcPr>
            <w:tcW w:w="12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730</w:t>
            </w:r>
          </w:p>
        </w:tc>
        <w:tc>
          <w:tcPr>
            <w:tcW w:w="1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9,114</w:t>
            </w:r>
          </w:p>
        </w:tc>
        <w:tc>
          <w:tcPr>
            <w:tcW w:w="192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2007</w:t>
            </w:r>
          </w:p>
        </w:tc>
        <w:tc>
          <w:tcPr>
            <w:tcW w:w="170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i w:val="1"/>
                <w:iCs w:val="1"/>
                <w:color w:val="auto"/>
              </w:rPr>
              <w:t>9,114</w:t>
            </w:r>
          </w:p>
        </w:tc>
        <w:tc>
          <w:tcPr>
            <w:tcW w:w="19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462</w:t>
            </w:r>
          </w:p>
        </w:tc>
        <w:tc>
          <w:tcPr>
            <w:tcW w:w="12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88</w:t>
            </w:r>
          </w:p>
        </w:tc>
        <w:tc>
          <w:tcPr>
            <w:tcW w:w="1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8,740</w:t>
            </w:r>
          </w:p>
        </w:tc>
        <w:tc>
          <w:tcPr>
            <w:tcW w:w="192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2008</w:t>
            </w:r>
          </w:p>
        </w:tc>
        <w:tc>
          <w:tcPr>
            <w:tcW w:w="170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i w:val="1"/>
                <w:iCs w:val="1"/>
                <w:color w:val="auto"/>
              </w:rPr>
              <w:t>8,740</w:t>
            </w:r>
          </w:p>
        </w:tc>
        <w:tc>
          <w:tcPr>
            <w:tcW w:w="19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86</w:t>
            </w:r>
          </w:p>
        </w:tc>
        <w:tc>
          <w:tcPr>
            <w:tcW w:w="12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10</w:t>
            </w:r>
          </w:p>
        </w:tc>
        <w:tc>
          <w:tcPr>
            <w:tcW w:w="1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8,664</w:t>
            </w:r>
          </w:p>
        </w:tc>
        <w:tc>
          <w:tcPr>
            <w:tcW w:w="192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2009</w:t>
            </w:r>
          </w:p>
        </w:tc>
        <w:tc>
          <w:tcPr>
            <w:tcW w:w="170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i w:val="1"/>
                <w:iCs w:val="1"/>
                <w:color w:val="auto"/>
              </w:rPr>
              <w:t>8,664</w:t>
            </w:r>
          </w:p>
        </w:tc>
        <w:tc>
          <w:tcPr>
            <w:tcW w:w="19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760</w:t>
            </w:r>
          </w:p>
        </w:tc>
        <w:tc>
          <w:tcPr>
            <w:tcW w:w="12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3</w:t>
            </w:r>
          </w:p>
        </w:tc>
        <w:tc>
          <w:tcPr>
            <w:tcW w:w="1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7,907</w:t>
            </w:r>
          </w:p>
        </w:tc>
        <w:tc>
          <w:tcPr>
            <w:tcW w:w="192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2010</w:t>
            </w:r>
          </w:p>
        </w:tc>
        <w:tc>
          <w:tcPr>
            <w:tcW w:w="170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i w:val="1"/>
                <w:iCs w:val="1"/>
                <w:color w:val="auto"/>
              </w:rPr>
              <w:t>7,907</w:t>
            </w:r>
          </w:p>
        </w:tc>
        <w:tc>
          <w:tcPr>
            <w:tcW w:w="19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47</w:t>
            </w:r>
          </w:p>
        </w:tc>
        <w:tc>
          <w:tcPr>
            <w:tcW w:w="12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9</w:t>
            </w:r>
          </w:p>
        </w:tc>
        <w:tc>
          <w:tcPr>
            <w:tcW w:w="1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7,869</w:t>
            </w:r>
          </w:p>
        </w:tc>
        <w:tc>
          <w:tcPr>
            <w:tcW w:w="192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2011</w:t>
            </w:r>
          </w:p>
        </w:tc>
        <w:tc>
          <w:tcPr>
            <w:tcW w:w="1700" w:type="dxa"/>
            <w:vAlign w:val="bottom"/>
            <w:tcBorders>
              <w:bottom w:val="single" w:sz="8" w:color="auto"/>
              <w:right w:val="single" w:sz="8" w:color="auto"/>
            </w:tcBorders>
          </w:tcPr>
          <w:p>
            <w:pPr>
              <w:jc w:val="right"/>
              <w:ind w:right="74"/>
              <w:spacing w:after="0"/>
              <w:rPr>
                <w:sz w:val="20"/>
                <w:szCs w:val="20"/>
                <w:color w:val="auto"/>
              </w:rPr>
            </w:pPr>
            <w:r>
              <w:rPr>
                <w:rFonts w:ascii="Arial" w:cs="Arial" w:eastAsia="Arial" w:hAnsi="Arial"/>
                <w:sz w:val="18"/>
                <w:szCs w:val="18"/>
                <w:i w:val="1"/>
                <w:iCs w:val="1"/>
                <w:color w:val="auto"/>
              </w:rPr>
              <w:t>7,869</w:t>
            </w:r>
          </w:p>
        </w:tc>
        <w:tc>
          <w:tcPr>
            <w:tcW w:w="19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3</w:t>
            </w:r>
          </w:p>
        </w:tc>
        <w:tc>
          <w:tcPr>
            <w:tcW w:w="12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11</w:t>
            </w:r>
          </w:p>
        </w:tc>
        <w:tc>
          <w:tcPr>
            <w:tcW w:w="1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i w:val="1"/>
                <w:iCs w:val="1"/>
                <w:color w:val="auto"/>
              </w:rPr>
              <w:t>7,877</w:t>
            </w:r>
          </w:p>
        </w:tc>
        <w:tc>
          <w:tcPr>
            <w:tcW w:w="1920" w:type="dxa"/>
            <w:vAlign w:val="bottom"/>
            <w:tcBorders>
              <w:bottom w:val="single" w:sz="8" w:color="auto"/>
              <w:right w:val="single" w:sz="8" w:color="auto"/>
            </w:tcBorders>
          </w:tcPr>
          <w:p>
            <w:pPr>
              <w:jc w:val="right"/>
              <w:ind w:right="75"/>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2012 to date</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7,877</w:t>
            </w:r>
          </w:p>
        </w:tc>
        <w:tc>
          <w:tcPr>
            <w:tcW w:w="196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6</w:t>
            </w:r>
          </w:p>
        </w:tc>
        <w:tc>
          <w:tcPr>
            <w:tcW w:w="1240" w:type="dxa"/>
            <w:vAlign w:val="bottom"/>
            <w:tcBorders>
              <w:bottom w:val="single" w:sz="8" w:color="auto"/>
              <w:right w:val="single" w:sz="8" w:color="auto"/>
            </w:tcBorders>
          </w:tcPr>
          <w:p>
            <w:pPr>
              <w:jc w:val="right"/>
              <w:ind w:right="92"/>
              <w:spacing w:after="0" w:line="196" w:lineRule="exact"/>
              <w:rPr>
                <w:sz w:val="20"/>
                <w:szCs w:val="20"/>
                <w:color w:val="auto"/>
              </w:rPr>
            </w:pPr>
            <w:r>
              <w:rPr>
                <w:rFonts w:ascii="Arial" w:cs="Arial" w:eastAsia="Arial" w:hAnsi="Arial"/>
                <w:sz w:val="18"/>
                <w:szCs w:val="18"/>
                <w:i w:val="1"/>
                <w:iCs w:val="1"/>
                <w:color w:val="auto"/>
              </w:rPr>
              <w:t>2</w:t>
            </w:r>
          </w:p>
        </w:tc>
        <w:tc>
          <w:tcPr>
            <w:tcW w:w="1700" w:type="dxa"/>
            <w:vAlign w:val="bottom"/>
            <w:tcBorders>
              <w:bottom w:val="single" w:sz="8" w:color="auto"/>
              <w:right w:val="single" w:sz="8" w:color="auto"/>
            </w:tcBorders>
          </w:tcPr>
          <w:p>
            <w:pPr>
              <w:jc w:val="right"/>
              <w:ind w:right="94"/>
              <w:spacing w:after="0" w:line="196" w:lineRule="exact"/>
              <w:rPr>
                <w:sz w:val="20"/>
                <w:szCs w:val="20"/>
                <w:color w:val="auto"/>
              </w:rPr>
            </w:pPr>
            <w:r>
              <w:rPr>
                <w:rFonts w:ascii="Arial" w:cs="Arial" w:eastAsia="Arial" w:hAnsi="Arial"/>
                <w:sz w:val="18"/>
                <w:szCs w:val="18"/>
                <w:i w:val="1"/>
                <w:iCs w:val="1"/>
                <w:color w:val="auto"/>
              </w:rPr>
              <w:t>7,873</w:t>
            </w:r>
          </w:p>
        </w:tc>
        <w:tc>
          <w:tcPr>
            <w:tcW w:w="192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July 20, 2012, Brandon has resolved, by means of settlement or dismissal, 9,727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7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________________________________________</w:t>
      </w:r>
    </w:p>
    <w:p>
      <w:pPr>
        <w:spacing w:after="0" w:line="17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8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________________________________________</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NAFTA Audits</w:t>
      </w:r>
    </w:p>
    <w:p>
      <w:pPr>
        <w:spacing w:after="0" w:line="20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PMC from the Company and the Company’s affiliate in Canada for which the Company has claimed duty-free treatment under the North American Free Trade Agreement (“NAFTA”).</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2011, while these appeals were pending, SAT revoked its earlier declarations of invalidation with respect to the certificates of origin at issue in 28 of the 36 open audits, and ordered a further review of such certificates. To date, the Company has been informed by SAT that it has completed its review of 19 of the 28 audits, and concluded that the certificates of origin in 19 of those 28 audits were valid, and that the shipments identified in those 19 audits were entitled to NAFTA’s duty-free treatment. SAT is continuing to review the certificates of origin in the remaining 9 open audits where the original declaration was revoked. SAT is also still considering the Company’s appeal with regard to the 8 open audits where the original declaration invalidating the certificates of origin have not yet been revoked.</w:t>
      </w:r>
    </w:p>
    <w:p>
      <w:pPr>
        <w:spacing w:after="0" w:line="17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Based on discussions with SAT, the Company currently expects that it will be given an opportunity to present evidence to SAT officials to establish the origin for NAFTA purposes of all of the shipments covered by the above-described audits still under review, and that it will be able to establish that a very high percentage of the shipments at issue were entitled to NAFTA treatment. For the small percentage of shipments for which the Company may not be able to establish qualification for duty-free treatment under NAFTA, the Company may be required to pay duties and penalties. The Company currently does not expect any such amounts to be material. The Company also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14. Changes in Stockholders’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Stockholders’ Equity: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Class A</w:t>
            </w:r>
          </w:p>
        </w:tc>
        <w:tc>
          <w:tcPr>
            <w:tcW w:w="940" w:type="dxa"/>
            <w:vAlign w:val="bottom"/>
            <w:tcBorders>
              <w:top w:val="single" w:sz="8" w:color="auto"/>
            </w:tcBorders>
            <w:vMerge w:val="restart"/>
          </w:tcPr>
          <w:p>
            <w:pPr>
              <w:jc w:val="center"/>
              <w:ind w:right="59"/>
              <w:spacing w:after="0"/>
              <w:rPr>
                <w:sz w:val="20"/>
                <w:szCs w:val="20"/>
                <w:color w:val="auto"/>
              </w:rPr>
            </w:pPr>
            <w:r>
              <w:rPr>
                <w:rFonts w:ascii="Arial" w:cs="Arial" w:eastAsia="Arial" w:hAnsi="Arial"/>
                <w:sz w:val="16"/>
                <w:szCs w:val="16"/>
                <w:color w:val="auto"/>
              </w:rPr>
              <w:t>Class B</w:t>
            </w:r>
          </w:p>
        </w:tc>
        <w:tc>
          <w:tcPr>
            <w:tcW w:w="104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rPr>
              <w:t>Additional</w:t>
            </w:r>
          </w:p>
        </w:tc>
        <w:tc>
          <w:tcPr>
            <w:tcW w:w="10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rPr>
              <w:t>Accumulated</w:t>
            </w:r>
          </w:p>
        </w:tc>
        <w:tc>
          <w:tcPr>
            <w:tcW w:w="1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vMerge w:val="restart"/>
          </w:tcPr>
          <w:p>
            <w:pPr>
              <w:jc w:val="right"/>
              <w:ind w:right="179"/>
              <w:spacing w:after="0"/>
              <w:rPr>
                <w:sz w:val="20"/>
                <w:szCs w:val="20"/>
                <w:color w:val="auto"/>
              </w:rPr>
            </w:pPr>
            <w:r>
              <w:rPr>
                <w:rFonts w:ascii="Arial" w:cs="Arial" w:eastAsia="Arial" w:hAnsi="Arial"/>
                <w:sz w:val="16"/>
                <w:szCs w:val="16"/>
                <w:color w:val="auto"/>
              </w:rPr>
              <w:t>Retained</w:t>
            </w:r>
          </w:p>
        </w:tc>
        <w:tc>
          <w:tcPr>
            <w:tcW w:w="1440" w:type="dxa"/>
            <w:vAlign w:val="bottom"/>
            <w:vMerge w:val="restart"/>
          </w:tcPr>
          <w:p>
            <w:pPr>
              <w:jc w:val="center"/>
              <w:ind w:right="139"/>
              <w:spacing w:after="0"/>
              <w:rPr>
                <w:sz w:val="20"/>
                <w:szCs w:val="20"/>
                <w:color w:val="auto"/>
              </w:rPr>
            </w:pPr>
            <w:r>
              <w:rPr>
                <w:rFonts w:ascii="Arial" w:cs="Arial" w:eastAsia="Arial" w:hAnsi="Arial"/>
                <w:sz w:val="16"/>
                <w:szCs w:val="16"/>
                <w:color w:val="auto"/>
              </w:rPr>
              <w:t>items of other</w:t>
            </w:r>
          </w:p>
        </w:tc>
        <w:tc>
          <w:tcPr>
            <w:tcW w:w="1100" w:type="dxa"/>
            <w:vAlign w:val="bottom"/>
            <w:vMerge w:val="restart"/>
          </w:tcPr>
          <w:p>
            <w:pPr>
              <w:jc w:val="right"/>
              <w:ind w:right="259"/>
              <w:spacing w:after="0"/>
              <w:rPr>
                <w:sz w:val="20"/>
                <w:szCs w:val="20"/>
                <w:color w:val="auto"/>
              </w:rPr>
            </w:pPr>
            <w:r>
              <w:rPr>
                <w:rFonts w:ascii="Arial" w:cs="Arial" w:eastAsia="Arial" w:hAnsi="Arial"/>
                <w:sz w:val="16"/>
                <w:szCs w:val="16"/>
                <w:color w:val="auto"/>
              </w:rPr>
              <w:t>Treasury</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900" w:type="dxa"/>
            <w:vAlign w:val="bottom"/>
            <w:vMerge w:val="restart"/>
          </w:tcPr>
          <w:p>
            <w:pPr>
              <w:spacing w:after="0"/>
              <w:rPr>
                <w:sz w:val="20"/>
                <w:szCs w:val="20"/>
                <w:color w:val="auto"/>
              </w:rPr>
            </w:pPr>
            <w:r>
              <w:rPr>
                <w:rFonts w:ascii="Arial" w:cs="Arial" w:eastAsia="Arial" w:hAnsi="Arial"/>
                <w:sz w:val="16"/>
                <w:szCs w:val="16"/>
                <w:color w:val="auto"/>
              </w:rPr>
              <w:t>(in thousands)</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Common</w:t>
            </w:r>
          </w:p>
        </w:tc>
        <w:tc>
          <w:tcPr>
            <w:tcW w:w="940" w:type="dxa"/>
            <w:vAlign w:val="bottom"/>
            <w:vMerge w:val="restart"/>
          </w:tcPr>
          <w:p>
            <w:pPr>
              <w:jc w:val="center"/>
              <w:ind w:right="79"/>
              <w:spacing w:after="0"/>
              <w:rPr>
                <w:sz w:val="20"/>
                <w:szCs w:val="20"/>
                <w:color w:val="auto"/>
              </w:rPr>
            </w:pPr>
            <w:r>
              <w:rPr>
                <w:rFonts w:ascii="Arial" w:cs="Arial" w:eastAsia="Arial" w:hAnsi="Arial"/>
                <w:sz w:val="16"/>
                <w:szCs w:val="16"/>
                <w:color w:val="auto"/>
              </w:rPr>
              <w:t>Common</w:t>
            </w:r>
          </w:p>
        </w:tc>
        <w:tc>
          <w:tcPr>
            <w:tcW w:w="1040" w:type="dxa"/>
            <w:vAlign w:val="bottom"/>
            <w:vMerge w:val="restart"/>
          </w:tcPr>
          <w:p>
            <w:pPr>
              <w:jc w:val="right"/>
              <w:ind w:right="299"/>
              <w:spacing w:after="0"/>
              <w:rPr>
                <w:sz w:val="20"/>
                <w:szCs w:val="20"/>
                <w:color w:val="auto"/>
              </w:rPr>
            </w:pPr>
            <w:r>
              <w:rPr>
                <w:rFonts w:ascii="Arial" w:cs="Arial" w:eastAsia="Arial" w:hAnsi="Arial"/>
                <w:sz w:val="16"/>
                <w:szCs w:val="16"/>
                <w:color w:val="auto"/>
              </w:rPr>
              <w:t>paid in</w:t>
            </w:r>
          </w:p>
        </w:tc>
        <w:tc>
          <w:tcPr>
            <w:tcW w:w="10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w w:val="99"/>
              </w:rPr>
              <w:t>Shareholders’</w:t>
            </w:r>
          </w:p>
        </w:tc>
        <w:tc>
          <w:tcPr>
            <w:tcW w:w="0" w:type="dxa"/>
            <w:vAlign w:val="bottom"/>
          </w:tcPr>
          <w:p>
            <w:pPr>
              <w:spacing w:after="0"/>
              <w:rPr>
                <w:sz w:val="1"/>
                <w:szCs w:val="1"/>
                <w:color w:val="auto"/>
              </w:rPr>
            </w:pPr>
          </w:p>
        </w:tc>
      </w:tr>
      <w:tr>
        <w:trPr>
          <w:trHeight w:val="95"/>
        </w:trPr>
        <w:tc>
          <w:tcPr>
            <w:tcW w:w="39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color w:val="auto"/>
              </w:rPr>
              <w:t>earnings</w:t>
            </w:r>
          </w:p>
        </w:tc>
        <w:tc>
          <w:tcPr>
            <w:tcW w:w="1440" w:type="dxa"/>
            <w:vAlign w:val="bottom"/>
            <w:vMerge w:val="restart"/>
          </w:tcPr>
          <w:p>
            <w:pPr>
              <w:jc w:val="center"/>
              <w:ind w:right="139"/>
              <w:spacing w:after="0"/>
              <w:rPr>
                <w:sz w:val="20"/>
                <w:szCs w:val="20"/>
                <w:color w:val="auto"/>
              </w:rPr>
            </w:pPr>
            <w:r>
              <w:rPr>
                <w:rFonts w:ascii="Arial" w:cs="Arial" w:eastAsia="Arial" w:hAnsi="Arial"/>
                <w:sz w:val="16"/>
                <w:szCs w:val="16"/>
                <w:color w:val="auto"/>
              </w:rPr>
              <w:t>comprehensive</w:t>
            </w:r>
          </w:p>
        </w:tc>
        <w:tc>
          <w:tcPr>
            <w:tcW w:w="1100" w:type="dxa"/>
            <w:vAlign w:val="bottom"/>
            <w:vMerge w:val="restart"/>
          </w:tcPr>
          <w:p>
            <w:pPr>
              <w:jc w:val="right"/>
              <w:ind w:right="359"/>
              <w:spacing w:after="0"/>
              <w:rPr>
                <w:sz w:val="20"/>
                <w:szCs w:val="20"/>
                <w:color w:val="auto"/>
              </w:rPr>
            </w:pPr>
            <w:r>
              <w:rPr>
                <w:rFonts w:ascii="Arial" w:cs="Arial" w:eastAsia="Arial" w:hAnsi="Arial"/>
                <w:sz w:val="16"/>
                <w:szCs w:val="16"/>
                <w:color w:val="auto"/>
              </w:rPr>
              <w:t>stock</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9"/>
              </w:rPr>
              <w:t>Stock</w:t>
            </w:r>
          </w:p>
        </w:tc>
        <w:tc>
          <w:tcPr>
            <w:tcW w:w="940" w:type="dxa"/>
            <w:vAlign w:val="bottom"/>
            <w:vMerge w:val="restart"/>
          </w:tcPr>
          <w:p>
            <w:pPr>
              <w:jc w:val="center"/>
              <w:ind w:right="59"/>
              <w:spacing w:after="0"/>
              <w:rPr>
                <w:sz w:val="20"/>
                <w:szCs w:val="20"/>
                <w:color w:val="auto"/>
              </w:rPr>
            </w:pPr>
            <w:r>
              <w:rPr>
                <w:rFonts w:ascii="Arial" w:cs="Arial" w:eastAsia="Arial" w:hAnsi="Arial"/>
                <w:sz w:val="16"/>
                <w:szCs w:val="16"/>
                <w:color w:val="auto"/>
                <w:w w:val="99"/>
              </w:rPr>
              <w:t>Stock</w:t>
            </w:r>
          </w:p>
        </w:tc>
        <w:tc>
          <w:tcPr>
            <w:tcW w:w="1040" w:type="dxa"/>
            <w:vAlign w:val="bottom"/>
            <w:vMerge w:val="restart"/>
          </w:tcPr>
          <w:p>
            <w:pPr>
              <w:jc w:val="right"/>
              <w:ind w:right="299"/>
              <w:spacing w:after="0"/>
              <w:rPr>
                <w:sz w:val="20"/>
                <w:szCs w:val="20"/>
                <w:color w:val="auto"/>
              </w:rPr>
            </w:pPr>
            <w:r>
              <w:rPr>
                <w:rFonts w:ascii="Arial" w:cs="Arial" w:eastAsia="Arial" w:hAnsi="Arial"/>
                <w:sz w:val="16"/>
                <w:szCs w:val="16"/>
                <w:color w:val="auto"/>
              </w:rPr>
              <w:t>capital</w:t>
            </w:r>
          </w:p>
        </w:tc>
        <w:tc>
          <w:tcPr>
            <w:tcW w:w="10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20" w:type="dxa"/>
            <w:vAlign w:val="bottom"/>
            <w:vMerge w:val="restart"/>
          </w:tcPr>
          <w:p>
            <w:pPr>
              <w:jc w:val="right"/>
              <w:ind w:right="19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00"/>
        </w:trPr>
        <w:tc>
          <w:tcPr>
            <w:tcW w:w="39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440" w:type="dxa"/>
            <w:vAlign w:val="bottom"/>
            <w:vMerge w:val="restart"/>
          </w:tcPr>
          <w:p>
            <w:pPr>
              <w:jc w:val="center"/>
              <w:ind w:right="139"/>
              <w:spacing w:after="0"/>
              <w:rPr>
                <w:sz w:val="20"/>
                <w:szCs w:val="20"/>
                <w:color w:val="auto"/>
              </w:rPr>
            </w:pPr>
            <w:r>
              <w:rPr>
                <w:rFonts w:ascii="Arial" w:cs="Arial" w:eastAsia="Arial" w:hAnsi="Arial"/>
                <w:sz w:val="16"/>
                <w:szCs w:val="16"/>
                <w:color w:val="auto"/>
              </w:rPr>
              <w:t>income</w:t>
            </w:r>
          </w:p>
        </w:tc>
        <w:tc>
          <w:tcPr>
            <w:tcW w:w="1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9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rPr>
                <w:sz w:val="20"/>
                <w:szCs w:val="20"/>
                <w:color w:val="auto"/>
              </w:rPr>
            </w:pPr>
            <w:r>
              <w:rPr>
                <w:rFonts w:ascii="Arial" w:cs="Arial" w:eastAsia="Arial" w:hAnsi="Arial"/>
                <w:sz w:val="16"/>
                <w:szCs w:val="16"/>
                <w:color w:val="auto"/>
              </w:rPr>
              <w:t>December 31, 2011</w:t>
            </w: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$391,495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$422,044</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($139,809)</w:t>
            </w:r>
          </w:p>
        </w:tc>
        <w:tc>
          <w:tcPr>
            <w:tcW w:w="1100" w:type="dxa"/>
            <w:vAlign w:val="bottom"/>
          </w:tcPr>
          <w:p>
            <w:pPr>
              <w:jc w:val="right"/>
              <w:spacing w:after="0"/>
              <w:rPr>
                <w:sz w:val="20"/>
                <w:szCs w:val="20"/>
                <w:color w:val="auto"/>
              </w:rPr>
            </w:pPr>
            <w:r>
              <w:rPr>
                <w:rFonts w:ascii="Arial" w:cs="Arial" w:eastAsia="Arial" w:hAnsi="Arial"/>
                <w:sz w:val="16"/>
                <w:szCs w:val="16"/>
                <w:color w:val="auto"/>
              </w:rPr>
              <w:t>($257,920)</w:t>
            </w:r>
          </w:p>
        </w:tc>
        <w:tc>
          <w:tcPr>
            <w:tcW w:w="1020" w:type="dxa"/>
            <w:vAlign w:val="bottom"/>
          </w:tcPr>
          <w:p>
            <w:pPr>
              <w:jc w:val="right"/>
              <w:spacing w:after="0"/>
              <w:rPr>
                <w:sz w:val="20"/>
                <w:szCs w:val="20"/>
                <w:color w:val="auto"/>
              </w:rPr>
            </w:pPr>
            <w:r>
              <w:rPr>
                <w:rFonts w:ascii="Arial" w:cs="Arial" w:eastAsia="Arial" w:hAnsi="Arial"/>
                <w:sz w:val="16"/>
                <w:szCs w:val="16"/>
                <w:color w:val="auto"/>
              </w:rPr>
              <w:t>$415,850</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13,296</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13,296</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Dividends declared</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(8,460)</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(8,460)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Compensation and benefits paid or payable in Class</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412</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256</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100"/>
        </w:trPr>
        <w:tc>
          <w:tcPr>
            <w:tcW w:w="3900" w:type="dxa"/>
            <w:vAlign w:val="bottom"/>
            <w:vMerge w:val="restart"/>
          </w:tcPr>
          <w:p>
            <w:pPr>
              <w:spacing w:after="0"/>
              <w:rPr>
                <w:sz w:val="20"/>
                <w:szCs w:val="20"/>
                <w:color w:val="auto"/>
              </w:rPr>
            </w:pPr>
            <w:r>
              <w:rPr>
                <w:rFonts w:ascii="Arial" w:cs="Arial" w:eastAsia="Arial" w:hAnsi="Arial"/>
                <w:sz w:val="16"/>
                <w:szCs w:val="16"/>
                <w:color w:val="auto"/>
              </w:rPr>
              <w:t>A Common Stock</w:t>
            </w:r>
          </w:p>
        </w:tc>
        <w:tc>
          <w:tcPr>
            <w:tcW w:w="9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9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Options exercised</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Cumulative translation adjustment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(7,222)</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(7,222)</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Pension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79,204</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79,204</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Pension plan remeasurement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(17,347)</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6"/>
                <w:szCs w:val="16"/>
                <w:color w:val="auto"/>
              </w:rPr>
              <w:t>Amortization of pension liability</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1,840</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201"/>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Change in derivative valuation adjustment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June 30, 2012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$392,187</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$426,880</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($83,739)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($257,664)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$477,704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15. Recent Accounting Pronouncements</w:t>
      </w:r>
    </w:p>
    <w:p>
      <w:pPr>
        <w:spacing w:after="0" w:line="200" w:lineRule="exact"/>
        <w:rPr>
          <w:sz w:val="20"/>
          <w:szCs w:val="20"/>
          <w:color w:val="auto"/>
        </w:rPr>
      </w:pP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May 2011, the Financial Accounting Standards Board (FASB) amended authoritative guidance related to common fair value measurements and disclosure requirements. This pronouncement was issued to provide a consistent definition of fair value and ensure that the fair value measurement and disclosure requirements are similar between U.S. GAAP and IFRS. This pronouncement changes certain fair value measurement principles and enhances the disclosure requirements, particularly for level 3 fair value measurements, and is effective for reporting periods beginning on or after December 15, 2011. This pronouncement was adopted effective January 1, 2012 and did not have a material effect on our financial statements.</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June and December 2011, the FASB issued guidance that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This guidance was adopted effective January 1, 2012 and concerns presentation and disclosure only and did not have a material impact on our financial statements.</w:t>
      </w:r>
    </w:p>
    <w:p>
      <w:pPr>
        <w:spacing w:after="0" w:line="19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September 2011, the FASB issued guidance intended to reduce the cost and complexity of the annual goodwill impairment test by providing entities an option to perform a “qualitative” assessment to determine whether further impairment testing is necessary. This pronouncement is effective for annual and interim goodwill impairment tests performed for fiscal years beginning after December 15, 2011. The adoption of this guidance did not have a material effect on our financial statements.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16"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“project,” “will,” “should” and similar expressions identify forward-looking statements, which generally are not historical in nature. Forward-looking statements are subject to certain risks and uncertainties (including, without limitation, those set forth in the Company’s most recent Annual Report on Form 10-K or Quarterly report on Form 10-Q) that could cause actual results to differ materially from the Company’s historical experience and our present expectations or projections.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Forward-looking statements in this quarterly report include, without limitation, statements about future economic and paper industry conditions; sales, EBITDA, Adjusted EBITDA and operating income expectations during the next several quarters in each of the Company’s businesses, the timing and impact of certain production and development programs in the Company’s AEC business segment; the amount and timing of capital expenditures, future tax rates and cash paid for taxes, depreciation and amortization, future debt levels and debt covenant ratios, future revaluation gains and losses, balance sheet and income statement impact of the proposed pension settlement plans, and future levels of EBITDA. Furthermore, a change in any one or more of the foregoing factors could have a material effect on the Company’s financial results in any period. Such statements are based on current expectations, and the Company undertakes no obligation to publicly update or revise any forward-looking statements.</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Statements expressing management’s assessments of the growth potential of its businesses, or referring to earlier assessments of such potential, are not intended as forecasts of actual future growth, and should not be relied on as such. While management believes such assessments to have a reasonable basis, such assessments are, by their nature, inherently uncertain. This quarterly report and earlier reports set forth a number of assumptions regarding these assessments, including historical results, independent forecasts regarding the markets in which these businesses operate, and the timing and magnitude of orders for our customers’ products. Historical growth rates are no guarantee of future growth, and such independent forecasts and assumptions could prove materially incorrect, in some cases.</w:t>
      </w:r>
    </w:p>
    <w:p>
      <w:pPr>
        <w:spacing w:after="0" w:line="17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“Trends,” “Liquidity,” “Outlook,” and “Legal Proceedings” sections of this quarterly report,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16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16"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0"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the results of operations and financial condition of the Company. The MD&amp;A is provided as a supplement to, and should be read in conjunction with, our Consolidated Financial Statements and the accompanying Notes. In addition, the results of operations below reflect a previously reported segment reclassification, as described in Note 1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8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MC is the Company’s long-established core business and primary generator of cash. While the paper industry in our traditional geographic markets has suffered from well-documented overcapacity in the publication grades, especially newsprint, the industry is still expected to grow on a global basis, driven by demand for packaging and tissue grades, as well as the expansion of paper consumption and production in Asia and South America. Although we no longer consider the MC industry as having significant growth potential, our MC business has significant prospects for long-term cash-generation. We feel we are now well-positioned in this industry, with high-quality, low-cost production in growth markets, substantially lower fixed costs in mature markets, and continued strength in new product development and field services. We seek to maintain the cash-generating potential of this business by maintaining the low costs that we achieved through restructuring and performance improvement, and competing vigorously by using our differentiated products and services to reduce our customers’ total cost of operation and improve their paper quality.</w:t>
      </w:r>
    </w:p>
    <w:p>
      <w:pPr>
        <w:spacing w:after="0" w:line="1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supplies a number of customers in the aerospace industry. AEC’s most significant aerospace customer is the SAFRAN Group, for whom we make braces for the Boeing 787-8 main landing gear, outer guide vanes for the CFM-56 engine, and fan blades and other components for the LEAP engine. AEC is also developing other new and potentially significant composite products for aerospace (engine and airframe) applications.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80" w:type="dxa"/>
            <w:vAlign w:val="bottom"/>
          </w:tcPr>
          <w:p>
            <w:pPr>
              <w:spacing w:after="0"/>
              <w:rPr>
                <w:sz w:val="18"/>
                <w:szCs w:val="18"/>
                <w:color w:val="auto"/>
              </w:rPr>
            </w:pPr>
          </w:p>
        </w:tc>
        <w:tc>
          <w:tcPr>
            <w:tcW w:w="3180" w:type="dxa"/>
            <w:vAlign w:val="bottom"/>
            <w:gridSpan w:val="2"/>
          </w:tcPr>
          <w:p>
            <w:pPr>
              <w:jc w:val="right"/>
              <w:ind w:right="550"/>
              <w:spacing w:after="0"/>
              <w:rPr>
                <w:sz w:val="20"/>
                <w:szCs w:val="20"/>
                <w:color w:val="auto"/>
              </w:rPr>
            </w:pPr>
            <w:r>
              <w:rPr>
                <w:rFonts w:ascii="Arial" w:cs="Arial" w:eastAsia="Arial" w:hAnsi="Arial"/>
                <w:sz w:val="18"/>
                <w:szCs w:val="18"/>
                <w:color w:val="auto"/>
              </w:rPr>
              <w:t>Three months ended</w:t>
            </w:r>
          </w:p>
        </w:tc>
        <w:tc>
          <w:tcPr>
            <w:tcW w:w="1480" w:type="dxa"/>
            <w:vAlign w:val="bottom"/>
          </w:tcPr>
          <w:p>
            <w:pPr>
              <w:spacing w:after="0"/>
              <w:rPr>
                <w:sz w:val="18"/>
                <w:szCs w:val="18"/>
                <w:color w:val="auto"/>
              </w:rPr>
            </w:pPr>
          </w:p>
        </w:tc>
        <w:tc>
          <w:tcPr>
            <w:tcW w:w="2740" w:type="dxa"/>
            <w:vAlign w:val="bottom"/>
            <w:gridSpan w:val="2"/>
          </w:tcPr>
          <w:p>
            <w:pPr>
              <w:jc w:val="right"/>
              <w:ind w:right="650"/>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18"/>
                <w:szCs w:val="18"/>
                <w:color w:val="auto"/>
              </w:rPr>
            </w:pPr>
          </w:p>
        </w:tc>
      </w:tr>
      <w:tr>
        <w:trPr>
          <w:trHeight w:val="207"/>
        </w:trPr>
        <w:tc>
          <w:tcPr>
            <w:tcW w:w="2880" w:type="dxa"/>
            <w:vAlign w:val="bottom"/>
          </w:tcPr>
          <w:p>
            <w:pPr>
              <w:spacing w:after="0"/>
              <w:rPr>
                <w:sz w:val="17"/>
                <w:szCs w:val="17"/>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c>
          <w:tcPr>
            <w:tcW w:w="14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7"/>
                <w:szCs w:val="17"/>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225"/>
        </w:trPr>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Change</w:t>
            </w: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r>
      <w:tr>
        <w:trPr>
          <w:trHeight w:val="250"/>
        </w:trPr>
        <w:tc>
          <w:tcPr>
            <w:tcW w:w="2880" w:type="dxa"/>
            <w:vAlign w:val="bottom"/>
          </w:tcPr>
          <w:p>
            <w:pPr>
              <w:ind w:left="100"/>
              <w:spacing w:after="0"/>
              <w:rPr>
                <w:sz w:val="20"/>
                <w:szCs w:val="20"/>
                <w:color w:val="auto"/>
              </w:rPr>
            </w:pPr>
            <w:r>
              <w:rPr>
                <w:rFonts w:ascii="Arial" w:cs="Arial" w:eastAsia="Arial" w:hAnsi="Arial"/>
                <w:sz w:val="18"/>
                <w:szCs w:val="18"/>
                <w:color w:val="auto"/>
              </w:rPr>
              <w:t>Machine Clothing</w:t>
            </w:r>
          </w:p>
        </w:tc>
        <w:tc>
          <w:tcPr>
            <w:tcW w:w="2140" w:type="dxa"/>
            <w:vAlign w:val="bottom"/>
          </w:tcPr>
          <w:p>
            <w:pPr>
              <w:jc w:val="right"/>
              <w:ind w:right="450"/>
              <w:spacing w:after="0"/>
              <w:rPr>
                <w:sz w:val="20"/>
                <w:szCs w:val="20"/>
                <w:color w:val="auto"/>
              </w:rPr>
            </w:pPr>
            <w:r>
              <w:rPr>
                <w:rFonts w:ascii="Arial" w:cs="Arial" w:eastAsia="Arial" w:hAnsi="Arial"/>
                <w:sz w:val="18"/>
                <w:szCs w:val="18"/>
                <w:b w:val="1"/>
                <w:bCs w:val="1"/>
                <w:color w:val="auto"/>
              </w:rPr>
              <w:t>$177,122</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$179,177</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1700" w:type="dxa"/>
            <w:vAlign w:val="bottom"/>
          </w:tcPr>
          <w:p>
            <w:pPr>
              <w:jc w:val="right"/>
              <w:ind w:right="430"/>
              <w:spacing w:after="0"/>
              <w:rPr>
                <w:sz w:val="20"/>
                <w:szCs w:val="20"/>
                <w:color w:val="auto"/>
              </w:rPr>
            </w:pPr>
            <w:r>
              <w:rPr>
                <w:rFonts w:ascii="Arial" w:cs="Arial" w:eastAsia="Arial" w:hAnsi="Arial"/>
                <w:sz w:val="18"/>
                <w:szCs w:val="18"/>
                <w:b w:val="1"/>
                <w:bCs w:val="1"/>
                <w:color w:val="auto"/>
              </w:rPr>
              <w:t>$341,410</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$367,659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30"/>
        </w:trPr>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Engineered Composites</w:t>
            </w: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14,818</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10,504</w:t>
            </w: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41.1%</w:t>
            </w: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30,607</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21,976</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r>
      <w:tr>
        <w:trPr>
          <w:trHeight w:val="196"/>
        </w:trPr>
        <w:tc>
          <w:tcPr>
            <w:tcW w:w="28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$191,940</w:t>
            </w:r>
          </w:p>
        </w:tc>
        <w:tc>
          <w:tcPr>
            <w:tcW w:w="10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$189,681</w:t>
            </w:r>
          </w:p>
        </w:tc>
        <w:tc>
          <w:tcPr>
            <w:tcW w:w="14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1.2%</w:t>
            </w:r>
          </w:p>
        </w:tc>
        <w:tc>
          <w:tcPr>
            <w:tcW w:w="17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$372,017</w:t>
            </w:r>
          </w:p>
        </w:tc>
        <w:tc>
          <w:tcPr>
            <w:tcW w:w="10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$389,635</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the effect of decreasing net sales by $2.6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Excluding the effect of changes in currency translation rates, 2012 net sales increased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40"/>
        <w:spacing w:after="0" w:line="234" w:lineRule="auto"/>
        <w:rPr>
          <w:sz w:val="20"/>
          <w:szCs w:val="20"/>
          <w:color w:val="auto"/>
        </w:rPr>
      </w:pPr>
      <w:r>
        <w:rPr>
          <w:rFonts w:ascii="Arial" w:cs="Arial" w:eastAsia="Arial" w:hAnsi="Arial"/>
          <w:sz w:val="18"/>
          <w:szCs w:val="18"/>
          <w:color w:val="auto"/>
        </w:rPr>
        <w:t>For Machine Clothing, strong sales in the Americas and Asia contributed to higher sales in Q2, despite continued weakness in Western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-216535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Another strong quarter of sales in Engineered Composites led to operating income above breakeven.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the effect of decreasing net sales by $4.2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Excluding the effect of changes in currency translation rates, 2012 net sales decreased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For Machine clothing, an especially weak Q1 led to lower six-month performance, despite improvement in 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40"/>
        <w:spacing w:after="0" w:line="246" w:lineRule="auto"/>
        <w:rPr>
          <w:sz w:val="20"/>
          <w:szCs w:val="20"/>
          <w:color w:val="auto"/>
        </w:rPr>
      </w:pPr>
      <w:r>
        <w:rPr>
          <w:rFonts w:ascii="Arial" w:cs="Arial" w:eastAsia="Arial" w:hAnsi="Arial"/>
          <w:sz w:val="18"/>
          <w:szCs w:val="18"/>
          <w:color w:val="auto"/>
        </w:rPr>
        <w:t>Continued progress in managing the growth opportunities in LEAP and other programs led to a Year-to-date sales increase of 39.3% at AEC.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-229235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Gross Profit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gridSpan w:val="2"/>
          </w:tcPr>
          <w:p>
            <w:pPr>
              <w:jc w:val="right"/>
              <w:ind w:right="1090"/>
              <w:spacing w:after="0"/>
              <w:rPr>
                <w:sz w:val="20"/>
                <w:szCs w:val="20"/>
                <w:color w:val="auto"/>
              </w:rPr>
            </w:pPr>
            <w:r>
              <w:rPr>
                <w:rFonts w:ascii="Arial" w:cs="Arial" w:eastAsia="Arial" w:hAnsi="Arial"/>
                <w:sz w:val="18"/>
                <w:szCs w:val="18"/>
                <w:color w:val="auto"/>
              </w:rPr>
              <w:t>Three months ended</w:t>
            </w:r>
          </w:p>
        </w:tc>
        <w:tc>
          <w:tcPr>
            <w:tcW w:w="3220" w:type="dxa"/>
            <w:vAlign w:val="bottom"/>
            <w:tcBorders>
              <w:top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181"/>
        </w:trPr>
        <w:tc>
          <w:tcPr>
            <w:tcW w:w="3580" w:type="dxa"/>
            <w:vAlign w:val="bottom"/>
          </w:tcPr>
          <w:p>
            <w:pPr>
              <w:spacing w:after="0"/>
              <w:rPr>
                <w:sz w:val="15"/>
                <w:szCs w:val="15"/>
                <w:color w:val="auto"/>
              </w:rPr>
            </w:pPr>
          </w:p>
        </w:tc>
        <w:tc>
          <w:tcPr>
            <w:tcW w:w="31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June 30,</w:t>
            </w:r>
          </w:p>
        </w:tc>
        <w:tc>
          <w:tcPr>
            <w:tcW w:w="1500" w:type="dxa"/>
            <w:vAlign w:val="bottom"/>
          </w:tcPr>
          <w:p>
            <w:pPr>
              <w:spacing w:after="0"/>
              <w:rPr>
                <w:sz w:val="15"/>
                <w:szCs w:val="15"/>
                <w:color w:val="auto"/>
              </w:rPr>
            </w:pPr>
          </w:p>
        </w:tc>
        <w:tc>
          <w:tcPr>
            <w:tcW w:w="21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5"/>
                <w:szCs w:val="15"/>
                <w:color w:val="auto"/>
              </w:rPr>
            </w:pPr>
          </w:p>
        </w:tc>
      </w:tr>
      <w:tr>
        <w:trPr>
          <w:trHeight w:val="225"/>
        </w:trPr>
        <w:tc>
          <w:tcPr>
            <w:tcW w:w="3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31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2012</w:t>
            </w: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2011</w:t>
            </w:r>
          </w:p>
        </w:tc>
        <w:tc>
          <w:tcPr>
            <w:tcW w:w="21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2011</w:t>
            </w:r>
          </w:p>
        </w:tc>
      </w:tr>
      <w:tr>
        <w:trPr>
          <w:trHeight w:val="173"/>
        </w:trPr>
        <w:tc>
          <w:tcPr>
            <w:tcW w:w="35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120" w:type="dxa"/>
            <w:vAlign w:val="bottom"/>
          </w:tcPr>
          <w:p>
            <w:pPr>
              <w:jc w:val="right"/>
              <w:ind w:right="810"/>
              <w:spacing w:after="0" w:line="173" w:lineRule="exact"/>
              <w:rPr>
                <w:sz w:val="20"/>
                <w:szCs w:val="20"/>
                <w:color w:val="auto"/>
              </w:rPr>
            </w:pPr>
            <w:r>
              <w:rPr>
                <w:rFonts w:ascii="Arial" w:cs="Arial" w:eastAsia="Arial" w:hAnsi="Arial"/>
                <w:sz w:val="18"/>
                <w:szCs w:val="18"/>
                <w:b w:val="1"/>
                <w:bCs w:val="1"/>
                <w:color w:val="auto"/>
              </w:rPr>
              <w:t>$78,245</w:t>
            </w:r>
          </w:p>
        </w:tc>
        <w:tc>
          <w:tcPr>
            <w:tcW w:w="1500" w:type="dxa"/>
            <w:vAlign w:val="bottom"/>
          </w:tcPr>
          <w:p>
            <w:pPr>
              <w:jc w:val="right"/>
              <w:ind w:right="590"/>
              <w:spacing w:after="0" w:line="173" w:lineRule="exact"/>
              <w:rPr>
                <w:sz w:val="20"/>
                <w:szCs w:val="20"/>
                <w:color w:val="auto"/>
              </w:rPr>
            </w:pPr>
            <w:r>
              <w:rPr>
                <w:rFonts w:ascii="Arial" w:cs="Arial" w:eastAsia="Arial" w:hAnsi="Arial"/>
                <w:sz w:val="18"/>
                <w:szCs w:val="18"/>
                <w:color w:val="auto"/>
              </w:rPr>
              <w:t>$74,953</w:t>
            </w:r>
          </w:p>
        </w:tc>
        <w:tc>
          <w:tcPr>
            <w:tcW w:w="218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$146,243</w:t>
            </w:r>
          </w:p>
        </w:tc>
        <w:tc>
          <w:tcPr>
            <w:tcW w:w="1040" w:type="dxa"/>
            <w:vAlign w:val="bottom"/>
          </w:tcPr>
          <w:p>
            <w:pPr>
              <w:jc w:val="right"/>
              <w:ind w:right="50"/>
              <w:spacing w:after="0" w:line="173" w:lineRule="exact"/>
              <w:rPr>
                <w:sz w:val="20"/>
                <w:szCs w:val="20"/>
                <w:color w:val="auto"/>
              </w:rPr>
            </w:pPr>
            <w:r>
              <w:rPr>
                <w:rFonts w:ascii="Arial" w:cs="Arial" w:eastAsia="Arial" w:hAnsi="Arial"/>
                <w:sz w:val="18"/>
                <w:szCs w:val="18"/>
                <w:color w:val="auto"/>
              </w:rPr>
              <w:t>$161,490</w:t>
            </w:r>
          </w:p>
        </w:tc>
      </w:tr>
      <w:tr>
        <w:trPr>
          <w:trHeight w:val="203"/>
        </w:trPr>
        <w:tc>
          <w:tcPr>
            <w:tcW w:w="358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31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1,311</w:t>
            </w:r>
          </w:p>
        </w:tc>
        <w:tc>
          <w:tcPr>
            <w:tcW w:w="150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155</w:t>
            </w:r>
          </w:p>
        </w:tc>
        <w:tc>
          <w:tcPr>
            <w:tcW w:w="218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2,704</w:t>
            </w: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136</w:t>
            </w:r>
          </w:p>
        </w:tc>
      </w:tr>
      <w:tr>
        <w:trPr>
          <w:trHeight w:val="225"/>
        </w:trPr>
        <w:tc>
          <w:tcPr>
            <w:tcW w:w="3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31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(1,056)</w:t>
            </w: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(1,168)</w:t>
            </w:r>
          </w:p>
        </w:tc>
        <w:tc>
          <w:tcPr>
            <w:tcW w:w="21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(2,161)</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(2,498)</w:t>
            </w:r>
          </w:p>
        </w:tc>
      </w:tr>
      <w:tr>
        <w:trPr>
          <w:trHeight w:val="196"/>
        </w:trPr>
        <w:tc>
          <w:tcPr>
            <w:tcW w:w="3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12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$78,500</w:t>
            </w:r>
          </w:p>
        </w:tc>
        <w:tc>
          <w:tcPr>
            <w:tcW w:w="15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$73,940</w:t>
            </w:r>
          </w:p>
        </w:tc>
        <w:tc>
          <w:tcPr>
            <w:tcW w:w="218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$146,786</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$159,128</w:t>
            </w:r>
          </w:p>
        </w:tc>
      </w:tr>
      <w:tr>
        <w:trPr>
          <w:trHeight w:val="196"/>
        </w:trPr>
        <w:tc>
          <w:tcPr>
            <w:tcW w:w="3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312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40.9%</w:t>
            </w:r>
          </w:p>
        </w:tc>
        <w:tc>
          <w:tcPr>
            <w:tcW w:w="15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39.0%</w:t>
            </w:r>
          </w:p>
        </w:tc>
        <w:tc>
          <w:tcPr>
            <w:tcW w:w="218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39.5%</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40.8%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during 2012 was principally due to the net effect of the following:</w:t>
      </w:r>
    </w:p>
    <w:p>
      <w:pPr>
        <w:spacing w:after="0" w:line="185" w:lineRule="exact"/>
        <w:rPr>
          <w:sz w:val="20"/>
          <w:szCs w:val="20"/>
          <w:color w:val="auto"/>
        </w:rPr>
      </w:pPr>
    </w:p>
    <w:p>
      <w:pPr>
        <w:ind w:left="540" w:right="160"/>
        <w:spacing w:after="0" w:line="234" w:lineRule="auto"/>
        <w:rPr>
          <w:sz w:val="20"/>
          <w:szCs w:val="20"/>
          <w:color w:val="auto"/>
        </w:rPr>
      </w:pPr>
      <w:r>
        <w:rPr>
          <w:rFonts w:ascii="Arial" w:cs="Arial" w:eastAsia="Arial" w:hAnsi="Arial"/>
          <w:sz w:val="18"/>
          <w:szCs w:val="18"/>
          <w:color w:val="auto"/>
        </w:rPr>
        <w:t>Gross profit margins in MC increased from 41.8 percent in 2011 to 44.2 percent in 2012, driven by high plant utilization in the Americas and 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-216535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Higher sales in AEC and improved pricing in certain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decrease in gross profit during 2012 was principally due to lower net sales and plant utilization in MC during Q1 2012. Q1 2011 gross profit was increased by unusually high production levels due to inventory restocking in MC.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Three months ended</w:t>
            </w:r>
          </w:p>
        </w:tc>
        <w:tc>
          <w:tcPr>
            <w:tcW w:w="3200" w:type="dxa"/>
            <w:vAlign w:val="bottom"/>
            <w:tcBorders>
              <w:top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181"/>
        </w:trPr>
        <w:tc>
          <w:tcPr>
            <w:tcW w:w="36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0" w:type="dxa"/>
            <w:vAlign w:val="bottom"/>
          </w:tcPr>
          <w:p>
            <w:pPr>
              <w:jc w:val="right"/>
              <w:ind w:right="1270"/>
              <w:spacing w:after="0" w:line="181" w:lineRule="exact"/>
              <w:rPr>
                <w:sz w:val="20"/>
                <w:szCs w:val="20"/>
                <w:color w:val="auto"/>
              </w:rPr>
            </w:pPr>
            <w:r>
              <w:rPr>
                <w:rFonts w:ascii="Arial" w:cs="Arial" w:eastAsia="Arial" w:hAnsi="Arial"/>
                <w:sz w:val="18"/>
                <w:szCs w:val="18"/>
                <w:color w:val="auto"/>
              </w:rPr>
              <w:t>June 30,</w:t>
            </w:r>
          </w:p>
        </w:tc>
        <w:tc>
          <w:tcPr>
            <w:tcW w:w="21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June 30,</w:t>
            </w:r>
          </w:p>
        </w:tc>
        <w:tc>
          <w:tcPr>
            <w:tcW w:w="1020" w:type="dxa"/>
            <w:vAlign w:val="bottom"/>
          </w:tcPr>
          <w:p>
            <w:pPr>
              <w:spacing w:after="0"/>
              <w:rPr>
                <w:sz w:val="15"/>
                <w:szCs w:val="15"/>
                <w:color w:val="auto"/>
              </w:rPr>
            </w:pPr>
          </w:p>
        </w:tc>
      </w:tr>
      <w:tr>
        <w:trPr>
          <w:trHeight w:val="225"/>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2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2011</w:t>
            </w:r>
          </w:p>
        </w:tc>
        <w:tc>
          <w:tcPr>
            <w:tcW w:w="21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r>
      <w:tr>
        <w:trPr>
          <w:trHeight w:val="173"/>
        </w:trPr>
        <w:tc>
          <w:tcPr>
            <w:tcW w:w="362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24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$30,345</w:t>
            </w:r>
          </w:p>
        </w:tc>
        <w:tc>
          <w:tcPr>
            <w:tcW w:w="2200" w:type="dxa"/>
            <w:vAlign w:val="bottom"/>
          </w:tcPr>
          <w:p>
            <w:pPr>
              <w:jc w:val="right"/>
              <w:ind w:right="570"/>
              <w:spacing w:after="0" w:line="173" w:lineRule="exact"/>
              <w:rPr>
                <w:sz w:val="20"/>
                <w:szCs w:val="20"/>
                <w:color w:val="auto"/>
              </w:rPr>
            </w:pPr>
            <w:r>
              <w:rPr>
                <w:rFonts w:ascii="Arial" w:cs="Arial" w:eastAsia="Arial" w:hAnsi="Arial"/>
                <w:sz w:val="18"/>
                <w:szCs w:val="18"/>
                <w:color w:val="auto"/>
              </w:rPr>
              <w:t>$36,672</w:t>
            </w:r>
          </w:p>
        </w:tc>
        <w:tc>
          <w:tcPr>
            <w:tcW w:w="218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$66,825</w:t>
            </w:r>
          </w:p>
        </w:tc>
        <w:tc>
          <w:tcPr>
            <w:tcW w:w="10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$72,905</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24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1,680</w:t>
            </w:r>
          </w:p>
        </w:tc>
        <w:tc>
          <w:tcPr>
            <w:tcW w:w="22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1,255</w:t>
            </w:r>
          </w:p>
        </w:tc>
        <w:tc>
          <w:tcPr>
            <w:tcW w:w="21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3,044</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2,266</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Research</w:t>
            </w:r>
          </w:p>
        </w:tc>
        <w:tc>
          <w:tcPr>
            <w:tcW w:w="24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7,253</w:t>
            </w:r>
          </w:p>
        </w:tc>
        <w:tc>
          <w:tcPr>
            <w:tcW w:w="22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7,212</w:t>
            </w:r>
          </w:p>
        </w:tc>
        <w:tc>
          <w:tcPr>
            <w:tcW w:w="21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13,318</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14,377</w:t>
            </w:r>
          </w:p>
        </w:tc>
      </w:tr>
      <w:tr>
        <w:trPr>
          <w:trHeight w:val="225"/>
        </w:trPr>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2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11,514</w:t>
            </w:r>
          </w:p>
        </w:tc>
        <w:tc>
          <w:tcPr>
            <w:tcW w:w="2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14,590</w:t>
            </w:r>
          </w:p>
        </w:tc>
        <w:tc>
          <w:tcPr>
            <w:tcW w:w="21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27,367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30,261</w:t>
            </w:r>
          </w:p>
        </w:tc>
      </w:tr>
      <w:tr>
        <w:trPr>
          <w:trHeight w:val="196"/>
        </w:trPr>
        <w:tc>
          <w:tcPr>
            <w:tcW w:w="36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$50,792</w:t>
            </w:r>
          </w:p>
        </w:tc>
        <w:tc>
          <w:tcPr>
            <w:tcW w:w="22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$59,729</w:t>
            </w:r>
          </w:p>
        </w:tc>
        <w:tc>
          <w:tcPr>
            <w:tcW w:w="218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$110,554</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$119,809</w:t>
            </w:r>
          </w:p>
        </w:tc>
      </w:tr>
      <w:tr>
        <w:trPr>
          <w:trHeight w:val="196"/>
        </w:trPr>
        <w:tc>
          <w:tcPr>
            <w:tcW w:w="36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24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26.5%</w:t>
            </w:r>
          </w:p>
        </w:tc>
        <w:tc>
          <w:tcPr>
            <w:tcW w:w="22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31.5%</w:t>
            </w:r>
          </w:p>
        </w:tc>
        <w:tc>
          <w:tcPr>
            <w:tcW w:w="218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29.7%</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30.7%</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STG&amp;R expenses were lower than 2011, principally due to the net effect of the following:</w:t>
      </w:r>
    </w:p>
    <w:p>
      <w:pPr>
        <w:spacing w:after="0" w:line="171" w:lineRule="exact"/>
        <w:rPr>
          <w:sz w:val="20"/>
          <w:szCs w:val="20"/>
          <w:color w:val="auto"/>
        </w:rPr>
      </w:pPr>
    </w:p>
    <w:p>
      <w:pPr>
        <w:ind w:left="540" w:right="280"/>
        <w:spacing w:after="0" w:line="234" w:lineRule="auto"/>
        <w:rPr>
          <w:sz w:val="20"/>
          <w:szCs w:val="20"/>
          <w:color w:val="auto"/>
        </w:rPr>
      </w:pPr>
      <w:r>
        <w:rPr>
          <w:rFonts w:ascii="Arial" w:cs="Arial" w:eastAsia="Arial" w:hAnsi="Arial"/>
          <w:sz w:val="18"/>
          <w:szCs w:val="18"/>
          <w:color w:val="auto"/>
        </w:rPr>
        <w:t>Revaluation of nonfunctional currency assets and liabilities resulted in a gain of $2.7 million in Q2 2012 as compared to a loss of $2.0 million in Q2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-216535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6" w:lineRule="auto"/>
        <w:rPr>
          <w:sz w:val="20"/>
          <w:szCs w:val="20"/>
          <w:color w:val="auto"/>
        </w:rPr>
      </w:pPr>
      <w:r>
        <w:rPr>
          <w:rFonts w:ascii="Arial" w:cs="Arial" w:eastAsia="Arial" w:hAnsi="Arial"/>
          <w:sz w:val="18"/>
          <w:szCs w:val="18"/>
          <w:color w:val="auto"/>
        </w:rPr>
        <w:t>Favorable adjustments to compensation and other accruals of $1.5 million in Q2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Expense reduction of $0.9 million due to pension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Machine Clothing expenses in Q2 2011 were reduced by a $0.6 million gain on the sale of a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Changes in currency translation rates decreased 2012 expense by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STG&amp;R expenses were lower than 2011, principally due to the net effect of the following:</w:t>
      </w:r>
    </w:p>
    <w:p>
      <w:pPr>
        <w:ind w:left="540"/>
        <w:spacing w:after="0" w:line="234" w:lineRule="auto"/>
        <w:rPr>
          <w:sz w:val="20"/>
          <w:szCs w:val="20"/>
          <w:color w:val="auto"/>
        </w:rPr>
      </w:pPr>
      <w:r>
        <w:rPr>
          <w:rFonts w:ascii="Arial" w:cs="Arial" w:eastAsia="Arial" w:hAnsi="Arial"/>
          <w:sz w:val="18"/>
          <w:szCs w:val="18"/>
          <w:color w:val="auto"/>
        </w:rPr>
        <w:t>Revaluation of nonfunctional currency assets and liabilities resulted in a gain of $0.9 million for 2012 and loss of $4.0 million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Machine Clothing expenses in 2011 were reduced by a $1.0 million gain on the sale of a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Changes in currency translation rates decreased 2012 expense by $3.9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Operating (loss)/Income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(loss)/income by business segment: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Three months ended</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Six months ended</w:t>
            </w: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181"/>
        </w:trPr>
        <w:tc>
          <w:tcPr>
            <w:tcW w:w="3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0" w:type="dxa"/>
            <w:vAlign w:val="bottom"/>
          </w:tcPr>
          <w:p>
            <w:pPr>
              <w:jc w:val="right"/>
              <w:ind w:right="490"/>
              <w:spacing w:after="0" w:line="181" w:lineRule="exact"/>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6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June 30,</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5"/>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2011</w:t>
            </w:r>
          </w:p>
        </w:tc>
        <w:tc>
          <w:tcPr>
            <w:tcW w:w="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173"/>
        </w:trPr>
        <w:tc>
          <w:tcPr>
            <w:tcW w:w="34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7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790"/>
              <w:spacing w:after="0" w:line="173" w:lineRule="exact"/>
              <w:rPr>
                <w:sz w:val="20"/>
                <w:szCs w:val="20"/>
                <w:color w:val="auto"/>
              </w:rPr>
            </w:pPr>
            <w:r>
              <w:rPr>
                <w:rFonts w:ascii="Arial" w:cs="Arial" w:eastAsia="Arial" w:hAnsi="Arial"/>
                <w:sz w:val="18"/>
                <w:szCs w:val="18"/>
                <w:b w:val="1"/>
                <w:bCs w:val="1"/>
                <w:color w:val="auto"/>
              </w:rPr>
              <w:t>44,997</w:t>
            </w:r>
          </w:p>
        </w:tc>
        <w:tc>
          <w:tcPr>
            <w:tcW w:w="200" w:type="dxa"/>
            <w:vAlign w:val="bottom"/>
          </w:tcPr>
          <w:p>
            <w:pPr>
              <w:jc w:val="right"/>
              <w:spacing w:after="0" w:line="173"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30"/>
              <w:spacing w:after="0" w:line="173" w:lineRule="exact"/>
              <w:rPr>
                <w:sz w:val="20"/>
                <w:szCs w:val="20"/>
                <w:color w:val="auto"/>
              </w:rPr>
            </w:pPr>
            <w:r>
              <w:rPr>
                <w:rFonts w:ascii="Arial" w:cs="Arial" w:eastAsia="Arial" w:hAnsi="Arial"/>
                <w:sz w:val="18"/>
                <w:szCs w:val="18"/>
                <w:color w:val="auto"/>
              </w:rPr>
              <w:t>37,709</w:t>
            </w:r>
          </w:p>
        </w:tc>
        <w:tc>
          <w:tcPr>
            <w:tcW w:w="6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75,842</w:t>
            </w:r>
          </w:p>
        </w:tc>
        <w:tc>
          <w:tcPr>
            <w:tcW w:w="260" w:type="dxa"/>
            <w:vAlign w:val="bottom"/>
          </w:tcPr>
          <w:p>
            <w:pPr>
              <w:jc w:val="right"/>
              <w:spacing w:after="0" w:line="17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3" w:lineRule="exact"/>
              <w:rPr>
                <w:sz w:val="20"/>
                <w:szCs w:val="20"/>
                <w:color w:val="auto"/>
              </w:rPr>
            </w:pPr>
            <w:r>
              <w:rPr>
                <w:rFonts w:ascii="Arial" w:cs="Arial" w:eastAsia="Arial" w:hAnsi="Arial"/>
                <w:sz w:val="18"/>
                <w:szCs w:val="18"/>
                <w:color w:val="auto"/>
              </w:rPr>
              <w:t>87,980</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1720" w:type="dxa"/>
            <w:vAlign w:val="bottom"/>
          </w:tcPr>
          <w:p>
            <w:pPr>
              <w:spacing w:after="0"/>
              <w:rPr>
                <w:sz w:val="17"/>
                <w:szCs w:val="17"/>
                <w:color w:val="auto"/>
              </w:rPr>
            </w:pPr>
          </w:p>
        </w:tc>
        <w:tc>
          <w:tcPr>
            <w:tcW w:w="1600" w:type="dxa"/>
            <w:vAlign w:val="bottom"/>
          </w:tcPr>
          <w:p>
            <w:pPr>
              <w:jc w:val="right"/>
              <w:ind w:right="730"/>
              <w:spacing w:after="0" w:line="202" w:lineRule="exact"/>
              <w:rPr>
                <w:sz w:val="20"/>
                <w:szCs w:val="20"/>
                <w:color w:val="auto"/>
              </w:rPr>
            </w:pPr>
            <w:r>
              <w:rPr>
                <w:rFonts w:ascii="Arial" w:cs="Arial" w:eastAsia="Arial" w:hAnsi="Arial"/>
                <w:sz w:val="18"/>
                <w:szCs w:val="18"/>
                <w:b w:val="1"/>
                <w:bCs w:val="1"/>
                <w:color w:val="auto"/>
              </w:rPr>
              <w:t>(369)</w:t>
            </w:r>
          </w:p>
        </w:tc>
        <w:tc>
          <w:tcPr>
            <w:tcW w:w="200" w:type="dxa"/>
            <w:vAlign w:val="bottom"/>
          </w:tcPr>
          <w:p>
            <w:pPr>
              <w:spacing w:after="0"/>
              <w:rPr>
                <w:sz w:val="17"/>
                <w:szCs w:val="17"/>
                <w:color w:val="auto"/>
              </w:rPr>
            </w:pPr>
          </w:p>
        </w:tc>
        <w:tc>
          <w:tcPr>
            <w:tcW w:w="12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(1,144)</w:t>
            </w:r>
          </w:p>
        </w:tc>
        <w:tc>
          <w:tcPr>
            <w:tcW w:w="680" w:type="dxa"/>
            <w:vAlign w:val="bottom"/>
          </w:tcPr>
          <w:p>
            <w:pPr>
              <w:spacing w:after="0"/>
              <w:rPr>
                <w:sz w:val="17"/>
                <w:szCs w:val="17"/>
                <w:color w:val="auto"/>
              </w:rPr>
            </w:pPr>
          </w:p>
        </w:tc>
        <w:tc>
          <w:tcPr>
            <w:tcW w:w="15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(340)</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(2,187)</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Research expense</w:t>
            </w:r>
          </w:p>
        </w:tc>
        <w:tc>
          <w:tcPr>
            <w:tcW w:w="1720" w:type="dxa"/>
            <w:vAlign w:val="bottom"/>
          </w:tcPr>
          <w:p>
            <w:pPr>
              <w:spacing w:after="0"/>
              <w:rPr>
                <w:sz w:val="17"/>
                <w:szCs w:val="17"/>
                <w:color w:val="auto"/>
              </w:rPr>
            </w:pPr>
          </w:p>
        </w:tc>
        <w:tc>
          <w:tcPr>
            <w:tcW w:w="1600" w:type="dxa"/>
            <w:vAlign w:val="bottom"/>
          </w:tcPr>
          <w:p>
            <w:pPr>
              <w:jc w:val="right"/>
              <w:ind w:right="730"/>
              <w:spacing w:after="0" w:line="202" w:lineRule="exact"/>
              <w:rPr>
                <w:sz w:val="20"/>
                <w:szCs w:val="20"/>
                <w:color w:val="auto"/>
              </w:rPr>
            </w:pPr>
            <w:r>
              <w:rPr>
                <w:rFonts w:ascii="Arial" w:cs="Arial" w:eastAsia="Arial" w:hAnsi="Arial"/>
                <w:sz w:val="18"/>
                <w:szCs w:val="18"/>
                <w:b w:val="1"/>
                <w:bCs w:val="1"/>
                <w:color w:val="auto"/>
              </w:rPr>
              <w:t>(7,253)</w:t>
            </w:r>
          </w:p>
        </w:tc>
        <w:tc>
          <w:tcPr>
            <w:tcW w:w="200" w:type="dxa"/>
            <w:vAlign w:val="bottom"/>
          </w:tcPr>
          <w:p>
            <w:pPr>
              <w:spacing w:after="0"/>
              <w:rPr>
                <w:sz w:val="17"/>
                <w:szCs w:val="17"/>
                <w:color w:val="auto"/>
              </w:rPr>
            </w:pPr>
          </w:p>
        </w:tc>
        <w:tc>
          <w:tcPr>
            <w:tcW w:w="12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(7,212)</w:t>
            </w:r>
          </w:p>
        </w:tc>
        <w:tc>
          <w:tcPr>
            <w:tcW w:w="680" w:type="dxa"/>
            <w:vAlign w:val="bottom"/>
          </w:tcPr>
          <w:p>
            <w:pPr>
              <w:spacing w:after="0"/>
              <w:rPr>
                <w:sz w:val="17"/>
                <w:szCs w:val="17"/>
                <w:color w:val="auto"/>
              </w:rPr>
            </w:pPr>
          </w:p>
        </w:tc>
        <w:tc>
          <w:tcPr>
            <w:tcW w:w="15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(13,318)</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(14,377)</w:t>
            </w:r>
          </w:p>
        </w:tc>
      </w:tr>
      <w:tr>
        <w:trPr>
          <w:trHeight w:val="225"/>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8"/>
              </w:rPr>
              <w:t>(123,379)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8"/>
              </w:rPr>
              <w:t>(16,873)</w:t>
            </w:r>
          </w:p>
        </w:tc>
        <w:tc>
          <w:tcPr>
            <w:tcW w:w="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8"/>
              </w:rPr>
              <w:t>(149,097)</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(33,862)</w:t>
            </w:r>
          </w:p>
        </w:tc>
      </w:tr>
      <w:tr>
        <w:trPr>
          <w:trHeight w:val="196"/>
        </w:trPr>
        <w:tc>
          <w:tcPr>
            <w:tcW w:w="3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(86,004)</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12,480</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(86,913)</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37,554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items discussed above affecting gross profit and STG&amp;R, operating loss in 2012 was increased by the following:</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Pension settlement charges of $110.6 million in Q2 2012 for US and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Q2 2012 results included restructuring charges of $3.2 million as compared to $1.7 for Q2 2011.</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items discussed above affecting gross profit and STG&amp;R, operating loss in 2012 was increased by the following:</w:t>
      </w:r>
    </w:p>
    <w:p>
      <w:pPr>
        <w:spacing w:after="0" w:line="19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Pension settlement charges of $119.8 million in 2012 for US, Canada, and Sweden.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2012 results included restructuring charges of $3.4 million as compared to $1.8 for 2011.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2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Six months ended</w:t>
            </w:r>
          </w:p>
        </w:tc>
        <w:tc>
          <w:tcPr>
            <w:tcW w:w="720" w:type="dxa"/>
            <w:vAlign w:val="bottom"/>
            <w:tcBorders>
              <w:top w:val="single" w:sz="8" w:color="auto"/>
            </w:tcBorders>
          </w:tcPr>
          <w:p>
            <w:pPr>
              <w:spacing w:after="0"/>
              <w:rPr>
                <w:sz w:val="18"/>
                <w:szCs w:val="18"/>
                <w:color w:val="auto"/>
              </w:rPr>
            </w:pPr>
          </w:p>
        </w:tc>
      </w:tr>
      <w:tr>
        <w:trPr>
          <w:trHeight w:val="181"/>
        </w:trPr>
        <w:tc>
          <w:tcPr>
            <w:tcW w:w="3660" w:type="dxa"/>
            <w:vAlign w:val="bottom"/>
          </w:tcPr>
          <w:p>
            <w:pPr>
              <w:spacing w:after="0"/>
              <w:rPr>
                <w:sz w:val="15"/>
                <w:szCs w:val="15"/>
                <w:color w:val="auto"/>
              </w:rPr>
            </w:pPr>
          </w:p>
        </w:tc>
        <w:tc>
          <w:tcPr>
            <w:tcW w:w="336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June 30,</w:t>
            </w:r>
          </w:p>
        </w:tc>
        <w:tc>
          <w:tcPr>
            <w:tcW w:w="1280" w:type="dxa"/>
            <w:vAlign w:val="bottom"/>
          </w:tcPr>
          <w:p>
            <w:pPr>
              <w:spacing w:after="0"/>
              <w:rPr>
                <w:sz w:val="15"/>
                <w:szCs w:val="15"/>
                <w:color w:val="auto"/>
              </w:rPr>
            </w:pPr>
          </w:p>
        </w:tc>
        <w:tc>
          <w:tcPr>
            <w:tcW w:w="240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June 30,</w:t>
            </w:r>
          </w:p>
        </w:tc>
        <w:tc>
          <w:tcPr>
            <w:tcW w:w="720" w:type="dxa"/>
            <w:vAlign w:val="bottom"/>
          </w:tcPr>
          <w:p>
            <w:pPr>
              <w:spacing w:after="0"/>
              <w:rPr>
                <w:sz w:val="15"/>
                <w:szCs w:val="15"/>
                <w:color w:val="auto"/>
              </w:rPr>
            </w:pPr>
          </w:p>
        </w:tc>
      </w:tr>
      <w:tr>
        <w:trPr>
          <w:trHeight w:val="225"/>
        </w:trPr>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33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2012</w:t>
            </w: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2011</w:t>
            </w:r>
          </w:p>
        </w:tc>
        <w:tc>
          <w:tcPr>
            <w:tcW w:w="240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2012</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r>
      <w:tr>
        <w:trPr>
          <w:trHeight w:val="173"/>
        </w:trPr>
        <w:tc>
          <w:tcPr>
            <w:tcW w:w="366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3360" w:type="dxa"/>
            <w:vAlign w:val="bottom"/>
          </w:tcPr>
          <w:p>
            <w:pPr>
              <w:jc w:val="right"/>
              <w:ind w:right="1070"/>
              <w:spacing w:after="0" w:line="173" w:lineRule="exact"/>
              <w:rPr>
                <w:sz w:val="20"/>
                <w:szCs w:val="20"/>
                <w:color w:val="auto"/>
              </w:rPr>
            </w:pPr>
            <w:r>
              <w:rPr>
                <w:rFonts w:ascii="Arial" w:cs="Arial" w:eastAsia="Arial" w:hAnsi="Arial"/>
                <w:sz w:val="18"/>
                <w:szCs w:val="18"/>
                <w:b w:val="1"/>
                <w:bCs w:val="1"/>
                <w:color w:val="auto"/>
              </w:rPr>
              <w:t>$2,903</w:t>
            </w:r>
          </w:p>
        </w:tc>
        <w:tc>
          <w:tcPr>
            <w:tcW w:w="1280" w:type="dxa"/>
            <w:vAlign w:val="bottom"/>
          </w:tcPr>
          <w:p>
            <w:pPr>
              <w:jc w:val="right"/>
              <w:ind w:right="650"/>
              <w:spacing w:after="0" w:line="173" w:lineRule="exact"/>
              <w:rPr>
                <w:sz w:val="20"/>
                <w:szCs w:val="20"/>
                <w:color w:val="auto"/>
              </w:rPr>
            </w:pPr>
            <w:r>
              <w:rPr>
                <w:rFonts w:ascii="Arial" w:cs="Arial" w:eastAsia="Arial" w:hAnsi="Arial"/>
                <w:sz w:val="18"/>
                <w:szCs w:val="18"/>
                <w:color w:val="auto"/>
              </w:rPr>
              <w:t>$572</w:t>
            </w:r>
          </w:p>
        </w:tc>
        <w:tc>
          <w:tcPr>
            <w:tcW w:w="2400" w:type="dxa"/>
            <w:vAlign w:val="bottom"/>
          </w:tcPr>
          <w:p>
            <w:pPr>
              <w:jc w:val="right"/>
              <w:ind w:right="1030"/>
              <w:spacing w:after="0" w:line="173" w:lineRule="exact"/>
              <w:rPr>
                <w:sz w:val="20"/>
                <w:szCs w:val="20"/>
                <w:color w:val="auto"/>
              </w:rPr>
            </w:pPr>
            <w:r>
              <w:rPr>
                <w:rFonts w:ascii="Arial" w:cs="Arial" w:eastAsia="Arial" w:hAnsi="Arial"/>
                <w:sz w:val="18"/>
                <w:szCs w:val="18"/>
                <w:b w:val="1"/>
                <w:bCs w:val="1"/>
                <w:color w:val="auto"/>
              </w:rPr>
              <w:t>$3,576</w:t>
            </w:r>
          </w:p>
        </w:tc>
        <w:tc>
          <w:tcPr>
            <w:tcW w:w="7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$605</w:t>
            </w: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3360" w:type="dxa"/>
            <w:vAlign w:val="bottom"/>
          </w:tcPr>
          <w:p>
            <w:pPr>
              <w:jc w:val="right"/>
              <w:ind w:right="107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44</w:t>
            </w:r>
          </w:p>
        </w:tc>
        <w:tc>
          <w:tcPr>
            <w:tcW w:w="2400" w:type="dxa"/>
            <w:vAlign w:val="bottom"/>
          </w:tcPr>
          <w:p>
            <w:pPr>
              <w:jc w:val="right"/>
              <w:ind w:right="99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w:t>
            </w:r>
          </w:p>
        </w:tc>
      </w:tr>
      <w:tr>
        <w:trPr>
          <w:trHeight w:val="225"/>
        </w:trPr>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33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249</w:t>
            </w: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1,115</w:t>
            </w:r>
          </w:p>
        </w:tc>
        <w:tc>
          <w:tcPr>
            <w:tcW w:w="2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(166)</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r>
      <w:tr>
        <w:trPr>
          <w:trHeight w:val="196"/>
        </w:trPr>
        <w:tc>
          <w:tcPr>
            <w:tcW w:w="36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3360" w:type="dxa"/>
            <w:vAlign w:val="bottom"/>
            <w:tcBorders>
              <w:bottom w:val="single" w:sz="8" w:color="auto"/>
            </w:tcBorders>
          </w:tcPr>
          <w:p>
            <w:pPr>
              <w:jc w:val="right"/>
              <w:ind w:right="1070"/>
              <w:spacing w:after="0" w:line="196" w:lineRule="exact"/>
              <w:rPr>
                <w:sz w:val="20"/>
                <w:szCs w:val="20"/>
                <w:color w:val="auto"/>
              </w:rPr>
            </w:pPr>
            <w:r>
              <w:rPr>
                <w:rFonts w:ascii="Arial" w:cs="Arial" w:eastAsia="Arial" w:hAnsi="Arial"/>
                <w:sz w:val="18"/>
                <w:szCs w:val="18"/>
                <w:b w:val="1"/>
                <w:bCs w:val="1"/>
                <w:color w:val="auto"/>
              </w:rPr>
              <w:t>$3,152</w:t>
            </w:r>
          </w:p>
        </w:tc>
        <w:tc>
          <w:tcPr>
            <w:tcW w:w="12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w w:val="94"/>
              </w:rPr>
              <w:t>$1,731</w:t>
            </w:r>
          </w:p>
        </w:tc>
        <w:tc>
          <w:tcPr>
            <w:tcW w:w="2400" w:type="dxa"/>
            <w:vAlign w:val="bottom"/>
            <w:tcBorders>
              <w:bottom w:val="single" w:sz="8" w:color="auto"/>
            </w:tcBorders>
          </w:tcPr>
          <w:p>
            <w:pPr>
              <w:jc w:val="right"/>
              <w:ind w:right="1030"/>
              <w:spacing w:after="0" w:line="196" w:lineRule="exact"/>
              <w:rPr>
                <w:sz w:val="20"/>
                <w:szCs w:val="20"/>
                <w:color w:val="auto"/>
              </w:rPr>
            </w:pPr>
            <w:r>
              <w:rPr>
                <w:rFonts w:ascii="Arial" w:cs="Arial" w:eastAsia="Arial" w:hAnsi="Arial"/>
                <w:sz w:val="18"/>
                <w:szCs w:val="18"/>
                <w:b w:val="1"/>
                <w:bCs w:val="1"/>
                <w:color w:val="auto"/>
              </w:rPr>
              <w:t>$3,410</w:t>
            </w:r>
          </w:p>
        </w:tc>
        <w:tc>
          <w:tcPr>
            <w:tcW w:w="7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$1,765</w:t>
            </w:r>
          </w:p>
        </w:tc>
      </w:tr>
    </w:tbl>
    <w:p>
      <w:pPr>
        <w:spacing w:after="0" w:line="20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Restructuring charges in Q2 2012 were principally associated with restructuring actions in Sweden which is expected to contribute to lower costs starting in the third quarter of 2012.</w:t>
      </w:r>
    </w:p>
    <w:p>
      <w:pPr>
        <w:spacing w:after="0" w:line="170"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Restructuring charges in Q2 2011 were principally due to organizational changes associated with the substantial completion of the SAP conversion project.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22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Six months ended</w:t>
            </w:r>
          </w:p>
        </w:tc>
        <w:tc>
          <w:tcPr>
            <w:tcW w:w="780" w:type="dxa"/>
            <w:vAlign w:val="bottom"/>
            <w:tcBorders>
              <w:top w:val="single" w:sz="8" w:color="auto"/>
            </w:tcBorders>
          </w:tcPr>
          <w:p>
            <w:pPr>
              <w:spacing w:after="0"/>
              <w:rPr>
                <w:sz w:val="18"/>
                <w:szCs w:val="18"/>
                <w:color w:val="auto"/>
              </w:rPr>
            </w:pPr>
          </w:p>
        </w:tc>
      </w:tr>
      <w:tr>
        <w:trPr>
          <w:trHeight w:val="181"/>
        </w:trPr>
        <w:tc>
          <w:tcPr>
            <w:tcW w:w="4060" w:type="dxa"/>
            <w:vAlign w:val="bottom"/>
          </w:tcPr>
          <w:p>
            <w:pPr>
              <w:spacing w:after="0"/>
              <w:rPr>
                <w:sz w:val="15"/>
                <w:szCs w:val="15"/>
                <w:color w:val="auto"/>
              </w:rPr>
            </w:pPr>
          </w:p>
        </w:tc>
        <w:tc>
          <w:tcPr>
            <w:tcW w:w="296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June 30,</w:t>
            </w:r>
          </w:p>
        </w:tc>
        <w:tc>
          <w:tcPr>
            <w:tcW w:w="1220" w:type="dxa"/>
            <w:vAlign w:val="bottom"/>
          </w:tcPr>
          <w:p>
            <w:pPr>
              <w:spacing w:after="0"/>
              <w:rPr>
                <w:sz w:val="15"/>
                <w:szCs w:val="15"/>
                <w:color w:val="auto"/>
              </w:rPr>
            </w:pPr>
          </w:p>
        </w:tc>
        <w:tc>
          <w:tcPr>
            <w:tcW w:w="2400" w:type="dxa"/>
            <w:vAlign w:val="bottom"/>
          </w:tcPr>
          <w:p>
            <w:pPr>
              <w:jc w:val="right"/>
              <w:ind w:right="310"/>
              <w:spacing w:after="0" w:line="181" w:lineRule="exact"/>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15"/>
                <w:szCs w:val="15"/>
                <w:color w:val="auto"/>
              </w:rPr>
            </w:pPr>
          </w:p>
        </w:tc>
      </w:tr>
      <w:tr>
        <w:trPr>
          <w:trHeight w:val="225"/>
        </w:trPr>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29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2012</w:t>
            </w: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2011</w:t>
            </w:r>
          </w:p>
        </w:tc>
        <w:tc>
          <w:tcPr>
            <w:tcW w:w="24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2012</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r>
      <w:tr>
        <w:trPr>
          <w:trHeight w:val="173"/>
        </w:trPr>
        <w:tc>
          <w:tcPr>
            <w:tcW w:w="4060" w:type="dxa"/>
            <w:vAlign w:val="bottom"/>
          </w:tcPr>
          <w:p>
            <w:pPr>
              <w:ind w:left="100"/>
              <w:spacing w:after="0" w:line="173" w:lineRule="exact"/>
              <w:rPr>
                <w:sz w:val="20"/>
                <w:szCs w:val="20"/>
                <w:color w:val="auto"/>
              </w:rPr>
            </w:pPr>
            <w:r>
              <w:rPr>
                <w:rFonts w:ascii="Arial" w:cs="Arial" w:eastAsia="Arial" w:hAnsi="Arial"/>
                <w:sz w:val="18"/>
                <w:szCs w:val="18"/>
                <w:color w:val="auto"/>
              </w:rPr>
              <w:t>Interest expense, net</w:t>
            </w:r>
          </w:p>
        </w:tc>
        <w:tc>
          <w:tcPr>
            <w:tcW w:w="2960" w:type="dxa"/>
            <w:vAlign w:val="bottom"/>
          </w:tcPr>
          <w:p>
            <w:pPr>
              <w:jc w:val="right"/>
              <w:ind w:right="1130"/>
              <w:spacing w:after="0" w:line="173" w:lineRule="exact"/>
              <w:rPr>
                <w:sz w:val="20"/>
                <w:szCs w:val="20"/>
                <w:color w:val="auto"/>
              </w:rPr>
            </w:pPr>
            <w:r>
              <w:rPr>
                <w:rFonts w:ascii="Arial" w:cs="Arial" w:eastAsia="Arial" w:hAnsi="Arial"/>
                <w:sz w:val="18"/>
                <w:szCs w:val="18"/>
                <w:b w:val="1"/>
                <w:bCs w:val="1"/>
                <w:color w:val="auto"/>
              </w:rPr>
              <w:t>$3,969</w:t>
            </w:r>
          </w:p>
        </w:tc>
        <w:tc>
          <w:tcPr>
            <w:tcW w:w="1220" w:type="dxa"/>
            <w:vAlign w:val="bottom"/>
          </w:tcPr>
          <w:p>
            <w:pPr>
              <w:jc w:val="right"/>
              <w:ind w:right="590"/>
              <w:spacing w:after="0" w:line="173" w:lineRule="exact"/>
              <w:rPr>
                <w:sz w:val="20"/>
                <w:szCs w:val="20"/>
                <w:color w:val="auto"/>
              </w:rPr>
            </w:pPr>
            <w:r>
              <w:rPr>
                <w:rFonts w:ascii="Arial" w:cs="Arial" w:eastAsia="Arial" w:hAnsi="Arial"/>
                <w:sz w:val="18"/>
                <w:szCs w:val="18"/>
                <w:color w:val="auto"/>
                <w:w w:val="94"/>
              </w:rPr>
              <w:t>$4,786</w:t>
            </w:r>
          </w:p>
        </w:tc>
        <w:tc>
          <w:tcPr>
            <w:tcW w:w="2400" w:type="dxa"/>
            <w:vAlign w:val="bottom"/>
          </w:tcPr>
          <w:p>
            <w:pPr>
              <w:jc w:val="right"/>
              <w:ind w:right="970"/>
              <w:spacing w:after="0" w:line="173" w:lineRule="exact"/>
              <w:rPr>
                <w:sz w:val="20"/>
                <w:szCs w:val="20"/>
                <w:color w:val="auto"/>
              </w:rPr>
            </w:pPr>
            <w:r>
              <w:rPr>
                <w:rFonts w:ascii="Arial" w:cs="Arial" w:eastAsia="Arial" w:hAnsi="Arial"/>
                <w:sz w:val="18"/>
                <w:szCs w:val="18"/>
                <w:b w:val="1"/>
                <w:bCs w:val="1"/>
                <w:color w:val="auto"/>
              </w:rPr>
              <w:t>$8,613</w:t>
            </w:r>
          </w:p>
        </w:tc>
        <w:tc>
          <w:tcPr>
            <w:tcW w:w="7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$9,562</w:t>
            </w:r>
          </w:p>
        </w:tc>
      </w:tr>
      <w:tr>
        <w:trPr>
          <w:trHeight w:val="203"/>
        </w:trPr>
        <w:tc>
          <w:tcPr>
            <w:tcW w:w="4060" w:type="dxa"/>
            <w:vAlign w:val="bottom"/>
          </w:tcPr>
          <w:p>
            <w:pPr>
              <w:ind w:left="100"/>
              <w:spacing w:after="0" w:line="202" w:lineRule="exact"/>
              <w:rPr>
                <w:sz w:val="20"/>
                <w:szCs w:val="20"/>
                <w:color w:val="auto"/>
              </w:rPr>
            </w:pPr>
            <w:r>
              <w:rPr>
                <w:rFonts w:ascii="Arial" w:cs="Arial" w:eastAsia="Arial" w:hAnsi="Arial"/>
                <w:sz w:val="18"/>
                <w:szCs w:val="18"/>
                <w:color w:val="auto"/>
              </w:rPr>
              <w:t>Other expense/(income), net</w:t>
            </w:r>
          </w:p>
        </w:tc>
        <w:tc>
          <w:tcPr>
            <w:tcW w:w="2960" w:type="dxa"/>
            <w:vAlign w:val="bottom"/>
          </w:tcPr>
          <w:p>
            <w:pPr>
              <w:jc w:val="right"/>
              <w:ind w:right="1070"/>
              <w:spacing w:after="0" w:line="202" w:lineRule="exact"/>
              <w:rPr>
                <w:sz w:val="20"/>
                <w:szCs w:val="20"/>
                <w:color w:val="auto"/>
              </w:rPr>
            </w:pPr>
            <w:r>
              <w:rPr>
                <w:rFonts w:ascii="Arial" w:cs="Arial" w:eastAsia="Arial" w:hAnsi="Arial"/>
                <w:sz w:val="18"/>
                <w:szCs w:val="18"/>
                <w:b w:val="1"/>
                <w:bCs w:val="1"/>
                <w:color w:val="auto"/>
              </w:rPr>
              <w:t>(2,555)</w:t>
            </w:r>
          </w:p>
        </w:tc>
        <w:tc>
          <w:tcPr>
            <w:tcW w:w="122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7</w:t>
            </w:r>
          </w:p>
        </w:tc>
        <w:tc>
          <w:tcPr>
            <w:tcW w:w="2400" w:type="dxa"/>
            <w:vAlign w:val="bottom"/>
          </w:tcPr>
          <w:p>
            <w:pPr>
              <w:jc w:val="right"/>
              <w:ind w:right="970"/>
              <w:spacing w:after="0" w:line="202" w:lineRule="exact"/>
              <w:rPr>
                <w:sz w:val="20"/>
                <w:szCs w:val="20"/>
                <w:color w:val="auto"/>
              </w:rPr>
            </w:pPr>
            <w:r>
              <w:rPr>
                <w:rFonts w:ascii="Arial" w:cs="Arial" w:eastAsia="Arial" w:hAnsi="Arial"/>
                <w:sz w:val="18"/>
                <w:szCs w:val="18"/>
                <w:b w:val="1"/>
                <w:bCs w:val="1"/>
                <w:color w:val="auto"/>
              </w:rPr>
              <w:t>1,993</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4,820</w:t>
            </w:r>
          </w:p>
        </w:tc>
      </w:tr>
      <w:tr>
        <w:trPr>
          <w:trHeight w:val="203"/>
        </w:trPr>
        <w:tc>
          <w:tcPr>
            <w:tcW w:w="4060" w:type="dxa"/>
            <w:vAlign w:val="bottom"/>
          </w:tcPr>
          <w:p>
            <w:pPr>
              <w:ind w:left="100"/>
              <w:spacing w:after="0" w:line="202" w:lineRule="exact"/>
              <w:rPr>
                <w:sz w:val="20"/>
                <w:szCs w:val="20"/>
                <w:color w:val="auto"/>
              </w:rPr>
            </w:pPr>
            <w:r>
              <w:rPr>
                <w:rFonts w:ascii="Arial" w:cs="Arial" w:eastAsia="Arial" w:hAnsi="Arial"/>
                <w:sz w:val="18"/>
                <w:szCs w:val="18"/>
                <w:color w:val="auto"/>
              </w:rPr>
              <w:t>Income tax (benefit)/expense</w:t>
            </w:r>
          </w:p>
        </w:tc>
        <w:tc>
          <w:tcPr>
            <w:tcW w:w="2960" w:type="dxa"/>
            <w:vAlign w:val="bottom"/>
          </w:tcPr>
          <w:p>
            <w:pPr>
              <w:jc w:val="right"/>
              <w:ind w:right="1070"/>
              <w:spacing w:after="0" w:line="202" w:lineRule="exact"/>
              <w:rPr>
                <w:sz w:val="20"/>
                <w:szCs w:val="20"/>
                <w:color w:val="auto"/>
              </w:rPr>
            </w:pPr>
            <w:r>
              <w:rPr>
                <w:rFonts w:ascii="Arial" w:cs="Arial" w:eastAsia="Arial" w:hAnsi="Arial"/>
                <w:sz w:val="18"/>
                <w:szCs w:val="18"/>
                <w:b w:val="1"/>
                <w:bCs w:val="1"/>
                <w:color w:val="auto"/>
              </w:rPr>
              <w:t>(29,643)</w:t>
            </w:r>
          </w:p>
        </w:tc>
        <w:tc>
          <w:tcPr>
            <w:tcW w:w="122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3,139</w:t>
            </w:r>
          </w:p>
        </w:tc>
        <w:tc>
          <w:tcPr>
            <w:tcW w:w="240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(39,615)</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6,406</w:t>
            </w:r>
          </w:p>
        </w:tc>
      </w:tr>
      <w:tr>
        <w:trPr>
          <w:trHeight w:val="203"/>
        </w:trPr>
        <w:tc>
          <w:tcPr>
            <w:tcW w:w="4060" w:type="dxa"/>
            <w:vAlign w:val="bottom"/>
          </w:tcPr>
          <w:p>
            <w:pPr>
              <w:ind w:left="100"/>
              <w:spacing w:after="0" w:line="202" w:lineRule="exact"/>
              <w:rPr>
                <w:sz w:val="20"/>
                <w:szCs w:val="20"/>
                <w:color w:val="auto"/>
              </w:rPr>
            </w:pPr>
            <w:r>
              <w:rPr>
                <w:rFonts w:ascii="Arial" w:cs="Arial" w:eastAsia="Arial" w:hAnsi="Arial"/>
                <w:sz w:val="18"/>
                <w:szCs w:val="18"/>
                <w:color w:val="auto"/>
              </w:rPr>
              <w:t>Income from discontinued operations</w:t>
            </w:r>
          </w:p>
        </w:tc>
        <w:tc>
          <w:tcPr>
            <w:tcW w:w="2960" w:type="dxa"/>
            <w:vAlign w:val="bottom"/>
          </w:tcPr>
          <w:p>
            <w:pPr>
              <w:jc w:val="right"/>
              <w:ind w:right="1130"/>
              <w:spacing w:after="0" w:line="202" w:lineRule="exact"/>
              <w:rPr>
                <w:sz w:val="20"/>
                <w:szCs w:val="20"/>
                <w:color w:val="auto"/>
              </w:rPr>
            </w:pPr>
            <w:r>
              <w:rPr>
                <w:rFonts w:ascii="Arial" w:cs="Arial" w:eastAsia="Arial" w:hAnsi="Arial"/>
                <w:sz w:val="18"/>
                <w:szCs w:val="18"/>
                <w:b w:val="1"/>
                <w:bCs w:val="1"/>
                <w:color w:val="auto"/>
              </w:rPr>
              <w:t>24,030</w:t>
            </w:r>
          </w:p>
        </w:tc>
        <w:tc>
          <w:tcPr>
            <w:tcW w:w="122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4,214</w:t>
            </w:r>
          </w:p>
        </w:tc>
        <w:tc>
          <w:tcPr>
            <w:tcW w:w="2400" w:type="dxa"/>
            <w:vAlign w:val="bottom"/>
          </w:tcPr>
          <w:p>
            <w:pPr>
              <w:jc w:val="right"/>
              <w:ind w:right="970"/>
              <w:spacing w:after="0" w:line="202" w:lineRule="exact"/>
              <w:rPr>
                <w:sz w:val="20"/>
                <w:szCs w:val="20"/>
                <w:color w:val="auto"/>
              </w:rPr>
            </w:pPr>
            <w:r>
              <w:rPr>
                <w:rFonts w:ascii="Arial" w:cs="Arial" w:eastAsia="Arial" w:hAnsi="Arial"/>
                <w:sz w:val="18"/>
                <w:szCs w:val="18"/>
                <w:b w:val="1"/>
                <w:bCs w:val="1"/>
                <w:color w:val="auto"/>
              </w:rPr>
              <w:t>71,200</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8,729</w:t>
            </w:r>
          </w:p>
        </w:tc>
      </w:tr>
      <w:tr>
        <w:trPr>
          <w:trHeight w:val="225"/>
        </w:trPr>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(loss)/income</w:t>
            </w:r>
          </w:p>
        </w:tc>
        <w:tc>
          <w:tcPr>
            <w:tcW w:w="29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($33,745)</w:t>
            </w: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4"/>
              </w:rPr>
              <w:t>$8,762</w:t>
            </w:r>
          </w:p>
        </w:tc>
        <w:tc>
          <w:tcPr>
            <w:tcW w:w="24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$13,296</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$25,495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8"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The decrease in interest expense, net is principally the result of lower levels of outstanding debt. The average balance outstanding under the revolving credit agreement during the six-month periods of 2012 and 2011 was $158.8 million and $218.6 million, respectively. The weighted average interest rate was 4.91% during Q2 2012, compared to a rate of 4.67% during Q2 2011. See the Capital Resources section below for further discussion of borrowings and interest rates.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Other Expense/(Income), net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rPr>
          <w:sz w:val="20"/>
          <w:szCs w:val="20"/>
          <w:color w:val="auto"/>
        </w:rPr>
      </w:pPr>
      <w:r>
        <w:rPr>
          <w:rFonts w:ascii="Arial" w:cs="Arial" w:eastAsia="Arial" w:hAnsi="Arial"/>
          <w:sz w:val="18"/>
          <w:szCs w:val="18"/>
          <w:color w:val="auto"/>
        </w:rPr>
        <w:t>Other income was higher than 2011, principally due to the net effect of the following:</w:t>
      </w:r>
    </w:p>
    <w:p>
      <w:pPr>
        <w:spacing w:after="0" w:line="185" w:lineRule="exact"/>
        <w:rPr>
          <w:sz w:val="20"/>
          <w:szCs w:val="20"/>
          <w:color w:val="auto"/>
        </w:rPr>
      </w:pPr>
    </w:p>
    <w:p>
      <w:pPr>
        <w:ind w:left="540" w:right="180"/>
        <w:spacing w:after="0" w:line="246" w:lineRule="auto"/>
        <w:rPr>
          <w:sz w:val="20"/>
          <w:szCs w:val="20"/>
          <w:color w:val="auto"/>
        </w:rPr>
      </w:pPr>
      <w:r>
        <w:rPr>
          <w:rFonts w:ascii="Arial" w:cs="Arial" w:eastAsia="Arial" w:hAnsi="Arial"/>
          <w:sz w:val="18"/>
          <w:szCs w:val="18"/>
          <w:color w:val="auto"/>
        </w:rPr>
        <w:t>Revaluation of non-functional-currency intercompany balances resulted in gains of $3.1 million in Q2 2012 and a gain of $0.5 million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-229235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were lower than 2011, principally due to the net effect of the following:</w:t>
      </w:r>
    </w:p>
    <w:p>
      <w:pPr>
        <w:ind w:left="540"/>
        <w:spacing w:after="0"/>
        <w:rPr>
          <w:sz w:val="20"/>
          <w:szCs w:val="20"/>
          <w:color w:val="auto"/>
        </w:rPr>
      </w:pPr>
      <w:r>
        <w:rPr>
          <w:rFonts w:ascii="Arial" w:cs="Arial" w:eastAsia="Arial" w:hAnsi="Arial"/>
          <w:sz w:val="18"/>
          <w:szCs w:val="18"/>
          <w:color w:val="auto"/>
        </w:rPr>
        <w:t>Revaluation of non-functional-currency intercompany balances resulted in losses of $0.7 million in 2012 and $3.4 million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(Benefit)/Expense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right="20"/>
        <w:spacing w:after="0" w:line="234" w:lineRule="auto"/>
        <w:rPr>
          <w:sz w:val="20"/>
          <w:szCs w:val="20"/>
          <w:color w:val="auto"/>
        </w:rPr>
      </w:pPr>
      <w:r>
        <w:rPr>
          <w:rFonts w:ascii="Arial" w:cs="Arial" w:eastAsia="Arial" w:hAnsi="Arial"/>
          <w:sz w:val="18"/>
          <w:szCs w:val="18"/>
          <w:color w:val="auto"/>
        </w:rPr>
        <w:t>Income tax benefit of $29.6 million was recognized in 2012 as compared to tax expense of $3.1 million in 2011 , principally due to the net effect of the following:</w:t>
      </w:r>
    </w:p>
    <w:p>
      <w:pPr>
        <w:spacing w:after="0" w:line="2" w:lineRule="exact"/>
        <w:rPr>
          <w:sz w:val="20"/>
          <w:szCs w:val="20"/>
          <w:color w:val="auto"/>
        </w:rPr>
      </w:pPr>
    </w:p>
    <w:p>
      <w:pPr>
        <w:jc w:val="both"/>
        <w:ind w:left="540" w:right="280"/>
        <w:spacing w:after="0" w:line="234" w:lineRule="auto"/>
        <w:rPr>
          <w:sz w:val="20"/>
          <w:szCs w:val="20"/>
          <w:color w:val="auto"/>
        </w:rPr>
      </w:pPr>
      <w:r>
        <w:rPr>
          <w:rFonts w:ascii="Arial" w:cs="Arial" w:eastAsia="Arial" w:hAnsi="Arial"/>
          <w:sz w:val="18"/>
          <w:szCs w:val="18"/>
          <w:color w:val="auto"/>
        </w:rPr>
        <w:t>The Company’s effective income tax rate from continuing operations, exclusive of the pension settlement charge, effect of change in estimated tax rate and discrete tax items, was 26.5 percent for the second quarter of 2012 and 33.6 percent for the second quarter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-344805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7" w:lineRule="auto"/>
        <w:rPr>
          <w:sz w:val="20"/>
          <w:szCs w:val="20"/>
          <w:color w:val="auto"/>
        </w:rPr>
      </w:pPr>
      <w:r>
        <w:rPr>
          <w:rFonts w:ascii="Arial" w:cs="Arial" w:eastAsia="Arial" w:hAnsi="Arial"/>
          <w:sz w:val="18"/>
          <w:szCs w:val="18"/>
          <w:color w:val="auto"/>
        </w:rPr>
        <w:t>2012 includes an income tax benefit of $37.0 million related to pension settlement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80"/>
        <w:spacing w:after="0" w:line="234" w:lineRule="auto"/>
        <w:rPr>
          <w:sz w:val="20"/>
          <w:szCs w:val="20"/>
          <w:color w:val="auto"/>
        </w:rPr>
      </w:pPr>
      <w:r>
        <w:rPr>
          <w:rFonts w:ascii="Arial" w:cs="Arial" w:eastAsia="Arial" w:hAnsi="Arial"/>
          <w:sz w:val="18"/>
          <w:szCs w:val="18"/>
          <w:color w:val="auto"/>
        </w:rPr>
        <w:t>The decrease in the effective income tax rate was primarily due to a change in the distribution of income and loss amongst the various countries within which the Company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-216535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40"/>
        <w:spacing w:after="0" w:line="246" w:lineRule="auto"/>
        <w:rPr>
          <w:sz w:val="20"/>
          <w:szCs w:val="20"/>
          <w:color w:val="auto"/>
        </w:rPr>
      </w:pPr>
      <w:r>
        <w:rPr>
          <w:rFonts w:ascii="Arial" w:cs="Arial" w:eastAsia="Arial" w:hAnsi="Arial"/>
          <w:sz w:val="18"/>
          <w:szCs w:val="18"/>
          <w:color w:val="auto"/>
        </w:rPr>
        <w:t>Changes in the estimated income tax rate from continuing operations and discrete tax adjustments recorded in Q2 each year reduced income taxes by $1.3 million in 2012 and $0.6 million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-229235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Year to date Income tax expense includes favorable discrete tax adjustments of $6.1 million in 2012 and $1.4 million in 2011. Additionally, 2012 includes an income tax benefit of $ 39.5 million related to pension settlement charges. The Company’s effective income tax rate, exclusive of the pension settlement charge and discrete items, was 26.5 percent in 2012 and 33.6 percent in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220" w:lineRule="exact"/>
        <w:rPr>
          <w:sz w:val="20"/>
          <w:szCs w:val="20"/>
          <w:color w:val="auto"/>
        </w:rPr>
      </w:pPr>
    </w:p>
    <w:p>
      <w:pPr>
        <w:ind w:right="40"/>
        <w:spacing w:after="0" w:line="209" w:lineRule="auto"/>
        <w:rPr>
          <w:sz w:val="20"/>
          <w:szCs w:val="20"/>
          <w:color w:val="auto"/>
        </w:rPr>
      </w:pPr>
      <w:r>
        <w:rPr>
          <w:rFonts w:ascii="Arial" w:cs="Arial" w:eastAsia="Arial" w:hAnsi="Arial"/>
          <w:sz w:val="18"/>
          <w:szCs w:val="18"/>
          <w:color w:val="auto"/>
        </w:rPr>
        <w:t>In the second quarter of 2012, the Company completed the sale of its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resulting in a pre-tax gain of $35.0 million. Including that gain, the operations of the discontinued business, and related income taxes, year to date 2012 income from discontinued operations was $71.2 million in 2012 and $8.7 million in 2011.</w:t>
      </w:r>
    </w:p>
    <w:p>
      <w:pPr>
        <w:spacing w:after="0" w:line="190" w:lineRule="exact"/>
        <w:rPr>
          <w:sz w:val="20"/>
          <w:szCs w:val="20"/>
          <w:color w:val="auto"/>
        </w:rPr>
      </w:pPr>
    </w:p>
    <w:p>
      <w:pPr>
        <w:ind w:right="260"/>
        <w:spacing w:after="0" w:line="454" w:lineRule="auto"/>
        <w:rPr>
          <w:sz w:val="20"/>
          <w:szCs w:val="20"/>
          <w:color w:val="auto"/>
        </w:rPr>
      </w:pPr>
      <w:r>
        <w:rPr>
          <w:rFonts w:ascii="Arial" w:cs="Arial" w:eastAsia="Arial" w:hAnsi="Arial"/>
          <w:sz w:val="18"/>
          <w:szCs w:val="18"/>
          <w:color w:val="auto"/>
        </w:rPr>
        <w:t xml:space="preserve">In the first quarter of 2012, the Company completed the sale of its Albany Door Systems business resulting in a pre-tax gain of $58.0 million. </w:t>
      </w:r>
      <w:r>
        <w:rPr>
          <w:rFonts w:ascii="Arial" w:cs="Arial" w:eastAsia="Arial" w:hAnsi="Arial"/>
          <w:sz w:val="18"/>
          <w:szCs w:val="18"/>
          <w:b w:val="1"/>
          <w:bCs w:val="1"/>
          <w:color w:val="auto"/>
        </w:rPr>
        <w:t>Outlook</w:t>
      </w:r>
    </w:p>
    <w:p>
      <w:pPr>
        <w:ind w:right="180"/>
        <w:spacing w:after="0"/>
        <w:rPr>
          <w:sz w:val="20"/>
          <w:szCs w:val="20"/>
          <w:color w:val="auto"/>
        </w:rPr>
      </w:pPr>
      <w:r>
        <w:rPr>
          <w:rFonts w:ascii="Arial" w:cs="Arial" w:eastAsia="Arial" w:hAnsi="Arial"/>
          <w:sz w:val="18"/>
          <w:szCs w:val="18"/>
          <w:color w:val="auto"/>
        </w:rPr>
        <w:t>Our outlook hinges largely on the health of the global economy and in particular on economic conditions in Europe. Assuming the paper industry holds firm in the Americas and Asia and deteriorates somewhat further in Europe, we expect total company Adjusted EBITDA for the second half of 2012 to be comparable to total company Adjusted EBITDA for the same period last year.</w:t>
      </w:r>
    </w:p>
    <w:p>
      <w:pPr>
        <w:spacing w:after="0" w:line="16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long-term outlook for the Company remains unchanged. We continue to view MC as a steady, long-term cash generator, with the deteriorating economic climate and associated price uncertainty in Europe as the primary risk factor. We continue to expect incremental improvement in AEC’s performance until the inflection point for the LEAP program in 2016, followed by a very steep ramp to full production of LEAP engine components by 2019. We continue to see the potential for a growing array of new product possibilities beyond the first wave of LEAP components. And we continue to expect to generate significant excess cash through this period of intense growth in AEC.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Machine Clothing (MC) is our primary business segment and accounted for 92% of our consolidated revenues during 2012. MC is comprised of two main product areas, paper machine clothing and engineered fabrics (EF). Paper machine clothing (PMC) is purchased primarily by manufacturers of paper and paperboard. EF manufactures products similar to PMC, but for customers in industries other than paper. The largest portion of revenue in this segment is derived from sales to the nonwovens industry, which</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33" w:name="page34"/>
    <w:bookmarkEnd w:id="33"/>
    <w:p>
      <w:pPr>
        <w:ind w:right="560"/>
        <w:spacing w:after="0" w:line="246" w:lineRule="auto"/>
        <w:rPr>
          <w:sz w:val="20"/>
          <w:szCs w:val="20"/>
          <w:color w:val="auto"/>
        </w:rPr>
      </w:pPr>
      <w:r>
        <w:rPr>
          <w:rFonts w:ascii="Arial" w:cs="Arial" w:eastAsia="Arial" w:hAnsi="Arial"/>
          <w:sz w:val="18"/>
          <w:szCs w:val="18"/>
          <w:color w:val="auto"/>
        </w:rPr>
        <w:t>includes the manufacture of diapers, personal care and household wipes. Other markets that are served by this segment are businesses adjacent to the paper industry, and manufacturers of tannery, textile and building products.</w:t>
      </w:r>
    </w:p>
    <w:p>
      <w:pPr>
        <w:spacing w:after="0" w:line="183"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2-4% over the next five years, driven primarily by secular demand increases in the Asia and South America, with stabilization in the mature markets of Europe and North America.</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PMC, while contributing to the papermaking efficiency of customers, have lengthened the useful life of many of our products and had an adverse impact on overall PMC demand. These factors help to explain why PMC revenue growth grows at a lesser rate than growth in paper production.</w:t>
      </w:r>
    </w:p>
    <w:p>
      <w:pPr>
        <w:spacing w:after="0" w:line="16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6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incurred significant restructuring charges in recent periods as we reduced PMC manufacturing capacity in the United States, Canada, Germany, Finland, France, Sweden, and Australia. We have also incurred costs for idle capacity and equipment relocation that were related to the shutdown of these plants, and underutilized costs related to our PMC plant in China. Expenses related to these items were included in “Cost of Goods Sold” in the periods in which they were incurred. In addition, we incurred restructuring charges related to the centralization of administrative functions in Europe, and reorganization of our research and development function that has improved our ability to bring value-added products to market faster.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Three months ended</w:t>
            </w:r>
          </w:p>
        </w:tc>
        <w:tc>
          <w:tcPr>
            <w:tcW w:w="1520" w:type="dxa"/>
            <w:vAlign w:val="bottom"/>
          </w:tcPr>
          <w:p>
            <w:pPr>
              <w:spacing w:after="0"/>
              <w:rPr>
                <w:sz w:val="18"/>
                <w:szCs w:val="18"/>
                <w:color w:val="auto"/>
              </w:rPr>
            </w:pPr>
          </w:p>
        </w:tc>
        <w:tc>
          <w:tcPr>
            <w:tcW w:w="2400" w:type="dxa"/>
            <w:vAlign w:val="bottom"/>
          </w:tcPr>
          <w:p>
            <w:pPr>
              <w:jc w:val="right"/>
              <w:ind w:right="30"/>
              <w:spacing w:after="0"/>
              <w:rPr>
                <w:sz w:val="20"/>
                <w:szCs w:val="20"/>
                <w:color w:val="auto"/>
              </w:rPr>
            </w:pPr>
            <w:r>
              <w:rPr>
                <w:rFonts w:ascii="Arial" w:cs="Arial" w:eastAsia="Arial" w:hAnsi="Arial"/>
                <w:sz w:val="18"/>
                <w:szCs w:val="18"/>
                <w:color w:val="auto"/>
              </w:rPr>
              <w:t>Six months ended</w:t>
            </w:r>
          </w:p>
        </w:tc>
        <w:tc>
          <w:tcPr>
            <w:tcW w:w="980" w:type="dxa"/>
            <w:vAlign w:val="bottom"/>
          </w:tcPr>
          <w:p>
            <w:pPr>
              <w:spacing w:after="0"/>
              <w:rPr>
                <w:sz w:val="18"/>
                <w:szCs w:val="18"/>
                <w:color w:val="auto"/>
              </w:rPr>
            </w:pPr>
          </w:p>
        </w:tc>
      </w:tr>
      <w:tr>
        <w:trPr>
          <w:trHeight w:val="207"/>
        </w:trPr>
        <w:tc>
          <w:tcPr>
            <w:tcW w:w="3360" w:type="dxa"/>
            <w:vAlign w:val="bottom"/>
          </w:tcPr>
          <w:p>
            <w:pPr>
              <w:spacing w:after="0"/>
              <w:rPr>
                <w:sz w:val="17"/>
                <w:szCs w:val="17"/>
                <w:color w:val="auto"/>
              </w:rPr>
            </w:pPr>
          </w:p>
        </w:tc>
        <w:tc>
          <w:tcPr>
            <w:tcW w:w="3160" w:type="dxa"/>
            <w:vAlign w:val="bottom"/>
          </w:tcPr>
          <w:p>
            <w:pPr>
              <w:jc w:val="right"/>
              <w:ind w:right="470"/>
              <w:spacing w:after="0"/>
              <w:rPr>
                <w:sz w:val="20"/>
                <w:szCs w:val="20"/>
                <w:color w:val="auto"/>
              </w:rPr>
            </w:pPr>
            <w:r>
              <w:rPr>
                <w:rFonts w:ascii="Arial" w:cs="Arial" w:eastAsia="Arial" w:hAnsi="Arial"/>
                <w:sz w:val="18"/>
                <w:szCs w:val="18"/>
                <w:color w:val="auto"/>
              </w:rPr>
              <w:t>June 30,</w:t>
            </w:r>
          </w:p>
        </w:tc>
        <w:tc>
          <w:tcPr>
            <w:tcW w:w="1520" w:type="dxa"/>
            <w:vAlign w:val="bottom"/>
          </w:tcPr>
          <w:p>
            <w:pPr>
              <w:spacing w:after="0"/>
              <w:rPr>
                <w:sz w:val="17"/>
                <w:szCs w:val="17"/>
                <w:color w:val="auto"/>
              </w:rPr>
            </w:pPr>
          </w:p>
        </w:tc>
        <w:tc>
          <w:tcPr>
            <w:tcW w:w="2400" w:type="dxa"/>
            <w:vAlign w:val="bottom"/>
          </w:tcPr>
          <w:p>
            <w:pPr>
              <w:jc w:val="right"/>
              <w:ind w:right="41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7"/>
                <w:szCs w:val="17"/>
                <w:color w:val="auto"/>
              </w:rPr>
            </w:pPr>
          </w:p>
        </w:tc>
      </w:tr>
      <w:tr>
        <w:trPr>
          <w:trHeight w:val="225"/>
        </w:trPr>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31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2012</w:t>
            </w: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2011</w:t>
            </w:r>
          </w:p>
        </w:tc>
        <w:tc>
          <w:tcPr>
            <w:tcW w:w="24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2011</w:t>
            </w:r>
          </w:p>
        </w:tc>
      </w:tr>
      <w:tr>
        <w:trPr>
          <w:trHeight w:val="250"/>
        </w:trPr>
        <w:tc>
          <w:tcPr>
            <w:tcW w:w="336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3160" w:type="dxa"/>
            <w:vAlign w:val="bottom"/>
          </w:tcPr>
          <w:p>
            <w:pPr>
              <w:jc w:val="right"/>
              <w:ind w:right="910"/>
              <w:spacing w:after="0"/>
              <w:rPr>
                <w:sz w:val="20"/>
                <w:szCs w:val="20"/>
                <w:color w:val="auto"/>
              </w:rPr>
            </w:pPr>
            <w:r>
              <w:rPr>
                <w:rFonts w:ascii="Arial" w:cs="Arial" w:eastAsia="Arial" w:hAnsi="Arial"/>
                <w:sz w:val="18"/>
                <w:szCs w:val="18"/>
                <w:b w:val="1"/>
                <w:bCs w:val="1"/>
                <w:color w:val="auto"/>
              </w:rPr>
              <w:t>$177,122</w:t>
            </w:r>
          </w:p>
        </w:tc>
        <w:tc>
          <w:tcPr>
            <w:tcW w:w="1520" w:type="dxa"/>
            <w:vAlign w:val="bottom"/>
          </w:tcPr>
          <w:p>
            <w:pPr>
              <w:jc w:val="right"/>
              <w:ind w:right="610"/>
              <w:spacing w:after="0"/>
              <w:rPr>
                <w:sz w:val="20"/>
                <w:szCs w:val="20"/>
                <w:color w:val="auto"/>
              </w:rPr>
            </w:pPr>
            <w:r>
              <w:rPr>
                <w:rFonts w:ascii="Arial" w:cs="Arial" w:eastAsia="Arial" w:hAnsi="Arial"/>
                <w:sz w:val="18"/>
                <w:szCs w:val="18"/>
                <w:color w:val="auto"/>
              </w:rPr>
              <w:t>$179,177</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$341,410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$367,659</w:t>
            </w:r>
          </w:p>
        </w:tc>
      </w:tr>
      <w:tr>
        <w:trPr>
          <w:trHeight w:val="243"/>
        </w:trPr>
        <w:tc>
          <w:tcPr>
            <w:tcW w:w="3360" w:type="dxa"/>
            <w:vAlign w:val="bottom"/>
          </w:tcPr>
          <w:p>
            <w:pPr>
              <w:ind w:left="100"/>
              <w:spacing w:after="0"/>
              <w:rPr>
                <w:sz w:val="20"/>
                <w:szCs w:val="20"/>
                <w:color w:val="auto"/>
              </w:rPr>
            </w:pPr>
            <w:r>
              <w:rPr>
                <w:rFonts w:ascii="Arial" w:cs="Arial" w:eastAsia="Arial" w:hAnsi="Arial"/>
                <w:sz w:val="18"/>
                <w:szCs w:val="18"/>
                <w:color w:val="auto"/>
              </w:rPr>
              <w:t>Gross profit</w:t>
            </w:r>
          </w:p>
        </w:tc>
        <w:tc>
          <w:tcPr>
            <w:tcW w:w="3160" w:type="dxa"/>
            <w:vAlign w:val="bottom"/>
          </w:tcPr>
          <w:p>
            <w:pPr>
              <w:jc w:val="right"/>
              <w:ind w:right="910"/>
              <w:spacing w:after="0"/>
              <w:rPr>
                <w:sz w:val="20"/>
                <w:szCs w:val="20"/>
                <w:color w:val="auto"/>
              </w:rPr>
            </w:pPr>
            <w:r>
              <w:rPr>
                <w:rFonts w:ascii="Arial" w:cs="Arial" w:eastAsia="Arial" w:hAnsi="Arial"/>
                <w:sz w:val="18"/>
                <w:szCs w:val="18"/>
                <w:b w:val="1"/>
                <w:bCs w:val="1"/>
                <w:color w:val="auto"/>
              </w:rPr>
              <w:t>78,245</w:t>
            </w:r>
          </w:p>
        </w:tc>
        <w:tc>
          <w:tcPr>
            <w:tcW w:w="1520" w:type="dxa"/>
            <w:vAlign w:val="bottom"/>
          </w:tcPr>
          <w:p>
            <w:pPr>
              <w:jc w:val="right"/>
              <w:ind w:right="610"/>
              <w:spacing w:after="0"/>
              <w:rPr>
                <w:sz w:val="20"/>
                <w:szCs w:val="20"/>
                <w:color w:val="auto"/>
              </w:rPr>
            </w:pPr>
            <w:r>
              <w:rPr>
                <w:rFonts w:ascii="Arial" w:cs="Arial" w:eastAsia="Arial" w:hAnsi="Arial"/>
                <w:sz w:val="18"/>
                <w:szCs w:val="18"/>
                <w:color w:val="auto"/>
              </w:rPr>
              <w:t>74,953</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146,243</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161,490</w:t>
            </w:r>
          </w:p>
        </w:tc>
      </w:tr>
      <w:tr>
        <w:trPr>
          <w:trHeight w:val="207"/>
        </w:trPr>
        <w:tc>
          <w:tcPr>
            <w:tcW w:w="3360" w:type="dxa"/>
            <w:vAlign w:val="bottom"/>
          </w:tcPr>
          <w:p>
            <w:pPr>
              <w:ind w:left="100"/>
              <w:spacing w:after="0"/>
              <w:rPr>
                <w:sz w:val="20"/>
                <w:szCs w:val="20"/>
                <w:color w:val="auto"/>
              </w:rPr>
            </w:pPr>
            <w:r>
              <w:rPr>
                <w:rFonts w:ascii="Arial" w:cs="Arial" w:eastAsia="Arial" w:hAnsi="Arial"/>
                <w:sz w:val="18"/>
                <w:szCs w:val="18"/>
                <w:color w:val="auto"/>
              </w:rPr>
              <w:t>% of net sales</w:t>
            </w:r>
          </w:p>
        </w:tc>
        <w:tc>
          <w:tcPr>
            <w:tcW w:w="3160" w:type="dxa"/>
            <w:vAlign w:val="bottom"/>
          </w:tcPr>
          <w:p>
            <w:pPr>
              <w:jc w:val="right"/>
              <w:ind w:right="910"/>
              <w:spacing w:after="0"/>
              <w:rPr>
                <w:sz w:val="20"/>
                <w:szCs w:val="20"/>
                <w:color w:val="auto"/>
              </w:rPr>
            </w:pPr>
            <w:r>
              <w:rPr>
                <w:rFonts w:ascii="Arial" w:cs="Arial" w:eastAsia="Arial" w:hAnsi="Arial"/>
                <w:sz w:val="18"/>
                <w:szCs w:val="18"/>
                <w:b w:val="1"/>
                <w:bCs w:val="1"/>
                <w:color w:val="auto"/>
              </w:rPr>
              <w:t>44.2%</w:t>
            </w:r>
          </w:p>
        </w:tc>
        <w:tc>
          <w:tcPr>
            <w:tcW w:w="1520" w:type="dxa"/>
            <w:vAlign w:val="bottom"/>
          </w:tcPr>
          <w:p>
            <w:pPr>
              <w:jc w:val="right"/>
              <w:ind w:right="610"/>
              <w:spacing w:after="0"/>
              <w:rPr>
                <w:sz w:val="20"/>
                <w:szCs w:val="20"/>
                <w:color w:val="auto"/>
              </w:rPr>
            </w:pPr>
            <w:r>
              <w:rPr>
                <w:rFonts w:ascii="Arial" w:cs="Arial" w:eastAsia="Arial" w:hAnsi="Arial"/>
                <w:sz w:val="18"/>
                <w:szCs w:val="18"/>
                <w:color w:val="auto"/>
              </w:rPr>
              <w:t>41.8%</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42.8%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25"/>
        </w:trPr>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Operating(loss)/income</w:t>
            </w:r>
          </w:p>
        </w:tc>
        <w:tc>
          <w:tcPr>
            <w:tcW w:w="31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44,997</w:t>
            </w: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37,709</w:t>
            </w:r>
          </w:p>
        </w:tc>
        <w:tc>
          <w:tcPr>
            <w:tcW w:w="24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75,842</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87,980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left="540"/>
        <w:spacing w:after="0" w:line="234" w:lineRule="auto"/>
        <w:rPr>
          <w:sz w:val="20"/>
          <w:szCs w:val="20"/>
          <w:color w:val="auto"/>
        </w:rPr>
      </w:pPr>
      <w:r>
        <w:rPr>
          <w:rFonts w:ascii="Arial" w:cs="Arial" w:eastAsia="Arial" w:hAnsi="Arial"/>
          <w:sz w:val="18"/>
          <w:szCs w:val="18"/>
          <w:color w:val="auto"/>
        </w:rPr>
        <w:t>Changes in currency translation rates had the effect of decreasing net sales by $2.6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Excluding the effect of changes in currency translation rates, 2012 net sales increased 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580"/>
        <w:spacing w:after="0" w:line="246" w:lineRule="auto"/>
        <w:rPr>
          <w:sz w:val="20"/>
          <w:szCs w:val="20"/>
          <w:color w:val="auto"/>
        </w:rPr>
      </w:pPr>
      <w:r>
        <w:rPr>
          <w:rFonts w:ascii="Arial" w:cs="Arial" w:eastAsia="Arial" w:hAnsi="Arial"/>
          <w:sz w:val="18"/>
          <w:szCs w:val="18"/>
          <w:color w:val="auto"/>
        </w:rPr>
        <w:t>Strong sales in the Americas and Asia contributed to higher sales in the segment overall, despite continued weakness in Western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-229235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currency translation rates had the effect of decreasing net sales by $4.2 million during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Excluding the effect of changes in currency translation rates, 2012 net sales decreased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Economic weakness in Europe led to lower sales in 2012 despite stronger sales and orders in the Americas and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spacing w:after="0"/>
        <w:rPr>
          <w:sz w:val="20"/>
          <w:szCs w:val="20"/>
          <w:color w:val="auto"/>
        </w:rPr>
      </w:pPr>
      <w:r>
        <w:rPr>
          <w:rFonts w:ascii="Arial" w:cs="Arial" w:eastAsia="Arial" w:hAnsi="Arial"/>
          <w:sz w:val="18"/>
          <w:szCs w:val="18"/>
          <w:color w:val="auto"/>
        </w:rPr>
        <w:t>The increase in gross profit during 2012 was principally due to high plant utilization in the Americas and favorable product mix.</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during 2012 was principally due to the net effect of the following:</w:t>
      </w:r>
    </w:p>
    <w:p>
      <w:pPr>
        <w:ind w:left="540"/>
        <w:spacing w:after="0" w:line="234" w:lineRule="auto"/>
        <w:rPr>
          <w:sz w:val="20"/>
          <w:szCs w:val="20"/>
          <w:color w:val="auto"/>
        </w:rPr>
      </w:pPr>
      <w:r>
        <w:rPr>
          <w:rFonts w:ascii="Arial" w:cs="Arial" w:eastAsia="Arial" w:hAnsi="Arial"/>
          <w:sz w:val="18"/>
          <w:szCs w:val="18"/>
          <w:color w:val="auto"/>
        </w:rPr>
        <w:t>Lower net sales and plant utilization during Q1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Q1 2011 gross profit was increased by unusually high production levels due to inventory restocking in 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right="140"/>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loss in 2012 was also increased restructuring charges of $2.9 million as compared to $0.6 for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items discussed above affecting gross profit and STG&amp;R, operating loss in 2012 was increased by the following: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$15.2 million decrease due to lower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-88900</wp:posOffset>
            </wp:positionV>
            <wp:extent cx="59690"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Revaluation of non-functional currency balances resulted in gains of $2.7 million in 2012 and losses of $2.0 million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-88265</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Q2 2012 included restructuring charges of $3.6 million as compared to $0.6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-91440</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0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Sales and orders were as weak as expected in Western Europe, and continued to run roughly 15 percent below average 2011 levels. Sales and orders in the Americas and Asia were strong, and drove a rebound of overall sales back to Q2 2011 levels. Across all three regions, the combination of new products and strong strategic relations with key papermakers contributed heavily to top-line performance. Except for Western Europe, profitability was strong. Gross profit margin, which ordinarily we would expect to be in the range of 42-44 percent, exceeded 44 percent. Strong plant utilization in the Americas and favorable product mix contributed to the high margins.</w:t>
      </w:r>
    </w:p>
    <w:p>
      <w:pPr>
        <w:spacing w:after="0" w:line="189"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health of the global economy and in particular on economic conditions in Europe will have a significant impact on performance for the rest of the year. Assuming the paper industry holds firm in the Americas and Asia and deteriorates somewhat further in Europe, Adjusted EBITDA for the second half of 2012 should be comparable to Adjusted EBITDA for the same period last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In 2011, approximately 25% of this segment’s sales were related to U.S. government contracts or programs.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3140" w:type="dxa"/>
            <w:vAlign w:val="bottom"/>
          </w:tcPr>
          <w:p>
            <w:pPr>
              <w:jc w:val="right"/>
              <w:ind w:right="10"/>
              <w:spacing w:after="0"/>
              <w:rPr>
                <w:sz w:val="20"/>
                <w:szCs w:val="20"/>
                <w:color w:val="auto"/>
              </w:rPr>
            </w:pPr>
            <w:r>
              <w:rPr>
                <w:rFonts w:ascii="Arial" w:cs="Arial" w:eastAsia="Arial" w:hAnsi="Arial"/>
                <w:sz w:val="18"/>
                <w:szCs w:val="18"/>
                <w:color w:val="auto"/>
              </w:rPr>
              <w:t>Three months ended</w:t>
            </w:r>
          </w:p>
        </w:tc>
        <w:tc>
          <w:tcPr>
            <w:tcW w:w="1520" w:type="dxa"/>
            <w:vAlign w:val="bottom"/>
          </w:tcPr>
          <w:p>
            <w:pPr>
              <w:spacing w:after="0"/>
              <w:rPr>
                <w:sz w:val="18"/>
                <w:szCs w:val="18"/>
                <w:color w:val="auto"/>
              </w:rPr>
            </w:pPr>
          </w:p>
        </w:tc>
        <w:tc>
          <w:tcPr>
            <w:tcW w:w="2400" w:type="dxa"/>
            <w:vAlign w:val="bottom"/>
          </w:tcPr>
          <w:p>
            <w:pPr>
              <w:jc w:val="right"/>
              <w:ind w:right="50"/>
              <w:spacing w:after="0"/>
              <w:rPr>
                <w:sz w:val="20"/>
                <w:szCs w:val="20"/>
                <w:color w:val="auto"/>
              </w:rPr>
            </w:pPr>
            <w:r>
              <w:rPr>
                <w:rFonts w:ascii="Arial" w:cs="Arial" w:eastAsia="Arial" w:hAnsi="Arial"/>
                <w:sz w:val="18"/>
                <w:szCs w:val="18"/>
                <w:color w:val="auto"/>
              </w:rPr>
              <w:t>Six months ended</w:t>
            </w:r>
          </w:p>
        </w:tc>
        <w:tc>
          <w:tcPr>
            <w:tcW w:w="960" w:type="dxa"/>
            <w:vAlign w:val="bottom"/>
          </w:tcPr>
          <w:p>
            <w:pPr>
              <w:spacing w:after="0"/>
              <w:rPr>
                <w:sz w:val="18"/>
                <w:szCs w:val="18"/>
                <w:color w:val="auto"/>
              </w:rPr>
            </w:pPr>
          </w:p>
        </w:tc>
      </w:tr>
      <w:tr>
        <w:trPr>
          <w:trHeight w:val="207"/>
        </w:trPr>
        <w:tc>
          <w:tcPr>
            <w:tcW w:w="3400" w:type="dxa"/>
            <w:vAlign w:val="bottom"/>
          </w:tcPr>
          <w:p>
            <w:pPr>
              <w:spacing w:after="0"/>
              <w:rPr>
                <w:sz w:val="17"/>
                <w:szCs w:val="17"/>
                <w:color w:val="auto"/>
              </w:rPr>
            </w:pPr>
          </w:p>
        </w:tc>
        <w:tc>
          <w:tcPr>
            <w:tcW w:w="3140" w:type="dxa"/>
            <w:vAlign w:val="bottom"/>
          </w:tcPr>
          <w:p>
            <w:pPr>
              <w:jc w:val="right"/>
              <w:ind w:right="490"/>
              <w:spacing w:after="0"/>
              <w:rPr>
                <w:sz w:val="20"/>
                <w:szCs w:val="20"/>
                <w:color w:val="auto"/>
              </w:rPr>
            </w:pPr>
            <w:r>
              <w:rPr>
                <w:rFonts w:ascii="Arial" w:cs="Arial" w:eastAsia="Arial" w:hAnsi="Arial"/>
                <w:sz w:val="18"/>
                <w:szCs w:val="18"/>
                <w:color w:val="auto"/>
              </w:rPr>
              <w:t>June 30,</w:t>
            </w:r>
          </w:p>
        </w:tc>
        <w:tc>
          <w:tcPr>
            <w:tcW w:w="1520" w:type="dxa"/>
            <w:vAlign w:val="bottom"/>
          </w:tcPr>
          <w:p>
            <w:pPr>
              <w:spacing w:after="0"/>
              <w:rPr>
                <w:sz w:val="17"/>
                <w:szCs w:val="17"/>
                <w:color w:val="auto"/>
              </w:rPr>
            </w:pPr>
          </w:p>
        </w:tc>
        <w:tc>
          <w:tcPr>
            <w:tcW w:w="2400" w:type="dxa"/>
            <w:vAlign w:val="bottom"/>
          </w:tcPr>
          <w:p>
            <w:pPr>
              <w:jc w:val="right"/>
              <w:ind w:right="43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7"/>
                <w:szCs w:val="17"/>
                <w:color w:val="auto"/>
              </w:rPr>
            </w:pPr>
          </w:p>
        </w:tc>
      </w:tr>
      <w:tr>
        <w:trPr>
          <w:trHeight w:val="225"/>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31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2012</w:t>
            </w: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2011</w:t>
            </w:r>
          </w:p>
        </w:tc>
        <w:tc>
          <w:tcPr>
            <w:tcW w:w="24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2011</w:t>
            </w:r>
          </w:p>
        </w:tc>
      </w:tr>
      <w:tr>
        <w:trPr>
          <w:trHeight w:val="250"/>
        </w:trPr>
        <w:tc>
          <w:tcPr>
            <w:tcW w:w="340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3140" w:type="dxa"/>
            <w:vAlign w:val="bottom"/>
          </w:tcPr>
          <w:p>
            <w:pPr>
              <w:jc w:val="right"/>
              <w:ind w:right="990"/>
              <w:spacing w:after="0"/>
              <w:rPr>
                <w:sz w:val="20"/>
                <w:szCs w:val="20"/>
                <w:color w:val="auto"/>
              </w:rPr>
            </w:pPr>
            <w:r>
              <w:rPr>
                <w:rFonts w:ascii="Arial" w:cs="Arial" w:eastAsia="Arial" w:hAnsi="Arial"/>
                <w:sz w:val="18"/>
                <w:szCs w:val="18"/>
                <w:b w:val="1"/>
                <w:bCs w:val="1"/>
                <w:color w:val="auto"/>
              </w:rPr>
              <w:t>$14,818</w:t>
            </w: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$10,504</w:t>
            </w:r>
          </w:p>
        </w:tc>
        <w:tc>
          <w:tcPr>
            <w:tcW w:w="2400" w:type="dxa"/>
            <w:vAlign w:val="bottom"/>
          </w:tcPr>
          <w:p>
            <w:pPr>
              <w:jc w:val="right"/>
              <w:ind w:right="930"/>
              <w:spacing w:after="0"/>
              <w:rPr>
                <w:sz w:val="20"/>
                <w:szCs w:val="20"/>
                <w:color w:val="auto"/>
              </w:rPr>
            </w:pPr>
            <w:r>
              <w:rPr>
                <w:rFonts w:ascii="Arial" w:cs="Arial" w:eastAsia="Arial" w:hAnsi="Arial"/>
                <w:sz w:val="18"/>
                <w:szCs w:val="18"/>
                <w:b w:val="1"/>
                <w:bCs w:val="1"/>
                <w:color w:val="auto"/>
              </w:rPr>
              <w:t>$30,607</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$21,976</w:t>
            </w:r>
          </w:p>
        </w:tc>
      </w:tr>
      <w:tr>
        <w:trPr>
          <w:trHeight w:val="243"/>
        </w:trPr>
        <w:tc>
          <w:tcPr>
            <w:tcW w:w="3400" w:type="dxa"/>
            <w:vAlign w:val="bottom"/>
          </w:tcPr>
          <w:p>
            <w:pPr>
              <w:ind w:left="100"/>
              <w:spacing w:after="0"/>
              <w:rPr>
                <w:sz w:val="20"/>
                <w:szCs w:val="20"/>
                <w:color w:val="auto"/>
              </w:rPr>
            </w:pPr>
            <w:r>
              <w:rPr>
                <w:rFonts w:ascii="Arial" w:cs="Arial" w:eastAsia="Arial" w:hAnsi="Arial"/>
                <w:sz w:val="18"/>
                <w:szCs w:val="18"/>
                <w:color w:val="auto"/>
              </w:rPr>
              <w:t>Gross profit</w:t>
            </w:r>
          </w:p>
        </w:tc>
        <w:tc>
          <w:tcPr>
            <w:tcW w:w="3140" w:type="dxa"/>
            <w:vAlign w:val="bottom"/>
          </w:tcPr>
          <w:p>
            <w:pPr>
              <w:jc w:val="right"/>
              <w:ind w:right="990"/>
              <w:spacing w:after="0"/>
              <w:rPr>
                <w:sz w:val="20"/>
                <w:szCs w:val="20"/>
                <w:color w:val="auto"/>
              </w:rPr>
            </w:pPr>
            <w:r>
              <w:rPr>
                <w:rFonts w:ascii="Arial" w:cs="Arial" w:eastAsia="Arial" w:hAnsi="Arial"/>
                <w:sz w:val="18"/>
                <w:szCs w:val="18"/>
                <w:b w:val="1"/>
                <w:bCs w:val="1"/>
                <w:color w:val="auto"/>
              </w:rPr>
              <w:t>1,311</w:t>
            </w: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155</w:t>
            </w:r>
          </w:p>
        </w:tc>
        <w:tc>
          <w:tcPr>
            <w:tcW w:w="2400" w:type="dxa"/>
            <w:vAlign w:val="bottom"/>
          </w:tcPr>
          <w:p>
            <w:pPr>
              <w:jc w:val="right"/>
              <w:ind w:right="930"/>
              <w:spacing w:after="0"/>
              <w:rPr>
                <w:sz w:val="20"/>
                <w:szCs w:val="20"/>
                <w:color w:val="auto"/>
              </w:rPr>
            </w:pPr>
            <w:r>
              <w:rPr>
                <w:rFonts w:ascii="Arial" w:cs="Arial" w:eastAsia="Arial" w:hAnsi="Arial"/>
                <w:sz w:val="18"/>
                <w:szCs w:val="18"/>
                <w:b w:val="1"/>
                <w:bCs w:val="1"/>
                <w:color w:val="auto"/>
              </w:rPr>
              <w:t>2,704</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136</w:t>
            </w:r>
          </w:p>
        </w:tc>
      </w:tr>
      <w:tr>
        <w:trPr>
          <w:trHeight w:val="207"/>
        </w:trPr>
        <w:tc>
          <w:tcPr>
            <w:tcW w:w="3400" w:type="dxa"/>
            <w:vAlign w:val="bottom"/>
          </w:tcPr>
          <w:p>
            <w:pPr>
              <w:ind w:left="100"/>
              <w:spacing w:after="0"/>
              <w:rPr>
                <w:sz w:val="20"/>
                <w:szCs w:val="20"/>
                <w:color w:val="auto"/>
              </w:rPr>
            </w:pPr>
            <w:r>
              <w:rPr>
                <w:rFonts w:ascii="Arial" w:cs="Arial" w:eastAsia="Arial" w:hAnsi="Arial"/>
                <w:sz w:val="18"/>
                <w:szCs w:val="18"/>
                <w:color w:val="auto"/>
              </w:rPr>
              <w:t>% of net sales</w:t>
            </w:r>
          </w:p>
        </w:tc>
        <w:tc>
          <w:tcPr>
            <w:tcW w:w="3140" w:type="dxa"/>
            <w:vAlign w:val="bottom"/>
          </w:tcPr>
          <w:p>
            <w:pPr>
              <w:jc w:val="right"/>
              <w:ind w:right="990"/>
              <w:spacing w:after="0"/>
              <w:rPr>
                <w:sz w:val="20"/>
                <w:szCs w:val="20"/>
                <w:color w:val="auto"/>
              </w:rPr>
            </w:pPr>
            <w:r>
              <w:rPr>
                <w:rFonts w:ascii="Arial" w:cs="Arial" w:eastAsia="Arial" w:hAnsi="Arial"/>
                <w:sz w:val="18"/>
                <w:szCs w:val="18"/>
                <w:b w:val="1"/>
                <w:bCs w:val="1"/>
                <w:color w:val="auto"/>
              </w:rPr>
              <w:t>8.8%</w:t>
            </w: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1.5%</w:t>
            </w:r>
          </w:p>
        </w:tc>
        <w:tc>
          <w:tcPr>
            <w:tcW w:w="2400" w:type="dxa"/>
            <w:vAlign w:val="bottom"/>
          </w:tcPr>
          <w:p>
            <w:pPr>
              <w:jc w:val="right"/>
              <w:ind w:right="930"/>
              <w:spacing w:after="0"/>
              <w:rPr>
                <w:sz w:val="20"/>
                <w:szCs w:val="20"/>
                <w:color w:val="auto"/>
              </w:rPr>
            </w:pPr>
            <w:r>
              <w:rPr>
                <w:rFonts w:ascii="Arial" w:cs="Arial" w:eastAsia="Arial" w:hAnsi="Arial"/>
                <w:sz w:val="18"/>
                <w:szCs w:val="18"/>
                <w:b w:val="1"/>
                <w:bCs w:val="1"/>
                <w:color w:val="auto"/>
              </w:rPr>
              <w:t>8.8%</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0.6%</w:t>
            </w:r>
          </w:p>
        </w:tc>
      </w:tr>
      <w:tr>
        <w:trPr>
          <w:trHeight w:val="225"/>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(loss)/income</w:t>
            </w:r>
          </w:p>
        </w:tc>
        <w:tc>
          <w:tcPr>
            <w:tcW w:w="3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(369)</w:t>
            </w: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(1,144)</w:t>
            </w:r>
          </w:p>
        </w:tc>
        <w:tc>
          <w:tcPr>
            <w:tcW w:w="24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(340)</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comparison</w:t>
      </w:r>
    </w:p>
    <w:p>
      <w:pPr>
        <w:ind w:left="540" w:right="40"/>
        <w:spacing w:after="0" w:line="246" w:lineRule="auto"/>
        <w:rPr>
          <w:sz w:val="20"/>
          <w:szCs w:val="20"/>
          <w:color w:val="auto"/>
        </w:rPr>
      </w:pPr>
      <w:r>
        <w:rPr>
          <w:rFonts w:ascii="Arial" w:cs="Arial" w:eastAsia="Arial" w:hAnsi="Arial"/>
          <w:sz w:val="18"/>
          <w:szCs w:val="18"/>
          <w:color w:val="auto"/>
        </w:rPr>
        <w:t>The 41% increase in 2012 net sales was principally due to improved revenues from existing programs, including Landing Braces, LEAP-X, and Joint Strike Fighter advanced composite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-229235</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comparison</w:t>
      </w:r>
    </w:p>
    <w:p>
      <w:pPr>
        <w:spacing w:after="0" w:line="1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39% increase in 2012 net sales was principally due to improved revenues from existing programs, including Landing Braces, LEAP-X, and Joint Strike Fighter advanced composite materials.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comparisons</w:t>
      </w:r>
    </w:p>
    <w:p>
      <w:pPr>
        <w:spacing w:after="0"/>
        <w:rPr>
          <w:sz w:val="20"/>
          <w:szCs w:val="20"/>
          <w:color w:val="auto"/>
        </w:rPr>
      </w:pPr>
      <w:r>
        <w:rPr>
          <w:rFonts w:ascii="Arial" w:cs="Arial" w:eastAsia="Arial" w:hAnsi="Arial"/>
          <w:sz w:val="18"/>
          <w:szCs w:val="18"/>
          <w:color w:val="auto"/>
        </w:rPr>
        <w:t>The increase in 2012 gross profit was principally due to higher sales and improved pricing in some of the legacy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 comparison</w:t>
      </w:r>
    </w:p>
    <w:p>
      <w:pPr>
        <w:spacing w:after="0"/>
        <w:rPr>
          <w:sz w:val="20"/>
          <w:szCs w:val="20"/>
          <w:color w:val="auto"/>
        </w:rPr>
      </w:pPr>
      <w:r>
        <w:rPr>
          <w:rFonts w:ascii="Arial" w:cs="Arial" w:eastAsia="Arial" w:hAnsi="Arial"/>
          <w:sz w:val="18"/>
          <w:szCs w:val="18"/>
          <w:color w:val="auto"/>
        </w:rPr>
        <w:t>The decrease in 2012 operating loss was principally due to the higher net sales and improved gross margins.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9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Sales and EBITDA both increased sharply compared to Q2 2011. The development and ramp-up of the LEAP program continued to progress on schedule. Our customers, Safran and CFM (the joint venture between Safran and GE), have announced nearly 4,000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35" w:name="page36"/>
    <w:bookmarkEnd w:id="35"/>
    <w:p>
      <w:pPr>
        <w:jc w:val="both"/>
        <w:spacing w:after="0"/>
        <w:rPr>
          <w:sz w:val="20"/>
          <w:szCs w:val="20"/>
          <w:color w:val="auto"/>
        </w:rPr>
      </w:pPr>
      <w:r>
        <w:rPr>
          <w:rFonts w:ascii="Arial" w:cs="Arial" w:eastAsia="Arial" w:hAnsi="Arial"/>
          <w:sz w:val="18"/>
          <w:szCs w:val="18"/>
          <w:color w:val="auto"/>
        </w:rPr>
        <w:t>orders for the LEAP engine to date. Meanwhile, our R&amp;D pipeline continues to expand, relations with our other major customers – most notably Rolls-Royce on the Joint Strike Fighter program – continue to strengthen, and Boeing has now announced that the ground test for the ceramic engine nozzle is scheduled for Q3, and that a flight test on a Boeing “EcoDemonstrator” aircraft is scheduled for Q3.</w:t>
      </w:r>
    </w:p>
    <w:p>
      <w:pPr>
        <w:spacing w:after="0" w:line="176"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We continue to expect incremental improvement in AEC’s performance until the inflection point for the LEAP program in 2016, followed by a very steep ramp to full production of LEAP engine components by 2019. We continue to see the potential for a growing array of new product possibilities beyond the first wave of LEAP components and we continue to expect to generate significant excess cash through this period of intense growth in AEC.</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Six months ended</w:t>
            </w:r>
          </w:p>
        </w:tc>
        <w:tc>
          <w:tcPr>
            <w:tcW w:w="1100" w:type="dxa"/>
            <w:vAlign w:val="bottom"/>
            <w:tcBorders>
              <w:top w:val="single" w:sz="8" w:color="auto"/>
            </w:tcBorders>
          </w:tcPr>
          <w:p>
            <w:pPr>
              <w:spacing w:after="0"/>
              <w:rPr>
                <w:sz w:val="20"/>
                <w:szCs w:val="20"/>
                <w:color w:val="auto"/>
              </w:rPr>
            </w:pPr>
          </w:p>
        </w:tc>
      </w:tr>
      <w:tr>
        <w:trPr>
          <w:trHeight w:val="206"/>
        </w:trPr>
        <w:tc>
          <w:tcPr>
            <w:tcW w:w="6920" w:type="dxa"/>
            <w:vAlign w:val="bottom"/>
          </w:tcPr>
          <w:p>
            <w:pPr>
              <w:spacing w:after="0"/>
              <w:rPr>
                <w:sz w:val="17"/>
                <w:szCs w:val="17"/>
                <w:color w:val="auto"/>
              </w:rPr>
            </w:pPr>
          </w:p>
        </w:tc>
        <w:tc>
          <w:tcPr>
            <w:tcW w:w="3400" w:type="dxa"/>
            <w:vAlign w:val="bottom"/>
          </w:tcPr>
          <w:p>
            <w:pPr>
              <w:jc w:val="right"/>
              <w:ind w:right="570"/>
              <w:spacing w:after="0" w:line="206" w:lineRule="exact"/>
              <w:rPr>
                <w:sz w:val="20"/>
                <w:szCs w:val="20"/>
                <w:color w:val="auto"/>
              </w:rPr>
            </w:pPr>
            <w:r>
              <w:rPr>
                <w:rFonts w:ascii="Arial" w:cs="Arial" w:eastAsia="Arial" w:hAnsi="Arial"/>
                <w:sz w:val="18"/>
                <w:szCs w:val="18"/>
                <w:color w:val="auto"/>
              </w:rPr>
              <w:t>June 30,</w:t>
            </w:r>
          </w:p>
        </w:tc>
        <w:tc>
          <w:tcPr>
            <w:tcW w:w="1100" w:type="dxa"/>
            <w:vAlign w:val="bottom"/>
          </w:tcPr>
          <w:p>
            <w:pPr>
              <w:spacing w:after="0"/>
              <w:rPr>
                <w:sz w:val="17"/>
                <w:szCs w:val="17"/>
                <w:color w:val="auto"/>
              </w:rPr>
            </w:pPr>
          </w:p>
        </w:tc>
      </w:tr>
      <w:tr>
        <w:trPr>
          <w:trHeight w:val="225"/>
        </w:trPr>
        <w:tc>
          <w:tcPr>
            <w:tcW w:w="6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3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2012</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2011</w:t>
            </w:r>
          </w:p>
        </w:tc>
      </w:tr>
      <w:tr>
        <w:trPr>
          <w:trHeight w:val="173"/>
        </w:trPr>
        <w:tc>
          <w:tcPr>
            <w:tcW w:w="6920" w:type="dxa"/>
            <w:vAlign w:val="bottom"/>
          </w:tcPr>
          <w:p>
            <w:pPr>
              <w:ind w:left="100"/>
              <w:spacing w:after="0" w:line="173" w:lineRule="exact"/>
              <w:rPr>
                <w:sz w:val="20"/>
                <w:szCs w:val="20"/>
                <w:color w:val="auto"/>
              </w:rPr>
            </w:pPr>
            <w:r>
              <w:rPr>
                <w:rFonts w:ascii="Arial" w:cs="Arial" w:eastAsia="Arial" w:hAnsi="Arial"/>
                <w:sz w:val="18"/>
                <w:szCs w:val="18"/>
                <w:color w:val="auto"/>
              </w:rPr>
              <w:t>Net income</w:t>
            </w:r>
          </w:p>
        </w:tc>
        <w:tc>
          <w:tcPr>
            <w:tcW w:w="3400" w:type="dxa"/>
            <w:vAlign w:val="bottom"/>
          </w:tcPr>
          <w:p>
            <w:pPr>
              <w:jc w:val="right"/>
              <w:ind w:right="1010"/>
              <w:spacing w:after="0" w:line="173" w:lineRule="exact"/>
              <w:rPr>
                <w:sz w:val="20"/>
                <w:szCs w:val="20"/>
                <w:color w:val="auto"/>
              </w:rPr>
            </w:pPr>
            <w:r>
              <w:rPr>
                <w:rFonts w:ascii="Arial" w:cs="Arial" w:eastAsia="Arial" w:hAnsi="Arial"/>
                <w:sz w:val="18"/>
                <w:szCs w:val="18"/>
                <w:b w:val="1"/>
                <w:bCs w:val="1"/>
                <w:color w:val="auto"/>
              </w:rPr>
              <w:t>$13,296</w:t>
            </w:r>
          </w:p>
        </w:tc>
        <w:tc>
          <w:tcPr>
            <w:tcW w:w="1100" w:type="dxa"/>
            <w:vAlign w:val="bottom"/>
          </w:tcPr>
          <w:p>
            <w:pPr>
              <w:jc w:val="right"/>
              <w:ind w:right="50"/>
              <w:spacing w:after="0" w:line="173" w:lineRule="exact"/>
              <w:rPr>
                <w:sz w:val="20"/>
                <w:szCs w:val="20"/>
                <w:color w:val="auto"/>
              </w:rPr>
            </w:pPr>
            <w:r>
              <w:rPr>
                <w:rFonts w:ascii="Arial" w:cs="Arial" w:eastAsia="Arial" w:hAnsi="Arial"/>
                <w:sz w:val="18"/>
                <w:szCs w:val="18"/>
                <w:color w:val="auto"/>
              </w:rPr>
              <w:t>$25,495</w:t>
            </w:r>
          </w:p>
        </w:tc>
      </w:tr>
      <w:tr>
        <w:trPr>
          <w:trHeight w:val="203"/>
        </w:trPr>
        <w:tc>
          <w:tcPr>
            <w:tcW w:w="6920" w:type="dxa"/>
            <w:vAlign w:val="bottom"/>
          </w:tcPr>
          <w:p>
            <w:pPr>
              <w:ind w:left="260"/>
              <w:spacing w:after="0" w:line="202" w:lineRule="exact"/>
              <w:rPr>
                <w:sz w:val="20"/>
                <w:szCs w:val="20"/>
                <w:color w:val="auto"/>
              </w:rPr>
            </w:pPr>
            <w:r>
              <w:rPr>
                <w:rFonts w:ascii="Arial" w:cs="Arial" w:eastAsia="Arial" w:hAnsi="Arial"/>
                <w:sz w:val="18"/>
                <w:szCs w:val="18"/>
                <w:color w:val="auto"/>
              </w:rPr>
              <w:t>Changes in working capital</w:t>
            </w:r>
          </w:p>
        </w:tc>
        <w:tc>
          <w:tcPr>
            <w:tcW w:w="3400" w:type="dxa"/>
            <w:vAlign w:val="bottom"/>
          </w:tcPr>
          <w:p>
            <w:pPr>
              <w:jc w:val="right"/>
              <w:ind w:right="950"/>
              <w:spacing w:after="0" w:line="202" w:lineRule="exact"/>
              <w:rPr>
                <w:sz w:val="20"/>
                <w:szCs w:val="20"/>
                <w:color w:val="auto"/>
              </w:rPr>
            </w:pPr>
            <w:r>
              <w:rPr>
                <w:rFonts w:ascii="Arial" w:cs="Arial" w:eastAsia="Arial" w:hAnsi="Arial"/>
                <w:sz w:val="18"/>
                <w:szCs w:val="18"/>
                <w:b w:val="1"/>
                <w:bCs w:val="1"/>
                <w:color w:val="auto"/>
              </w:rPr>
              <w:t>(9,009)</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(7,362)</w:t>
            </w:r>
          </w:p>
        </w:tc>
      </w:tr>
      <w:tr>
        <w:trPr>
          <w:trHeight w:val="203"/>
        </w:trPr>
        <w:tc>
          <w:tcPr>
            <w:tcW w:w="6920" w:type="dxa"/>
            <w:vAlign w:val="bottom"/>
          </w:tcPr>
          <w:p>
            <w:pPr>
              <w:ind w:left="260"/>
              <w:spacing w:after="0" w:line="202" w:lineRule="exact"/>
              <w:rPr>
                <w:sz w:val="20"/>
                <w:szCs w:val="20"/>
                <w:color w:val="auto"/>
              </w:rPr>
            </w:pPr>
            <w:r>
              <w:rPr>
                <w:rFonts w:ascii="Arial" w:cs="Arial" w:eastAsia="Arial" w:hAnsi="Arial"/>
                <w:sz w:val="18"/>
                <w:szCs w:val="18"/>
                <w:color w:val="auto"/>
              </w:rPr>
              <w:t>Gain on disposition of assets</w:t>
            </w:r>
          </w:p>
        </w:tc>
        <w:tc>
          <w:tcPr>
            <w:tcW w:w="3400" w:type="dxa"/>
            <w:vAlign w:val="bottom"/>
          </w:tcPr>
          <w:p>
            <w:pPr>
              <w:jc w:val="right"/>
              <w:ind w:right="950"/>
              <w:spacing w:after="0" w:line="202" w:lineRule="exact"/>
              <w:rPr>
                <w:sz w:val="20"/>
                <w:szCs w:val="20"/>
                <w:color w:val="auto"/>
              </w:rPr>
            </w:pPr>
            <w:r>
              <w:rPr>
                <w:rFonts w:ascii="Arial" w:cs="Arial" w:eastAsia="Arial" w:hAnsi="Arial"/>
                <w:sz w:val="18"/>
                <w:szCs w:val="18"/>
                <w:b w:val="1"/>
                <w:bCs w:val="1"/>
                <w:color w:val="auto"/>
              </w:rPr>
              <w:t>(92,677)</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(1,022)</w:t>
            </w:r>
          </w:p>
        </w:tc>
      </w:tr>
      <w:tr>
        <w:trPr>
          <w:trHeight w:val="203"/>
        </w:trPr>
        <w:tc>
          <w:tcPr>
            <w:tcW w:w="6920" w:type="dxa"/>
            <w:vAlign w:val="bottom"/>
          </w:tcPr>
          <w:p>
            <w:pPr>
              <w:ind w:left="26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3400" w:type="dxa"/>
            <w:vAlign w:val="bottom"/>
          </w:tcPr>
          <w:p>
            <w:pPr>
              <w:jc w:val="right"/>
              <w:ind w:right="950"/>
              <w:spacing w:after="0" w:line="202" w:lineRule="exact"/>
              <w:rPr>
                <w:sz w:val="20"/>
                <w:szCs w:val="20"/>
                <w:color w:val="auto"/>
              </w:rPr>
            </w:pPr>
            <w:r>
              <w:rPr>
                <w:rFonts w:ascii="Arial" w:cs="Arial" w:eastAsia="Arial" w:hAnsi="Arial"/>
                <w:sz w:val="18"/>
                <w:szCs w:val="18"/>
                <w:b w:val="1"/>
                <w:bCs w:val="1"/>
                <w:color w:val="auto"/>
              </w:rPr>
              <w:t>(117,852)</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r>
      <w:tr>
        <w:trPr>
          <w:trHeight w:val="225"/>
        </w:trPr>
        <w:tc>
          <w:tcPr>
            <w:tcW w:w="69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operating items</w:t>
            </w:r>
          </w:p>
        </w:tc>
        <w:tc>
          <w:tcPr>
            <w:tcW w:w="3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152,794</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34,711</w:t>
            </w:r>
          </w:p>
        </w:tc>
      </w:tr>
      <w:tr>
        <w:trPr>
          <w:trHeight w:val="173"/>
        </w:trPr>
        <w:tc>
          <w:tcPr>
            <w:tcW w:w="6920" w:type="dxa"/>
            <w:vAlign w:val="bottom"/>
          </w:tcPr>
          <w:p>
            <w:pPr>
              <w:ind w:left="100"/>
              <w:spacing w:after="0" w:line="173" w:lineRule="exact"/>
              <w:rPr>
                <w:sz w:val="20"/>
                <w:szCs w:val="20"/>
                <w:color w:val="auto"/>
              </w:rPr>
            </w:pPr>
            <w:r>
              <w:rPr>
                <w:rFonts w:ascii="Arial" w:cs="Arial" w:eastAsia="Arial" w:hAnsi="Arial"/>
                <w:sz w:val="18"/>
                <w:szCs w:val="18"/>
                <w:color w:val="auto"/>
              </w:rPr>
              <w:t>Net cash (used in)/provided by operating activities</w:t>
            </w:r>
          </w:p>
        </w:tc>
        <w:tc>
          <w:tcPr>
            <w:tcW w:w="3400" w:type="dxa"/>
            <w:vAlign w:val="bottom"/>
          </w:tcPr>
          <w:p>
            <w:pPr>
              <w:jc w:val="right"/>
              <w:ind w:right="950"/>
              <w:spacing w:after="0" w:line="173" w:lineRule="exact"/>
              <w:rPr>
                <w:sz w:val="20"/>
                <w:szCs w:val="20"/>
                <w:color w:val="auto"/>
              </w:rPr>
            </w:pPr>
            <w:r>
              <w:rPr>
                <w:rFonts w:ascii="Arial" w:cs="Arial" w:eastAsia="Arial" w:hAnsi="Arial"/>
                <w:sz w:val="18"/>
                <w:szCs w:val="18"/>
                <w:b w:val="1"/>
                <w:bCs w:val="1"/>
                <w:color w:val="auto"/>
              </w:rPr>
              <w:t>(53,448)</w:t>
            </w:r>
          </w:p>
        </w:tc>
        <w:tc>
          <w:tcPr>
            <w:tcW w:w="110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51,798</w:t>
            </w:r>
          </w:p>
        </w:tc>
      </w:tr>
      <w:tr>
        <w:trPr>
          <w:trHeight w:val="203"/>
        </w:trPr>
        <w:tc>
          <w:tcPr>
            <w:tcW w:w="6920" w:type="dxa"/>
            <w:vAlign w:val="bottom"/>
          </w:tcPr>
          <w:p>
            <w:pPr>
              <w:ind w:left="100"/>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3400" w:type="dxa"/>
            <w:vAlign w:val="bottom"/>
          </w:tcPr>
          <w:p>
            <w:pPr>
              <w:jc w:val="right"/>
              <w:ind w:right="1010"/>
              <w:spacing w:after="0" w:line="202" w:lineRule="exact"/>
              <w:rPr>
                <w:sz w:val="20"/>
                <w:szCs w:val="20"/>
                <w:color w:val="auto"/>
              </w:rPr>
            </w:pPr>
            <w:r>
              <w:rPr>
                <w:rFonts w:ascii="Arial" w:cs="Arial" w:eastAsia="Arial" w:hAnsi="Arial"/>
                <w:sz w:val="18"/>
                <w:szCs w:val="18"/>
                <w:b w:val="1"/>
                <w:bCs w:val="1"/>
                <w:color w:val="auto"/>
              </w:rPr>
              <w:t>136,456</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(12,786)</w:t>
            </w:r>
          </w:p>
        </w:tc>
      </w:tr>
      <w:tr>
        <w:trPr>
          <w:trHeight w:val="203"/>
        </w:trPr>
        <w:tc>
          <w:tcPr>
            <w:tcW w:w="6920" w:type="dxa"/>
            <w:vAlign w:val="bottom"/>
          </w:tcPr>
          <w:p>
            <w:pPr>
              <w:ind w:left="100"/>
              <w:spacing w:after="0" w:line="202" w:lineRule="exact"/>
              <w:rPr>
                <w:sz w:val="20"/>
                <w:szCs w:val="20"/>
                <w:color w:val="auto"/>
              </w:rPr>
            </w:pPr>
            <w:r>
              <w:rPr>
                <w:rFonts w:ascii="Arial" w:cs="Arial" w:eastAsia="Arial" w:hAnsi="Arial"/>
                <w:sz w:val="18"/>
                <w:szCs w:val="18"/>
                <w:color w:val="auto"/>
              </w:rPr>
              <w:t>Net cash (used in)/provided by financing activities</w:t>
            </w:r>
          </w:p>
        </w:tc>
        <w:tc>
          <w:tcPr>
            <w:tcW w:w="3400" w:type="dxa"/>
            <w:vAlign w:val="bottom"/>
          </w:tcPr>
          <w:p>
            <w:pPr>
              <w:jc w:val="right"/>
              <w:ind w:right="950"/>
              <w:spacing w:after="0" w:line="202" w:lineRule="exact"/>
              <w:rPr>
                <w:sz w:val="20"/>
                <w:szCs w:val="20"/>
                <w:color w:val="auto"/>
              </w:rPr>
            </w:pPr>
            <w:r>
              <w:rPr>
                <w:rFonts w:ascii="Arial" w:cs="Arial" w:eastAsia="Arial" w:hAnsi="Arial"/>
                <w:sz w:val="18"/>
                <w:szCs w:val="18"/>
                <w:b w:val="1"/>
                <w:bCs w:val="1"/>
                <w:color w:val="auto"/>
              </w:rPr>
              <w:t>(38,918)</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(14,511)</w:t>
            </w:r>
          </w:p>
        </w:tc>
      </w:tr>
      <w:tr>
        <w:trPr>
          <w:trHeight w:val="225"/>
        </w:trPr>
        <w:tc>
          <w:tcPr>
            <w:tcW w:w="6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 and cash equivalents</w:t>
            </w:r>
          </w:p>
        </w:tc>
        <w:tc>
          <w:tcPr>
            <w:tcW w:w="3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1,593</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10,244</w:t>
            </w:r>
          </w:p>
        </w:tc>
      </w:tr>
      <w:tr>
        <w:trPr>
          <w:trHeight w:val="173"/>
        </w:trPr>
        <w:tc>
          <w:tcPr>
            <w:tcW w:w="6920" w:type="dxa"/>
            <w:vAlign w:val="bottom"/>
          </w:tcPr>
          <w:p>
            <w:pPr>
              <w:ind w:left="100"/>
              <w:spacing w:after="0" w:line="173" w:lineRule="exact"/>
              <w:rPr>
                <w:sz w:val="20"/>
                <w:szCs w:val="20"/>
                <w:color w:val="auto"/>
              </w:rPr>
            </w:pPr>
            <w:r>
              <w:rPr>
                <w:rFonts w:ascii="Arial" w:cs="Arial" w:eastAsia="Arial" w:hAnsi="Arial"/>
                <w:sz w:val="18"/>
                <w:szCs w:val="18"/>
                <w:color w:val="auto"/>
              </w:rPr>
              <w:t>Increase in cash and cash equivalents</w:t>
            </w:r>
          </w:p>
        </w:tc>
        <w:tc>
          <w:tcPr>
            <w:tcW w:w="3400" w:type="dxa"/>
            <w:vAlign w:val="bottom"/>
          </w:tcPr>
          <w:p>
            <w:pPr>
              <w:jc w:val="right"/>
              <w:ind w:right="1010"/>
              <w:spacing w:after="0" w:line="173" w:lineRule="exact"/>
              <w:rPr>
                <w:sz w:val="20"/>
                <w:szCs w:val="20"/>
                <w:color w:val="auto"/>
              </w:rPr>
            </w:pPr>
            <w:r>
              <w:rPr>
                <w:rFonts w:ascii="Arial" w:cs="Arial" w:eastAsia="Arial" w:hAnsi="Arial"/>
                <w:sz w:val="18"/>
                <w:szCs w:val="18"/>
                <w:b w:val="1"/>
                <w:bCs w:val="1"/>
                <w:color w:val="auto"/>
              </w:rPr>
              <w:t>45,683</w:t>
            </w:r>
          </w:p>
        </w:tc>
        <w:tc>
          <w:tcPr>
            <w:tcW w:w="110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34,745</w:t>
            </w:r>
          </w:p>
        </w:tc>
      </w:tr>
      <w:tr>
        <w:trPr>
          <w:trHeight w:val="203"/>
        </w:trPr>
        <w:tc>
          <w:tcPr>
            <w:tcW w:w="6920" w:type="dxa"/>
            <w:vAlign w:val="bottom"/>
          </w:tcPr>
          <w:p>
            <w:pPr>
              <w:ind w:left="100"/>
              <w:spacing w:after="0" w:line="202" w:lineRule="exact"/>
              <w:rPr>
                <w:sz w:val="20"/>
                <w:szCs w:val="20"/>
                <w:color w:val="auto"/>
              </w:rPr>
            </w:pPr>
            <w:r>
              <w:rPr>
                <w:rFonts w:ascii="Arial" w:cs="Arial" w:eastAsia="Arial" w:hAnsi="Arial"/>
                <w:sz w:val="18"/>
                <w:szCs w:val="18"/>
                <w:color w:val="auto"/>
              </w:rPr>
              <w:t>Change in cash balances of discontinued operations</w:t>
            </w:r>
          </w:p>
        </w:tc>
        <w:tc>
          <w:tcPr>
            <w:tcW w:w="3400" w:type="dxa"/>
            <w:vAlign w:val="bottom"/>
          </w:tcPr>
          <w:p>
            <w:pPr>
              <w:jc w:val="right"/>
              <w:ind w:right="101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(976)</w:t>
            </w:r>
          </w:p>
        </w:tc>
      </w:tr>
      <w:tr>
        <w:trPr>
          <w:trHeight w:val="225"/>
        </w:trPr>
        <w:tc>
          <w:tcPr>
            <w:tcW w:w="6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at beginning of year</w:t>
            </w:r>
          </w:p>
        </w:tc>
        <w:tc>
          <w:tcPr>
            <w:tcW w:w="34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118,909</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117,925</w:t>
            </w:r>
          </w:p>
        </w:tc>
      </w:tr>
      <w:tr>
        <w:trPr>
          <w:trHeight w:val="196"/>
        </w:trPr>
        <w:tc>
          <w:tcPr>
            <w:tcW w:w="69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400" w:type="dxa"/>
            <w:vAlign w:val="bottom"/>
            <w:tcBorders>
              <w:bottom w:val="single" w:sz="8" w:color="auto"/>
            </w:tcBorders>
          </w:tcPr>
          <w:p>
            <w:pPr>
              <w:jc w:val="right"/>
              <w:ind w:right="1010"/>
              <w:spacing w:after="0" w:line="196" w:lineRule="exact"/>
              <w:rPr>
                <w:sz w:val="20"/>
                <w:szCs w:val="20"/>
                <w:color w:val="auto"/>
              </w:rPr>
            </w:pPr>
            <w:r>
              <w:rPr>
                <w:rFonts w:ascii="Arial" w:cs="Arial" w:eastAsia="Arial" w:hAnsi="Arial"/>
                <w:sz w:val="18"/>
                <w:szCs w:val="18"/>
                <w:b w:val="1"/>
                <w:bCs w:val="1"/>
                <w:color w:val="auto"/>
              </w:rPr>
              <w:t>164,592</w:t>
            </w:r>
          </w:p>
        </w:tc>
        <w:tc>
          <w:tcPr>
            <w:tcW w:w="11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151,694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is our discussion of cash flow activities comparing the six-months ending June 30, 2012 to the same period of 2011: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decrease in cash provided by operating activities in 2012 was principally due to contributions to pension plans, which is included in Changes in long-term liabilities, deferred taxes and other credits in the above table. As part of the Company’s previously disclosed plan to fund and, in some areas, settle part of our pension liabilities in the U.S., Canada, and Sweden, $30 million of cash was used to settle the Swedish pension liabilities in Q1, we contributed $30 million in Q1 and $20 million in Q2 to the U.S. pension plan, and subsequently settled two-thirds of our U.S. pension obligations, and $ 18 million was contributed in Q2 to the plan in Canada to fully fund the plan and settle about half of the plan obligation. Other operating items in 2012 includes $118.4 representing the write-off of deferred charges associated with the pension plan settlements. As a result of the funding and settlement activities, the global unfunded pension liability decreased from $101.2 million at December 31, 2011 to $26.9 million at June 30, 2012. With the completion of this plan, approximately $215 million of pension plan obligations were settled, and pension expense has been reduced by $7-8 million per year.</w:t>
      </w:r>
    </w:p>
    <w:p>
      <w:pPr>
        <w:spacing w:after="0" w:line="16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Changes in working capital include changes in inventories and accounts receivable. Inventories increased $0.1 million in 2012 and $17.3 million in 2011. Accounts receivable increased $10.5 million in 2012, and decreased $6.9 million in 2011.</w:t>
      </w:r>
    </w:p>
    <w:p>
      <w:pPr>
        <w:spacing w:after="0" w:line="156"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Depreciation and amortization expense totaled $32.2 million in 2012 and $33.0 million in 2011. For the full year 2012, we expect our depreciation and amortization to total $65.0 million.</w:t>
      </w:r>
    </w:p>
    <w:p>
      <w:pPr>
        <w:spacing w:after="0" w:line="17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previously disclosed, the Company reached a settlement in Q1 with the Canadian Revenue Agency (CRA) related to reassessment notices for tax years 2001 to 2008. Letters of credit of $50 million in the aggregate, required by the CRA during this process, were released by the CRA in Q2. Including the utilization of net operating loss carry-forwards and other deferred tax assets, cash paid for income taxes during the first half of 2012 was approximately $12 million, and is expected to total $13 to $15 million in 2012.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Capital expenditures, including purchased software, were $14.2 million during the first six months of 2012 and $15.6 million in the first quarter of 2011. We estimate capital spending for the full year of 2012 to be approximately $35 - $40 million.</w:t>
      </w:r>
    </w:p>
    <w:p>
      <w:pPr>
        <w:spacing w:after="0" w:line="170" w:lineRule="exact"/>
        <w:rPr>
          <w:sz w:val="20"/>
          <w:szCs w:val="20"/>
          <w:color w:val="auto"/>
        </w:rPr>
      </w:pPr>
    </w:p>
    <w:p>
      <w:pPr>
        <w:jc w:val="both"/>
        <w:ind w:right="80"/>
        <w:spacing w:after="0" w:line="228" w:lineRule="auto"/>
        <w:rPr>
          <w:sz w:val="20"/>
          <w:szCs w:val="20"/>
          <w:color w:val="auto"/>
        </w:rPr>
      </w:pPr>
      <w:r>
        <w:rPr>
          <w:rFonts w:ascii="Arial" w:cs="Arial" w:eastAsia="Arial" w:hAnsi="Arial"/>
          <w:sz w:val="17"/>
          <w:szCs w:val="17"/>
          <w:color w:val="auto"/>
        </w:rPr>
        <w:t>During Q2 2012, the Company completed the sale of 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Of the $38 million sale price, $34 million was received in June, with the remainder, subject to any post-closing adjustments, expected to be received in December 2013. During Q1 2012, the Company completed the sale of Albany Door Systems. At June 30, $122 million of the $135 million sale price had been received, with the remainder expected to be received in July 2013. We sold one U.S. manufacturing property during the first quarter of 2011 for $1.7 million in cash proceeds.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Financing Activities</w:t>
      </w:r>
    </w:p>
    <w:p>
      <w:pPr>
        <w:spacing w:after="0" w:line="20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Cash dividends paid were $ 8.1 million during the first six months of 2012 and $7.5 million during the first six months of 2011. Dividends have been declared each quarter since the fourth quarter of 2001. Decisions with respect to whether a dividend will be paid, as well as the amount of the dividend, if applicable, are made by the Board of Directors each quarter. To the extent the Board declares cash dividends in the future, we would expect to pay such dividends out of operating cash flows. Future cash dividends will depend on debt covenants and on the Board’s assessment of our ability to generate sufficient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93"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June 30, 2012 was held non-U.S. subsidiaries.</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 $390 million five-year revolving credit agreement that was executed during 2010. During 2012 we paid down outstanding debt under this agreement of $31 million, leaving $156 million outstanding as of June 30, 2012. These debt payments were made possible by our ability to repatriate cash from non-U.S. accounts in a tax efficient manner. During Q2 2012 we cancelled the entire $51 million in letters of credit outstanding under this agreement, due to the settlement of assessments for income tax contingencies. Income tax contingencies are more fully described in Note 7 of Notes to Consolidated Financial Statements.</w:t>
      </w:r>
    </w:p>
    <w:p>
      <w:pPr>
        <w:spacing w:after="0" w:line="16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applicable interest rate for borrowings under the agreement is LIBOR plus a spread (all-in), based on our leverage ratio at the time of borrowing. Spreads under the 2010 agreement are higher than under the old agreement, reflecting changes in market spreads. As of June 30 the all-in interest rate was 3.66% in 2012 and 3.53% in 2011.</w:t>
      </w:r>
    </w:p>
    <w:p>
      <w:pPr>
        <w:spacing w:after="0" w:line="16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connection with our 2010 credit agreement, we entered into interest rate swap agreements that have the effect of fixing the LIBOR portion of the effective interest rate (before addition of the spread) on $ 105.0 million of the indebtedness drawn under the credit agreement at the rate of 2.04% until these swap agreements expire on July 16, 2015. Under the terms of hedging transactions, we pay the fixed rate of 2.04% and the counterparties pay a floating rate based on the three-month LIBOR rate at each quarterly calculation date. On June 30, 2012, the applicable spread was 225 basis points, yielding an effective annual rate of 4.29%.</w:t>
      </w:r>
    </w:p>
    <w:p>
      <w:pPr>
        <w:spacing w:after="0" w:line="17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have a $ 150.0 million borrowing from the Prudential Insurance Company of America, for which the agreement was amended and restated during 2010. The principal is due in three installments of $50.0 million each in 2013, 2015, and 2017, and the interest rate is fixed at 6.84%.</w:t>
      </w:r>
    </w:p>
    <w:p>
      <w:pPr>
        <w:spacing w:after="0" w:line="13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also have $28.4 million principal amount of 2.25% convertible notes outstanding that were issued March 2006. The notes are convertible upon the occurrence of specified events, as described in Note 11 of Notes to Consolidated Financial Statements.</w:t>
      </w:r>
    </w:p>
    <w:p>
      <w:pPr>
        <w:spacing w:after="0" w:line="15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Reflecting, in each case, the effect of subsequent amendments to each agreement, we are currently required to maintain a leverage ratio of not greater than 3.50 to 1.00 and to maintain a minimum interest coverage of 3.00 to 1.00 under the new credit agreement and Prudential agreement.</w:t>
      </w:r>
    </w:p>
    <w:p>
      <w:pPr>
        <w:spacing w:after="0" w:line="176"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As of June 30, 2012, our leverage ratio was 1.11 to 1.00 and our interest coverage ratio was 13.82 to 1.00. We may purchase our Common Stock or pay dividends to the extent our leverage ratio remains at or below 3.50 to 1.00, and may make acquisitions with cash provided our leverage ratio would not exceed 3.00 to 1.00 after giving pro forma effect to the acquisition. As of June 30, 2012, we were in compliance with the covenants of our debt and credit agreements.</w:t>
      </w:r>
    </w:p>
    <w:p>
      <w:pPr>
        <w:spacing w:after="0" w:line="16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the maximum leverage ratio and our consolidated EBITDA (as defined in the new agreement), and without modification to any other credit agreements, as of June 30, 2012, we would have been able to borrow an additional $234 million under our credit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21012, we have no off-balance sheet arrangements required to be disclosed pursuant to Item 303(a)(4) of Regulation S-K.</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May 2011, the Financial Accounting Standards Board (FASB) amended authoritative guidance related to common fair value measurements and disclosure requirements. This pronouncement was issued to provide a consistent definition of fair value and ensure that the fair value measurement and disclosure requirements are similar between U.S. GAAP and IFRS. This pronouncement changes certain fair value measurement principles and enhances the disclosure requirements, particularly for level 3 fair value measurements, and is effective for reporting periods beginning on or after December 15, 2011. This pronouncement was adopted effective January 1, 2012 and did not have a material effect on our financial statements.</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June and December 2011, the FASB issued guidance that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This guidance was adopted effective January 1, 2012 and concerns presentation and disclosure only and did not have a material impact on our financial statements.</w:t>
      </w:r>
    </w:p>
    <w:p>
      <w:pPr>
        <w:spacing w:after="0" w:line="19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September 2011, the FASB issued guidance intended to reduce the cost and complexity of the annual goodwill impairment test by providing entities an option to perform a “qualitative” assessment to determine whether further impairment testing is necessary. This pronouncement is effective for annual and interim goodwill impairment tests performed for fiscal years beginning after December 15, 2011. The adoption of this guidance did not have a material effect on our financial statements.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16"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Non-GAAP Measures</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pension settlement charges, sales excluding currency effects, effective income tax rate exclusive of income tax adjustments, net debt,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quarter of specific restructuring costs, or other gains and losses, on operating income or EBITDA can give management and investors additional insight into quarterly performance, especially when compared to quarters in which such items had a greater or lesser effect, or no effect.</w:t>
      </w:r>
    </w:p>
    <w:p>
      <w:pPr>
        <w:spacing w:after="0" w:line="19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effective income tax rate, exclusive of income tax adjustments, by removing income tax adjustments from total Income tax expense, then dividing that result by Income before tax. The Company calculates EBITDA by adding Interest expense net, Income taxes, Depreciation and Amortization to Net income. Adjusted EBITDA is calculated by adding to EBITDA: costs associated with restructuring and pension settlements, and then adding or subtracting revaluation losses or gains and subtracting building share gains.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a substitute for, the information contained in the Company’s statements of operations</w:t>
      </w:r>
      <w:r>
        <w:rPr>
          <w:rFonts w:ascii="Arial" w:cs="Arial" w:eastAsia="Arial" w:hAnsi="Arial"/>
          <w:sz w:val="18"/>
          <w:szCs w:val="18"/>
          <w:i w:val="1"/>
          <w:iCs w:val="1"/>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EBITDA from continuing operations and Adjusted EBITDA from continuing operations: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1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3260" w:type="dxa"/>
            <w:vAlign w:val="bottom"/>
            <w:tcBorders>
              <w:top w:val="single" w:sz="8" w:color="auto"/>
              <w:bottom w:val="single" w:sz="8" w:color="auto"/>
              <w:right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 June 30, 2012</w:t>
            </w:r>
          </w:p>
        </w:tc>
        <w:tc>
          <w:tcPr>
            <w:tcW w:w="3320" w:type="dxa"/>
            <w:vAlign w:val="bottom"/>
            <w:tcBorders>
              <w:top w:val="single" w:sz="8" w:color="auto"/>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Six Months ended June 30, 2012</w:t>
            </w:r>
          </w:p>
        </w:tc>
        <w:tc>
          <w:tcPr>
            <w:tcW w:w="98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(in thousands)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Machine</w:t>
            </w:r>
          </w:p>
        </w:tc>
        <w:tc>
          <w:tcPr>
            <w:tcW w:w="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AEC</w:t>
            </w:r>
          </w:p>
        </w:tc>
        <w:tc>
          <w:tcPr>
            <w:tcW w:w="12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Research and</w:t>
            </w:r>
          </w:p>
        </w:tc>
        <w:tc>
          <w:tcPr>
            <w:tcW w:w="102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124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Machine</w:t>
            </w:r>
          </w:p>
        </w:tc>
        <w:tc>
          <w:tcPr>
            <w:tcW w:w="80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AEC</w:t>
            </w:r>
          </w:p>
        </w:tc>
        <w:tc>
          <w:tcPr>
            <w:tcW w:w="11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Research and</w:t>
            </w:r>
          </w:p>
        </w:tc>
        <w:tc>
          <w:tcPr>
            <w:tcW w:w="140" w:type="dxa"/>
            <w:vAlign w:val="bottom"/>
          </w:tcPr>
          <w:p>
            <w:pPr>
              <w:spacing w:after="0"/>
              <w:rPr>
                <w:sz w:val="13"/>
                <w:szCs w:val="13"/>
                <w:color w:val="auto"/>
              </w:rPr>
            </w:pPr>
          </w:p>
        </w:tc>
        <w:tc>
          <w:tcPr>
            <w:tcW w:w="9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1"/>
        </w:trPr>
        <w:tc>
          <w:tcPr>
            <w:tcW w:w="3100" w:type="dxa"/>
            <w:vAlign w:val="bottom"/>
            <w:tcBorders>
              <w:left w:val="single" w:sz="8" w:color="auto"/>
              <w:right w:val="single" w:sz="8" w:color="auto"/>
            </w:tcBorders>
            <w:vMerge w:val="continue"/>
          </w:tcPr>
          <w:p>
            <w:pPr>
              <w:spacing w:after="0"/>
              <w:rPr>
                <w:sz w:val="7"/>
                <w:szCs w:val="7"/>
                <w:color w:val="auto"/>
              </w:rPr>
            </w:pPr>
          </w:p>
        </w:tc>
        <w:tc>
          <w:tcPr>
            <w:tcW w:w="760" w:type="dxa"/>
            <w:vAlign w:val="bottom"/>
            <w:vMerge w:val="restart"/>
          </w:tcPr>
          <w:p>
            <w:pPr>
              <w:jc w:val="right"/>
              <w:ind w:right="8"/>
              <w:spacing w:after="0" w:line="157" w:lineRule="exact"/>
              <w:rPr>
                <w:sz w:val="20"/>
                <w:szCs w:val="20"/>
                <w:color w:val="auto"/>
              </w:rPr>
            </w:pPr>
            <w:r>
              <w:rPr>
                <w:rFonts w:ascii="Arial" w:cs="Arial" w:eastAsia="Arial" w:hAnsi="Arial"/>
                <w:sz w:val="14"/>
                <w:szCs w:val="14"/>
                <w:color w:val="auto"/>
              </w:rPr>
              <w:t>Clothing</w:t>
            </w:r>
          </w:p>
        </w:tc>
        <w:tc>
          <w:tcPr>
            <w:tcW w:w="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restart"/>
          </w:tcPr>
          <w:p>
            <w:pPr>
              <w:jc w:val="right"/>
              <w:ind w:right="188"/>
              <w:spacing w:after="0" w:line="157" w:lineRule="exact"/>
              <w:rPr>
                <w:sz w:val="20"/>
                <w:szCs w:val="20"/>
                <w:color w:val="auto"/>
              </w:rPr>
            </w:pPr>
            <w:r>
              <w:rPr>
                <w:rFonts w:ascii="Arial" w:cs="Arial" w:eastAsia="Arial" w:hAnsi="Arial"/>
                <w:sz w:val="14"/>
                <w:szCs w:val="14"/>
                <w:color w:val="auto"/>
              </w:rPr>
              <w:t>Unallocated</w:t>
            </w:r>
          </w:p>
        </w:tc>
        <w:tc>
          <w:tcPr>
            <w:tcW w:w="1020" w:type="dxa"/>
            <w:vAlign w:val="bottom"/>
            <w:tcBorders>
              <w:right w:val="single" w:sz="8" w:color="auto"/>
            </w:tcBorders>
            <w:vMerge w:val="restart"/>
          </w:tcPr>
          <w:p>
            <w:pPr>
              <w:jc w:val="right"/>
              <w:ind w:right="148"/>
              <w:spacing w:after="0" w:line="157" w:lineRule="exact"/>
              <w:rPr>
                <w:sz w:val="20"/>
                <w:szCs w:val="20"/>
                <w:color w:val="auto"/>
              </w:rPr>
            </w:pPr>
            <w:r>
              <w:rPr>
                <w:rFonts w:ascii="Arial" w:cs="Arial" w:eastAsia="Arial" w:hAnsi="Arial"/>
                <w:sz w:val="14"/>
                <w:szCs w:val="14"/>
                <w:color w:val="auto"/>
              </w:rPr>
              <w:t>Company</w:t>
            </w:r>
          </w:p>
        </w:tc>
        <w:tc>
          <w:tcPr>
            <w:tcW w:w="1240" w:type="dxa"/>
            <w:vAlign w:val="bottom"/>
            <w:tcBorders>
              <w:right w:val="single" w:sz="8" w:color="auto"/>
            </w:tcBorders>
            <w:vMerge w:val="restart"/>
          </w:tcPr>
          <w:p>
            <w:pPr>
              <w:jc w:val="right"/>
              <w:ind w:right="288"/>
              <w:spacing w:after="0" w:line="157" w:lineRule="exact"/>
              <w:rPr>
                <w:sz w:val="20"/>
                <w:szCs w:val="20"/>
                <w:color w:val="auto"/>
              </w:rPr>
            </w:pPr>
            <w:r>
              <w:rPr>
                <w:rFonts w:ascii="Arial" w:cs="Arial" w:eastAsia="Arial" w:hAnsi="Arial"/>
                <w:sz w:val="14"/>
                <w:szCs w:val="14"/>
                <w:color w:val="auto"/>
              </w:rPr>
              <w:t>Clothing</w:t>
            </w:r>
          </w:p>
        </w:tc>
        <w:tc>
          <w:tcPr>
            <w:tcW w:w="8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right"/>
              <w:ind w:right="128"/>
              <w:spacing w:after="0" w:line="157" w:lineRule="exact"/>
              <w:rPr>
                <w:sz w:val="20"/>
                <w:szCs w:val="20"/>
                <w:color w:val="auto"/>
              </w:rPr>
            </w:pPr>
            <w:r>
              <w:rPr>
                <w:rFonts w:ascii="Arial" w:cs="Arial" w:eastAsia="Arial" w:hAnsi="Arial"/>
                <w:sz w:val="14"/>
                <w:szCs w:val="14"/>
                <w:color w:val="auto"/>
              </w:rPr>
              <w:t>Unallocated</w:t>
            </w:r>
          </w:p>
        </w:tc>
        <w:tc>
          <w:tcPr>
            <w:tcW w:w="140" w:type="dxa"/>
            <w:vAlign w:val="bottom"/>
          </w:tcPr>
          <w:p>
            <w:pPr>
              <w:spacing w:after="0"/>
              <w:rPr>
                <w:sz w:val="7"/>
                <w:szCs w:val="7"/>
                <w:color w:val="auto"/>
              </w:rPr>
            </w:pPr>
          </w:p>
        </w:tc>
        <w:tc>
          <w:tcPr>
            <w:tcW w:w="980" w:type="dxa"/>
            <w:vAlign w:val="bottom"/>
            <w:tcBorders>
              <w:right w:val="single" w:sz="8" w:color="auto"/>
            </w:tcBorders>
            <w:vMerge w:val="restart"/>
          </w:tcPr>
          <w:p>
            <w:pPr>
              <w:jc w:val="right"/>
              <w:ind w:right="208"/>
              <w:spacing w:after="0" w:line="157" w:lineRule="exact"/>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66"/>
        </w:trPr>
        <w:tc>
          <w:tcPr>
            <w:tcW w:w="3100" w:type="dxa"/>
            <w:vAlign w:val="bottom"/>
            <w:tcBorders>
              <w:left w:val="single" w:sz="8" w:color="auto"/>
              <w:bottom w:val="single" w:sz="8" w:color="auto"/>
              <w:right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vMerge w:val="continue"/>
          </w:tcPr>
          <w:p>
            <w:pPr>
              <w:spacing w:after="0"/>
              <w:rPr>
                <w:sz w:val="5"/>
                <w:szCs w:val="5"/>
                <w:color w:val="auto"/>
              </w:rPr>
            </w:pPr>
          </w:p>
        </w:tc>
        <w:tc>
          <w:tcPr>
            <w:tcW w:w="1020" w:type="dxa"/>
            <w:vAlign w:val="bottom"/>
            <w:tcBorders>
              <w:bottom w:val="single" w:sz="8" w:color="auto"/>
              <w:right w:val="single" w:sz="8" w:color="auto"/>
            </w:tcBorders>
            <w:vMerge w:val="continue"/>
          </w:tcPr>
          <w:p>
            <w:pPr>
              <w:spacing w:after="0"/>
              <w:rPr>
                <w:sz w:val="5"/>
                <w:szCs w:val="5"/>
                <w:color w:val="auto"/>
              </w:rPr>
            </w:pPr>
          </w:p>
        </w:tc>
        <w:tc>
          <w:tcPr>
            <w:tcW w:w="124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Income from continuing operations</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$44,997</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$(369)</w:t>
            </w:r>
          </w:p>
        </w:tc>
        <w:tc>
          <w:tcPr>
            <w:tcW w:w="12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$(102,403)</w:t>
            </w:r>
          </w:p>
        </w:tc>
        <w:tc>
          <w:tcPr>
            <w:tcW w:w="10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$(57,775)</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$75,842</w:t>
            </w:r>
          </w:p>
        </w:tc>
        <w:tc>
          <w:tcPr>
            <w:tcW w:w="8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$(340)</w:t>
            </w:r>
          </w:p>
        </w:tc>
        <w:tc>
          <w:tcPr>
            <w:tcW w:w="11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$(133,406)</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$(57,904)</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Interest expense, net</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3,969</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3,969</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8,613</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8,613</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Income tax (benefit)</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(29,643)</w:t>
            </w:r>
          </w:p>
        </w:tc>
        <w:tc>
          <w:tcPr>
            <w:tcW w:w="10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(29,643)</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(39,615)</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(39,615)</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Depreciation and amortization</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11,745</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1,448</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2,849</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16,042</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23,798</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2,853</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5,418</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32,069</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EBITDA from continuing operations</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56,742</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1,079</w:t>
            </w:r>
          </w:p>
        </w:tc>
        <w:tc>
          <w:tcPr>
            <w:tcW w:w="12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(125,228)</w:t>
            </w:r>
          </w:p>
        </w:tc>
        <w:tc>
          <w:tcPr>
            <w:tcW w:w="10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(67,407)</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99,640</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2,513</w:t>
            </w:r>
          </w:p>
        </w:tc>
        <w:tc>
          <w:tcPr>
            <w:tcW w:w="11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(158,990)</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(56,837)</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Restructuring and other, net</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2,903</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249</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3,152</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3,576</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(166)</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3,410</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Foreign currency revaluation losses/(gains)</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(2,721)</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(3,126)</w:t>
            </w:r>
          </w:p>
        </w:tc>
        <w:tc>
          <w:tcPr>
            <w:tcW w:w="10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(5,847)</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(955)</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708</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Pension plan settlement charges</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110,560</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110,560</w:t>
            </w:r>
          </w:p>
        </w:tc>
        <w:tc>
          <w:tcPr>
            <w:tcW w:w="12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119,735</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119,735</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right w:val="single" w:sz="8" w:color="auto"/>
            </w:tcBorders>
          </w:tcPr>
          <w:p>
            <w:pPr>
              <w:ind w:left="120"/>
              <w:spacing w:after="0" w:line="143" w:lineRule="exact"/>
              <w:rPr>
                <w:sz w:val="20"/>
                <w:szCs w:val="20"/>
                <w:color w:val="auto"/>
              </w:rPr>
            </w:pPr>
            <w:r>
              <w:rPr>
                <w:rFonts w:ascii="Arial" w:cs="Arial" w:eastAsia="Arial" w:hAnsi="Arial"/>
                <w:sz w:val="14"/>
                <w:szCs w:val="14"/>
                <w:b w:val="1"/>
                <w:bCs w:val="1"/>
                <w:color w:val="auto"/>
              </w:rPr>
              <w:t>Adjusted EBITDA from continuing</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$56,924</w:t>
            </w:r>
          </w:p>
        </w:tc>
        <w:tc>
          <w:tcPr>
            <w:tcW w:w="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$1,079</w:t>
            </w:r>
          </w:p>
        </w:tc>
        <w:tc>
          <w:tcPr>
            <w:tcW w:w="126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$(17,545)</w:t>
            </w:r>
          </w:p>
        </w:tc>
        <w:tc>
          <w:tcPr>
            <w:tcW w:w="102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$40,458</w:t>
            </w:r>
          </w:p>
        </w:tc>
        <w:tc>
          <w:tcPr>
            <w:tcW w:w="124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$102,261</w:t>
            </w:r>
          </w:p>
        </w:tc>
        <w:tc>
          <w:tcPr>
            <w:tcW w:w="80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$2,513</w:t>
            </w:r>
          </w:p>
        </w:tc>
        <w:tc>
          <w:tcPr>
            <w:tcW w:w="11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$(38,713)</w:t>
            </w:r>
          </w:p>
        </w:tc>
        <w:tc>
          <w:tcPr>
            <w:tcW w:w="140" w:type="dxa"/>
            <w:vAlign w:val="bottom"/>
          </w:tcPr>
          <w:p>
            <w:pPr>
              <w:spacing w:after="0"/>
              <w:rPr>
                <w:sz w:val="12"/>
                <w:szCs w:val="12"/>
                <w:color w:val="auto"/>
              </w:rPr>
            </w:pPr>
          </w:p>
        </w:tc>
        <w:tc>
          <w:tcPr>
            <w:tcW w:w="98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$66,061</w:t>
            </w:r>
          </w:p>
        </w:tc>
        <w:tc>
          <w:tcPr>
            <w:tcW w:w="0" w:type="dxa"/>
            <w:vAlign w:val="bottom"/>
          </w:tcPr>
          <w:p>
            <w:pPr>
              <w:spacing w:after="0"/>
              <w:rPr>
                <w:sz w:val="1"/>
                <w:szCs w:val="1"/>
                <w:color w:val="auto"/>
              </w:rPr>
            </w:pPr>
          </w:p>
        </w:tc>
      </w:tr>
      <w:tr>
        <w:trPr>
          <w:trHeight w:val="109"/>
        </w:trPr>
        <w:tc>
          <w:tcPr>
            <w:tcW w:w="3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operations</w:t>
            </w:r>
          </w:p>
        </w:tc>
        <w:tc>
          <w:tcPr>
            <w:tcW w:w="760" w:type="dxa"/>
            <w:vAlign w:val="bottom"/>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1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176"/>
        </w:trPr>
        <w:tc>
          <w:tcPr>
            <w:tcW w:w="31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3260" w:type="dxa"/>
            <w:vAlign w:val="bottom"/>
            <w:tcBorders>
              <w:top w:val="single" w:sz="8" w:color="auto"/>
              <w:bottom w:val="single" w:sz="8" w:color="auto"/>
              <w:right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Three Months ended June 30, 2011</w:t>
            </w:r>
          </w:p>
        </w:tc>
        <w:tc>
          <w:tcPr>
            <w:tcW w:w="3320" w:type="dxa"/>
            <w:vAlign w:val="bottom"/>
            <w:tcBorders>
              <w:top w:val="single" w:sz="8" w:color="auto"/>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Six Months ended June 30, 2011</w:t>
            </w:r>
          </w:p>
        </w:tc>
        <w:tc>
          <w:tcPr>
            <w:tcW w:w="98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(in thousands)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Machine</w:t>
            </w:r>
          </w:p>
        </w:tc>
        <w:tc>
          <w:tcPr>
            <w:tcW w:w="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AEC</w:t>
            </w:r>
          </w:p>
        </w:tc>
        <w:tc>
          <w:tcPr>
            <w:tcW w:w="12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Research and</w:t>
            </w:r>
          </w:p>
        </w:tc>
        <w:tc>
          <w:tcPr>
            <w:tcW w:w="1020" w:type="dxa"/>
            <w:vAlign w:val="bottom"/>
            <w:tcBorders>
              <w:right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c>
          <w:tcPr>
            <w:tcW w:w="124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Machine</w:t>
            </w:r>
          </w:p>
        </w:tc>
        <w:tc>
          <w:tcPr>
            <w:tcW w:w="80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AEC</w:t>
            </w:r>
          </w:p>
        </w:tc>
        <w:tc>
          <w:tcPr>
            <w:tcW w:w="114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Research and</w:t>
            </w:r>
          </w:p>
        </w:tc>
        <w:tc>
          <w:tcPr>
            <w:tcW w:w="140" w:type="dxa"/>
            <w:vAlign w:val="bottom"/>
          </w:tcPr>
          <w:p>
            <w:pPr>
              <w:spacing w:after="0"/>
              <w:rPr>
                <w:sz w:val="13"/>
                <w:szCs w:val="13"/>
                <w:color w:val="auto"/>
              </w:rPr>
            </w:pPr>
          </w:p>
        </w:tc>
        <w:tc>
          <w:tcPr>
            <w:tcW w:w="98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1"/>
        </w:trPr>
        <w:tc>
          <w:tcPr>
            <w:tcW w:w="3100" w:type="dxa"/>
            <w:vAlign w:val="bottom"/>
            <w:tcBorders>
              <w:left w:val="single" w:sz="8" w:color="auto"/>
              <w:right w:val="single" w:sz="8" w:color="auto"/>
            </w:tcBorders>
            <w:vMerge w:val="continue"/>
          </w:tcPr>
          <w:p>
            <w:pPr>
              <w:spacing w:after="0"/>
              <w:rPr>
                <w:sz w:val="7"/>
                <w:szCs w:val="7"/>
                <w:color w:val="auto"/>
              </w:rPr>
            </w:pPr>
          </w:p>
        </w:tc>
        <w:tc>
          <w:tcPr>
            <w:tcW w:w="760" w:type="dxa"/>
            <w:vAlign w:val="bottom"/>
            <w:vMerge w:val="restart"/>
          </w:tcPr>
          <w:p>
            <w:pPr>
              <w:jc w:val="right"/>
              <w:ind w:right="8"/>
              <w:spacing w:after="0" w:line="157" w:lineRule="exact"/>
              <w:rPr>
                <w:sz w:val="20"/>
                <w:szCs w:val="20"/>
                <w:color w:val="auto"/>
              </w:rPr>
            </w:pPr>
            <w:r>
              <w:rPr>
                <w:rFonts w:ascii="Arial" w:cs="Arial" w:eastAsia="Arial" w:hAnsi="Arial"/>
                <w:sz w:val="14"/>
                <w:szCs w:val="14"/>
                <w:color w:val="auto"/>
              </w:rPr>
              <w:t>Clothing</w:t>
            </w:r>
          </w:p>
        </w:tc>
        <w:tc>
          <w:tcPr>
            <w:tcW w:w="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restart"/>
          </w:tcPr>
          <w:p>
            <w:pPr>
              <w:jc w:val="right"/>
              <w:ind w:right="188"/>
              <w:spacing w:after="0" w:line="157" w:lineRule="exact"/>
              <w:rPr>
                <w:sz w:val="20"/>
                <w:szCs w:val="20"/>
                <w:color w:val="auto"/>
              </w:rPr>
            </w:pPr>
            <w:r>
              <w:rPr>
                <w:rFonts w:ascii="Arial" w:cs="Arial" w:eastAsia="Arial" w:hAnsi="Arial"/>
                <w:sz w:val="14"/>
                <w:szCs w:val="14"/>
                <w:color w:val="auto"/>
              </w:rPr>
              <w:t>Unallocated</w:t>
            </w:r>
          </w:p>
        </w:tc>
        <w:tc>
          <w:tcPr>
            <w:tcW w:w="1020" w:type="dxa"/>
            <w:vAlign w:val="bottom"/>
            <w:tcBorders>
              <w:right w:val="single" w:sz="8" w:color="auto"/>
            </w:tcBorders>
            <w:vMerge w:val="restart"/>
          </w:tcPr>
          <w:p>
            <w:pPr>
              <w:jc w:val="right"/>
              <w:ind w:right="148"/>
              <w:spacing w:after="0" w:line="157" w:lineRule="exact"/>
              <w:rPr>
                <w:sz w:val="20"/>
                <w:szCs w:val="20"/>
                <w:color w:val="auto"/>
              </w:rPr>
            </w:pPr>
            <w:r>
              <w:rPr>
                <w:rFonts w:ascii="Arial" w:cs="Arial" w:eastAsia="Arial" w:hAnsi="Arial"/>
                <w:sz w:val="14"/>
                <w:szCs w:val="14"/>
                <w:color w:val="auto"/>
              </w:rPr>
              <w:t>Company</w:t>
            </w:r>
          </w:p>
        </w:tc>
        <w:tc>
          <w:tcPr>
            <w:tcW w:w="1240" w:type="dxa"/>
            <w:vAlign w:val="bottom"/>
            <w:tcBorders>
              <w:right w:val="single" w:sz="8" w:color="auto"/>
            </w:tcBorders>
            <w:vMerge w:val="restart"/>
          </w:tcPr>
          <w:p>
            <w:pPr>
              <w:jc w:val="right"/>
              <w:ind w:right="288"/>
              <w:spacing w:after="0" w:line="157" w:lineRule="exact"/>
              <w:rPr>
                <w:sz w:val="20"/>
                <w:szCs w:val="20"/>
                <w:color w:val="auto"/>
              </w:rPr>
            </w:pPr>
            <w:r>
              <w:rPr>
                <w:rFonts w:ascii="Arial" w:cs="Arial" w:eastAsia="Arial" w:hAnsi="Arial"/>
                <w:sz w:val="14"/>
                <w:szCs w:val="14"/>
                <w:color w:val="auto"/>
              </w:rPr>
              <w:t>Clothing</w:t>
            </w:r>
          </w:p>
        </w:tc>
        <w:tc>
          <w:tcPr>
            <w:tcW w:w="8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right"/>
              <w:ind w:right="128"/>
              <w:spacing w:after="0" w:line="157" w:lineRule="exact"/>
              <w:rPr>
                <w:sz w:val="20"/>
                <w:szCs w:val="20"/>
                <w:color w:val="auto"/>
              </w:rPr>
            </w:pPr>
            <w:r>
              <w:rPr>
                <w:rFonts w:ascii="Arial" w:cs="Arial" w:eastAsia="Arial" w:hAnsi="Arial"/>
                <w:sz w:val="14"/>
                <w:szCs w:val="14"/>
                <w:color w:val="auto"/>
              </w:rPr>
              <w:t>Unallocated</w:t>
            </w:r>
          </w:p>
        </w:tc>
        <w:tc>
          <w:tcPr>
            <w:tcW w:w="140" w:type="dxa"/>
            <w:vAlign w:val="bottom"/>
          </w:tcPr>
          <w:p>
            <w:pPr>
              <w:spacing w:after="0"/>
              <w:rPr>
                <w:sz w:val="7"/>
                <w:szCs w:val="7"/>
                <w:color w:val="auto"/>
              </w:rPr>
            </w:pPr>
          </w:p>
        </w:tc>
        <w:tc>
          <w:tcPr>
            <w:tcW w:w="980" w:type="dxa"/>
            <w:vAlign w:val="bottom"/>
            <w:tcBorders>
              <w:right w:val="single" w:sz="8" w:color="auto"/>
            </w:tcBorders>
            <w:vMerge w:val="restart"/>
          </w:tcPr>
          <w:p>
            <w:pPr>
              <w:jc w:val="right"/>
              <w:ind w:right="208"/>
              <w:spacing w:after="0" w:line="157" w:lineRule="exact"/>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66"/>
        </w:trPr>
        <w:tc>
          <w:tcPr>
            <w:tcW w:w="3100" w:type="dxa"/>
            <w:vAlign w:val="bottom"/>
            <w:tcBorders>
              <w:left w:val="single" w:sz="8" w:color="auto"/>
              <w:bottom w:val="single" w:sz="8" w:color="auto"/>
              <w:right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vMerge w:val="continue"/>
          </w:tcPr>
          <w:p>
            <w:pPr>
              <w:spacing w:after="0"/>
              <w:rPr>
                <w:sz w:val="5"/>
                <w:szCs w:val="5"/>
                <w:color w:val="auto"/>
              </w:rPr>
            </w:pPr>
          </w:p>
        </w:tc>
        <w:tc>
          <w:tcPr>
            <w:tcW w:w="1020" w:type="dxa"/>
            <w:vAlign w:val="bottom"/>
            <w:tcBorders>
              <w:bottom w:val="single" w:sz="8" w:color="auto"/>
              <w:right w:val="single" w:sz="8" w:color="auto"/>
            </w:tcBorders>
            <w:vMerge w:val="continue"/>
          </w:tcPr>
          <w:p>
            <w:pPr>
              <w:spacing w:after="0"/>
              <w:rPr>
                <w:sz w:val="5"/>
                <w:szCs w:val="5"/>
                <w:color w:val="auto"/>
              </w:rPr>
            </w:pPr>
          </w:p>
        </w:tc>
        <w:tc>
          <w:tcPr>
            <w:tcW w:w="1240" w:type="dxa"/>
            <w:vAlign w:val="bottom"/>
            <w:tcBorders>
              <w:bottom w:val="single" w:sz="8" w:color="auto"/>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Income from continuing operations</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$37,709</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$(1,144)</w:t>
            </w:r>
          </w:p>
        </w:tc>
        <w:tc>
          <w:tcPr>
            <w:tcW w:w="12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$(32,017)</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$4,548</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$87,980</w:t>
            </w:r>
          </w:p>
        </w:tc>
        <w:tc>
          <w:tcPr>
            <w:tcW w:w="8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$(2,187)</w:t>
            </w:r>
          </w:p>
        </w:tc>
        <w:tc>
          <w:tcPr>
            <w:tcW w:w="11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$(69,027)</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$16,766</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Interest expense, net</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4,786</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4,786</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9,562</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9,562</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Income tax (benefit)</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3,139</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3,139</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6,406</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6,406</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Depreciation and amortization</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12,152</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1,203</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2,620</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15,975</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24,171</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2,399</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5,028</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31,598</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EBITDA from continuing operations</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49,861</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59</w:t>
            </w:r>
          </w:p>
        </w:tc>
        <w:tc>
          <w:tcPr>
            <w:tcW w:w="12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(21,472)</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28,448</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112,151</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212</w:t>
            </w:r>
          </w:p>
        </w:tc>
        <w:tc>
          <w:tcPr>
            <w:tcW w:w="11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(48,031)</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64,332</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Restructuring and other, net</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572</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44</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1,115</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1,731</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605</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57</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1,103</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Foreign currency revaluation losses/ (gains)</w:t>
            </w: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1,982</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w:t>
            </w:r>
          </w:p>
        </w:tc>
        <w:tc>
          <w:tcPr>
            <w:tcW w:w="126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(490)</w:t>
            </w:r>
          </w:p>
        </w:tc>
        <w:tc>
          <w:tcPr>
            <w:tcW w:w="1020" w:type="dxa"/>
            <w:vAlign w:val="bottom"/>
            <w:tcBorders>
              <w:bottom w:val="single" w:sz="8" w:color="auto"/>
              <w:right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1,493</w:t>
            </w:r>
          </w:p>
        </w:tc>
        <w:tc>
          <w:tcPr>
            <w:tcW w:w="12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3,950</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3,381</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7,333</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bottom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Gain on sale of building</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w:t>
            </w:r>
          </w:p>
        </w:tc>
        <w:tc>
          <w:tcPr>
            <w:tcW w:w="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(608)</w:t>
            </w:r>
          </w:p>
        </w:tc>
        <w:tc>
          <w:tcPr>
            <w:tcW w:w="12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(1,008)</w:t>
            </w:r>
          </w:p>
        </w:tc>
        <w:tc>
          <w:tcPr>
            <w:tcW w:w="80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right w:val="single" w:sz="8" w:color="auto"/>
            </w:tcBorders>
          </w:tcPr>
          <w:p>
            <w:pPr>
              <w:ind w:left="120"/>
              <w:spacing w:after="0" w:line="143" w:lineRule="exact"/>
              <w:rPr>
                <w:sz w:val="20"/>
                <w:szCs w:val="20"/>
                <w:color w:val="auto"/>
              </w:rPr>
            </w:pPr>
            <w:r>
              <w:rPr>
                <w:rFonts w:ascii="Arial" w:cs="Arial" w:eastAsia="Arial" w:hAnsi="Arial"/>
                <w:sz w:val="14"/>
                <w:szCs w:val="14"/>
                <w:b w:val="1"/>
                <w:bCs w:val="1"/>
                <w:color w:val="auto"/>
              </w:rPr>
              <w:t>Adjusted EBITDA from continuing</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$51,807</w:t>
            </w:r>
          </w:p>
        </w:tc>
        <w:tc>
          <w:tcPr>
            <w:tcW w:w="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$104</w:t>
            </w:r>
          </w:p>
        </w:tc>
        <w:tc>
          <w:tcPr>
            <w:tcW w:w="126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$(20,847)</w:t>
            </w:r>
          </w:p>
        </w:tc>
        <w:tc>
          <w:tcPr>
            <w:tcW w:w="102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$31,064</w:t>
            </w:r>
          </w:p>
        </w:tc>
        <w:tc>
          <w:tcPr>
            <w:tcW w:w="124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$115,698</w:t>
            </w:r>
          </w:p>
        </w:tc>
        <w:tc>
          <w:tcPr>
            <w:tcW w:w="80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$271</w:t>
            </w:r>
          </w:p>
        </w:tc>
        <w:tc>
          <w:tcPr>
            <w:tcW w:w="11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$(43,547)</w:t>
            </w:r>
          </w:p>
        </w:tc>
        <w:tc>
          <w:tcPr>
            <w:tcW w:w="140" w:type="dxa"/>
            <w:vAlign w:val="bottom"/>
          </w:tcPr>
          <w:p>
            <w:pPr>
              <w:spacing w:after="0"/>
              <w:rPr>
                <w:sz w:val="12"/>
                <w:szCs w:val="12"/>
                <w:color w:val="auto"/>
              </w:rPr>
            </w:pPr>
          </w:p>
        </w:tc>
        <w:tc>
          <w:tcPr>
            <w:tcW w:w="98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$72,422</w:t>
            </w:r>
          </w:p>
        </w:tc>
        <w:tc>
          <w:tcPr>
            <w:tcW w:w="0" w:type="dxa"/>
            <w:vAlign w:val="bottom"/>
          </w:tcPr>
          <w:p>
            <w:pPr>
              <w:spacing w:after="0"/>
              <w:rPr>
                <w:sz w:val="1"/>
                <w:szCs w:val="1"/>
                <w:color w:val="auto"/>
              </w:rPr>
            </w:pPr>
          </w:p>
        </w:tc>
      </w:tr>
      <w:tr>
        <w:trPr>
          <w:trHeight w:val="109"/>
        </w:trPr>
        <w:tc>
          <w:tcPr>
            <w:tcW w:w="3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operations</w:t>
            </w:r>
          </w:p>
        </w:tc>
        <w:tc>
          <w:tcPr>
            <w:tcW w:w="760" w:type="dxa"/>
            <w:vAlign w:val="bottom"/>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1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720"/>
        <w:spacing w:after="0" w:line="239" w:lineRule="auto"/>
        <w:rPr>
          <w:sz w:val="20"/>
          <w:szCs w:val="20"/>
          <w:color w:val="auto"/>
        </w:rPr>
      </w:pPr>
      <w:r>
        <w:rPr>
          <w:rFonts w:ascii="Arial" w:cs="Arial" w:eastAsia="Arial" w:hAnsi="Arial"/>
          <w:sz w:val="18"/>
          <w:szCs w:val="18"/>
          <w:color w:val="auto"/>
        </w:rPr>
        <w:t>The Company discloses certain income and expense items on a per share basis. The Company believes that such disclosures provide important insight into underlying quarterly earnings and are financial performance metrics commonly used by investors. The Company calculates the per share amount for items included in continuing operations by using the effective tax rate utilized during the applicable reporting period and the weighted average number of shares outstanding for the period.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9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560" w:type="dxa"/>
            <w:vAlign w:val="bottom"/>
            <w:tcBorders>
              <w:top w:val="single" w:sz="8" w:color="auto"/>
              <w:bottom w:val="single" w:sz="8" w:color="auto"/>
            </w:tcBorders>
            <w:gridSpan w:val="3"/>
          </w:tcPr>
          <w:p>
            <w:pPr>
              <w:jc w:val="right"/>
              <w:ind w:right="751"/>
              <w:spacing w:after="0"/>
              <w:rPr>
                <w:sz w:val="20"/>
                <w:szCs w:val="20"/>
                <w:color w:val="auto"/>
              </w:rPr>
            </w:pPr>
            <w:r>
              <w:rPr>
                <w:rFonts w:ascii="Arial" w:cs="Arial" w:eastAsia="Arial" w:hAnsi="Arial"/>
                <w:sz w:val="16"/>
                <w:szCs w:val="16"/>
                <w:b w:val="1"/>
                <w:bCs w:val="1"/>
                <w:color w:val="auto"/>
              </w:rPr>
              <w:t>Three Months ended June 30, 2012</w:t>
            </w:r>
          </w:p>
        </w:tc>
        <w:tc>
          <w:tcPr>
            <w:tcW w:w="158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(in thousands, except per share amounts)</w:t>
            </w:r>
          </w:p>
        </w:tc>
        <w:tc>
          <w:tcPr>
            <w:tcW w:w="1380" w:type="dxa"/>
            <w:vAlign w:val="bottom"/>
            <w:tcBorders>
              <w:right w:val="single" w:sz="8" w:color="auto"/>
            </w:tcBorders>
            <w:gridSpan w:val="2"/>
          </w:tcPr>
          <w:p>
            <w:pPr>
              <w:jc w:val="right"/>
              <w:ind w:right="350"/>
              <w:spacing w:after="0"/>
              <w:rPr>
                <w:sz w:val="20"/>
                <w:szCs w:val="20"/>
                <w:color w:val="auto"/>
              </w:rPr>
            </w:pPr>
            <w:r>
              <w:rPr>
                <w:rFonts w:ascii="Arial" w:cs="Arial" w:eastAsia="Arial" w:hAnsi="Arial"/>
                <w:sz w:val="16"/>
                <w:szCs w:val="16"/>
                <w:color w:val="auto"/>
              </w:rPr>
              <w:t>Pre-tax</w:t>
            </w:r>
          </w:p>
        </w:tc>
        <w:tc>
          <w:tcPr>
            <w:tcW w:w="13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Tax effect</w:t>
            </w:r>
          </w:p>
        </w:tc>
        <w:tc>
          <w:tcPr>
            <w:tcW w:w="1480" w:type="dxa"/>
            <w:vAlign w:val="bottom"/>
            <w:tcBorders>
              <w:right w:val="single" w:sz="8" w:color="auto"/>
            </w:tcBorders>
            <w:vMerge w:val="restart"/>
          </w:tcPr>
          <w:p>
            <w:pPr>
              <w:jc w:val="right"/>
              <w:ind w:right="151"/>
              <w:spacing w:after="0"/>
              <w:rPr>
                <w:sz w:val="20"/>
                <w:szCs w:val="20"/>
                <w:color w:val="auto"/>
              </w:rPr>
            </w:pPr>
            <w:r>
              <w:rPr>
                <w:rFonts w:ascii="Arial" w:cs="Arial" w:eastAsia="Arial" w:hAnsi="Arial"/>
                <w:sz w:val="16"/>
                <w:szCs w:val="16"/>
                <w:color w:val="auto"/>
              </w:rPr>
              <w:t>After-tax effect</w:t>
            </w:r>
          </w:p>
        </w:tc>
        <w:tc>
          <w:tcPr>
            <w:tcW w:w="170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6"/>
                <w:szCs w:val="16"/>
                <w:color w:val="auto"/>
              </w:rPr>
              <w:t>Shares outstanding</w:t>
            </w:r>
          </w:p>
        </w:tc>
        <w:tc>
          <w:tcPr>
            <w:tcW w:w="1580" w:type="dxa"/>
            <w:vAlign w:val="bottom"/>
            <w:tcBorders>
              <w:right w:val="single" w:sz="8" w:color="auto"/>
            </w:tcBorders>
            <w:vMerge w:val="restart"/>
          </w:tcPr>
          <w:p>
            <w:pPr>
              <w:jc w:val="right"/>
              <w:ind w:right="151"/>
              <w:spacing w:after="0"/>
              <w:rPr>
                <w:sz w:val="20"/>
                <w:szCs w:val="20"/>
                <w:color w:val="auto"/>
              </w:rPr>
            </w:pPr>
            <w:r>
              <w:rPr>
                <w:rFonts w:ascii="Arial" w:cs="Arial" w:eastAsia="Arial" w:hAnsi="Arial"/>
                <w:sz w:val="16"/>
                <w:szCs w:val="16"/>
                <w:color w:val="auto"/>
              </w:rPr>
              <w:t>Per share effect</w:t>
            </w:r>
          </w:p>
        </w:tc>
        <w:tc>
          <w:tcPr>
            <w:tcW w:w="0" w:type="dxa"/>
            <w:vAlign w:val="bottom"/>
          </w:tcPr>
          <w:p>
            <w:pPr>
              <w:spacing w:after="0"/>
              <w:rPr>
                <w:sz w:val="1"/>
                <w:szCs w:val="1"/>
                <w:color w:val="auto"/>
              </w:rPr>
            </w:pPr>
          </w:p>
        </w:tc>
      </w:tr>
      <w:tr>
        <w:trPr>
          <w:trHeight w:val="100"/>
        </w:trPr>
        <w:tc>
          <w:tcPr>
            <w:tcW w:w="390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gridSpan w:val="2"/>
            <w:vMerge w:val="restart"/>
          </w:tcPr>
          <w:p>
            <w:pPr>
              <w:jc w:val="right"/>
              <w:ind w:right="290"/>
              <w:spacing w:after="0"/>
              <w:rPr>
                <w:sz w:val="20"/>
                <w:szCs w:val="20"/>
                <w:color w:val="auto"/>
              </w:rPr>
            </w:pPr>
            <w:r>
              <w:rPr>
                <w:rFonts w:ascii="Arial" w:cs="Arial" w:eastAsia="Arial" w:hAnsi="Arial"/>
                <w:sz w:val="16"/>
                <w:szCs w:val="16"/>
                <w:color w:val="auto"/>
              </w:rPr>
              <w:t>amounts</w:t>
            </w:r>
          </w:p>
        </w:tc>
        <w:tc>
          <w:tcPr>
            <w:tcW w:w="138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900" w:type="dxa"/>
            <w:vAlign w:val="bottom"/>
            <w:tcBorders>
              <w:left w:val="single" w:sz="8" w:color="auto"/>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gridSpan w:val="2"/>
            <w:vMerge w:val="continue"/>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Restructuring and other, net from continuing</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3,152</w:t>
            </w:r>
          </w:p>
        </w:tc>
        <w:tc>
          <w:tcPr>
            <w:tcW w:w="138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   835</w:t>
            </w:r>
          </w:p>
        </w:tc>
        <w:tc>
          <w:tcPr>
            <w:tcW w:w="14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$ 2,317</w:t>
            </w:r>
          </w:p>
        </w:tc>
        <w:tc>
          <w:tcPr>
            <w:tcW w:w="170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31,349</w:t>
            </w:r>
          </w:p>
        </w:tc>
        <w:tc>
          <w:tcPr>
            <w:tcW w:w="15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$ 0.07</w:t>
            </w:r>
          </w:p>
        </w:tc>
        <w:tc>
          <w:tcPr>
            <w:tcW w:w="0" w:type="dxa"/>
            <w:vAlign w:val="bottom"/>
          </w:tcPr>
          <w:p>
            <w:pPr>
              <w:spacing w:after="0"/>
              <w:rPr>
                <w:sz w:val="1"/>
                <w:szCs w:val="1"/>
                <w:color w:val="auto"/>
              </w:rPr>
            </w:pPr>
          </w:p>
        </w:tc>
      </w:tr>
      <w:tr>
        <w:trPr>
          <w:trHeight w:val="109"/>
        </w:trPr>
        <w:tc>
          <w:tcPr>
            <w:tcW w:w="390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18"/>
                <w:szCs w:val="18"/>
                <w:color w:val="auto"/>
              </w:rPr>
              <w:t>operations</w:t>
            </w:r>
          </w:p>
        </w:tc>
        <w:tc>
          <w:tcPr>
            <w:tcW w:w="620" w:type="dxa"/>
            <w:vAlign w:val="bottom"/>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Foreign currency revaluation losses/(gains)</w:t>
            </w:r>
          </w:p>
        </w:tc>
        <w:tc>
          <w:tcPr>
            <w:tcW w:w="620" w:type="dxa"/>
            <w:vAlign w:val="bottom"/>
          </w:tcPr>
          <w:p>
            <w:pPr>
              <w:spacing w:after="0"/>
              <w:rPr>
                <w:sz w:val="16"/>
                <w:szCs w:val="16"/>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5,847</w:t>
            </w:r>
          </w:p>
        </w:tc>
        <w:tc>
          <w:tcPr>
            <w:tcW w:w="138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1,549</w:t>
            </w:r>
          </w:p>
        </w:tc>
        <w:tc>
          <w:tcPr>
            <w:tcW w:w="14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4,298</w:t>
            </w:r>
          </w:p>
        </w:tc>
        <w:tc>
          <w:tcPr>
            <w:tcW w:w="170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31,349</w:t>
            </w:r>
          </w:p>
        </w:tc>
        <w:tc>
          <w:tcPr>
            <w:tcW w:w="15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$ 0.14</w:t>
            </w:r>
          </w:p>
        </w:tc>
        <w:tc>
          <w:tcPr>
            <w:tcW w:w="0" w:type="dxa"/>
            <w:vAlign w:val="bottom"/>
          </w:tcPr>
          <w:p>
            <w:pPr>
              <w:spacing w:after="0"/>
              <w:rPr>
                <w:sz w:val="1"/>
                <w:szCs w:val="1"/>
                <w:color w:val="auto"/>
              </w:rPr>
            </w:pPr>
          </w:p>
        </w:tc>
      </w:tr>
      <w:tr>
        <w:trPr>
          <w:trHeight w:val="109"/>
        </w:trPr>
        <w:tc>
          <w:tcPr>
            <w:tcW w:w="390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18"/>
                <w:szCs w:val="18"/>
                <w:color w:val="auto"/>
              </w:rPr>
              <w:t>from continuing operations</w:t>
            </w:r>
          </w:p>
        </w:tc>
        <w:tc>
          <w:tcPr>
            <w:tcW w:w="620" w:type="dxa"/>
            <w:vAlign w:val="bottom"/>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Income tax (benefit)</w:t>
            </w: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5"/>
              </w:rPr>
              <w:t>110,560</w:t>
            </w:r>
          </w:p>
        </w:tc>
        <w:tc>
          <w:tcPr>
            <w:tcW w:w="1380" w:type="dxa"/>
            <w:vAlign w:val="bottom"/>
            <w:tcBorders>
              <w:bottom w:val="single" w:sz="8" w:color="auto"/>
              <w:right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37,047</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73,513</w:t>
            </w:r>
          </w:p>
        </w:tc>
        <w:tc>
          <w:tcPr>
            <w:tcW w:w="17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31,349</w:t>
            </w:r>
          </w:p>
        </w:tc>
        <w:tc>
          <w:tcPr>
            <w:tcW w:w="15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$ 2.34</w:t>
            </w:r>
          </w:p>
        </w:tc>
        <w:tc>
          <w:tcPr>
            <w:tcW w:w="0" w:type="dxa"/>
            <w:vAlign w:val="bottom"/>
          </w:tcPr>
          <w:p>
            <w:pPr>
              <w:spacing w:after="0"/>
              <w:rPr>
                <w:sz w:val="1"/>
                <w:szCs w:val="1"/>
                <w:color w:val="auto"/>
              </w:rPr>
            </w:pPr>
          </w:p>
        </w:tc>
      </w:tr>
      <w:tr>
        <w:trPr>
          <w:trHeight w:val="196"/>
        </w:trPr>
        <w:tc>
          <w:tcPr>
            <w:tcW w:w="3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Favorable effect of change in tax rate</w:t>
            </w: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297</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297</w:t>
            </w:r>
          </w:p>
        </w:tc>
        <w:tc>
          <w:tcPr>
            <w:tcW w:w="17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31,349</w:t>
            </w:r>
          </w:p>
        </w:tc>
        <w:tc>
          <w:tcPr>
            <w:tcW w:w="15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$ 0.01</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Discrete income tax charge from continuing</w:t>
            </w:r>
          </w:p>
        </w:tc>
        <w:tc>
          <w:tcPr>
            <w:tcW w:w="620" w:type="dxa"/>
            <w:vAlign w:val="bottom"/>
          </w:tcPr>
          <w:p>
            <w:pPr>
              <w:spacing w:after="0"/>
              <w:rPr>
                <w:sz w:val="16"/>
                <w:szCs w:val="16"/>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1,568</w:t>
            </w:r>
          </w:p>
        </w:tc>
        <w:tc>
          <w:tcPr>
            <w:tcW w:w="14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1,568</w:t>
            </w:r>
          </w:p>
        </w:tc>
        <w:tc>
          <w:tcPr>
            <w:tcW w:w="170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31,349</w:t>
            </w:r>
          </w:p>
        </w:tc>
        <w:tc>
          <w:tcPr>
            <w:tcW w:w="15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$ 0.05</w:t>
            </w:r>
          </w:p>
        </w:tc>
        <w:tc>
          <w:tcPr>
            <w:tcW w:w="0" w:type="dxa"/>
            <w:vAlign w:val="bottom"/>
          </w:tcPr>
          <w:p>
            <w:pPr>
              <w:spacing w:after="0"/>
              <w:rPr>
                <w:sz w:val="1"/>
                <w:szCs w:val="1"/>
                <w:color w:val="auto"/>
              </w:rPr>
            </w:pPr>
          </w:p>
        </w:tc>
      </w:tr>
      <w:tr>
        <w:trPr>
          <w:trHeight w:val="109"/>
        </w:trPr>
        <w:tc>
          <w:tcPr>
            <w:tcW w:w="390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18"/>
                <w:szCs w:val="18"/>
                <w:color w:val="auto"/>
              </w:rPr>
              <w:t>operations</w:t>
            </w:r>
          </w:p>
        </w:tc>
        <w:tc>
          <w:tcPr>
            <w:tcW w:w="620" w:type="dxa"/>
            <w:vAlign w:val="bottom"/>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9"/>
        </w:trPr>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Arial" w:cs="Arial" w:eastAsia="Arial" w:hAnsi="Arial"/>
                <w:sz w:val="18"/>
                <w:szCs w:val="18"/>
                <w:color w:val="auto"/>
              </w:rPr>
              <w:t>39</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9" w:right="239" w:bottom="1440"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9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4560" w:type="dxa"/>
            <w:vAlign w:val="bottom"/>
            <w:tcBorders>
              <w:top w:val="single" w:sz="8" w:color="auto"/>
              <w:bottom w:val="single" w:sz="8" w:color="auto"/>
            </w:tcBorders>
            <w:gridSpan w:val="3"/>
          </w:tcPr>
          <w:p>
            <w:pPr>
              <w:jc w:val="right"/>
              <w:ind w:right="751"/>
              <w:spacing w:after="0"/>
              <w:rPr>
                <w:sz w:val="20"/>
                <w:szCs w:val="20"/>
                <w:color w:val="auto"/>
              </w:rPr>
            </w:pPr>
            <w:r>
              <w:rPr>
                <w:rFonts w:ascii="Arial" w:cs="Arial" w:eastAsia="Arial" w:hAnsi="Arial"/>
                <w:sz w:val="16"/>
                <w:szCs w:val="16"/>
                <w:b w:val="1"/>
                <w:bCs w:val="1"/>
                <w:color w:val="auto"/>
              </w:rPr>
              <w:t>Three Months ended June 30, 2011</w:t>
            </w:r>
          </w:p>
        </w:tc>
        <w:tc>
          <w:tcPr>
            <w:tcW w:w="158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(in thousands, except per share amounts)</w:t>
            </w:r>
          </w:p>
        </w:tc>
        <w:tc>
          <w:tcPr>
            <w:tcW w:w="1380" w:type="dxa"/>
            <w:vAlign w:val="bottom"/>
            <w:tcBorders>
              <w:right w:val="single" w:sz="8" w:color="auto"/>
            </w:tcBorders>
          </w:tcPr>
          <w:p>
            <w:pPr>
              <w:jc w:val="right"/>
              <w:ind w:right="353"/>
              <w:spacing w:after="0"/>
              <w:rPr>
                <w:sz w:val="20"/>
                <w:szCs w:val="20"/>
                <w:color w:val="auto"/>
              </w:rPr>
            </w:pPr>
            <w:r>
              <w:rPr>
                <w:rFonts w:ascii="Arial" w:cs="Arial" w:eastAsia="Arial" w:hAnsi="Arial"/>
                <w:sz w:val="16"/>
                <w:szCs w:val="16"/>
                <w:color w:val="auto"/>
              </w:rPr>
              <w:t>Pre-tax</w:t>
            </w:r>
          </w:p>
        </w:tc>
        <w:tc>
          <w:tcPr>
            <w:tcW w:w="1380" w:type="dxa"/>
            <w:vAlign w:val="bottom"/>
            <w:tcBorders>
              <w:right w:val="single" w:sz="8" w:color="auto"/>
            </w:tcBorders>
            <w:vMerge w:val="restart"/>
          </w:tcPr>
          <w:p>
            <w:pPr>
              <w:jc w:val="right"/>
              <w:ind w:right="273"/>
              <w:spacing w:after="0"/>
              <w:rPr>
                <w:sz w:val="20"/>
                <w:szCs w:val="20"/>
                <w:color w:val="auto"/>
              </w:rPr>
            </w:pPr>
            <w:r>
              <w:rPr>
                <w:rFonts w:ascii="Arial" w:cs="Arial" w:eastAsia="Arial" w:hAnsi="Arial"/>
                <w:sz w:val="16"/>
                <w:szCs w:val="16"/>
                <w:color w:val="auto"/>
              </w:rPr>
              <w:t>Tax effect</w:t>
            </w:r>
          </w:p>
        </w:tc>
        <w:tc>
          <w:tcPr>
            <w:tcW w:w="1480" w:type="dxa"/>
            <w:vAlign w:val="bottom"/>
            <w:tcBorders>
              <w:right w:val="single" w:sz="8" w:color="auto"/>
            </w:tcBorders>
            <w:vMerge w:val="restart"/>
          </w:tcPr>
          <w:p>
            <w:pPr>
              <w:jc w:val="right"/>
              <w:ind w:right="151"/>
              <w:spacing w:after="0"/>
              <w:rPr>
                <w:sz w:val="20"/>
                <w:szCs w:val="20"/>
                <w:color w:val="auto"/>
              </w:rPr>
            </w:pPr>
            <w:r>
              <w:rPr>
                <w:rFonts w:ascii="Arial" w:cs="Arial" w:eastAsia="Arial" w:hAnsi="Arial"/>
                <w:sz w:val="16"/>
                <w:szCs w:val="16"/>
                <w:color w:val="auto"/>
              </w:rPr>
              <w:t>After-tax effect</w:t>
            </w:r>
          </w:p>
        </w:tc>
        <w:tc>
          <w:tcPr>
            <w:tcW w:w="1700" w:type="dxa"/>
            <w:vAlign w:val="bottom"/>
            <w:tcBorders>
              <w:right w:val="single" w:sz="8" w:color="auto"/>
            </w:tcBorders>
            <w:vMerge w:val="restart"/>
          </w:tcPr>
          <w:p>
            <w:pPr>
              <w:jc w:val="right"/>
              <w:ind w:right="91"/>
              <w:spacing w:after="0"/>
              <w:rPr>
                <w:sz w:val="20"/>
                <w:szCs w:val="20"/>
                <w:color w:val="auto"/>
              </w:rPr>
            </w:pPr>
            <w:r>
              <w:rPr>
                <w:rFonts w:ascii="Arial" w:cs="Arial" w:eastAsia="Arial" w:hAnsi="Arial"/>
                <w:sz w:val="16"/>
                <w:szCs w:val="16"/>
                <w:color w:val="auto"/>
              </w:rPr>
              <w:t>Shares outstanding</w:t>
            </w:r>
          </w:p>
        </w:tc>
        <w:tc>
          <w:tcPr>
            <w:tcW w:w="1580" w:type="dxa"/>
            <w:vAlign w:val="bottom"/>
            <w:tcBorders>
              <w:right w:val="single" w:sz="8" w:color="auto"/>
            </w:tcBorders>
            <w:vMerge w:val="restart"/>
          </w:tcPr>
          <w:p>
            <w:pPr>
              <w:jc w:val="right"/>
              <w:ind w:right="151"/>
              <w:spacing w:after="0"/>
              <w:rPr>
                <w:sz w:val="20"/>
                <w:szCs w:val="20"/>
                <w:color w:val="auto"/>
              </w:rPr>
            </w:pPr>
            <w:r>
              <w:rPr>
                <w:rFonts w:ascii="Arial" w:cs="Arial" w:eastAsia="Arial" w:hAnsi="Arial"/>
                <w:sz w:val="16"/>
                <w:szCs w:val="16"/>
                <w:color w:val="auto"/>
              </w:rPr>
              <w:t>Per share effect</w:t>
            </w:r>
          </w:p>
        </w:tc>
        <w:tc>
          <w:tcPr>
            <w:tcW w:w="0" w:type="dxa"/>
            <w:vAlign w:val="bottom"/>
          </w:tcPr>
          <w:p>
            <w:pPr>
              <w:spacing w:after="0"/>
              <w:rPr>
                <w:sz w:val="1"/>
                <w:szCs w:val="1"/>
                <w:color w:val="auto"/>
              </w:rPr>
            </w:pPr>
          </w:p>
        </w:tc>
      </w:tr>
      <w:tr>
        <w:trPr>
          <w:trHeight w:val="100"/>
        </w:trPr>
        <w:tc>
          <w:tcPr>
            <w:tcW w:w="3900" w:type="dxa"/>
            <w:vAlign w:val="bottom"/>
            <w:tcBorders>
              <w:left w:val="single" w:sz="8" w:color="auto"/>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right"/>
              <w:ind w:right="293"/>
              <w:spacing w:after="0"/>
              <w:rPr>
                <w:sz w:val="20"/>
                <w:szCs w:val="20"/>
                <w:color w:val="auto"/>
              </w:rPr>
            </w:pPr>
            <w:r>
              <w:rPr>
                <w:rFonts w:ascii="Arial" w:cs="Arial" w:eastAsia="Arial" w:hAnsi="Arial"/>
                <w:sz w:val="16"/>
                <w:szCs w:val="16"/>
                <w:color w:val="auto"/>
              </w:rPr>
              <w:t>amounts</w:t>
            </w:r>
          </w:p>
        </w:tc>
        <w:tc>
          <w:tcPr>
            <w:tcW w:w="138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900" w:type="dxa"/>
            <w:vAlign w:val="bottom"/>
            <w:tcBorders>
              <w:left w:val="single" w:sz="8" w:color="auto"/>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vMerge w:val="continue"/>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Restructuring and other, net from continuing</w:t>
            </w:r>
          </w:p>
        </w:tc>
        <w:tc>
          <w:tcPr>
            <w:tcW w:w="13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$ 1,731</w:t>
            </w:r>
          </w:p>
        </w:tc>
        <w:tc>
          <w:tcPr>
            <w:tcW w:w="13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$ 582</w:t>
            </w:r>
          </w:p>
        </w:tc>
        <w:tc>
          <w:tcPr>
            <w:tcW w:w="14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$ 1,149</w:t>
            </w:r>
          </w:p>
        </w:tc>
        <w:tc>
          <w:tcPr>
            <w:tcW w:w="170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31,263</w:t>
            </w:r>
          </w:p>
        </w:tc>
        <w:tc>
          <w:tcPr>
            <w:tcW w:w="15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$ 0.04</w:t>
            </w:r>
          </w:p>
        </w:tc>
        <w:tc>
          <w:tcPr>
            <w:tcW w:w="0" w:type="dxa"/>
            <w:vAlign w:val="bottom"/>
          </w:tcPr>
          <w:p>
            <w:pPr>
              <w:spacing w:after="0"/>
              <w:rPr>
                <w:sz w:val="1"/>
                <w:szCs w:val="1"/>
                <w:color w:val="auto"/>
              </w:rPr>
            </w:pPr>
          </w:p>
        </w:tc>
      </w:tr>
      <w:tr>
        <w:trPr>
          <w:trHeight w:val="109"/>
        </w:trPr>
        <w:tc>
          <w:tcPr>
            <w:tcW w:w="390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18"/>
                <w:szCs w:val="18"/>
                <w:color w:val="auto"/>
              </w:rPr>
              <w:t>operations</w:t>
            </w:r>
          </w:p>
        </w:tc>
        <w:tc>
          <w:tcPr>
            <w:tcW w:w="138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Foreign currency revaluation losses from</w:t>
            </w:r>
          </w:p>
        </w:tc>
        <w:tc>
          <w:tcPr>
            <w:tcW w:w="13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1,493</w:t>
            </w:r>
          </w:p>
        </w:tc>
        <w:tc>
          <w:tcPr>
            <w:tcW w:w="13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502</w:t>
            </w:r>
          </w:p>
        </w:tc>
        <w:tc>
          <w:tcPr>
            <w:tcW w:w="14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991</w:t>
            </w:r>
          </w:p>
        </w:tc>
        <w:tc>
          <w:tcPr>
            <w:tcW w:w="170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31,263</w:t>
            </w:r>
          </w:p>
        </w:tc>
        <w:tc>
          <w:tcPr>
            <w:tcW w:w="15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$ 0.03</w:t>
            </w:r>
          </w:p>
        </w:tc>
        <w:tc>
          <w:tcPr>
            <w:tcW w:w="0" w:type="dxa"/>
            <w:vAlign w:val="bottom"/>
          </w:tcPr>
          <w:p>
            <w:pPr>
              <w:spacing w:after="0"/>
              <w:rPr>
                <w:sz w:val="1"/>
                <w:szCs w:val="1"/>
                <w:color w:val="auto"/>
              </w:rPr>
            </w:pPr>
          </w:p>
        </w:tc>
      </w:tr>
      <w:tr>
        <w:trPr>
          <w:trHeight w:val="109"/>
        </w:trPr>
        <w:tc>
          <w:tcPr>
            <w:tcW w:w="390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18"/>
                <w:szCs w:val="18"/>
                <w:color w:val="auto"/>
              </w:rPr>
              <w:t>continuing operations</w:t>
            </w:r>
          </w:p>
        </w:tc>
        <w:tc>
          <w:tcPr>
            <w:tcW w:w="138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Gain on sale of former manufacturing building</w:t>
            </w:r>
          </w:p>
        </w:tc>
        <w:tc>
          <w:tcPr>
            <w:tcW w:w="1380" w:type="dxa"/>
            <w:vAlign w:val="bottom"/>
            <w:tcBorders>
              <w:bottom w:val="single" w:sz="8" w:color="auto"/>
              <w:right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608</w:t>
            </w:r>
          </w:p>
        </w:tc>
        <w:tc>
          <w:tcPr>
            <w:tcW w:w="1380" w:type="dxa"/>
            <w:vAlign w:val="bottom"/>
            <w:tcBorders>
              <w:bottom w:val="single" w:sz="8" w:color="auto"/>
              <w:right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204</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404</w:t>
            </w:r>
          </w:p>
        </w:tc>
        <w:tc>
          <w:tcPr>
            <w:tcW w:w="17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31,263</w:t>
            </w:r>
          </w:p>
        </w:tc>
        <w:tc>
          <w:tcPr>
            <w:tcW w:w="15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$ 0.01</w:t>
            </w:r>
          </w:p>
        </w:tc>
        <w:tc>
          <w:tcPr>
            <w:tcW w:w="0" w:type="dxa"/>
            <w:vAlign w:val="bottom"/>
          </w:tcPr>
          <w:p>
            <w:pPr>
              <w:spacing w:after="0"/>
              <w:rPr>
                <w:sz w:val="1"/>
                <w:szCs w:val="1"/>
                <w:color w:val="auto"/>
              </w:rPr>
            </w:pPr>
          </w:p>
        </w:tc>
      </w:tr>
      <w:tr>
        <w:trPr>
          <w:trHeight w:val="196"/>
        </w:trPr>
        <w:tc>
          <w:tcPr>
            <w:tcW w:w="390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Negative effect of change in tax rate</w:t>
            </w:r>
          </w:p>
        </w:tc>
        <w:tc>
          <w:tcPr>
            <w:tcW w:w="1380" w:type="dxa"/>
            <w:vAlign w:val="bottom"/>
            <w:tcBorders>
              <w:bottom w:val="single" w:sz="8" w:color="auto"/>
              <w:right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522</w:t>
            </w:r>
          </w:p>
        </w:tc>
        <w:tc>
          <w:tcPr>
            <w:tcW w:w="14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522</w:t>
            </w:r>
          </w:p>
        </w:tc>
        <w:tc>
          <w:tcPr>
            <w:tcW w:w="170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31,263</w:t>
            </w:r>
          </w:p>
        </w:tc>
        <w:tc>
          <w:tcPr>
            <w:tcW w:w="1580" w:type="dxa"/>
            <w:vAlign w:val="bottom"/>
            <w:tcBorders>
              <w:bottom w:val="single" w:sz="8" w:color="auto"/>
              <w:right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$ 0.02</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Discrete tax charge from continuing</w:t>
            </w:r>
          </w:p>
        </w:tc>
        <w:tc>
          <w:tcPr>
            <w:tcW w:w="13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35</w:t>
            </w:r>
          </w:p>
        </w:tc>
        <w:tc>
          <w:tcPr>
            <w:tcW w:w="14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35</w:t>
            </w:r>
          </w:p>
        </w:tc>
        <w:tc>
          <w:tcPr>
            <w:tcW w:w="170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31,263</w:t>
            </w:r>
          </w:p>
        </w:tc>
        <w:tc>
          <w:tcPr>
            <w:tcW w:w="158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9"/>
        </w:trPr>
        <w:tc>
          <w:tcPr>
            <w:tcW w:w="390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18"/>
                <w:szCs w:val="18"/>
                <w:color w:val="auto"/>
              </w:rPr>
              <w:t>operations</w:t>
            </w:r>
          </w:p>
        </w:tc>
        <w:tc>
          <w:tcPr>
            <w:tcW w:w="138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Company defines net debt as total debt minus cash. Management views net debt, a non-GAAP financial measure, as a measure of the Company's ability to reduce debt, add to cash balances, pay dividends, repurchase stock, and fund investing and financing activities. A reconciliation of total debt to net debt as of June 30, 2012, March 31, 2012 and December 31, 2011, is shown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(in thousands)</w:t>
            </w:r>
          </w:p>
        </w:tc>
        <w:tc>
          <w:tcPr>
            <w:tcW w:w="1940" w:type="dxa"/>
            <w:vAlign w:val="bottom"/>
            <w:tcBorders>
              <w:top w:val="single" w:sz="8" w:color="auto"/>
              <w:bottom w:val="single" w:sz="8" w:color="auto"/>
              <w:right w:val="single" w:sz="8" w:color="auto"/>
            </w:tcBorders>
            <w:gridSpan w:val="2"/>
          </w:tcPr>
          <w:p>
            <w:pPr>
              <w:ind w:left="440"/>
              <w:spacing w:after="0"/>
              <w:rPr>
                <w:sz w:val="20"/>
                <w:szCs w:val="20"/>
                <w:color w:val="auto"/>
              </w:rPr>
            </w:pPr>
            <w:r>
              <w:rPr>
                <w:rFonts w:ascii="Arial" w:cs="Arial" w:eastAsia="Arial" w:hAnsi="Arial"/>
                <w:sz w:val="16"/>
                <w:szCs w:val="16"/>
                <w:color w:val="auto"/>
              </w:rPr>
              <w:t>June 30, 2012</w:t>
            </w:r>
          </w:p>
        </w:tc>
        <w:tc>
          <w:tcPr>
            <w:tcW w:w="2160" w:type="dxa"/>
            <w:vAlign w:val="bottom"/>
            <w:tcBorders>
              <w:top w:val="single" w:sz="8" w:color="auto"/>
              <w:bottom w:val="single" w:sz="8" w:color="auto"/>
              <w:right w:val="single" w:sz="8" w:color="auto"/>
            </w:tcBorders>
            <w:gridSpan w:val="2"/>
          </w:tcPr>
          <w:p>
            <w:pPr>
              <w:jc w:val="right"/>
              <w:ind w:right="430"/>
              <w:spacing w:after="0"/>
              <w:rPr>
                <w:sz w:val="20"/>
                <w:szCs w:val="20"/>
                <w:color w:val="auto"/>
              </w:rPr>
            </w:pPr>
            <w:r>
              <w:rPr>
                <w:rFonts w:ascii="Arial" w:cs="Arial" w:eastAsia="Arial" w:hAnsi="Arial"/>
                <w:sz w:val="16"/>
                <w:szCs w:val="16"/>
                <w:color w:val="auto"/>
              </w:rPr>
              <w:t>March 31, 2012</w:t>
            </w:r>
          </w:p>
        </w:tc>
        <w:tc>
          <w:tcPr>
            <w:tcW w:w="2160" w:type="dxa"/>
            <w:vAlign w:val="bottom"/>
            <w:tcBorders>
              <w:top w:val="single" w:sz="8" w:color="auto"/>
              <w:bottom w:val="single" w:sz="8" w:color="auto"/>
              <w:right w:val="single" w:sz="8" w:color="auto"/>
            </w:tcBorders>
            <w:gridSpan w:val="2"/>
          </w:tcPr>
          <w:p>
            <w:pPr>
              <w:jc w:val="right"/>
              <w:ind w:right="290"/>
              <w:spacing w:after="0"/>
              <w:rPr>
                <w:sz w:val="20"/>
                <w:szCs w:val="20"/>
                <w:color w:val="auto"/>
              </w:rPr>
            </w:pPr>
            <w:r>
              <w:rPr>
                <w:rFonts w:ascii="Arial" w:cs="Arial" w:eastAsia="Arial" w:hAnsi="Arial"/>
                <w:sz w:val="16"/>
                <w:szCs w:val="16"/>
                <w:color w:val="auto"/>
              </w:rPr>
              <w:t>December 31, 2011</w:t>
            </w: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Notes and loans payable</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357</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193</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424</w:t>
            </w: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Current maturities of long-term debt</w:t>
            </w: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30,355</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30,145</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1,263</w:t>
            </w: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Long-term debt</w:t>
            </w: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5"/>
              </w:rPr>
              <w:t>313,632</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296,636</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373,125</w:t>
            </w: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Total debt</w:t>
            </w: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95"/>
              </w:rPr>
              <w:t>344,344</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98"/>
              </w:rPr>
              <w:t>326,974</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98"/>
              </w:rPr>
              <w:t>374,812</w:t>
            </w: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Cash</w:t>
            </w: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5"/>
              </w:rPr>
              <w:t>164,592</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140,925</w:t>
            </w: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118,909</w:t>
            </w:r>
          </w:p>
        </w:tc>
      </w:tr>
      <w:tr>
        <w:trPr>
          <w:trHeight w:val="196"/>
        </w:trPr>
        <w:tc>
          <w:tcPr>
            <w:tcW w:w="5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Net debt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95"/>
              </w:rPr>
              <w:t>179,752</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98"/>
              </w:rPr>
              <w:t>186,049</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98"/>
              </w:rPr>
              <w:t>255,903</w:t>
            </w:r>
          </w:p>
        </w:tc>
      </w:tr>
      <w:tr>
        <w:trPr>
          <w:trHeight w:val="385"/>
        </w:trPr>
        <w:tc>
          <w:tcPr>
            <w:tcW w:w="5160" w:type="dxa"/>
            <w:vAlign w:val="bottom"/>
          </w:tcPr>
          <w:p>
            <w:pPr>
              <w:spacing w:after="0"/>
              <w:rPr>
                <w:sz w:val="24"/>
                <w:szCs w:val="24"/>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40</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5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101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under Item 7A of form 10-K, which is included as an exhibit to this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90"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were defending 4,426 claims as of July 20, 2012.</w:t>
      </w:r>
    </w:p>
    <w:p>
      <w:pPr>
        <w:spacing w:after="0" w:line="18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980" w:type="dxa"/>
            <w:vAlign w:val="bottom"/>
            <w:tcBorders>
              <w:top w:val="single" w:sz="8" w:color="auto"/>
              <w:left w:val="single" w:sz="8" w:color="auto"/>
              <w:right w:val="single" w:sz="8" w:color="auto"/>
            </w:tcBorders>
            <w:vMerge w:val="restart"/>
          </w:tcPr>
          <w:p>
            <w:pPr>
              <w:ind w:left="620"/>
              <w:spacing w:after="0"/>
              <w:rPr>
                <w:sz w:val="20"/>
                <w:szCs w:val="20"/>
                <w:color w:val="auto"/>
              </w:rPr>
            </w:pPr>
            <w:r>
              <w:rPr>
                <w:rFonts w:ascii="Arial" w:cs="Arial" w:eastAsia="Arial" w:hAnsi="Arial"/>
                <w:sz w:val="14"/>
                <w:szCs w:val="14"/>
                <w:i w:val="1"/>
                <w:iCs w:val="1"/>
                <w:color w:val="auto"/>
              </w:rPr>
              <w:t>Year ended</w:t>
            </w:r>
          </w:p>
        </w:tc>
        <w:tc>
          <w:tcPr>
            <w:tcW w:w="1820" w:type="dxa"/>
            <w:vAlign w:val="bottom"/>
            <w:tcBorders>
              <w:top w:val="single" w:sz="8" w:color="auto"/>
              <w:right w:val="single" w:sz="8" w:color="auto"/>
            </w:tcBorders>
            <w:vMerge w:val="restart"/>
          </w:tcPr>
          <w:p>
            <w:pPr>
              <w:jc w:val="right"/>
              <w:ind w:right="314"/>
              <w:spacing w:after="0"/>
              <w:rPr>
                <w:sz w:val="20"/>
                <w:szCs w:val="20"/>
                <w:color w:val="auto"/>
              </w:rPr>
            </w:pPr>
            <w:r>
              <w:rPr>
                <w:rFonts w:ascii="Arial" w:cs="Arial" w:eastAsia="Arial" w:hAnsi="Arial"/>
                <w:sz w:val="14"/>
                <w:szCs w:val="14"/>
                <w:i w:val="1"/>
                <w:iCs w:val="1"/>
                <w:color w:val="auto"/>
              </w:rPr>
              <w:t>Opening Number</w:t>
            </w:r>
          </w:p>
        </w:tc>
        <w:tc>
          <w:tcPr>
            <w:tcW w:w="2520" w:type="dxa"/>
            <w:vAlign w:val="bottom"/>
            <w:tcBorders>
              <w:top w:val="single" w:sz="8" w:color="auto"/>
              <w:right w:val="single" w:sz="8" w:color="auto"/>
            </w:tcBorders>
            <w:vMerge w:val="restart"/>
          </w:tcPr>
          <w:p>
            <w:pPr>
              <w:jc w:val="right"/>
              <w:ind w:right="614"/>
              <w:spacing w:after="0"/>
              <w:rPr>
                <w:sz w:val="20"/>
                <w:szCs w:val="20"/>
                <w:color w:val="auto"/>
              </w:rPr>
            </w:pPr>
            <w:r>
              <w:rPr>
                <w:rFonts w:ascii="Arial" w:cs="Arial" w:eastAsia="Arial" w:hAnsi="Arial"/>
                <w:sz w:val="14"/>
                <w:szCs w:val="14"/>
                <w:i w:val="1"/>
                <w:iCs w:val="1"/>
                <w:color w:val="auto"/>
              </w:rPr>
              <w:t>Claims Dismissed,</w:t>
            </w:r>
          </w:p>
        </w:tc>
        <w:tc>
          <w:tcPr>
            <w:tcW w:w="136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vMerge w:val="restart"/>
          </w:tcPr>
          <w:p>
            <w:pPr>
              <w:jc w:val="right"/>
              <w:ind w:right="274"/>
              <w:spacing w:after="0"/>
              <w:rPr>
                <w:sz w:val="20"/>
                <w:szCs w:val="20"/>
                <w:color w:val="auto"/>
              </w:rPr>
            </w:pPr>
            <w:r>
              <w:rPr>
                <w:rFonts w:ascii="Arial" w:cs="Arial" w:eastAsia="Arial" w:hAnsi="Arial"/>
                <w:sz w:val="14"/>
                <w:szCs w:val="14"/>
                <w:i w:val="1"/>
                <w:iCs w:val="1"/>
                <w:color w:val="auto"/>
              </w:rPr>
              <w:t>Closing Number</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rPr>
              <w:t>Amounts Paid</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14"/>
                <w:szCs w:val="14"/>
                <w:i w:val="1"/>
                <w:iCs w:val="1"/>
                <w:color w:val="auto"/>
              </w:rPr>
              <w:t>New Claims</w:t>
            </w:r>
          </w:p>
        </w:tc>
        <w:tc>
          <w:tcPr>
            <w:tcW w:w="1700" w:type="dxa"/>
            <w:vAlign w:val="bottom"/>
            <w:tcBorders>
              <w:right w:val="single" w:sz="8" w:color="auto"/>
            </w:tcBorders>
            <w:vMerge w:val="continue"/>
          </w:tcPr>
          <w:p>
            <w:pPr>
              <w:spacing w:after="0"/>
              <w:rPr>
                <w:sz w:val="7"/>
                <w:szCs w:val="7"/>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(thousands) to Settle</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i w:val="1"/>
                <w:iCs w:val="1"/>
                <w:color w:val="auto"/>
              </w:rPr>
              <w:t>December 31,</w:t>
            </w:r>
          </w:p>
        </w:tc>
        <w:tc>
          <w:tcPr>
            <w:tcW w:w="1820" w:type="dxa"/>
            <w:vAlign w:val="bottom"/>
            <w:tcBorders>
              <w:right w:val="single" w:sz="8" w:color="auto"/>
            </w:tcBorders>
            <w:vMerge w:val="restart"/>
          </w:tcPr>
          <w:p>
            <w:pPr>
              <w:jc w:val="right"/>
              <w:ind w:right="534"/>
              <w:spacing w:after="0"/>
              <w:rPr>
                <w:sz w:val="20"/>
                <w:szCs w:val="20"/>
                <w:color w:val="auto"/>
              </w:rPr>
            </w:pPr>
            <w:r>
              <w:rPr>
                <w:rFonts w:ascii="Arial" w:cs="Arial" w:eastAsia="Arial" w:hAnsi="Arial"/>
                <w:sz w:val="14"/>
                <w:szCs w:val="14"/>
                <w:i w:val="1"/>
                <w:iCs w:val="1"/>
                <w:color w:val="auto"/>
              </w:rPr>
              <w:t>of Claims</w:t>
            </w:r>
          </w:p>
        </w:tc>
        <w:tc>
          <w:tcPr>
            <w:tcW w:w="2520" w:type="dxa"/>
            <w:vAlign w:val="bottom"/>
            <w:tcBorders>
              <w:right w:val="single" w:sz="8" w:color="auto"/>
            </w:tcBorders>
            <w:vMerge w:val="restart"/>
          </w:tcPr>
          <w:p>
            <w:pPr>
              <w:jc w:val="right"/>
              <w:ind w:right="534"/>
              <w:spacing w:after="0"/>
              <w:rPr>
                <w:sz w:val="20"/>
                <w:szCs w:val="20"/>
                <w:color w:val="auto"/>
              </w:rPr>
            </w:pPr>
            <w:r>
              <w:rPr>
                <w:rFonts w:ascii="Arial" w:cs="Arial" w:eastAsia="Arial" w:hAnsi="Arial"/>
                <w:sz w:val="14"/>
                <w:szCs w:val="14"/>
                <w:i w:val="1"/>
                <w:iCs w:val="1"/>
                <w:color w:val="auto"/>
              </w:rPr>
              <w:t>Settled, or Resolved</w:t>
            </w:r>
          </w:p>
        </w:tc>
        <w:tc>
          <w:tcPr>
            <w:tcW w:w="13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right"/>
              <w:ind w:right="474"/>
              <w:spacing w:after="0"/>
              <w:rPr>
                <w:sz w:val="20"/>
                <w:szCs w:val="20"/>
                <w:color w:val="auto"/>
              </w:rPr>
            </w:pPr>
            <w:r>
              <w:rPr>
                <w:rFonts w:ascii="Arial" w:cs="Arial" w:eastAsia="Arial" w:hAnsi="Arial"/>
                <w:sz w:val="14"/>
                <w:szCs w:val="14"/>
                <w:i w:val="1"/>
                <w:iCs w:val="1"/>
                <w:color w:val="auto"/>
              </w:rPr>
              <w:t>of Claims</w:t>
            </w:r>
          </w:p>
        </w:tc>
        <w:tc>
          <w:tcPr>
            <w:tcW w:w="2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980" w:type="dxa"/>
            <w:vAlign w:val="bottom"/>
            <w:tcBorders>
              <w:left w:val="single" w:sz="8" w:color="auto"/>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or Resolve ($)</w:t>
            </w: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2005</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29,411</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6,257</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1,297</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24,451</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504</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2006</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24,451</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6,841</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1,806</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19,416</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3,879</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2007</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19,416</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808</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190</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18,798</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2008</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18,798</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523</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110</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18,385</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2009</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18,385</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9,482</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42</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8,945</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88</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2010</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8,945</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3,963</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188</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5,170</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159</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2011</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5,170</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789</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65</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4,446</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1,111</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2012 to date</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4,446</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69</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49</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4,426</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513</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Exposure and disease information sufficient meaningfully to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7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July 20, 2012, we had resolved, by means of settlement or dismissal, 36,349 claims. The total cost of resolving all claims was $8,628,500. Of this amount, almost 100% was paid by our insurance carrier. The Company has approximately $130 million in confirmed insurance coverage that should be available with respect to current and future asbestos claims, as well as additional insurance coverage that we should be able to access.</w:t>
      </w:r>
    </w:p>
    <w:p>
      <w:pPr>
        <w:spacing w:after="0" w:line="16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Brandon Drying Fabrics, Inc. (“Brandon”), a subsidiary of Geschmay Corp., which is a subsidiary of the Company, is also a separate defendant in many of the asbestos cases in which Albany is named as a defendant. Brandon was defending against 7,873 claims as of July 20, 2012.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4" w:name="page45"/>
    <w:bookmarkEnd w:id="44"/>
    <w:p>
      <w:pPr>
        <w:ind w:right="44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980" w:type="dxa"/>
            <w:vAlign w:val="bottom"/>
            <w:tcBorders>
              <w:top w:val="single" w:sz="8" w:color="auto"/>
              <w:left w:val="single" w:sz="8" w:color="auto"/>
              <w:right w:val="single" w:sz="8" w:color="auto"/>
            </w:tcBorders>
            <w:vMerge w:val="restart"/>
          </w:tcPr>
          <w:p>
            <w:pPr>
              <w:ind w:left="620"/>
              <w:spacing w:after="0"/>
              <w:rPr>
                <w:sz w:val="20"/>
                <w:szCs w:val="20"/>
                <w:color w:val="auto"/>
              </w:rPr>
            </w:pPr>
            <w:r>
              <w:rPr>
                <w:rFonts w:ascii="Arial" w:cs="Arial" w:eastAsia="Arial" w:hAnsi="Arial"/>
                <w:sz w:val="14"/>
                <w:szCs w:val="14"/>
                <w:i w:val="1"/>
                <w:iCs w:val="1"/>
                <w:color w:val="auto"/>
              </w:rPr>
              <w:t>Year ended</w:t>
            </w:r>
          </w:p>
        </w:tc>
        <w:tc>
          <w:tcPr>
            <w:tcW w:w="1820" w:type="dxa"/>
            <w:vAlign w:val="bottom"/>
            <w:tcBorders>
              <w:top w:val="single" w:sz="8" w:color="auto"/>
              <w:right w:val="single" w:sz="8" w:color="auto"/>
            </w:tcBorders>
            <w:vMerge w:val="restart"/>
          </w:tcPr>
          <w:p>
            <w:pPr>
              <w:jc w:val="right"/>
              <w:ind w:right="314"/>
              <w:spacing w:after="0"/>
              <w:rPr>
                <w:sz w:val="20"/>
                <w:szCs w:val="20"/>
                <w:color w:val="auto"/>
              </w:rPr>
            </w:pPr>
            <w:r>
              <w:rPr>
                <w:rFonts w:ascii="Arial" w:cs="Arial" w:eastAsia="Arial" w:hAnsi="Arial"/>
                <w:sz w:val="14"/>
                <w:szCs w:val="14"/>
                <w:i w:val="1"/>
                <w:iCs w:val="1"/>
                <w:color w:val="auto"/>
              </w:rPr>
              <w:t>Opening Number</w:t>
            </w:r>
          </w:p>
        </w:tc>
        <w:tc>
          <w:tcPr>
            <w:tcW w:w="2520" w:type="dxa"/>
            <w:vAlign w:val="bottom"/>
            <w:tcBorders>
              <w:top w:val="single" w:sz="8" w:color="auto"/>
              <w:right w:val="single" w:sz="8" w:color="auto"/>
            </w:tcBorders>
            <w:vMerge w:val="restart"/>
          </w:tcPr>
          <w:p>
            <w:pPr>
              <w:jc w:val="right"/>
              <w:ind w:right="614"/>
              <w:spacing w:after="0"/>
              <w:rPr>
                <w:sz w:val="20"/>
                <w:szCs w:val="20"/>
                <w:color w:val="auto"/>
              </w:rPr>
            </w:pPr>
            <w:r>
              <w:rPr>
                <w:rFonts w:ascii="Arial" w:cs="Arial" w:eastAsia="Arial" w:hAnsi="Arial"/>
                <w:sz w:val="14"/>
                <w:szCs w:val="14"/>
                <w:i w:val="1"/>
                <w:iCs w:val="1"/>
                <w:color w:val="auto"/>
              </w:rPr>
              <w:t>Claims Dismissed,</w:t>
            </w:r>
          </w:p>
        </w:tc>
        <w:tc>
          <w:tcPr>
            <w:tcW w:w="136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vMerge w:val="restart"/>
          </w:tcPr>
          <w:p>
            <w:pPr>
              <w:jc w:val="right"/>
              <w:ind w:right="274"/>
              <w:spacing w:after="0"/>
              <w:rPr>
                <w:sz w:val="20"/>
                <w:szCs w:val="20"/>
                <w:color w:val="auto"/>
              </w:rPr>
            </w:pPr>
            <w:r>
              <w:rPr>
                <w:rFonts w:ascii="Arial" w:cs="Arial" w:eastAsia="Arial" w:hAnsi="Arial"/>
                <w:sz w:val="14"/>
                <w:szCs w:val="14"/>
                <w:i w:val="1"/>
                <w:iCs w:val="1"/>
                <w:color w:val="auto"/>
              </w:rPr>
              <w:t>Closing Number</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rPr>
              <w:t>Amounts Paid</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restart"/>
          </w:tcPr>
          <w:p>
            <w:pPr>
              <w:jc w:val="right"/>
              <w:ind w:right="212"/>
              <w:spacing w:after="0"/>
              <w:rPr>
                <w:sz w:val="20"/>
                <w:szCs w:val="20"/>
                <w:color w:val="auto"/>
              </w:rPr>
            </w:pPr>
            <w:r>
              <w:rPr>
                <w:rFonts w:ascii="Arial" w:cs="Arial" w:eastAsia="Arial" w:hAnsi="Arial"/>
                <w:sz w:val="14"/>
                <w:szCs w:val="14"/>
                <w:i w:val="1"/>
                <w:iCs w:val="1"/>
                <w:color w:val="auto"/>
              </w:rPr>
              <w:t>New Claims</w:t>
            </w:r>
          </w:p>
        </w:tc>
        <w:tc>
          <w:tcPr>
            <w:tcW w:w="1700" w:type="dxa"/>
            <w:vAlign w:val="bottom"/>
            <w:tcBorders>
              <w:right w:val="single" w:sz="8" w:color="auto"/>
            </w:tcBorders>
            <w:vMerge w:val="continue"/>
          </w:tcPr>
          <w:p>
            <w:pPr>
              <w:spacing w:after="0"/>
              <w:rPr>
                <w:sz w:val="7"/>
                <w:szCs w:val="7"/>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(thousands) to Settle</w:t>
            </w: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i w:val="1"/>
                <w:iCs w:val="1"/>
                <w:color w:val="auto"/>
              </w:rPr>
              <w:t>December 31,</w:t>
            </w:r>
          </w:p>
        </w:tc>
        <w:tc>
          <w:tcPr>
            <w:tcW w:w="1820" w:type="dxa"/>
            <w:vAlign w:val="bottom"/>
            <w:tcBorders>
              <w:right w:val="single" w:sz="8" w:color="auto"/>
            </w:tcBorders>
            <w:vMerge w:val="restart"/>
          </w:tcPr>
          <w:p>
            <w:pPr>
              <w:jc w:val="right"/>
              <w:ind w:right="534"/>
              <w:spacing w:after="0"/>
              <w:rPr>
                <w:sz w:val="20"/>
                <w:szCs w:val="20"/>
                <w:color w:val="auto"/>
              </w:rPr>
            </w:pPr>
            <w:r>
              <w:rPr>
                <w:rFonts w:ascii="Arial" w:cs="Arial" w:eastAsia="Arial" w:hAnsi="Arial"/>
                <w:sz w:val="14"/>
                <w:szCs w:val="14"/>
                <w:i w:val="1"/>
                <w:iCs w:val="1"/>
                <w:color w:val="auto"/>
              </w:rPr>
              <w:t>of Claims</w:t>
            </w:r>
          </w:p>
        </w:tc>
        <w:tc>
          <w:tcPr>
            <w:tcW w:w="2520" w:type="dxa"/>
            <w:vAlign w:val="bottom"/>
            <w:tcBorders>
              <w:right w:val="single" w:sz="8" w:color="auto"/>
            </w:tcBorders>
            <w:vMerge w:val="restart"/>
          </w:tcPr>
          <w:p>
            <w:pPr>
              <w:jc w:val="right"/>
              <w:ind w:right="534"/>
              <w:spacing w:after="0"/>
              <w:rPr>
                <w:sz w:val="20"/>
                <w:szCs w:val="20"/>
                <w:color w:val="auto"/>
              </w:rPr>
            </w:pPr>
            <w:r>
              <w:rPr>
                <w:rFonts w:ascii="Arial" w:cs="Arial" w:eastAsia="Arial" w:hAnsi="Arial"/>
                <w:sz w:val="14"/>
                <w:szCs w:val="14"/>
                <w:i w:val="1"/>
                <w:iCs w:val="1"/>
                <w:color w:val="auto"/>
              </w:rPr>
              <w:t>Settled, or Resolved</w:t>
            </w:r>
          </w:p>
        </w:tc>
        <w:tc>
          <w:tcPr>
            <w:tcW w:w="13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right"/>
              <w:ind w:right="474"/>
              <w:spacing w:after="0"/>
              <w:rPr>
                <w:sz w:val="20"/>
                <w:szCs w:val="20"/>
                <w:color w:val="auto"/>
              </w:rPr>
            </w:pPr>
            <w:r>
              <w:rPr>
                <w:rFonts w:ascii="Arial" w:cs="Arial" w:eastAsia="Arial" w:hAnsi="Arial"/>
                <w:sz w:val="14"/>
                <w:szCs w:val="14"/>
                <w:i w:val="1"/>
                <w:iCs w:val="1"/>
                <w:color w:val="auto"/>
              </w:rPr>
              <w:t>of Claims</w:t>
            </w:r>
          </w:p>
        </w:tc>
        <w:tc>
          <w:tcPr>
            <w:tcW w:w="2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980" w:type="dxa"/>
            <w:vAlign w:val="bottom"/>
            <w:tcBorders>
              <w:left w:val="single" w:sz="8" w:color="auto"/>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rPr>
              <w:t>or Resolve ($)</w:t>
            </w: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2005</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9,985</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642</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223</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9,566</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2006</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9,566</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1,182</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730</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9,114</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2007</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9,114</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462</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88</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8,740</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2008</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8,740</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86</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10</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8,664</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2009</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8,664</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760</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3</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7,907</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2010</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7,907</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47</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9</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7,869</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2011</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7,869</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3</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11</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7,877</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19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i w:val="1"/>
                <w:iCs w:val="1"/>
                <w:color w:val="auto"/>
              </w:rPr>
              <w:t>2012 to date</w:t>
            </w:r>
          </w:p>
        </w:tc>
        <w:tc>
          <w:tcPr>
            <w:tcW w:w="18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7,877</w:t>
            </w:r>
          </w:p>
        </w:tc>
        <w:tc>
          <w:tcPr>
            <w:tcW w:w="252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6</w:t>
            </w:r>
          </w:p>
        </w:tc>
        <w:tc>
          <w:tcPr>
            <w:tcW w:w="1360" w:type="dxa"/>
            <w:vAlign w:val="bottom"/>
            <w:tcBorders>
              <w:bottom w:val="single" w:sz="8" w:color="auto"/>
              <w:right w:val="single" w:sz="8" w:color="auto"/>
            </w:tcBorders>
          </w:tcPr>
          <w:p>
            <w:pPr>
              <w:jc w:val="right"/>
              <w:ind w:right="72"/>
              <w:spacing w:after="0" w:line="196" w:lineRule="exact"/>
              <w:rPr>
                <w:sz w:val="20"/>
                <w:szCs w:val="20"/>
                <w:color w:val="auto"/>
              </w:rPr>
            </w:pPr>
            <w:r>
              <w:rPr>
                <w:rFonts w:ascii="Arial" w:cs="Arial" w:eastAsia="Arial" w:hAnsi="Arial"/>
                <w:sz w:val="18"/>
                <w:szCs w:val="18"/>
                <w:i w:val="1"/>
                <w:iCs w:val="1"/>
                <w:color w:val="auto"/>
              </w:rPr>
              <w:t>2</w:t>
            </w:r>
          </w:p>
        </w:tc>
        <w:tc>
          <w:tcPr>
            <w:tcW w:w="1700" w:type="dxa"/>
            <w:vAlign w:val="bottom"/>
            <w:tcBorders>
              <w:bottom w:val="single" w:sz="8" w:color="auto"/>
              <w:right w:val="single" w:sz="8" w:color="auto"/>
            </w:tcBorders>
          </w:tcPr>
          <w:p>
            <w:pPr>
              <w:jc w:val="right"/>
              <w:ind w:right="74"/>
              <w:spacing w:after="0" w:line="196" w:lineRule="exact"/>
              <w:rPr>
                <w:sz w:val="20"/>
                <w:szCs w:val="20"/>
                <w:color w:val="auto"/>
              </w:rPr>
            </w:pPr>
            <w:r>
              <w:rPr>
                <w:rFonts w:ascii="Arial" w:cs="Arial" w:eastAsia="Arial" w:hAnsi="Arial"/>
                <w:sz w:val="18"/>
                <w:szCs w:val="18"/>
                <w:i w:val="1"/>
                <w:iCs w:val="1"/>
                <w:color w:val="auto"/>
              </w:rPr>
              <w:t>7,873</w:t>
            </w:r>
          </w:p>
        </w:tc>
        <w:tc>
          <w:tcPr>
            <w:tcW w:w="2040" w:type="dxa"/>
            <w:vAlign w:val="bottom"/>
            <w:tcBorders>
              <w:bottom w:val="single" w:sz="8" w:color="auto"/>
              <w:right w:val="single" w:sz="8" w:color="auto"/>
            </w:tcBorders>
          </w:tcPr>
          <w:p>
            <w:pPr>
              <w:jc w:val="right"/>
              <w:ind w:right="75"/>
              <w:spacing w:after="0" w:line="196" w:lineRule="exact"/>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July 20, 2012, Brandon has resolved, by means of settlement or dismissal, 9,727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7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6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________________________________________</w:t>
      </w:r>
    </w:p>
    <w:p>
      <w:pPr>
        <w:spacing w:after="0" w:line="17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8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________________________________________</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NAFTA Audits</w:t>
      </w:r>
    </w:p>
    <w:p>
      <w:pPr>
        <w:spacing w:after="0" w:line="20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PMC from the Company and the Company’s affiliate in Canada for which the Company has claimed duty-free treatment under the North American Free Trade Agreement (“NAFTA”).</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2011, while these appeals were pending, SAT revoked its earlier declarations of invalidation with respect to the certificates of origin at issue in 28 of the 36 open audits, and ordered a further review of such certificates. To date, the Company has been informed by SAT that it has completed its review of 19 of the 28 audits, and concluded that the certificates of origin in 19 of those 28 audits were valid, and that the shipments identified in those 19 audits were entitled to NAFTA’s duty-free treatment. SAT is continuing to review the certificates of origin in the remaining 9 open audits where the original declaration was revoked. SAT is also still considering the Company’s appeal with regard to the 8 open audits where the original declaration invalidating the certificates of origin have not yet been revoked.</w:t>
      </w:r>
    </w:p>
    <w:p>
      <w:pPr>
        <w:spacing w:after="0" w:line="17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Based on discussions with SAT, the Company currently expects that it will be given an opportunity to present evidence to SAT officials to establish the origin for NAFTA purposes of all of the shipments covered by the above-described audits still under review, and that it will be able to establish that a very high percentage of the shipments at issue were entitled to NAFTA treatment. For the small percentage of shipments for which the Company may not be able to establish qualification for duty-free treatment under NAFTA, the Company may be required to pay duties and penalties. The Company currently does not expect any such amounts to be material. The Company also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1A. Risk Factors</w:t>
      </w:r>
      <w:r>
        <w:rPr>
          <w:rFonts w:ascii="Arial" w:cs="Arial" w:eastAsia="Arial" w:hAnsi="Arial"/>
          <w:sz w:val="18"/>
          <w:szCs w:val="18"/>
          <w:color w:val="auto"/>
        </w:rPr>
        <w:t>.</w:t>
      </w:r>
    </w:p>
    <w:p>
      <w:pPr>
        <w:spacing w:after="0" w:line="20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There have been no material changes in risks since December 31, 2011. For discussion of risk factors, refer to Item 1A of our Annual Report on Form 10-K for the year ended December 31, 2011.</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made no share purchases during the second quarter of 2012. We remain authorized by the Board of Directors to purchase up to 2 million shares of our Class A Common Stock.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240" w:top="616"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Exhibit No.</w:t>
            </w:r>
          </w:p>
        </w:tc>
        <w:tc>
          <w:tcPr>
            <w:tcW w:w="10280" w:type="dxa"/>
            <w:vAlign w:val="bottom"/>
          </w:tcPr>
          <w:p>
            <w:pPr>
              <w:ind w:left="100"/>
              <w:spacing w:after="0"/>
              <w:rPr>
                <w:sz w:val="20"/>
                <w:szCs w:val="20"/>
                <w:color w:val="auto"/>
              </w:rPr>
            </w:pPr>
            <w:r>
              <w:rPr>
                <w:rFonts w:ascii="Arial" w:cs="Arial" w:eastAsia="Arial" w:hAnsi="Arial"/>
                <w:sz w:val="18"/>
                <w:szCs w:val="18"/>
                <w:color w:val="auto"/>
              </w:rPr>
              <w:t>Description</w:t>
            </w:r>
          </w:p>
        </w:tc>
      </w:tr>
      <w:tr>
        <w:trPr>
          <w:trHeight w:val="513"/>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28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513"/>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99"/>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Certification pursuant to Section 906 of the Sarbanes-Oxley Act of 2002 (Subsections (a) and (b) of Section 1350, Chapter 63 of</w:t>
            </w:r>
          </w:p>
        </w:tc>
      </w:tr>
      <w:tr>
        <w:trPr>
          <w:trHeight w:val="217"/>
        </w:trPr>
        <w:tc>
          <w:tcPr>
            <w:tcW w:w="98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Title 18, United States Code).</w:t>
            </w:r>
          </w:p>
        </w:tc>
      </w:tr>
      <w:tr>
        <w:trPr>
          <w:trHeight w:val="513"/>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risks as reported at December 31, 2011.</w:t>
            </w:r>
          </w:p>
        </w:tc>
      </w:tr>
    </w:tbl>
    <w:p>
      <w:pPr>
        <w:spacing w:after="0" w:line="296" w:lineRule="exact"/>
        <w:rPr>
          <w:sz w:val="20"/>
          <w:szCs w:val="20"/>
          <w:color w:val="auto"/>
        </w:rPr>
      </w:pPr>
    </w:p>
    <w:p>
      <w:pPr>
        <w:ind w:left="1080" w:right="380" w:hanging="1072"/>
        <w:spacing w:after="0" w:line="24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2012, formatted in eXtensible Business Reporting Language (XBRL), filed herewith:</w:t>
      </w:r>
    </w:p>
    <w:p>
      <w:pPr>
        <w:spacing w:after="0" w:line="291" w:lineRule="exact"/>
        <w:rPr>
          <w:rFonts w:ascii="Arial" w:cs="Arial" w:eastAsia="Arial" w:hAnsi="Arial"/>
          <w:sz w:val="18"/>
          <w:szCs w:val="18"/>
          <w:color w:val="auto"/>
        </w:rPr>
      </w:pPr>
    </w:p>
    <w:p>
      <w:pPr>
        <w:ind w:left="1420" w:hanging="316"/>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Consolidated Balance Sheets at June 30, 2012 and December 31, 2011,</w:t>
      </w:r>
    </w:p>
    <w:p>
      <w:pPr>
        <w:spacing w:after="0" w:line="306" w:lineRule="exact"/>
        <w:rPr>
          <w:rFonts w:ascii="Arial" w:cs="Arial" w:eastAsia="Arial" w:hAnsi="Arial"/>
          <w:sz w:val="18"/>
          <w:szCs w:val="18"/>
          <w:color w:val="auto"/>
        </w:rPr>
      </w:pPr>
    </w:p>
    <w:p>
      <w:pPr>
        <w:ind w:left="1420" w:hanging="356"/>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six months ended June 30, 2012 and 2011,</w:t>
      </w:r>
    </w:p>
    <w:p>
      <w:pPr>
        <w:spacing w:after="0" w:line="306" w:lineRule="exact"/>
        <w:rPr>
          <w:rFonts w:ascii="Arial" w:cs="Arial" w:eastAsia="Arial" w:hAnsi="Arial"/>
          <w:sz w:val="18"/>
          <w:szCs w:val="18"/>
          <w:color w:val="auto"/>
        </w:rPr>
      </w:pPr>
    </w:p>
    <w:p>
      <w:pPr>
        <w:ind w:left="1420" w:hanging="396"/>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six months ended June 30, 2012 and 2011.</w:t>
      </w:r>
    </w:p>
    <w:p>
      <w:pPr>
        <w:spacing w:after="0" w:line="306" w:lineRule="exact"/>
        <w:rPr>
          <w:rFonts w:ascii="Arial" w:cs="Arial" w:eastAsia="Arial" w:hAnsi="Arial"/>
          <w:sz w:val="18"/>
          <w:szCs w:val="18"/>
          <w:color w:val="auto"/>
        </w:rPr>
      </w:pPr>
    </w:p>
    <w:p>
      <w:pPr>
        <w:ind w:left="1420" w:hanging="406"/>
        <w:spacing w:after="0"/>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3" w:lineRule="exact"/>
        <w:rPr>
          <w:rFonts w:ascii="Arial" w:cs="Arial" w:eastAsia="Arial" w:hAnsi="Arial"/>
          <w:sz w:val="18"/>
          <w:szCs w:val="18"/>
          <w:color w:val="auto"/>
        </w:rPr>
      </w:pPr>
    </w:p>
    <w:p>
      <w:pPr>
        <w:ind w:left="1440"/>
        <w:spacing w:after="0" w:line="246" w:lineRule="auto"/>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8" w:name="page49"/>
    <w:bookmarkEnd w:id="48"/>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jc w:val="center"/>
        <w:ind w:left="238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 xml:space="preserve"> ..</w:t>
      </w:r>
    </w:p>
    <w:p>
      <w:pPr>
        <w:jc w:val="center"/>
        <w:ind w:left="2380"/>
        <w:spacing w:after="0"/>
        <w:rPr>
          <w:sz w:val="20"/>
          <w:szCs w:val="20"/>
          <w:color w:val="auto"/>
        </w:rPr>
      </w:pPr>
      <w:r>
        <w:rPr>
          <w:rFonts w:ascii="Arial" w:cs="Arial" w:eastAsia="Arial" w:hAnsi="Arial"/>
          <w:sz w:val="18"/>
          <w:szCs w:val="18"/>
          <w:color w:val="auto"/>
        </w:rPr>
        <w:t>(Registrant)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18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4560"/>
        <w:spacing w:after="0" w:line="234" w:lineRule="auto"/>
        <w:rPr>
          <w:sz w:val="20"/>
          <w:szCs w:val="20"/>
          <w:color w:val="auto"/>
        </w:rPr>
      </w:pPr>
      <w:r>
        <w:rPr>
          <w:rFonts w:ascii="Arial" w:cs="Arial" w:eastAsia="Arial" w:hAnsi="Arial"/>
          <w:sz w:val="18"/>
          <w:szCs w:val="18"/>
          <w:color w:val="auto"/>
        </w:rPr>
        <w:t>John B. Cozzolino</w:t>
      </w:r>
    </w:p>
    <w:p>
      <w:pPr>
        <w:ind w:left="456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4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20"/>
          </w:cols>
          <w:pgMar w:left="240" w:top="616" w:right="53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jc w:val="center"/>
        <w:ind w:right="-7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7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98" w:lineRule="exact"/>
        <w:rPr>
          <w:sz w:val="20"/>
          <w:szCs w:val="20"/>
          <w:color w:val="auto"/>
        </w:rPr>
      </w:pPr>
    </w:p>
    <w:p>
      <w:pPr>
        <w:ind w:left="820" w:hanging="33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98" w:lineRule="exact"/>
        <w:rPr>
          <w:rFonts w:ascii="Arial" w:cs="Arial" w:eastAsia="Arial" w:hAnsi="Arial"/>
          <w:sz w:val="18"/>
          <w:szCs w:val="18"/>
          <w:color w:val="auto"/>
        </w:rPr>
      </w:pPr>
    </w:p>
    <w:p>
      <w:pPr>
        <w:ind w:left="820" w:right="20" w:hanging="33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820" w:right="80" w:hanging="33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820" w:right="180" w:hanging="33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260" w:right="160" w:hanging="388"/>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260" w:right="160" w:hanging="388"/>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260" w:right="80" w:hanging="378"/>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1260" w:right="220" w:hanging="388"/>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820" w:right="80" w:hanging="33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260" w:right="80" w:hanging="388"/>
        <w:spacing w:after="0"/>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260" w:hanging="388"/>
        <w:spacing w:after="0" w:line="246"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spacing w:after="0" w:line="1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Joseph G. Morone</w:t>
      </w:r>
    </w:p>
    <w:p>
      <w:pPr>
        <w:ind w:left="48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jc w:val="center"/>
        <w:ind w:right="-7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7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98" w:lineRule="exact"/>
        <w:rPr>
          <w:sz w:val="20"/>
          <w:szCs w:val="20"/>
          <w:color w:val="auto"/>
        </w:rPr>
      </w:pPr>
    </w:p>
    <w:p>
      <w:pPr>
        <w:ind w:left="820" w:hanging="33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98" w:lineRule="exact"/>
        <w:rPr>
          <w:rFonts w:ascii="Arial" w:cs="Arial" w:eastAsia="Arial" w:hAnsi="Arial"/>
          <w:sz w:val="18"/>
          <w:szCs w:val="18"/>
          <w:color w:val="auto"/>
        </w:rPr>
      </w:pPr>
    </w:p>
    <w:p>
      <w:pPr>
        <w:ind w:left="820" w:right="20" w:hanging="33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820" w:right="80" w:hanging="33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820" w:right="180" w:hanging="33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260" w:right="160" w:hanging="388"/>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1260" w:right="160" w:hanging="388"/>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260" w:right="80" w:hanging="378"/>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1260" w:right="220" w:hanging="388"/>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820" w:right="80" w:hanging="33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260" w:right="80" w:hanging="388"/>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260" w:hanging="388"/>
        <w:spacing w:after="0" w:line="246"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9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 </w:t>
      </w:r>
      <w:r>
        <w:rPr>
          <w:rFonts w:ascii="Arial" w:cs="Arial" w:eastAsia="Arial" w:hAnsi="Arial"/>
          <w:sz w:val="18"/>
          <w:szCs w:val="18"/>
          <w:u w:val="single" w:color="auto"/>
          <w:color w:val="auto"/>
        </w:rPr>
        <w:t>s/ John B. Cozzolino</w:t>
      </w:r>
    </w:p>
    <w:p>
      <w:pPr>
        <w:ind w:left="5040"/>
        <w:spacing w:after="0" w:line="234" w:lineRule="auto"/>
        <w:rPr>
          <w:sz w:val="20"/>
          <w:szCs w:val="20"/>
          <w:color w:val="auto"/>
        </w:rPr>
      </w:pPr>
      <w:r>
        <w:rPr>
          <w:rFonts w:ascii="Arial" w:cs="Arial" w:eastAsia="Arial" w:hAnsi="Arial"/>
          <w:sz w:val="18"/>
          <w:szCs w:val="18"/>
          <w:color w:val="auto"/>
        </w:rPr>
        <w:t>John B. Cozzolino</w:t>
      </w:r>
    </w:p>
    <w:p>
      <w:pPr>
        <w:ind w:left="504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51" w:name="page52"/>
    <w:bookmarkEnd w:id="51"/>
    <w:p>
      <w:pPr>
        <w:jc w:val="center"/>
        <w:ind w:right="-9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jc w:val="center"/>
        <w:ind w:right="-9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9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2012,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98" w:lineRule="exact"/>
        <w:rPr>
          <w:rFonts w:ascii="Arial" w:cs="Arial" w:eastAsia="Arial" w:hAnsi="Arial"/>
          <w:sz w:val="18"/>
          <w:szCs w:val="18"/>
          <w:color w:val="auto"/>
        </w:rPr>
      </w:pPr>
    </w:p>
    <w:p>
      <w:pPr>
        <w:ind w:left="460" w:right="280" w:hanging="452"/>
        <w:spacing w:after="0" w:line="24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4760"/>
        <w:spacing w:after="0" w:line="234" w:lineRule="auto"/>
        <w:rPr>
          <w:sz w:val="20"/>
          <w:szCs w:val="20"/>
          <w:color w:val="auto"/>
        </w:rPr>
      </w:pPr>
      <w:r>
        <w:rPr>
          <w:rFonts w:ascii="Arial" w:cs="Arial" w:eastAsia="Arial" w:hAnsi="Arial"/>
          <w:sz w:val="18"/>
          <w:szCs w:val="18"/>
          <w:color w:val="auto"/>
        </w:rPr>
        <w:t>Joseph G. Morone</w:t>
      </w:r>
    </w:p>
    <w:p>
      <w:pPr>
        <w:ind w:left="476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4760"/>
        <w:spacing w:after="0" w:line="234" w:lineRule="auto"/>
        <w:rPr>
          <w:sz w:val="20"/>
          <w:szCs w:val="20"/>
          <w:color w:val="auto"/>
        </w:rPr>
      </w:pPr>
      <w:r>
        <w:rPr>
          <w:rFonts w:ascii="Arial" w:cs="Arial" w:eastAsia="Arial" w:hAnsi="Arial"/>
          <w:sz w:val="18"/>
          <w:szCs w:val="18"/>
          <w:color w:val="auto"/>
        </w:rPr>
        <w:t>John B. Cozzolino</w:t>
      </w:r>
    </w:p>
    <w:p>
      <w:pPr>
        <w:ind w:left="476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DECEMBER 31, 2011</w:t>
      </w:r>
    </w:p>
    <w:p>
      <w:pPr>
        <w:spacing w:after="0" w:line="104"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$622.4 million. The potential loss in fair value resulting from a hypothetical 10% adverse change in quoted foreign currency exchange rates amounts to $ 62.2 million. Furthermore, related to foreign currency transactions, we have exposure to nonfunctional currency balances totaling $142.5 million. This amount includes, on an absolute basis, exposures to assets and liabilities held in currencies other than our local entity’s functional currency. On a net basis, we had approximately $28.7 million of foreign currency liabilities as of December 31, 2011. As currency rates change, these nonfunctional currency balances are revalued, and the corresponding adjustment is recorded in the income statement. A hypothetical change of 10% in currency rates could result in an adjustment to the income statement of approximately $2.9 million. Actual results may differ.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2011, we had the following variable rate debt: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03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b w:val="1"/>
                <w:bCs w:val="1"/>
                <w:color w:val="auto"/>
              </w:rPr>
              <w:t>Short-term debt</w:t>
            </w:r>
          </w:p>
        </w:tc>
        <w:tc>
          <w:tcPr>
            <w:tcW w:w="1120" w:type="dxa"/>
            <w:vAlign w:val="bottom"/>
            <w:tcBorders>
              <w:top w:val="single" w:sz="8" w:color="auto"/>
            </w:tcBorders>
          </w:tcPr>
          <w:p>
            <w:pPr>
              <w:spacing w:after="0"/>
              <w:rPr>
                <w:sz w:val="16"/>
                <w:szCs w:val="16"/>
                <w:color w:val="auto"/>
              </w:rPr>
            </w:pPr>
          </w:p>
        </w:tc>
      </w:tr>
      <w:tr>
        <w:trPr>
          <w:trHeight w:val="217"/>
        </w:trPr>
        <w:tc>
          <w:tcPr>
            <w:tcW w:w="10300" w:type="dxa"/>
            <w:vAlign w:val="bottom"/>
          </w:tcPr>
          <w:p>
            <w:pPr>
              <w:ind w:left="40"/>
              <w:spacing w:after="0"/>
              <w:rPr>
                <w:sz w:val="20"/>
                <w:szCs w:val="20"/>
                <w:color w:val="auto"/>
              </w:rPr>
            </w:pPr>
            <w:r>
              <w:rPr>
                <w:rFonts w:ascii="Arial" w:cs="Arial" w:eastAsia="Arial" w:hAnsi="Arial"/>
                <w:sz w:val="18"/>
                <w:szCs w:val="18"/>
                <w:color w:val="auto"/>
              </w:rPr>
              <w:t>Notes payable, end of period interest rate of 1.30%</w:t>
            </w: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391"/>
        </w:trPr>
        <w:tc>
          <w:tcPr>
            <w:tcW w:w="1030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1120" w:type="dxa"/>
            <w:vAlign w:val="bottom"/>
          </w:tcPr>
          <w:p>
            <w:pPr>
              <w:spacing w:after="0"/>
              <w:rPr>
                <w:sz w:val="24"/>
                <w:szCs w:val="24"/>
                <w:color w:val="auto"/>
              </w:rPr>
            </w:pPr>
          </w:p>
        </w:tc>
      </w:tr>
      <w:tr>
        <w:trPr>
          <w:trHeight w:val="203"/>
        </w:trPr>
        <w:tc>
          <w:tcPr>
            <w:tcW w:w="10300" w:type="dxa"/>
            <w:vAlign w:val="bottom"/>
          </w:tcPr>
          <w:p>
            <w:pPr>
              <w:ind w:left="40"/>
              <w:spacing w:after="0" w:line="202" w:lineRule="exact"/>
              <w:rPr>
                <w:sz w:val="20"/>
                <w:szCs w:val="20"/>
                <w:color w:val="auto"/>
              </w:rPr>
            </w:pPr>
            <w:r>
              <w:rPr>
                <w:rFonts w:ascii="Arial" w:cs="Arial" w:eastAsia="Arial" w:hAnsi="Arial"/>
                <w:sz w:val="18"/>
                <w:szCs w:val="18"/>
                <w:color w:val="auto"/>
              </w:rPr>
              <w:t>Credit agreement with borrowings outstanding, net of $105.0 million fixed rate portion, at an end of period interest rate of</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82,000</w:t>
            </w:r>
          </w:p>
        </w:tc>
      </w:tr>
      <w:tr>
        <w:trPr>
          <w:trHeight w:val="217"/>
        </w:trPr>
        <w:tc>
          <w:tcPr>
            <w:tcW w:w="10300" w:type="dxa"/>
            <w:vAlign w:val="bottom"/>
          </w:tcPr>
          <w:p>
            <w:pPr>
              <w:ind w:left="40"/>
              <w:spacing w:after="0"/>
              <w:rPr>
                <w:sz w:val="20"/>
                <w:szCs w:val="20"/>
                <w:color w:val="auto"/>
              </w:rPr>
            </w:pPr>
            <w:r>
              <w:rPr>
                <w:rFonts w:ascii="Arial" w:cs="Arial" w:eastAsia="Arial" w:hAnsi="Arial"/>
                <w:sz w:val="18"/>
                <w:szCs w:val="18"/>
                <w:color w:val="auto"/>
              </w:rPr>
              <w:t>2.75% in 2011, due in 2015</w:t>
            </w:r>
          </w:p>
        </w:tc>
        <w:tc>
          <w:tcPr>
            <w:tcW w:w="1120" w:type="dxa"/>
            <w:vAlign w:val="bottom"/>
          </w:tcPr>
          <w:p>
            <w:pPr>
              <w:spacing w:after="0"/>
              <w:rPr>
                <w:sz w:val="18"/>
                <w:szCs w:val="18"/>
                <w:color w:val="auto"/>
              </w:rPr>
            </w:pPr>
          </w:p>
        </w:tc>
      </w:tr>
      <w:tr>
        <w:trPr>
          <w:trHeight w:val="391"/>
        </w:trPr>
        <w:tc>
          <w:tcPr>
            <w:tcW w:w="10300" w:type="dxa"/>
            <w:vAlign w:val="bottom"/>
          </w:tcPr>
          <w:p>
            <w:pPr>
              <w:ind w:left="40"/>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 end of period rate of</w:t>
            </w: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03"/>
        </w:trPr>
        <w:tc>
          <w:tcPr>
            <w:tcW w:w="1030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3.02% in 2011, due in varying amounts through 2014</w:t>
            </w:r>
          </w:p>
        </w:tc>
        <w:tc>
          <w:tcPr>
            <w:tcW w:w="1120" w:type="dxa"/>
            <w:vAlign w:val="bottom"/>
            <w:tcBorders>
              <w:bottom w:val="single" w:sz="8" w:color="auto"/>
            </w:tcBorders>
          </w:tcPr>
          <w:p>
            <w:pPr>
              <w:spacing w:after="0"/>
              <w:rPr>
                <w:sz w:val="17"/>
                <w:szCs w:val="17"/>
                <w:color w:val="auto"/>
              </w:rPr>
            </w:pPr>
          </w:p>
        </w:tc>
      </w:tr>
      <w:tr>
        <w:trPr>
          <w:trHeight w:val="399"/>
        </w:trPr>
        <w:tc>
          <w:tcPr>
            <w:tcW w:w="10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$92,424</w:t>
            </w:r>
          </w:p>
        </w:tc>
      </w:tr>
    </w:tbl>
    <w:p>
      <w:pPr>
        <w:spacing w:after="0" w:line="377"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Assuming borrowings were outstanding for an entire year, an increase/decrease of one percentage point in weighted average interest rates would increase/decrease interest expense by $0.9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decimal"/>
      <w:start w:val="101"/>
    </w:lvl>
    <w:lvl w:ilvl="1">
      <w:lvlJc w:val="left"/>
      <w:lvlText w:val="(%2)"/>
      <w:numFmt w:val="lowerRoman"/>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2019-12-09T08:44:16Z</dcterms:created>
  <dcterms:modified xsi:type="dcterms:W3CDTF">2019-12-09T08:44:16Z</dcterms:modified>
</cp:coreProperties>
</file>