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UNITED STATES SECURITIES AND EXCHANGE COMMISSION</w:t>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Washington, D.C. 20549</w:t>
      </w:r>
    </w:p>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 xml:space="preserve">Form 10-Q </w:t>
      </w:r>
    </w:p>
    <w:tbl>
      <w:tblPr>
        <w:tblW w:w="8996" w:type="dxa"/>
        <w:jc w:val="left"/>
        <w:tblInd w:w="0" w:type="dxa"/>
        <w:tblLayout w:type="fixed"/>
        <w:tblCellMar>
          <w:top w:w="28" w:type="dxa"/>
          <w:left w:w="28" w:type="dxa"/>
          <w:bottom w:w="28" w:type="dxa"/>
          <w:right w:w="28" w:type="dxa"/>
        </w:tblCellMar>
      </w:tblPr>
      <w:tblGrid>
        <w:gridCol w:w="124"/>
        <w:gridCol w:w="109"/>
        <w:gridCol w:w="109"/>
        <w:gridCol w:w="1347"/>
        <w:gridCol w:w="1347"/>
        <w:gridCol w:w="1347"/>
        <w:gridCol w:w="1347"/>
        <w:gridCol w:w="1347"/>
        <w:gridCol w:w="1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5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quarterly period ended:</w:t>
            </w:r>
          </w:p>
        </w:tc>
        <w:tc>
          <w:tcPr>
            <w:tcW w:w="46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March 31, 2025</w:t>
            </w:r>
          </w:p>
        </w:tc>
      </w:tr>
    </w:tbl>
    <w:p>
      <w:pPr>
        <w:pStyle w:val="TextBody"/>
        <w:bidi w:val="0"/>
        <w:spacing w:lineRule="auto" w:line="288" w:before="20" w:after="283"/>
        <w:jc w:val="center"/>
        <w:rPr>
          <w:rFonts w:ascii="Arial;sans-serif" w:hAnsi="Arial;sans-serif"/>
          <w:b w:val="false"/>
          <w:color w:val="000000"/>
          <w:sz w:val="20"/>
        </w:rPr>
      </w:pPr>
      <w:r>
        <w:rPr>
          <w:rFonts w:ascii="Arial;sans-serif" w:hAnsi="Arial;sans-serif"/>
          <w:b w:val="false"/>
          <w:color w:val="000000"/>
          <w:sz w:val="20"/>
        </w:rPr>
        <w:t>OR</w:t>
      </w:r>
    </w:p>
    <w:tbl>
      <w:tblPr>
        <w:tblW w:w="8982" w:type="dxa"/>
        <w:jc w:val="left"/>
        <w:tblInd w:w="0" w:type="dxa"/>
        <w:tblLayout w:type="fixed"/>
        <w:tblCellMar>
          <w:top w:w="28" w:type="dxa"/>
          <w:left w:w="28" w:type="dxa"/>
          <w:bottom w:w="28" w:type="dxa"/>
          <w:right w:w="28" w:type="dxa"/>
        </w:tblCellMar>
      </w:tblPr>
      <w:tblGrid>
        <w:gridCol w:w="124"/>
        <w:gridCol w:w="109"/>
        <w:gridCol w:w="109"/>
        <w:gridCol w:w="2529"/>
        <w:gridCol w:w="2529"/>
        <w:gridCol w:w="35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transition period from __________ to __________</w:t>
            </w:r>
          </w:p>
        </w:tc>
      </w:tr>
    </w:tbl>
    <w:p>
      <w:pPr>
        <w:pStyle w:val="TextBody"/>
        <w:bidi w:val="0"/>
        <w:spacing w:lineRule="auto" w:line="288" w:before="0" w:after="0"/>
        <w:jc w:val="center"/>
        <w:rPr/>
      </w:pPr>
      <w:r>
        <w:rPr>
          <w:rFonts w:ascii="Arial;sans-serif" w:hAnsi="Arial;sans-serif"/>
          <w:b/>
          <w:color w:val="000000"/>
          <w:sz w:val="20"/>
        </w:rPr>
        <w:t>Commission file number: </w:t>
      </w:r>
      <w:r>
        <w:rPr>
          <w:rFonts w:ascii="Arial;sans-serif" w:hAnsi="Arial;sans-serif"/>
          <w:b/>
          <w:color w:val="000000"/>
          <w:sz w:val="20"/>
          <w:u w:val="single"/>
        </w:rPr>
        <w:t>1-10026</w:t>
      </w:r>
      <w:r>
        <w:rPr>
          <w:color w:val="000000"/>
        </w:rPr>
        <w:t xml:space="preserve"> </w:t>
      </w:r>
    </w:p>
    <w:tbl>
      <w:tblPr>
        <w:tblW w:w="6584" w:type="dxa"/>
        <w:jc w:val="center"/>
        <w:tblInd w:w="0" w:type="dxa"/>
        <w:tblLayout w:type="fixed"/>
        <w:tblCellMar>
          <w:top w:w="28" w:type="dxa"/>
          <w:left w:w="28" w:type="dxa"/>
          <w:bottom w:w="28" w:type="dxa"/>
          <w:right w:w="28" w:type="dxa"/>
        </w:tblCellMar>
      </w:tblPr>
      <w:tblGrid>
        <w:gridCol w:w="2109"/>
        <w:gridCol w:w="1853"/>
        <w:gridCol w:w="2622"/>
      </w:tblGrid>
      <w:tr>
        <w:trPr/>
        <w:tc>
          <w:tcPr>
            <w:tcW w:w="210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lineRule="auto" w:line="240" w:before="300" w:after="283"/>
              <w:jc w:val="center"/>
              <w:rPr>
                <w:rFonts w:ascii="Arial;sans-serif" w:hAnsi="Arial;sans-serif"/>
                <w:b/>
                <w:color w:val="000000"/>
                <w:sz w:val="40"/>
              </w:rPr>
            </w:pPr>
            <w:r>
              <w:rPr>
                <w:rFonts w:ascii="Arial;sans-serif" w:hAnsi="Arial;sans-serif"/>
                <w:b/>
                <w:color w:val="000000"/>
                <w:sz w:val="40"/>
              </w:rPr>
              <w:t>ALBANY INTERNATIONAL CORP.</w:t>
            </w:r>
          </w:p>
        </w:tc>
      </w:tr>
      <w:tr>
        <w:trPr/>
        <w:tc>
          <w:tcPr>
            <w:tcW w:w="6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Delaware </w:t>
      </w:r>
    </w:p>
    <w:tbl>
      <w:tblPr>
        <w:tblW w:w="5189" w:type="dxa"/>
        <w:jc w:val="center"/>
        <w:tblInd w:w="0" w:type="dxa"/>
        <w:tblLayout w:type="fixed"/>
        <w:tblCellMar>
          <w:top w:w="28" w:type="dxa"/>
          <w:left w:w="28" w:type="dxa"/>
          <w:bottom w:w="28" w:type="dxa"/>
          <w:right w:w="28" w:type="dxa"/>
        </w:tblCellMar>
      </w:tblPr>
      <w:tblGrid>
        <w:gridCol w:w="1659"/>
        <w:gridCol w:w="1460"/>
        <w:gridCol w:w="2070"/>
      </w:tblGrid>
      <w:tr>
        <w:trPr/>
        <w:tc>
          <w:tcPr>
            <w:tcW w:w="165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216 Airport Drive, Rochester, New Hampshire </w:t>
      </w:r>
    </w:p>
    <w:tbl>
      <w:tblPr>
        <w:tblW w:w="3555" w:type="dxa"/>
        <w:jc w:val="center"/>
        <w:tblInd w:w="0" w:type="dxa"/>
        <w:tblLayout w:type="fixed"/>
        <w:tblCellMar>
          <w:top w:w="28" w:type="dxa"/>
          <w:left w:w="28" w:type="dxa"/>
          <w:bottom w:w="28" w:type="dxa"/>
          <w:right w:w="28" w:type="dxa"/>
        </w:tblCellMar>
      </w:tblPr>
      <w:tblGrid>
        <w:gridCol w:w="1138"/>
        <w:gridCol w:w="1000"/>
        <w:gridCol w:w="1417"/>
      </w:tblGrid>
      <w:tr>
        <w:trPr/>
        <w:tc>
          <w:tcPr>
            <w:tcW w:w="113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14-0462060 </w:t>
      </w:r>
    </w:p>
    <w:tbl>
      <w:tblPr>
        <w:tblW w:w="3030" w:type="dxa"/>
        <w:jc w:val="center"/>
        <w:tblInd w:w="0" w:type="dxa"/>
        <w:tblLayout w:type="fixed"/>
        <w:tblCellMar>
          <w:top w:w="28" w:type="dxa"/>
          <w:left w:w="28" w:type="dxa"/>
          <w:bottom w:w="28" w:type="dxa"/>
          <w:right w:w="28" w:type="dxa"/>
        </w:tblCellMar>
      </w:tblPr>
      <w:tblGrid>
        <w:gridCol w:w="969"/>
        <w:gridCol w:w="852"/>
        <w:gridCol w:w="1209"/>
      </w:tblGrid>
      <w:tr>
        <w:trPr/>
        <w:tc>
          <w:tcPr>
            <w:tcW w:w="96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03867 </w:t>
      </w:r>
    </w:p>
    <w:tbl>
      <w:tblPr>
        <w:tblW w:w="1064" w:type="dxa"/>
        <w:jc w:val="center"/>
        <w:tblInd w:w="0" w:type="dxa"/>
        <w:tblLayout w:type="fixed"/>
        <w:tblCellMar>
          <w:top w:w="28" w:type="dxa"/>
          <w:left w:w="28" w:type="dxa"/>
          <w:bottom w:w="28" w:type="dxa"/>
          <w:right w:w="28" w:type="dxa"/>
        </w:tblCellMar>
      </w:tblPr>
      <w:tblGrid>
        <w:gridCol w:w="340"/>
        <w:gridCol w:w="299"/>
        <w:gridCol w:w="425"/>
      </w:tblGrid>
      <w:tr>
        <w:trPr/>
        <w:tc>
          <w:tcPr>
            <w:tcW w:w="3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603-330-5850 </w:t>
      </w:r>
    </w:p>
    <w:tbl>
      <w:tblPr>
        <w:tblW w:w="4725" w:type="dxa"/>
        <w:jc w:val="center"/>
        <w:tblInd w:w="0" w:type="dxa"/>
        <w:tblLayout w:type="fixed"/>
        <w:tblCellMar>
          <w:top w:w="28" w:type="dxa"/>
          <w:left w:w="28" w:type="dxa"/>
          <w:bottom w:w="28" w:type="dxa"/>
          <w:right w:w="28" w:type="dxa"/>
        </w:tblCellMar>
      </w:tblPr>
      <w:tblGrid>
        <w:gridCol w:w="1514"/>
        <w:gridCol w:w="1330"/>
        <w:gridCol w:w="1881"/>
      </w:tblGrid>
      <w:tr>
        <w:trPr/>
        <w:tc>
          <w:tcPr>
            <w:tcW w:w="1514"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tc>
      </w:tr>
    </w:tbl>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Securities registered pursuant to Section 12(b) of the Act:</w:t>
      </w:r>
    </w:p>
    <w:tbl>
      <w:tblPr>
        <w:tblW w:w="9734" w:type="dxa"/>
        <w:jc w:val="left"/>
        <w:tblInd w:w="0" w:type="dxa"/>
        <w:tblLayout w:type="fixed"/>
        <w:tblCellMar>
          <w:top w:w="28" w:type="dxa"/>
          <w:left w:w="28" w:type="dxa"/>
          <w:bottom w:w="28" w:type="dxa"/>
          <w:right w:w="28" w:type="dxa"/>
        </w:tblCellMar>
      </w:tblPr>
      <w:tblGrid>
        <w:gridCol w:w="1570"/>
        <w:gridCol w:w="1380"/>
        <w:gridCol w:w="1385"/>
        <w:gridCol w:w="534"/>
        <w:gridCol w:w="534"/>
        <w:gridCol w:w="536"/>
        <w:gridCol w:w="1108"/>
        <w:gridCol w:w="1108"/>
        <w:gridCol w:w="1579"/>
      </w:tblGrid>
      <w:tr>
        <w:trPr/>
        <w:tc>
          <w:tcPr>
            <w:tcW w:w="157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43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A Common Stock, $0.001 par value per share</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AIN</w:t>
            </w:r>
          </w:p>
        </w:tc>
        <w:tc>
          <w:tcPr>
            <w:tcW w:w="379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The New York Stock Exchange (NYSE)</w:t>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7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60" w:after="283"/>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8"/>
        </w:rPr>
        <w:t xml:space="preserve">No </w:t>
      </w:r>
      <w:r>
        <w:rPr>
          <w:color w:val="000000"/>
        </w:rPr>
        <w:t>☐</w:t>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375" w:type="dxa"/>
        <w:jc w:val="left"/>
        <w:tblInd w:w="0" w:type="dxa"/>
        <w:tblLayout w:type="fixed"/>
        <w:tblCellMar>
          <w:top w:w="28" w:type="dxa"/>
          <w:left w:w="28" w:type="dxa"/>
          <w:bottom w:w="28" w:type="dxa"/>
          <w:right w:w="28" w:type="dxa"/>
        </w:tblCellMar>
      </w:tblPr>
      <w:tblGrid>
        <w:gridCol w:w="721"/>
        <w:gridCol w:w="635"/>
        <w:gridCol w:w="638"/>
        <w:gridCol w:w="109"/>
        <w:gridCol w:w="109"/>
        <w:gridCol w:w="109"/>
        <w:gridCol w:w="109"/>
        <w:gridCol w:w="109"/>
        <w:gridCol w:w="109"/>
        <w:gridCol w:w="784"/>
        <w:gridCol w:w="784"/>
        <w:gridCol w:w="787"/>
        <w:gridCol w:w="109"/>
        <w:gridCol w:w="109"/>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both"/>
              <w:rPr>
                <w:color w:val="000000"/>
              </w:rPr>
            </w:pPr>
            <w:r>
              <w:rPr>
                <w:color w:val="000000"/>
              </w:rPr>
              <w:t>☐</w:t>
            </w:r>
          </w:p>
        </w:tc>
      </w:tr>
    </w:tbl>
    <w:p>
      <w:pPr>
        <w:pStyle w:val="TextBody"/>
        <w:bidi w:val="0"/>
        <w:spacing w:lineRule="auto" w:line="288" w:before="20" w:after="283"/>
        <w:jc w:val="both"/>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sans-serif" w:hAnsi="Arial;sans-serif"/>
          <w:b w:val="false"/>
          <w:color w:val="000000"/>
          <w:sz w:val="20"/>
        </w:rPr>
        <w:t xml:space="preserve">. </w:t>
      </w:r>
      <w:r>
        <w:rPr>
          <w:color w:val="000000"/>
        </w:rPr>
        <w:t>☐</w:t>
      </w:r>
    </w:p>
    <w:p>
      <w:pPr>
        <w:pStyle w:val="TextBody"/>
        <w:bidi w:val="0"/>
        <w:spacing w:lineRule="auto" w:line="288" w:before="60" w:after="283"/>
        <w:jc w:val="both"/>
        <w:rPr/>
      </w:pPr>
      <w:r>
        <w:rPr>
          <w:rFonts w:ascii="Arial;sans-serif" w:hAnsi="Arial;sans-serif"/>
          <w:b w:val="false"/>
          <w:color w:val="000000"/>
          <w:sz w:val="18"/>
        </w:rPr>
        <w:t>Indicate by check mark whether the registrant is a shell company (as defined in Rule 12b-2 of the Exchange Act). Yes </w:t>
      </w:r>
      <w:r>
        <w:rPr>
          <w:color w:val="000000"/>
        </w:rPr>
        <w:t>☐ </w:t>
      </w:r>
      <w:r>
        <w:rPr>
          <w:rFonts w:ascii="Arial;sans-serif" w:hAnsi="Arial;sans-serif"/>
          <w:b w:val="false"/>
          <w:color w:val="000000"/>
          <w:sz w:val="18"/>
        </w:rPr>
        <w:t xml:space="preserve">No </w:t>
      </w:r>
      <w:r>
        <w:rPr>
          <w:color w:val="000000"/>
        </w:rPr>
        <w:t>☒</w:t>
      </w:r>
    </w:p>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The registrant had 30.2 million shares of Class A Common Stock outstanding as of April 15,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23"/>
        <w:gridCol w:w="371"/>
        <w:gridCol w:w="371"/>
        <w:gridCol w:w="2729"/>
        <w:gridCol w:w="2693"/>
        <w:gridCol w:w="2729"/>
        <w:gridCol w:w="258"/>
        <w:gridCol w:w="258"/>
        <w:gridCol w:w="373"/>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Page No.</w:t>
            </w:r>
          </w:p>
        </w:tc>
      </w:tr>
      <w:tr>
        <w:trPr/>
        <w:tc>
          <w:tcPr>
            <w:tcW w:w="9316" w:type="dxa"/>
            <w:gridSpan w:val="6"/>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0">
              <w:r>
                <w:rPr>
                  <w:rStyle w:val="InternetLink"/>
                  <w:rFonts w:ascii="Arial;sans-serif" w:hAnsi="Arial;sans-serif"/>
                  <w:b/>
                  <w:strike w:val="false"/>
                  <w:dstrike w:val="false"/>
                  <w:color w:val="0000FF"/>
                  <w:sz w:val="18"/>
                  <w:u w:val="none"/>
                  <w:effect w:val="none"/>
                </w:rPr>
                <w:t>Part I Financial information</w:t>
              </w:r>
            </w:hyperlink>
          </w:p>
        </w:tc>
        <w:tc>
          <w:tcPr>
            <w:tcW w:w="889" w:type="dxa"/>
            <w:gridSpan w:val="3"/>
            <w:tcBorders>
              <w:top w:val="single" w:sz="8" w:space="0" w:color="000000"/>
            </w:tcBorders>
            <w:shd w:fill="B2B2B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3">
              <w:r>
                <w:rPr>
                  <w:rStyle w:val="InternetLink"/>
                  <w:rFonts w:ascii="Arial;sans-serif" w:hAnsi="Arial;sans-serif"/>
                  <w:b w:val="false"/>
                  <w:color w:val="0000FF"/>
                  <w:sz w:val="18"/>
                  <w:u w:val="single"/>
                </w:rPr>
                <w:t>Item 1.</w:t>
              </w:r>
            </w:hyperlink>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3">
              <w:r>
                <w:rPr>
                  <w:rStyle w:val="InternetLink"/>
                  <w:rFonts w:ascii="Arial;sans-serif" w:hAnsi="Arial;sans-serif"/>
                  <w:b w:val="false"/>
                  <w:color w:val="0000FF"/>
                  <w:sz w:val="18"/>
                  <w:u w:val="single"/>
                </w:rPr>
                <w:t>Financial Statements</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6">
              <w:r>
                <w:rPr>
                  <w:rStyle w:val="InternetLink"/>
                  <w:rFonts w:ascii="Arial;sans-serif" w:hAnsi="Arial;sans-serif"/>
                  <w:b w:val="false"/>
                  <w:color w:val="0000FF"/>
                  <w:sz w:val="18"/>
                  <w:u w:val="single"/>
                </w:rPr>
                <w:t xml:space="preserve">Consolidated statements of income – three months ended </w:t>
              </w:r>
            </w:hyperlink>
            <w:r>
              <w:rPr>
                <w:rFonts w:ascii="Arial;sans-serif" w:hAnsi="Arial;sans-serif"/>
                <w:b w:val="false"/>
                <w:color w:val="000000"/>
                <w:sz w:val="18"/>
              </w:rPr>
              <w:t>March 31, 2025</w:t>
            </w:r>
            <w:hyperlink w:anchor="ic3eea95731744f07a8f7a1aef4de9a6b_16">
              <w:r>
                <w:rPr>
                  <w:rStyle w:val="InternetLink"/>
                  <w:color w:val="0000FF"/>
                  <w:u w:val="single"/>
                </w:rPr>
                <w:t xml:space="preserve"> </w:t>
              </w:r>
            </w:hyperlink>
            <w:hyperlink w:anchor="ic3eea95731744f07a8f7a1aef4de9a6b_16">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2024</w:t>
            </w:r>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c3eea95731744f07a8f7a1aef4de9a6b_16">
              <w:r>
                <w:rPr>
                  <w:rStyle w:val="InternetLink"/>
                  <w:rFonts w:ascii="Arial;sans-serif" w:hAnsi="Arial;sans-serif"/>
                  <w:b w:val="false"/>
                  <w:color w:val="0000FF"/>
                  <w:sz w:val="18"/>
                  <w:u w:val="single"/>
                </w:rPr>
                <w:t>1</w:t>
              </w:r>
            </w:hyperlink>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9">
              <w:r>
                <w:rPr>
                  <w:rStyle w:val="InternetLink"/>
                  <w:rFonts w:ascii="Arial;sans-serif" w:hAnsi="Arial;sans-serif"/>
                  <w:b w:val="false"/>
                  <w:color w:val="0000FF"/>
                  <w:sz w:val="18"/>
                  <w:u w:val="single"/>
                </w:rPr>
                <w:t xml:space="preserve">Consolidated statements of comprehensive income/(loss) – </w:t>
              </w:r>
            </w:hyperlink>
            <w:r>
              <w:rPr>
                <w:rFonts w:ascii="Arial;sans-serif" w:hAnsi="Arial;sans-serif"/>
                <w:b w:val="false"/>
                <w:color w:val="000000"/>
                <w:sz w:val="18"/>
              </w:rPr>
              <w:t>three</w:t>
            </w:r>
            <w:hyperlink w:anchor="ic3eea95731744f07a8f7a1aef4de9a6b_19">
              <w:r>
                <w:rPr>
                  <w:rStyle w:val="InternetLink"/>
                  <w:color w:val="0000FF"/>
                  <w:u w:val="single"/>
                </w:rPr>
                <w:t xml:space="preserve"> </w:t>
              </w:r>
            </w:hyperlink>
            <w:hyperlink w:anchor="ic3eea95731744f07a8f7a1aef4de9a6b_19">
              <w:r>
                <w:rPr>
                  <w:rStyle w:val="InternetLink"/>
                  <w:rFonts w:ascii="Arial;sans-serif" w:hAnsi="Arial;sans-serif"/>
                  <w:b w:val="false"/>
                  <w:color w:val="0000FF"/>
                  <w:sz w:val="18"/>
                  <w:u w:val="single"/>
                </w:rPr>
                <w:t xml:space="preserve">months ended </w:t>
              </w:r>
            </w:hyperlink>
            <w:r>
              <w:rPr>
                <w:rFonts w:ascii="Arial;sans-serif" w:hAnsi="Arial;sans-serif"/>
                <w:b w:val="false"/>
                <w:color w:val="000000"/>
                <w:sz w:val="18"/>
              </w:rPr>
              <w:t>March 31, 2025</w:t>
            </w:r>
            <w:hyperlink w:anchor="ic3eea95731744f07a8f7a1aef4de9a6b_16">
              <w:r>
                <w:rPr>
                  <w:rStyle w:val="InternetLink"/>
                  <w:color w:val="0000FF"/>
                  <w:u w:val="single"/>
                </w:rPr>
                <w:t xml:space="preserve"> </w:t>
              </w:r>
            </w:hyperlink>
            <w:hyperlink w:anchor="ic3eea95731744f07a8f7a1aef4de9a6b_16">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2024</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3eea95731744f07a8f7a1aef4de9a6b_19">
              <w:r>
                <w:rPr>
                  <w:rStyle w:val="InternetLink"/>
                  <w:rFonts w:ascii="Arial;sans-serif" w:hAnsi="Arial;sans-serif"/>
                  <w:b w:val="false"/>
                  <w:color w:val="0000FF"/>
                  <w:sz w:val="18"/>
                  <w:u w:val="single"/>
                </w:rPr>
                <w:t>2</w:t>
              </w:r>
            </w:hyperlink>
          </w:p>
        </w:tc>
      </w:tr>
      <w:tr>
        <w:trPr/>
        <w:tc>
          <w:tcPr>
            <w:tcW w:w="1165"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22">
              <w:r>
                <w:rPr>
                  <w:rStyle w:val="InternetLink"/>
                  <w:rFonts w:ascii="Arial;sans-serif" w:hAnsi="Arial;sans-serif"/>
                  <w:b w:val="false"/>
                  <w:color w:val="0000FF"/>
                  <w:sz w:val="18"/>
                  <w:u w:val="single"/>
                </w:rPr>
                <w:t xml:space="preserve">Consolidated balance sheets as of </w:t>
              </w:r>
            </w:hyperlink>
            <w:r>
              <w:rPr>
                <w:rFonts w:ascii="Arial;sans-serif" w:hAnsi="Arial;sans-serif"/>
                <w:b w:val="false"/>
                <w:color w:val="000000"/>
                <w:sz w:val="18"/>
              </w:rPr>
              <w:t>March 31, 2025</w:t>
            </w:r>
            <w:hyperlink w:anchor="ic3eea95731744f07a8f7a1aef4de9a6b_22">
              <w:r>
                <w:rPr>
                  <w:rStyle w:val="InternetLink"/>
                  <w:color w:val="0000FF"/>
                  <w:u w:val="single"/>
                </w:rPr>
                <w:t xml:space="preserve"> </w:t>
              </w:r>
            </w:hyperlink>
            <w:hyperlink w:anchor="ic3eea95731744f07a8f7a1aef4de9a6b_22">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December 31, 2024</w:t>
            </w:r>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c3eea95731744f07a8f7a1aef4de9a6b_22">
              <w:r>
                <w:rPr>
                  <w:rStyle w:val="InternetLink"/>
                  <w:rFonts w:ascii="Arial;sans-serif" w:hAnsi="Arial;sans-serif"/>
                  <w:b w:val="false"/>
                  <w:color w:val="0000FF"/>
                  <w:sz w:val="18"/>
                  <w:u w:val="single"/>
                </w:rPr>
                <w:t>3</w:t>
              </w:r>
            </w:hyperlink>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25">
              <w:r>
                <w:rPr>
                  <w:rStyle w:val="InternetLink"/>
                  <w:rFonts w:ascii="Arial;sans-serif" w:hAnsi="Arial;sans-serif"/>
                  <w:b w:val="false"/>
                  <w:color w:val="0000FF"/>
                  <w:sz w:val="18"/>
                  <w:u w:val="single"/>
                </w:rPr>
                <w:t xml:space="preserve">Consolidated statements of cash flows – </w:t>
              </w:r>
            </w:hyperlink>
            <w:r>
              <w:rPr>
                <w:rFonts w:ascii="Arial;sans-serif" w:hAnsi="Arial;sans-serif"/>
                <w:b w:val="false"/>
                <w:color w:val="000000"/>
                <w:sz w:val="18"/>
              </w:rPr>
              <w:t>three</w:t>
            </w:r>
            <w:hyperlink w:anchor="ic3eea95731744f07a8f7a1aef4de9a6b_25">
              <w:r>
                <w:rPr>
                  <w:rStyle w:val="InternetLink"/>
                  <w:color w:val="0000FF"/>
                  <w:u w:val="single"/>
                </w:rPr>
                <w:t xml:space="preserve"> </w:t>
              </w:r>
            </w:hyperlink>
            <w:hyperlink w:anchor="ic3eea95731744f07a8f7a1aef4de9a6b_25">
              <w:r>
                <w:rPr>
                  <w:rStyle w:val="InternetLink"/>
                  <w:rFonts w:ascii="Arial;sans-serif" w:hAnsi="Arial;sans-serif"/>
                  <w:b w:val="false"/>
                  <w:color w:val="0000FF"/>
                  <w:sz w:val="18"/>
                  <w:u w:val="single"/>
                </w:rPr>
                <w:t xml:space="preserve">months ended </w:t>
              </w:r>
            </w:hyperlink>
            <w:r>
              <w:rPr>
                <w:rFonts w:ascii="Arial;sans-serif" w:hAnsi="Arial;sans-serif"/>
                <w:b w:val="false"/>
                <w:color w:val="000000"/>
                <w:sz w:val="18"/>
              </w:rPr>
              <w:t>March 31, 2025</w:t>
            </w:r>
            <w:hyperlink w:anchor="ic3eea95731744f07a8f7a1aef4de9a6b_16">
              <w:r>
                <w:rPr>
                  <w:rStyle w:val="InternetLink"/>
                  <w:color w:val="0000FF"/>
                  <w:u w:val="single"/>
                </w:rPr>
                <w:t xml:space="preserve"> </w:t>
              </w:r>
            </w:hyperlink>
            <w:hyperlink w:anchor="ic3eea95731744f07a8f7a1aef4de9a6b_16">
              <w:r>
                <w:rPr>
                  <w:rStyle w:val="InternetLink"/>
                  <w:rFonts w:ascii="Arial;sans-serif" w:hAnsi="Arial;sans-serif"/>
                  <w:b w:val="false"/>
                  <w:color w:val="0000FF"/>
                  <w:sz w:val="18"/>
                  <w:u w:val="single"/>
                </w:rPr>
                <w:t xml:space="preserve">and </w:t>
              </w:r>
            </w:hyperlink>
            <w:r>
              <w:rPr>
                <w:rFonts w:ascii="Arial;sans-serif" w:hAnsi="Arial;sans-serif"/>
                <w:b w:val="false"/>
                <w:color w:val="000000"/>
                <w:sz w:val="18"/>
              </w:rPr>
              <w:t>2024</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3eea95731744f07a8f7a1aef4de9a6b_25">
              <w:r>
                <w:rPr>
                  <w:rStyle w:val="InternetLink"/>
                  <w:rFonts w:ascii="Arial;sans-serif" w:hAnsi="Arial;sans-serif"/>
                  <w:b w:val="false"/>
                  <w:color w:val="0000FF"/>
                  <w:sz w:val="18"/>
                  <w:u w:val="single"/>
                </w:rPr>
                <w:t>4</w:t>
              </w:r>
            </w:hyperlink>
          </w:p>
        </w:tc>
      </w:tr>
      <w:tr>
        <w:trPr/>
        <w:tc>
          <w:tcPr>
            <w:tcW w:w="1165"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28">
              <w:r>
                <w:rPr>
                  <w:rStyle w:val="InternetLink"/>
                  <w:rFonts w:ascii="Arial;sans-serif" w:hAnsi="Arial;sans-serif"/>
                  <w:b w:val="false"/>
                  <w:color w:val="0000FF"/>
                  <w:sz w:val="18"/>
                  <w:u w:val="single"/>
                </w:rPr>
                <w:t>Notes to consolidated financial statements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c3eea95731744f07a8f7a1aef4de9a6b_28">
              <w:r>
                <w:rPr>
                  <w:rStyle w:val="InternetLink"/>
                  <w:rFonts w:ascii="Arial;sans-serif" w:hAnsi="Arial;sans-serif"/>
                  <w:b w:val="false"/>
                  <w:color w:val="0000FF"/>
                  <w:sz w:val="18"/>
                  <w:u w:val="single"/>
                </w:rPr>
                <w:t>5</w:t>
              </w:r>
            </w:hyperlink>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91">
              <w:r>
                <w:rPr>
                  <w:rStyle w:val="InternetLink"/>
                  <w:rFonts w:ascii="Arial;sans-serif" w:hAnsi="Arial;sans-serif"/>
                  <w:b w:val="false"/>
                  <w:color w:val="0000FF"/>
                  <w:sz w:val="18"/>
                  <w:u w:val="single"/>
                </w:rPr>
                <w:t>Item 2.</w:t>
              </w:r>
            </w:hyperlink>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91">
              <w:r>
                <w:rPr>
                  <w:rStyle w:val="InternetLink"/>
                  <w:rFonts w:ascii="Arial;sans-serif" w:hAnsi="Arial;sans-serif"/>
                  <w:b w:val="false"/>
                  <w:color w:val="0000FF"/>
                  <w:sz w:val="18"/>
                  <w:u w:val="single"/>
                </w:rPr>
                <w:t>Management’s Discussion and Analysis of Financial Condition and Results of Operations</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3eea95731744f07a8f7a1aef4de9a6b_91">
              <w:r>
                <w:rPr>
                  <w:rStyle w:val="InternetLink"/>
                  <w:rFonts w:ascii="Arial;sans-serif" w:hAnsi="Arial;sans-serif"/>
                  <w:b w:val="false"/>
                  <w:color w:val="0000FF"/>
                  <w:sz w:val="18"/>
                  <w:u w:val="single"/>
                </w:rPr>
                <w:t>24</w:t>
              </w:r>
            </w:hyperlink>
          </w:p>
        </w:tc>
      </w:tr>
      <w:tr>
        <w:trPr/>
        <w:tc>
          <w:tcPr>
            <w:tcW w:w="1165" w:type="dxa"/>
            <w:gridSpan w:val="3"/>
            <w:tcBorders/>
            <w:shd w:fill="B2B2B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94">
              <w:r>
                <w:rPr>
                  <w:rStyle w:val="InternetLink"/>
                  <w:rFonts w:ascii="Arial;sans-serif" w:hAnsi="Arial;sans-serif"/>
                  <w:b w:val="false"/>
                  <w:color w:val="0000FF"/>
                  <w:sz w:val="18"/>
                  <w:u w:val="single"/>
                </w:rPr>
                <w:t>Forward-looking statements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c3eea95731744f07a8f7a1aef4de9a6b_94">
              <w:r>
                <w:rPr>
                  <w:rStyle w:val="InternetLink"/>
                  <w:rFonts w:ascii="Arial;sans-serif" w:hAnsi="Arial;sans-serif"/>
                  <w:b w:val="false"/>
                  <w:color w:val="0000FF"/>
                  <w:sz w:val="18"/>
                  <w:u w:val="single"/>
                </w:rPr>
                <w:t>24</w:t>
              </w:r>
            </w:hyperlink>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12">
              <w:r>
                <w:rPr>
                  <w:rStyle w:val="InternetLink"/>
                  <w:rFonts w:ascii="Arial;sans-serif" w:hAnsi="Arial;sans-serif"/>
                  <w:b w:val="false"/>
                  <w:color w:val="0000FF"/>
                  <w:sz w:val="18"/>
                  <w:u w:val="single"/>
                </w:rPr>
                <w:t>Item 3.</w:t>
              </w:r>
            </w:hyperlink>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12">
              <w:r>
                <w:rPr>
                  <w:rStyle w:val="InternetLink"/>
                  <w:rFonts w:ascii="Arial;sans-serif" w:hAnsi="Arial;sans-serif"/>
                  <w:b w:val="false"/>
                  <w:color w:val="0000FF"/>
                  <w:sz w:val="18"/>
                  <w:u w:val="single"/>
                </w:rPr>
                <w:t>Quantitative and Qualitative Disclosures about Market Risk</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3eea95731744f07a8f7a1aef4de9a6b_112">
              <w:r>
                <w:rPr>
                  <w:rStyle w:val="InternetLink"/>
                  <w:rFonts w:ascii="Arial;sans-serif" w:hAnsi="Arial;sans-serif"/>
                  <w:b w:val="false"/>
                  <w:color w:val="0000FF"/>
                  <w:sz w:val="18"/>
                  <w:u w:val="single"/>
                </w:rPr>
                <w:t>34</w:t>
              </w:r>
            </w:hyperlink>
          </w:p>
        </w:tc>
      </w:tr>
      <w:tr>
        <w:trPr/>
        <w:tc>
          <w:tcPr>
            <w:tcW w:w="1165"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15">
              <w:r>
                <w:rPr>
                  <w:rStyle w:val="InternetLink"/>
                  <w:rFonts w:ascii="Arial;sans-serif" w:hAnsi="Arial;sans-serif"/>
                  <w:b w:val="false"/>
                  <w:color w:val="0000FF"/>
                  <w:sz w:val="18"/>
                  <w:u w:val="single"/>
                </w:rPr>
                <w:t>Item 4.</w:t>
              </w:r>
            </w:hyperlink>
          </w:p>
        </w:tc>
        <w:tc>
          <w:tcPr>
            <w:tcW w:w="815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15">
              <w:r>
                <w:rPr>
                  <w:rStyle w:val="InternetLink"/>
                  <w:rFonts w:ascii="Arial;sans-serif" w:hAnsi="Arial;sans-serif"/>
                  <w:b w:val="false"/>
                  <w:color w:val="0000FF"/>
                  <w:sz w:val="18"/>
                  <w:u w:val="single"/>
                </w:rPr>
                <w:t>Controls and Procedures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c3eea95731744f07a8f7a1aef4de9a6b_115">
              <w:r>
                <w:rPr>
                  <w:rStyle w:val="InternetLink"/>
                  <w:rFonts w:ascii="Arial;sans-serif" w:hAnsi="Arial;sans-serif"/>
                  <w:b w:val="false"/>
                  <w:color w:val="0000FF"/>
                  <w:sz w:val="18"/>
                  <w:u w:val="single"/>
                </w:rPr>
                <w:t>34</w:t>
              </w:r>
            </w:hyperlink>
          </w:p>
        </w:tc>
      </w:tr>
      <w:tr>
        <w:trPr/>
        <w:tc>
          <w:tcPr>
            <w:tcW w:w="931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18">
              <w:r>
                <w:rPr>
                  <w:rStyle w:val="InternetLink"/>
                  <w:rFonts w:ascii="Arial;sans-serif" w:hAnsi="Arial;sans-serif"/>
                  <w:b/>
                  <w:strike w:val="false"/>
                  <w:dstrike w:val="false"/>
                  <w:color w:val="0000FF"/>
                  <w:sz w:val="18"/>
                  <w:u w:val="none"/>
                  <w:effect w:val="none"/>
                </w:rPr>
                <w:t>Part II Other Information</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21">
              <w:r>
                <w:rPr>
                  <w:rStyle w:val="InternetLink"/>
                  <w:rFonts w:ascii="Arial;sans-serif" w:hAnsi="Arial;sans-serif"/>
                  <w:b w:val="false"/>
                  <w:color w:val="0000FF"/>
                  <w:sz w:val="18"/>
                  <w:u w:val="single"/>
                </w:rPr>
                <w:t>Item 1.</w:t>
              </w:r>
            </w:hyperlink>
          </w:p>
        </w:tc>
        <w:tc>
          <w:tcPr>
            <w:tcW w:w="815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21">
              <w:r>
                <w:rPr>
                  <w:rStyle w:val="InternetLink"/>
                  <w:rFonts w:ascii="Arial;sans-serif" w:hAnsi="Arial;sans-serif"/>
                  <w:b w:val="false"/>
                  <w:color w:val="0000FF"/>
                  <w:sz w:val="18"/>
                  <w:u w:val="single"/>
                </w:rPr>
                <w:t>Legal Proceedings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c3eea95731744f07a8f7a1aef4de9a6b_121">
              <w:r>
                <w:rPr>
                  <w:rStyle w:val="InternetLink"/>
                  <w:rFonts w:ascii="Arial;sans-serif" w:hAnsi="Arial;sans-serif"/>
                  <w:b w:val="false"/>
                  <w:color w:val="0000FF"/>
                  <w:sz w:val="18"/>
                  <w:u w:val="single"/>
                </w:rPr>
                <w:t>35</w:t>
              </w:r>
            </w:hyperlink>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24">
              <w:r>
                <w:rPr>
                  <w:rStyle w:val="InternetLink"/>
                  <w:rFonts w:ascii="Arial;sans-serif" w:hAnsi="Arial;sans-serif"/>
                  <w:b w:val="false"/>
                  <w:color w:val="0000FF"/>
                  <w:sz w:val="18"/>
                  <w:u w:val="single"/>
                </w:rPr>
                <w:t>Item 1A.</w:t>
              </w:r>
            </w:hyperlink>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24">
              <w:r>
                <w:rPr>
                  <w:rStyle w:val="InternetLink"/>
                  <w:rFonts w:ascii="Arial;sans-serif" w:hAnsi="Arial;sans-serif"/>
                  <w:b w:val="false"/>
                  <w:color w:val="0000FF"/>
                  <w:sz w:val="18"/>
                  <w:u w:val="single"/>
                </w:rPr>
                <w:t>Risk Factors</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3eea95731744f07a8f7a1aef4de9a6b_124">
              <w:r>
                <w:rPr>
                  <w:rStyle w:val="InternetLink"/>
                  <w:rFonts w:ascii="Arial;sans-serif" w:hAnsi="Arial;sans-serif"/>
                  <w:b w:val="false"/>
                  <w:color w:val="0000FF"/>
                  <w:sz w:val="18"/>
                  <w:u w:val="single"/>
                </w:rPr>
                <w:t>35</w:t>
              </w:r>
            </w:hyperlink>
          </w:p>
        </w:tc>
      </w:tr>
      <w:tr>
        <w:trPr/>
        <w:tc>
          <w:tcPr>
            <w:tcW w:w="1165"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27">
              <w:r>
                <w:rPr>
                  <w:rStyle w:val="InternetLink"/>
                  <w:rFonts w:ascii="Arial;sans-serif" w:hAnsi="Arial;sans-serif"/>
                  <w:b w:val="false"/>
                  <w:color w:val="0000FF"/>
                  <w:sz w:val="18"/>
                  <w:u w:val="single"/>
                </w:rPr>
                <w:t>Item 2.</w:t>
              </w:r>
            </w:hyperlink>
          </w:p>
        </w:tc>
        <w:tc>
          <w:tcPr>
            <w:tcW w:w="815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27">
              <w:r>
                <w:rPr>
                  <w:rStyle w:val="InternetLink"/>
                  <w:rFonts w:ascii="Arial;sans-serif" w:hAnsi="Arial;sans-serif"/>
                  <w:b w:val="false"/>
                  <w:color w:val="0000FF"/>
                  <w:sz w:val="18"/>
                  <w:u w:val="single"/>
                </w:rPr>
                <w:t>Unregistered Sales of Equity Securities and Use of Proceeds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c3eea95731744f07a8f7a1aef4de9a6b_127">
              <w:r>
                <w:rPr>
                  <w:rStyle w:val="InternetLink"/>
                  <w:rFonts w:ascii="Arial;sans-serif" w:hAnsi="Arial;sans-serif"/>
                  <w:b w:val="false"/>
                  <w:color w:val="0000FF"/>
                  <w:sz w:val="18"/>
                  <w:u w:val="single"/>
                </w:rPr>
                <w:t>35</w:t>
              </w:r>
            </w:hyperlink>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30">
              <w:r>
                <w:rPr>
                  <w:rStyle w:val="InternetLink"/>
                  <w:rFonts w:ascii="Arial;sans-serif" w:hAnsi="Arial;sans-serif"/>
                  <w:b w:val="false"/>
                  <w:color w:val="0000FF"/>
                  <w:sz w:val="18"/>
                  <w:u w:val="single"/>
                </w:rPr>
                <w:t>Item 3.</w:t>
              </w:r>
            </w:hyperlink>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30">
              <w:r>
                <w:rPr>
                  <w:rStyle w:val="InternetLink"/>
                  <w:rFonts w:ascii="Arial;sans-serif" w:hAnsi="Arial;sans-serif"/>
                  <w:b w:val="false"/>
                  <w:color w:val="0000FF"/>
                  <w:sz w:val="18"/>
                  <w:u w:val="single"/>
                </w:rPr>
                <w:t>Defaults upon Senior Securities</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3eea95731744f07a8f7a1aef4de9a6b_130">
              <w:r>
                <w:rPr>
                  <w:rStyle w:val="InternetLink"/>
                  <w:rFonts w:ascii="Arial;sans-serif" w:hAnsi="Arial;sans-serif"/>
                  <w:b w:val="false"/>
                  <w:color w:val="0000FF"/>
                  <w:sz w:val="18"/>
                  <w:u w:val="single"/>
                </w:rPr>
                <w:t>36</w:t>
              </w:r>
            </w:hyperlink>
          </w:p>
        </w:tc>
      </w:tr>
      <w:tr>
        <w:trPr/>
        <w:tc>
          <w:tcPr>
            <w:tcW w:w="1165"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33">
              <w:r>
                <w:rPr>
                  <w:rStyle w:val="InternetLink"/>
                  <w:rFonts w:ascii="Arial;sans-serif" w:hAnsi="Arial;sans-serif"/>
                  <w:b w:val="false"/>
                  <w:color w:val="0000FF"/>
                  <w:sz w:val="18"/>
                  <w:u w:val="single"/>
                </w:rPr>
                <w:t>Item 4.</w:t>
              </w:r>
            </w:hyperlink>
          </w:p>
        </w:tc>
        <w:tc>
          <w:tcPr>
            <w:tcW w:w="815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33">
              <w:r>
                <w:rPr>
                  <w:rStyle w:val="InternetLink"/>
                  <w:rFonts w:ascii="Arial;sans-serif" w:hAnsi="Arial;sans-serif"/>
                  <w:b w:val="false"/>
                  <w:color w:val="0000FF"/>
                  <w:sz w:val="18"/>
                  <w:u w:val="single"/>
                </w:rPr>
                <w:t>Mine Safety Disclosures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c3eea95731744f07a8f7a1aef4de9a6b_133">
              <w:r>
                <w:rPr>
                  <w:rStyle w:val="InternetLink"/>
                  <w:rFonts w:ascii="Arial;sans-serif" w:hAnsi="Arial;sans-serif"/>
                  <w:b w:val="false"/>
                  <w:color w:val="0000FF"/>
                  <w:sz w:val="18"/>
                  <w:u w:val="single"/>
                </w:rPr>
                <w:t>36</w:t>
              </w:r>
            </w:hyperlink>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36">
              <w:r>
                <w:rPr>
                  <w:rStyle w:val="InternetLink"/>
                  <w:rFonts w:ascii="Arial;sans-serif" w:hAnsi="Arial;sans-serif"/>
                  <w:b w:val="false"/>
                  <w:color w:val="0000FF"/>
                  <w:sz w:val="18"/>
                  <w:u w:val="single"/>
                </w:rPr>
                <w:t>Item 5.</w:t>
              </w:r>
            </w:hyperlink>
          </w:p>
        </w:tc>
        <w:tc>
          <w:tcPr>
            <w:tcW w:w="81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36">
              <w:r>
                <w:rPr>
                  <w:rStyle w:val="InternetLink"/>
                  <w:rFonts w:ascii="Arial;sans-serif" w:hAnsi="Arial;sans-serif"/>
                  <w:b w:val="false"/>
                  <w:color w:val="0000FF"/>
                  <w:sz w:val="18"/>
                  <w:u w:val="single"/>
                </w:rPr>
                <w:t>Other Information</w:t>
              </w:r>
            </w:hyperlink>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c3eea95731744f07a8f7a1aef4de9a6b_136">
              <w:r>
                <w:rPr>
                  <w:rStyle w:val="InternetLink"/>
                  <w:rFonts w:ascii="Arial;sans-serif" w:hAnsi="Arial;sans-serif"/>
                  <w:b w:val="false"/>
                  <w:color w:val="0000FF"/>
                  <w:sz w:val="18"/>
                  <w:u w:val="single"/>
                </w:rPr>
                <w:t>36</w:t>
              </w:r>
            </w:hyperlink>
          </w:p>
        </w:tc>
      </w:tr>
      <w:tr>
        <w:trPr/>
        <w:tc>
          <w:tcPr>
            <w:tcW w:w="1165"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39">
              <w:r>
                <w:rPr>
                  <w:rStyle w:val="InternetLink"/>
                  <w:rFonts w:ascii="Arial;sans-serif" w:hAnsi="Arial;sans-serif"/>
                  <w:b w:val="false"/>
                  <w:color w:val="0000FF"/>
                  <w:sz w:val="18"/>
                  <w:u w:val="single"/>
                </w:rPr>
                <w:t>Item 6.</w:t>
              </w:r>
            </w:hyperlink>
          </w:p>
        </w:tc>
        <w:tc>
          <w:tcPr>
            <w:tcW w:w="8151"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left"/>
              <w:rPr/>
            </w:pPr>
            <w:hyperlink w:anchor="ic3eea95731744f07a8f7a1aef4de9a6b_139">
              <w:r>
                <w:rPr>
                  <w:rStyle w:val="InternetLink"/>
                  <w:rFonts w:ascii="Arial;sans-serif" w:hAnsi="Arial;sans-serif"/>
                  <w:b w:val="false"/>
                  <w:color w:val="0000FF"/>
                  <w:sz w:val="18"/>
                  <w:u w:val="single"/>
                </w:rPr>
                <w:t>Exhibits</w:t>
              </w:r>
            </w:hyperlink>
          </w:p>
        </w:tc>
        <w:tc>
          <w:tcPr>
            <w:tcW w:w="889" w:type="dxa"/>
            <w:gridSpan w:val="3"/>
            <w:tcBorders/>
            <w:shd w:fill="B2B2B2" w:val="clear"/>
            <w:tcMar>
              <w:top w:w="0" w:type="dxa"/>
              <w:left w:w="0" w:type="dxa"/>
              <w:bottom w:w="0" w:type="dxa"/>
              <w:right w:w="0" w:type="dxa"/>
            </w:tcMar>
            <w:vAlign w:val="center"/>
          </w:tcPr>
          <w:p>
            <w:pPr>
              <w:pStyle w:val="TableContents"/>
              <w:bidi w:val="0"/>
              <w:spacing w:lineRule="auto" w:line="288" w:before="0" w:after="0"/>
              <w:jc w:val="right"/>
              <w:rPr/>
            </w:pPr>
            <w:hyperlink w:anchor="ic3eea95731744f07a8f7a1aef4de9a6b_139">
              <w:r>
                <w:rPr>
                  <w:rStyle w:val="InternetLink"/>
                  <w:rFonts w:ascii="Arial;sans-serif" w:hAnsi="Arial;sans-serif"/>
                  <w:b w:val="false"/>
                  <w:color w:val="0000FF"/>
                  <w:sz w:val="18"/>
                  <w:u w:val="singl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amounts)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020" w:type="dxa"/>
        <w:jc w:val="left"/>
        <w:tblInd w:w="0" w:type="dxa"/>
        <w:tblLayout w:type="fixed"/>
        <w:tblCellMar>
          <w:top w:w="28" w:type="dxa"/>
          <w:left w:w="28" w:type="dxa"/>
          <w:bottom w:w="28" w:type="dxa"/>
          <w:right w:w="28" w:type="dxa"/>
        </w:tblCellMar>
      </w:tblPr>
      <w:tblGrid>
        <w:gridCol w:w="2004"/>
        <w:gridCol w:w="1763"/>
        <w:gridCol w:w="1767"/>
        <w:gridCol w:w="109"/>
        <w:gridCol w:w="109"/>
        <w:gridCol w:w="120"/>
        <w:gridCol w:w="120"/>
        <w:gridCol w:w="120"/>
        <w:gridCol w:w="120"/>
        <w:gridCol w:w="234"/>
        <w:gridCol w:w="916"/>
        <w:gridCol w:w="120"/>
        <w:gridCol w:w="109"/>
        <w:gridCol w:w="109"/>
        <w:gridCol w:w="109"/>
        <w:gridCol w:w="211"/>
        <w:gridCol w:w="826"/>
        <w:gridCol w:w="154"/>
      </w:tblGrid>
      <w:tr>
        <w:trPr/>
        <w:tc>
          <w:tcPr>
            <w:tcW w:w="2004"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288,774 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192,288 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(loss)/income attributable to the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Company shareholders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Company shareholders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of the Company used in computing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 per Class A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817" w:type="dxa"/>
        <w:jc w:val="left"/>
        <w:tblInd w:w="0" w:type="dxa"/>
        <w:tblLayout w:type="fixed"/>
        <w:tblCellMar>
          <w:top w:w="28" w:type="dxa"/>
          <w:left w:w="28" w:type="dxa"/>
          <w:bottom w:w="28" w:type="dxa"/>
          <w:right w:w="28" w:type="dxa"/>
        </w:tblCellMar>
      </w:tblPr>
      <w:tblGrid>
        <w:gridCol w:w="2325"/>
        <w:gridCol w:w="2041"/>
        <w:gridCol w:w="2068"/>
        <w:gridCol w:w="109"/>
        <w:gridCol w:w="109"/>
        <w:gridCol w:w="129"/>
        <w:gridCol w:w="129"/>
        <w:gridCol w:w="129"/>
        <w:gridCol w:w="129"/>
        <w:gridCol w:w="250"/>
        <w:gridCol w:w="857"/>
        <w:gridCol w:w="129"/>
        <w:gridCol w:w="109"/>
        <w:gridCol w:w="109"/>
        <w:gridCol w:w="109"/>
        <w:gridCol w:w="211"/>
        <w:gridCol w:w="721"/>
        <w:gridCol w:w="154"/>
      </w:tblGrid>
      <w:tr>
        <w:trPr/>
        <w:tc>
          <w:tcPr>
            <w:tcW w:w="2325"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income/(loss),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settlement/curtailment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pension liability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service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actuarial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and amortization related to interest rate swaps included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valuation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related to items of other comprehensive income/(loss):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settlement/curtailment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and amortization related to interest rate swaps included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valuation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31,188 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attributable to the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attributable to the Company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31,404 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91"/>
        <w:gridCol w:w="2263"/>
        <w:gridCol w:w="2038"/>
        <w:gridCol w:w="204"/>
        <w:gridCol w:w="907"/>
        <w:gridCol w:w="113"/>
        <w:gridCol w:w="109"/>
        <w:gridCol w:w="109"/>
        <w:gridCol w:w="109"/>
        <w:gridCol w:w="234"/>
        <w:gridCol w:w="1040"/>
        <w:gridCol w:w="188"/>
      </w:tblGrid>
      <w:tr>
        <w:trPr/>
        <w:tc>
          <w:tcPr>
            <w:tcW w:w="2891"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119,354 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115,283 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272,461 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246,688 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 net</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156,069 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166,557 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161,082 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145,845 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prepaid and receivable</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19,392 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19,187 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39,954 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37,132 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1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768,312 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730,692 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564,966 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563,431 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Intangibles, net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38,127 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178,837 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176,261 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28,757 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112,029 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111,428 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1,688,076 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1,648,696 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Shareholders' Equity</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83,000 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66,095 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141,904 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maturities of long-term debt</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18,367 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1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207,917 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226,366 </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416,429 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318,531 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141,555 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138,830 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taxes and other liabilities</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17,007 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16,022 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782,908 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699,749 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16)</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Shareholders' Equity:</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par value $5.00 per share; authorized 2,000,000 shares; none issued</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A Common Stock, par value $0.001 per share; authorized 100,000,000 shares; 40,972,665 issued in 2025 and 40,917,539 in 2024</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 in capital</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455,584 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452,933 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1,074,863 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1,065,763 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items of other comprehensive income:</w:t>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Translation adjustments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(164,419)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(181,555)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and postretirement liability adjustments</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(16,990)</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(14,328)</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valuation adjustment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Treasury stock (Class A), at cost; 10,770,189 shares in 2025 and 9,844,746 in 2024</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(448,363)</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(379,210)</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shareholders' equity</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899,975 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943,538 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5,409 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905,168 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948,947 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shareholders' equity</w:t>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1,688,076 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1,648,696 </w:t>
            </w:r>
          </w:p>
        </w:tc>
        <w:tc>
          <w:tcPr>
            <w:tcW w:w="1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325" w:type="dxa"/>
        <w:jc w:val="left"/>
        <w:tblInd w:w="0" w:type="dxa"/>
        <w:tblLayout w:type="fixed"/>
        <w:tblCellMar>
          <w:top w:w="28" w:type="dxa"/>
          <w:left w:w="28" w:type="dxa"/>
          <w:bottom w:w="28" w:type="dxa"/>
          <w:right w:w="28" w:type="dxa"/>
        </w:tblCellMar>
      </w:tblPr>
      <w:tblGrid>
        <w:gridCol w:w="2149"/>
        <w:gridCol w:w="1887"/>
        <w:gridCol w:w="1903"/>
        <w:gridCol w:w="109"/>
        <w:gridCol w:w="109"/>
        <w:gridCol w:w="152"/>
        <w:gridCol w:w="152"/>
        <w:gridCol w:w="273"/>
        <w:gridCol w:w="1026"/>
        <w:gridCol w:w="152"/>
        <w:gridCol w:w="109"/>
        <w:gridCol w:w="109"/>
        <w:gridCol w:w="109"/>
        <w:gridCol w:w="196"/>
        <w:gridCol w:w="736"/>
        <w:gridCol w:w="154"/>
      </w:tblGrid>
      <w:tr>
        <w:trPr/>
        <w:tc>
          <w:tcPr>
            <w:tcW w:w="2149"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17,349 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19,585 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deferred taxes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benefits paid or payable in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credit losses from uncollected receivables and contract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remeasurement loss/(gain) on intercompany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 on foreign currency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 that provided/(used)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(20,713)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Contract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11,421 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prepaid and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17,482 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(21,164)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Purchased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(15,597)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96,998 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on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of Treasury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(69,153)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paid in lieu of share issuance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15,091 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Increase/(decrease)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115,283 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119,354 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ALBANY INTERNATIONAL CORP.</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1. Significant Accounting Policies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the opinion of management, the accompanying consolidated financial information reflects all adjustments necessary for a fair presentation of Albany International Corp.'s ("Albany", the "Registrant", the "Company", "we", "us", or "our") financial position, results of operations and cash flows for the interim periods presented, but does not include all disclosures required by the accounting principles generally accepted in the United States ("GAAP"). All such adjustments are of a normal recurring nature, unless otherwise disclosed in this report. Certain amounts in prior year financial statements and notes thereto have been reclassified to conform to current year presentation. The information included in this Quarterly Report on Form 10-Q should be read in conjunction with the Company’s Annual Report on Form 10-K for the year ended December 31, 2024.</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Estimates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preparation of the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Estimates are used in the accounting for, among others, revenue recognition, contract profitability, allowances for doubtful accounts, rebates and sales allowances, inventory allowances, financial instruments, including derivatives, pension and other postretirement benefits, stock-based compensation, goodwill and intangible assets, contingencies, income taxes, and other accruals. Our estimates are based on historical experience and on various other assumptions, which are believed to be reasonable under the circumstances. Due to the inherent uncertainty involved in making estimates, actual results reported in future periods may differ from those estimates. Estimates and assumptions are reviewed periodically, and the effects of any revisions are reflected in the consolidated financial statements in the period they are determined to be necessary.</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December 2023, the FASB issued Accounting Standards Update No. 2023-09, “Income Taxes (Topic 740): Improvements to Income Tax Disclosures” (“ASU 2023-09”), which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guidance is effective for annual periods beginning after December 15, 2024. Early adoption is permitted for annual financial statements that have not yet been issued or made available for issuance. ASU 2023-09 should be applied on a prospective basis, but retrospective application is permitted. We are currently evaluating the potential impact of adopting this new guidance on our consolidated financial statements and related disclosures.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March 2024, the FASB issued Accounting Standards Update No. 2024-01, "Compensation - Stock Compensation (Topic 718): Scope Application of Profits Interest and Similar Awards" (ASU 2024-01), which clarifies how an entity determines whether profits interest or similar awards should be considered within the scope of ASC 718 as a share-based payment arrangement or under ASC 710 or other ASC topics in a manner similar to a cash bonus or profit-sharing arrangement. The guidance is effective for annual periods beginning after December 15, 2024, and interim periods beginning within those annual periods. Early adoption is permitted for both interim and annual financial statements that have not yet been issued or made available for issuance. ASU 2024-01 should be applied either (1) retrospectively to all prior periods presented in the financial statements or (2) prospectively to profits interest and similar awards granted or modified on or after the date at which the entity first applies the amendments. The adoption of this standard on January 1, 2025 did not have any impact on our consolidated financial statements and related disclosures.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In November 2024, the FASB issued Accounting Standards Update No. 2024-03, "Income Statement – Reporting Comprehensive Income – Expense Disaggregation Disclosures (Subtopic 220-40): Disaggregation of Income Statement Expenses" (ASU 2024-03), which requires a public business entity to disclose specific information about certain costs and expenses in the notes to the financial statements for interim and annual reporting periods. The objective of the disclosure requirements is to provide disaggregated information of the public entity's expenses to help investors better understand the entity's performance; better assess the entity's prospects for future cash flows;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compare an entity's performance over time and with that of other entities. The disaggregation of relevant expense captions presented on the face of the income statement may include but is not limited to the following natural expenses: (1) purchases of inventory, (2) employee compensation, (3) depreciation, (4) intangible asset amortization, and (5) depreciation, depletion, and amortization. The guidance is effective for annual periods beginning after December 15, 2026, and for interim periods beginning after December 15, 2027. Early adoption is permitted. We are currently evaluating the potential impact of adopting this new guidance on our consolidated financial statements and related disclosures.</w:t>
      </w:r>
    </w:p>
    <w:p>
      <w:pPr>
        <w:pStyle w:val="TextBody"/>
        <w:bidi w:val="0"/>
        <w:spacing w:lineRule="auto" w:line="288" w:before="120" w:after="283"/>
        <w:jc w:val="both"/>
        <w:rPr/>
      </w:pPr>
      <w:r>
        <w:rPr>
          <w:rFonts w:ascii="Arial;sans-serif" w:hAnsi="Arial;sans-serif"/>
          <w:b w:val="false"/>
          <w:color w:val="000000"/>
          <w:sz w:val="20"/>
        </w:rPr>
        <w:t>In March 2024, the U.S. Securities and Exchange Commission ("SEC") adopted the final rule under SEC Release No. 33-11275,</w:t>
      </w:r>
      <w:r>
        <w:rPr>
          <w:color w:val="000000"/>
          <w:shd w:fill="FFFFFF" w:val="clear"/>
        </w:rPr>
        <w:t xml:space="preserve"> </w:t>
      </w:r>
      <w:r>
        <w:rPr>
          <w:rFonts w:ascii="Arial;sans-serif" w:hAnsi="Arial;sans-serif"/>
          <w:b w:val="false"/>
          <w:color w:val="000000"/>
          <w:sz w:val="20"/>
          <w:shd w:fill="FFFFFF" w:val="clear"/>
        </w:rPr>
        <w:t>"The Enhancement and Standardization of Climate-Related Disclosures for Investors"</w:t>
      </w:r>
      <w:r>
        <w:rPr>
          <w:rFonts w:ascii="Arial;sans-serif" w:hAnsi="Arial;sans-serif"/>
          <w:b w:val="false"/>
          <w:color w:val="000000"/>
          <w:sz w:val="20"/>
        </w:rPr>
        <w:t>. This rule would require registrants to disclose certain climate-related information in registration statements and annual reports. In April 2024, the SEC voluntarily stayed the final rule as a result of legal challenges that are pending judicial review. The disclosure requirements would apply to the Company's fiscal year beginning January 1, 2025, pending resolution of the stay. While there has been no resolution of the stay, the Company is currently evaluating the final rule to determine its impact on the Company's disclosures.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2. Reportable Segments and Revenue Recognition</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The Company is organized based on the nature of its products and is composed of two reportable segments, Machine Clothing ("MC") and Albany Engineered Composites ("AEC"), each overseen by a segment president. These segments are reflective of how the Company's Chief Executive Officer, who is its Chief Operating Decision Maker ("CODM"), reviews operating results for the purpose of allocating resources and assessing performance. Our CODM evaluates each segment's performance based on metrics such as net revenues, gross profit, and other key financial data, to assess performance and allocate resources that align with company-wide goals. Annual incentive targets are established for the segment presidents based on these metrics, in addition to cash flows, which are reviewed in summary each month, and in more depth each quarter. The Company has not aggregated operating segments for purposes of identifying reportable segments. Effective December 31, 2024, the Company adopted provisions of ASU 2023-07, which expanded the content and frequency of segment disclosures required under ASC 280. </w:t>
      </w:r>
    </w:p>
    <w:p>
      <w:pPr>
        <w:pStyle w:val="TextBody"/>
        <w:bidi w:val="0"/>
        <w:spacing w:before="60" w:after="283"/>
        <w:jc w:val="both"/>
        <w:rPr/>
      </w:pPr>
      <w:r>
        <w:rPr/>
      </w:r>
    </w:p>
    <w:p>
      <w:pPr>
        <w:pStyle w:val="TextBody"/>
        <w:bidi w:val="0"/>
        <w:spacing w:lineRule="auto" w:line="288" w:before="60" w:after="283"/>
        <w:jc w:val="both"/>
        <w:rPr>
          <w:rFonts w:ascii="Arial;sans-serif" w:hAnsi="Arial;sans-serif"/>
          <w:b/>
          <w:i/>
          <w:color w:val="000000"/>
          <w:sz w:val="20"/>
        </w:rPr>
      </w:pPr>
      <w:r>
        <w:rPr>
          <w:rFonts w:ascii="Arial;sans-serif" w:hAnsi="Arial;sans-serif"/>
          <w:b/>
          <w:i/>
          <w:color w:val="000000"/>
          <w:sz w:val="20"/>
        </w:rPr>
        <w:t>Machine Clothing:</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The Machine Clothing segment supplies permeable and impermeable belts used in the manufacture of paper, paperboard, tissue and towel products, nonwovens, fiber cement and for several other industrial applications. We sell our MC products directly to customer end-users in countries across the globe. Our products, manufacturing processes, and distribution channels are substantially the same in each region of the world in which we operate.</w:t>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 xml:space="preserve">We design, manufacture, and market paper machine clothing (used in the manufacture of paper, paperboard, tissue and towel) for each section of the paper machine and for every grade of paper. Paper machine clothing products and technical textiles. </w:t>
      </w:r>
    </w:p>
    <w:p>
      <w:pPr>
        <w:pStyle w:val="TextBody"/>
        <w:bidi w:val="0"/>
        <w:spacing w:lineRule="auto" w:line="288" w:before="60" w:after="283"/>
        <w:jc w:val="both"/>
        <w:rPr>
          <w:rFonts w:ascii="Arial;sans-serif" w:hAnsi="Arial;sans-serif"/>
          <w:b/>
          <w:i/>
          <w:color w:val="000000"/>
          <w:sz w:val="20"/>
        </w:rPr>
      </w:pPr>
      <w:r>
        <w:rPr>
          <w:rFonts w:ascii="Arial;sans-serif" w:hAnsi="Arial;sans-serif"/>
          <w:b/>
          <w:i/>
          <w:color w:val="000000"/>
          <w:sz w:val="20"/>
        </w:rPr>
        <w:t>Albany Engineered Composites:</w:t>
      </w:r>
    </w:p>
    <w:p>
      <w:pPr>
        <w:pStyle w:val="TextBody"/>
        <w:bidi w:val="0"/>
        <w:spacing w:lineRule="auto" w:line="288" w:before="120" w:after="283"/>
        <w:jc w:val="both"/>
        <w:rPr/>
      </w:pPr>
      <w:r>
        <w:rPr>
          <w:rFonts w:ascii="Arial;sans-serif" w:hAnsi="Arial;sans-serif"/>
          <w:b w:val="false"/>
          <w:color w:val="000000"/>
          <w:sz w:val="20"/>
        </w:rPr>
        <w:t xml:space="preserve">The Albany Engineered Composites segment provides highly engineered, advanced composite structures to customers in the commercial and defense aerospace industries. The segment includes Albany Safran Composites, LLC (“ASC”), in which our customer, the SAFRAN Group (“SAFRAN”) owns a 10 percent noncontrolling interest. AEC, through ASC, is the exclusive supplier to the LEAP program of advanced composite fan blades and fan cases under a long-term supply contract, </w:t>
      </w:r>
      <w:r>
        <w:rPr>
          <w:rFonts w:ascii="Arial;sans-serif" w:hAnsi="Arial;sans-serif"/>
          <w:b w:val="false"/>
          <w:color w:val="000000"/>
          <w:sz w:val="20"/>
          <w:shd w:fill="FFFFFF" w:val="clear"/>
        </w:rPr>
        <w:t>where revenue is determined by a cost-plus-fee agreement.</w:t>
      </w:r>
      <w:r>
        <w:rPr>
          <w:color w:val="000000"/>
        </w:rPr>
        <w:t xml:space="preserve"> </w:t>
      </w:r>
    </w:p>
    <w:p>
      <w:pPr>
        <w:pStyle w:val="TextBody"/>
        <w:bidi w:val="0"/>
        <w:spacing w:lineRule="auto" w:line="288" w:before="120" w:after="283"/>
        <w:jc w:val="both"/>
        <w:rPr/>
      </w:pPr>
      <w:r>
        <w:rPr>
          <w:rFonts w:ascii="Arial;sans-serif" w:hAnsi="Arial;sans-serif"/>
          <w:b w:val="false"/>
          <w:color w:val="000000"/>
          <w:sz w:val="20"/>
        </w:rPr>
        <w:t>The LEAP engine is used on the Airbus A320neo,</w:t>
      </w:r>
      <w:r>
        <w:rPr>
          <w:color w:val="000000"/>
          <w:shd w:fill="FFFFFF" w:val="clear"/>
        </w:rPr>
        <w:t xml:space="preserve"> </w:t>
      </w:r>
      <w:r>
        <w:rPr>
          <w:rFonts w:ascii="Arial;sans-serif" w:hAnsi="Arial;sans-serif"/>
          <w:b w:val="false"/>
          <w:color w:val="000000"/>
          <w:sz w:val="20"/>
          <w:shd w:fill="FFFFFF" w:val="clear"/>
        </w:rPr>
        <w:t>A321neo</w:t>
      </w:r>
      <w:r>
        <w:rPr>
          <w:rFonts w:ascii="Arial;sans-serif" w:hAnsi="Arial;sans-serif"/>
          <w:b w:val="false"/>
          <w:color w:val="000000"/>
          <w:sz w:val="20"/>
        </w:rPr>
        <w:t xml:space="preserve">, Boeing 737 MAX, and COMAC 919 aircraft. AEC's largest aerospace customer is the SAFRAN Group and sales to SAFRAN (consisting primarily of fan blades and cases for CFM International's LEAP engine). AEC net sales to SAFRAN were $39.4 million and $50.1 million in the first three months of 2025 and 2024, respectively. The total of Accounts receivable, Contract assets and Noncurrent receivables due from SAFRAN amounted to $74.0 million and $78.5 million as of March 31, 2025 and December 31, 2024, respectively.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Other significant programs for AEC include the Sikorsky CH-53K, F-35, JASSM, and Boeing 787 programs. AEC also supplies vacuum waste tanks for the Boeing commercial programs, and specialty components for the Rolls Royce lift fan on the F-35, as well as the fan case for the GE9X engine. For the year ended December 31, 2024, approximately 36 percent of AEC's revenues were related to U.S. government contracts or programs.</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following tables show data by reportable segment that is regularly provided to the CODM, reconciled to consolidated totals included in the financial statements: </w:t>
      </w:r>
    </w:p>
    <w:tbl>
      <w:tblPr>
        <w:tblW w:w="9746" w:type="dxa"/>
        <w:jc w:val="left"/>
        <w:tblInd w:w="0" w:type="dxa"/>
        <w:tblLayout w:type="fixed"/>
        <w:tblCellMar>
          <w:top w:w="28" w:type="dxa"/>
          <w:left w:w="28" w:type="dxa"/>
          <w:bottom w:w="28" w:type="dxa"/>
          <w:right w:w="28" w:type="dxa"/>
        </w:tblCellMar>
      </w:tblPr>
      <w:tblGrid>
        <w:gridCol w:w="1372"/>
        <w:gridCol w:w="1210"/>
        <w:gridCol w:w="1212"/>
        <w:gridCol w:w="109"/>
        <w:gridCol w:w="109"/>
        <w:gridCol w:w="109"/>
        <w:gridCol w:w="211"/>
        <w:gridCol w:w="841"/>
        <w:gridCol w:w="109"/>
        <w:gridCol w:w="109"/>
        <w:gridCol w:w="109"/>
        <w:gridCol w:w="109"/>
        <w:gridCol w:w="211"/>
        <w:gridCol w:w="841"/>
        <w:gridCol w:w="109"/>
        <w:gridCol w:w="109"/>
        <w:gridCol w:w="109"/>
        <w:gridCol w:w="109"/>
        <w:gridCol w:w="211"/>
        <w:gridCol w:w="796"/>
        <w:gridCol w:w="109"/>
        <w:gridCol w:w="109"/>
        <w:gridCol w:w="109"/>
        <w:gridCol w:w="109"/>
        <w:gridCol w:w="211"/>
        <w:gridCol w:w="841"/>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2025</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174,697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114,077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288,774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94,795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97,493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192,288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79,902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16,584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96,486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32,881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10,126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10,805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53,812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11,896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2,515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38,431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(11,784)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28,263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9701" w:type="dxa"/>
        <w:jc w:val="left"/>
        <w:tblInd w:w="0" w:type="dxa"/>
        <w:tblLayout w:type="fixed"/>
        <w:tblCellMar>
          <w:top w:w="28" w:type="dxa"/>
          <w:left w:w="28" w:type="dxa"/>
          <w:bottom w:w="28" w:type="dxa"/>
          <w:right w:w="28" w:type="dxa"/>
        </w:tblCellMar>
      </w:tblPr>
      <w:tblGrid>
        <w:gridCol w:w="1372"/>
        <w:gridCol w:w="1210"/>
        <w:gridCol w:w="1212"/>
        <w:gridCol w:w="109"/>
        <w:gridCol w:w="109"/>
        <w:gridCol w:w="109"/>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2024</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AEC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204,644 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tbl>
      <w:tblPr>
        <w:tblW w:w="7538" w:type="dxa"/>
        <w:jc w:val="left"/>
        <w:tblInd w:w="0" w:type="dxa"/>
        <w:tblLayout w:type="fixed"/>
        <w:tblCellMar>
          <w:top w:w="28" w:type="dxa"/>
          <w:left w:w="28" w:type="dxa"/>
          <w:bottom w:w="28" w:type="dxa"/>
          <w:right w:w="28" w:type="dxa"/>
        </w:tblCellMar>
      </w:tblPr>
      <w:tblGrid>
        <w:gridCol w:w="1335"/>
        <w:gridCol w:w="1176"/>
        <w:gridCol w:w="1179"/>
        <w:gridCol w:w="109"/>
        <w:gridCol w:w="218"/>
        <w:gridCol w:w="423"/>
        <w:gridCol w:w="1689"/>
        <w:gridCol w:w="218"/>
        <w:gridCol w:w="211"/>
        <w:gridCol w:w="826"/>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191" w:type="dxa"/>
            <w:gridSpan w:val="3"/>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Machine Clothing</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174,697</w:t>
            </w: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185,217 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114,077</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Consolidated revenues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288,774</w:t>
            </w:r>
            <w:r>
              <w:rPr>
                <w:color w:val="000000"/>
              </w:rPr>
              <w:t>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313,330 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79,902</w:t>
            </w: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16,584</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Consolidated gross profit</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96,486</w:t>
            </w:r>
            <w:r>
              <w:rPr>
                <w:color w:val="000000"/>
              </w:rPr>
              <w:t>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108,686 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8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7,706</w:t>
            </w: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13,295</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290</w:t>
            </w: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21,291</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income/(loss)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Machine Clothing</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38,431</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1,616</w:t>
            </w: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(11,784)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28,263</w:t>
            </w:r>
            <w:r>
              <w:rPr>
                <w:color w:val="000000"/>
              </w:rPr>
              <w:t>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38,977 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Reconciling items: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(1,638)</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5,293</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3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3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983</w:t>
            </w: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23,625</w:t>
            </w:r>
            <w:r>
              <w:rPr>
                <w:color w:val="000000"/>
              </w:rPr>
              <w:t> </w:t>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38,640 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both"/>
        <w:rPr/>
      </w:pPr>
      <w:r>
        <w:rPr>
          <w:rFonts w:ascii="Arial;sans-serif" w:hAnsi="Arial;sans-serif"/>
          <w:b w:val="false"/>
          <w:color w:val="000000"/>
          <w:sz w:val="20"/>
          <w:shd w:fill="FFFFFF" w:val="clear"/>
        </w:rPr>
        <w:t>Certain prior year amounts have been reclassified in order to conform to current year presentation. Global information system costs previously included in Corporate expenses are allocated to the segments. Management believes this presentation better reflects the performance of the segments and is how management will review segment performance on a going forward basis. F</w:t>
      </w:r>
      <w:r>
        <w:rPr>
          <w:rFonts w:ascii="Arial;sans-serif" w:hAnsi="Arial;sans-serif"/>
          <w:b w:val="false"/>
          <w:color w:val="000000"/>
          <w:sz w:val="20"/>
        </w:rPr>
        <w:t>or the three months ended March 31, 2025,</w:t>
      </w:r>
      <w:r>
        <w:rPr>
          <w:color w:val="000000"/>
          <w:shd w:fill="FFFFFF" w:val="clear"/>
        </w:rPr>
        <w:t xml:space="preserve"> </w:t>
      </w:r>
      <w:r>
        <w:rPr>
          <w:rFonts w:ascii="Arial;sans-serif" w:hAnsi="Arial;sans-serif"/>
          <w:b w:val="false"/>
          <w:color w:val="000000"/>
          <w:sz w:val="20"/>
        </w:rPr>
        <w:t>Selling, general and administrative expenses include global information system costs of $4.0 million, $3.9 million, and $0.5 million for MC, AEC and Corporate, respectively. For the three months ended March 31, 2024, Selling, general and administrative expenses include global information system costs of $3.8 million, $4.0 million, and $0.5 million for MC, AEC and Corporate, respectively.</w:t>
      </w:r>
    </w:p>
    <w:p>
      <w:pPr>
        <w:pStyle w:val="TextBody"/>
        <w:bidi w:val="0"/>
        <w:spacing w:before="120" w:after="283"/>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presents assets by reportable segment:</w:t>
      </w:r>
    </w:p>
    <w:tbl>
      <w:tblPr>
        <w:tblW w:w="6845" w:type="dxa"/>
        <w:jc w:val="left"/>
        <w:tblInd w:w="0" w:type="dxa"/>
        <w:tblLayout w:type="fixed"/>
        <w:tblCellMar>
          <w:top w:w="28" w:type="dxa"/>
          <w:left w:w="28" w:type="dxa"/>
          <w:bottom w:w="28" w:type="dxa"/>
          <w:right w:w="28" w:type="dxa"/>
        </w:tblCellMar>
      </w:tblPr>
      <w:tblGrid>
        <w:gridCol w:w="1416"/>
        <w:gridCol w:w="1248"/>
        <w:gridCol w:w="1250"/>
        <w:gridCol w:w="211"/>
        <w:gridCol w:w="991"/>
        <w:gridCol w:w="109"/>
        <w:gridCol w:w="255"/>
        <w:gridCol w:w="1179"/>
        <w:gridCol w:w="186"/>
      </w:tblGrid>
      <w:tr>
        <w:trPr/>
        <w:tc>
          <w:tcPr>
            <w:tcW w:w="141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3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Segment 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621,691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600,603 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749,287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736,306 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Reconciling items:</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119,354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115,283 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prepaid, receivable and deferred</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45,761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47,944 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and Other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151,983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total assets</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1,688,076</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1,648,696 </w:t>
            </w:r>
          </w:p>
        </w:tc>
        <w:tc>
          <w:tcPr>
            <w:tcW w:w="1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following table presents capital expenditures by reportable segment:</w:t>
      </w:r>
    </w:p>
    <w:tbl>
      <w:tblPr>
        <w:tblW w:w="6822" w:type="dxa"/>
        <w:jc w:val="left"/>
        <w:tblInd w:w="0" w:type="dxa"/>
        <w:tblLayout w:type="fixed"/>
        <w:tblCellMar>
          <w:top w:w="28" w:type="dxa"/>
          <w:left w:w="28" w:type="dxa"/>
          <w:bottom w:w="28" w:type="dxa"/>
          <w:right w:w="28" w:type="dxa"/>
        </w:tblCellMar>
      </w:tblPr>
      <w:tblGrid>
        <w:gridCol w:w="1529"/>
        <w:gridCol w:w="1349"/>
        <w:gridCol w:w="1352"/>
        <w:gridCol w:w="255"/>
        <w:gridCol w:w="891"/>
        <w:gridCol w:w="132"/>
        <w:gridCol w:w="255"/>
        <w:gridCol w:w="873"/>
        <w:gridCol w:w="186"/>
      </w:tblGrid>
      <w:tr>
        <w:trPr/>
        <w:tc>
          <w:tcPr>
            <w:tcW w:w="152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42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Capital expenditures and purchased software</w:t>
            </w:r>
          </w:p>
        </w:tc>
        <w:tc>
          <w:tcPr>
            <w:tcW w:w="1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6,232</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9,365</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20,523 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 expenditures and purchased software</w:t>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15,597</w:t>
            </w:r>
            <w:r>
              <w:rPr>
                <w:color w:val="000000"/>
              </w:rPr>
              <w:t> </w:t>
            </w:r>
          </w:p>
        </w:tc>
        <w:tc>
          <w:tcPr>
            <w:tcW w:w="1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26,880 </w:t>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Products and services provided under long-term contracts represent a significant portion of revenues in the Albany Engineered Composites segment and we account for these contracts over time, primarily using the percentage of completion (actual cost to estimated cost) method. That method requires significant judgment and estimation, which could be materially different if the underlying circumstances were to change. When adjustments in estimated contract revenues or costs are required, any changes from prior estimates are included in earnings in the period the change occurs. Changes in the estimated profitability of long-term contracts could be caused by increases or decreases in the contract value, revisions to customer delivery requirements, updated labor or overhead rates, material costs, factors affecting the supply chain, changes in the evaluation of contract risks and opportunities, or other factors. The cumulative changes in the estimated profitability of long-term contracts decreased operating income by $7.0 million for the first three months of 2025. The negative change in the estimated profitability in the first quarter of 2025 was driven by a few large complex programs, including approximately $2.0 million for various CH-53K programs, approximately $1.7 million on our Gulfstream program, approximately $0.9 million on our F-35 program, and $2.4 million, net, on all other programs. Adjustments in the estimated profitability of long-term contracts decreased operating income by $0.9 million for the first three months of 2024.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disaggregate revenue earned from contracts with customers for each of our business segments and product groups based on the timing of revenue recognition, and groupings used for internal review purposes.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disaggregates revenue for each product group by timing of revenue recognition for the three months ended March 31, 2025:</w:t>
      </w:r>
    </w:p>
    <w:tbl>
      <w:tblPr>
        <w:tblW w:w="7909" w:type="dxa"/>
        <w:jc w:val="left"/>
        <w:tblInd w:w="0" w:type="dxa"/>
        <w:tblLayout w:type="fixed"/>
        <w:tblCellMar>
          <w:top w:w="28" w:type="dxa"/>
          <w:left w:w="28" w:type="dxa"/>
          <w:bottom w:w="28" w:type="dxa"/>
          <w:right w:w="28" w:type="dxa"/>
        </w:tblCellMar>
      </w:tblPr>
      <w:tblGrid>
        <w:gridCol w:w="1145"/>
        <w:gridCol w:w="1009"/>
        <w:gridCol w:w="1010"/>
        <w:gridCol w:w="342"/>
        <w:gridCol w:w="1368"/>
        <w:gridCol w:w="179"/>
        <w:gridCol w:w="300"/>
        <w:gridCol w:w="1195"/>
        <w:gridCol w:w="155"/>
        <w:gridCol w:w="211"/>
        <w:gridCol w:w="84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2025</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Point in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Over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173,676</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1,021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174,697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ASC</w:t>
            </w:r>
          </w:p>
        </w:tc>
        <w:tc>
          <w:tcPr>
            <w:tcW w:w="17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38,920</w:t>
            </w: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38,920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AEC</w:t>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4,077</w:t>
            </w: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71,080</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75,157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Albany Engineered Composites</w:t>
            </w:r>
          </w:p>
        </w:tc>
        <w:tc>
          <w:tcPr>
            <w:tcW w:w="171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4,077</w:t>
            </w:r>
            <w:r>
              <w:rPr>
                <w:color w:val="000000"/>
              </w:rPr>
              <w:t>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110,000</w:t>
            </w: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114,077</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177,753</w:t>
            </w:r>
            <w:r>
              <w:rPr>
                <w:color w:val="000000"/>
              </w:rPr>
              <w:t> </w:t>
            </w:r>
          </w:p>
        </w:tc>
        <w:tc>
          <w:tcPr>
            <w:tcW w:w="17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111,021</w:t>
            </w:r>
            <w:r>
              <w:rPr>
                <w:color w:val="000000"/>
              </w:rPr>
              <w:t> </w:t>
            </w:r>
          </w:p>
        </w:tc>
        <w:tc>
          <w:tcPr>
            <w:tcW w:w="1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288,774</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disaggregates revenue for each product group by timing of revenue recognition for the three months ended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tbl>
      <w:tblPr>
        <w:tblW w:w="7894" w:type="dxa"/>
        <w:jc w:val="left"/>
        <w:tblInd w:w="0" w:type="dxa"/>
        <w:tblLayout w:type="fixed"/>
        <w:tblCellMar>
          <w:top w:w="28" w:type="dxa"/>
          <w:left w:w="28" w:type="dxa"/>
          <w:bottom w:w="28" w:type="dxa"/>
          <w:right w:w="28" w:type="dxa"/>
        </w:tblCellMar>
      </w:tblPr>
      <w:tblGrid>
        <w:gridCol w:w="1145"/>
        <w:gridCol w:w="1009"/>
        <w:gridCol w:w="1010"/>
        <w:gridCol w:w="347"/>
        <w:gridCol w:w="1362"/>
        <w:gridCol w:w="181"/>
        <w:gridCol w:w="303"/>
        <w:gridCol w:w="1189"/>
        <w:gridCol w:w="157"/>
        <w:gridCol w:w="211"/>
        <w:gridCol w:w="82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2024</w:t>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Point in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Over Time Revenue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Recognition</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184,235 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185,217 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ASC</w:t>
            </w:r>
          </w:p>
        </w:tc>
        <w:tc>
          <w:tcPr>
            <w:tcW w:w="17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49,739 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AEC</w:t>
            </w:r>
          </w:p>
        </w:tc>
        <w:tc>
          <w:tcPr>
            <w:tcW w:w="1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Albany Engineered Composites</w:t>
            </w:r>
          </w:p>
        </w:tc>
        <w:tc>
          <w:tcPr>
            <w:tcW w:w="17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5,757 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122,356 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128,113 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189,992 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123,338 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313,330 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disaggregates MC segment revenue by significant product groupings (paper machine clothing ("PMC") and engineered fabrics); and for PMC, the geographical region to which the paper machine clothing was sold:</w:t>
      </w:r>
    </w:p>
    <w:tbl>
      <w:tblPr>
        <w:tblW w:w="6997" w:type="dxa"/>
        <w:jc w:val="left"/>
        <w:tblInd w:w="0" w:type="dxa"/>
        <w:tblLayout w:type="fixed"/>
        <w:tblCellMar>
          <w:top w:w="28" w:type="dxa"/>
          <w:left w:w="28" w:type="dxa"/>
          <w:bottom w:w="28" w:type="dxa"/>
          <w:right w:w="28" w:type="dxa"/>
        </w:tblCellMar>
      </w:tblPr>
      <w:tblGrid>
        <w:gridCol w:w="1138"/>
        <w:gridCol w:w="1003"/>
        <w:gridCol w:w="1008"/>
        <w:gridCol w:w="109"/>
        <w:gridCol w:w="218"/>
        <w:gridCol w:w="423"/>
        <w:gridCol w:w="1689"/>
        <w:gridCol w:w="218"/>
        <w:gridCol w:w="211"/>
        <w:gridCol w:w="826"/>
        <w:gridCol w:w="154"/>
      </w:tblGrid>
      <w:tr>
        <w:trPr/>
        <w:tc>
          <w:tcPr>
            <w:tcW w:w="113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191" w:type="dxa"/>
            <w:gridSpan w:val="3"/>
            <w:tcBorders/>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1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 PMC</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82,846</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Eurasia PMC</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68,197</w:t>
            </w: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Engineered Fabrics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23,654</w:t>
            </w: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Machine Clothing Net revenues</w:t>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6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174,697</w:t>
            </w:r>
            <w:r>
              <w:rPr>
                <w:color w:val="000000"/>
              </w:rPr>
              <w:t> </w:t>
            </w:r>
          </w:p>
        </w:tc>
        <w:tc>
          <w:tcPr>
            <w:tcW w:w="2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185,217 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3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do not disclose the value of unsatisfied performance obligations for contracts with an original expected duration of one year or less. Contracts in the MC segment are generally for periods of less than a year and certain contracts in the AEC segment are relatively short duration firm-fixed-price orders. Remaining performance obligations on contracts that had an original duration of greater than one year totaled $1.1 billion and $752 million as of March 31, 2025 and 2024, respectively, and related primarily to firm fixed price contracts in the AEC segment. Of the remaining performance obligations as of March 31, 2025, we expect to recognize as revenue approximately $117 million during 2025, $150 million during 2026, $142 million during 2027, and the remainder thereafter.</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3</w:t>
      </w:r>
      <w:bookmarkStart w:id="0" w:name="id9101efd3d904f44a2dc19fa8c261cb0_1112"/>
      <w:bookmarkEnd w:id="0"/>
      <w:r>
        <w:rPr>
          <w:rFonts w:ascii="Arial;sans-serif" w:hAnsi="Arial;sans-serif"/>
          <w:b/>
          <w:i/>
          <w:color w:val="000000"/>
          <w:sz w:val="20"/>
        </w:rPr>
        <w:t>. Pensions and Other Postretirement Benefit Plans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Company has defined benefit pension plans covering certain U.S. and non-U.S. employees. The Company also provides certain postretirement benefits to retired employees in the U.S. and Canada. The Company accrues the cost of providing these benefits during the active service period of the employees.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composition of the net periodic benefit cost/(income) for the three months ended March 31, 2025 and 2024, was as follows:</w:t>
      </w:r>
    </w:p>
    <w:tbl>
      <w:tblPr>
        <w:tblW w:w="8317" w:type="dxa"/>
        <w:jc w:val="left"/>
        <w:tblInd w:w="0" w:type="dxa"/>
        <w:tblLayout w:type="fixed"/>
        <w:tblCellMar>
          <w:top w:w="28" w:type="dxa"/>
          <w:left w:w="28" w:type="dxa"/>
          <w:bottom w:w="28" w:type="dxa"/>
          <w:right w:w="28" w:type="dxa"/>
        </w:tblCellMar>
      </w:tblPr>
      <w:tblGrid>
        <w:gridCol w:w="1502"/>
        <w:gridCol w:w="1325"/>
        <w:gridCol w:w="1328"/>
        <w:gridCol w:w="211"/>
        <w:gridCol w:w="541"/>
        <w:gridCol w:w="109"/>
        <w:gridCol w:w="215"/>
        <w:gridCol w:w="475"/>
        <w:gridCol w:w="109"/>
        <w:gridCol w:w="323"/>
        <w:gridCol w:w="738"/>
        <w:gridCol w:w="167"/>
        <w:gridCol w:w="323"/>
        <w:gridCol w:w="715"/>
        <w:gridCol w:w="236"/>
      </w:tblGrid>
      <w:tr>
        <w:trPr/>
        <w:tc>
          <w:tcPr>
            <w:tcW w:w="150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Pension plans</w:t>
            </w:r>
          </w:p>
        </w:tc>
        <w:tc>
          <w:tcPr>
            <w:tcW w:w="250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Other postretirement benefits</w:t>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Components of net periodic benefit cost/(income):</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w:t>
            </w: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353</w:t>
            </w: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Curtailment cost/(income)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Settlement cost/(income)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2,170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cost/(income)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periodic benefit cost/(credit)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324</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amount of net benefit cost/(credit) is determined at the beginning of each year and generally only varies from quarter to quarter when a significant event occurs, such as a curtailment or a settlement. In the first three months of 2025, we took action to settle certain pension plan liabilities related to an MC pension plan in Switzerland. This resulted in a net gain totaling $1.6 million related to curtailments and settlements.There were no material curtailments or settlements during the first three months of 2024.</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Service cost for defined benefit pension and postretirement plans are reported in the same line item as other compensation costs arising from services rendered by the pertinent employees during the period. Other components of net periodic benefit cost are included in the line item Other (income)/expense, net in the Consolidated Statements of Income.</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4. Restructuring</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 xml:space="preserve">At MC, restructuring actions were taken in 2024 and 2025 to cease operations at several facilities, including at the Company's MC forming fabric manufacturing facility in Chungju, South Korea, at the Company's Heimbach engineered fabric manufacturing facility in Rochdale, UK, at the Company's Heimbach paper machine clothing facility in Olten, Switzerland and at the Company's MC manufacturing facility in Ballo, Italy. These actions drove $3.3 million of restructuring charges during the first three months of 2025, of which $3.1 million in restructuring expenses related to workforce reductions, fixed asset impairments and related costs, as well as charges of $0.2 million in Cost of goods sold for the write-off of inventory, offset by a $1.8 million pension curtailment gain. We expect to incur additional restructuring expenses related to these actions throughout the remainder of the year. </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 xml:space="preserve">At AEC, restructuring activities were related to reorganizational costs as well as a reduction in the workforce within AEC, which resulted in restructuring expenses of $1.2 million for the first three months of 2025 and $2.2 million for the first three months of 2024.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charges reported in the Consolidated Statements of Income under "Restructuring expenses, net":</w:t>
      </w:r>
    </w:p>
    <w:tbl>
      <w:tblPr>
        <w:tblW w:w="5526" w:type="dxa"/>
        <w:jc w:val="left"/>
        <w:tblInd w:w="0" w:type="dxa"/>
        <w:tblLayout w:type="fixed"/>
        <w:tblCellMar>
          <w:top w:w="28" w:type="dxa"/>
          <w:left w:w="28" w:type="dxa"/>
          <w:bottom w:w="28" w:type="dxa"/>
          <w:right w:w="28" w:type="dxa"/>
        </w:tblCellMar>
      </w:tblPr>
      <w:tblGrid>
        <w:gridCol w:w="982"/>
        <w:gridCol w:w="865"/>
        <w:gridCol w:w="867"/>
        <w:gridCol w:w="285"/>
        <w:gridCol w:w="853"/>
        <w:gridCol w:w="147"/>
        <w:gridCol w:w="285"/>
        <w:gridCol w:w="832"/>
        <w:gridCol w:w="147"/>
        <w:gridCol w:w="109"/>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1,347</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1,168</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5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2,515</w:t>
            </w:r>
            <w:r>
              <w:rPr>
                <w:color w:val="000000"/>
              </w:rPr>
              <w:t> </w:t>
            </w:r>
          </w:p>
        </w:tc>
        <w:tc>
          <w:tcPr>
            <w:tcW w:w="1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2,209 </w:t>
            </w:r>
          </w:p>
        </w:tc>
        <w:tc>
          <w:tcPr>
            <w:tcW w:w="14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tables summarize charges by type of expense reported in the Consolidated Statements of Income under "Restructuring expenses, net" and "Cost of goods sold":</w:t>
      </w:r>
    </w:p>
    <w:tbl>
      <w:tblPr>
        <w:tblW w:w="9795" w:type="dxa"/>
        <w:jc w:val="left"/>
        <w:tblInd w:w="0" w:type="dxa"/>
        <w:tblLayout w:type="fixed"/>
        <w:tblCellMar>
          <w:top w:w="28" w:type="dxa"/>
          <w:left w:w="28" w:type="dxa"/>
          <w:bottom w:w="28" w:type="dxa"/>
          <w:right w:w="28" w:type="dxa"/>
        </w:tblCellMar>
      </w:tblPr>
      <w:tblGrid>
        <w:gridCol w:w="1073"/>
        <w:gridCol w:w="944"/>
        <w:gridCol w:w="952"/>
        <w:gridCol w:w="276"/>
        <w:gridCol w:w="826"/>
        <w:gridCol w:w="143"/>
        <w:gridCol w:w="236"/>
        <w:gridCol w:w="707"/>
        <w:gridCol w:w="123"/>
        <w:gridCol w:w="466"/>
        <w:gridCol w:w="1063"/>
        <w:gridCol w:w="241"/>
        <w:gridCol w:w="577"/>
        <w:gridCol w:w="1744"/>
        <w:gridCol w:w="424"/>
      </w:tblGrid>
      <w:tr>
        <w:trPr/>
        <w:tc>
          <w:tcPr>
            <w:tcW w:w="107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March 31, 2025</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restructuring</w:t>
              <w:br/>
              <w:t>costs incurred</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Termination</w:t>
              <w:br/>
              <w:t>and other</w:t>
              <w:br/>
              <w:t>costs</w:t>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Impairment of assets</w:t>
            </w:r>
          </w:p>
        </w:tc>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Curtailment (Gain)/Loss</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1,603</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2,640</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723</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(1,760)</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1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1,168</w:t>
            </w: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1,168</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2,771</w:t>
            </w:r>
            <w:r>
              <w:rPr>
                <w:color w:val="000000"/>
              </w:rPr>
              <w:t> </w:t>
            </w:r>
          </w:p>
        </w:tc>
        <w:tc>
          <w:tcPr>
            <w:tcW w:w="14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0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3,808</w:t>
            </w:r>
            <w:r>
              <w:rPr>
                <w:color w:val="000000"/>
              </w:rPr>
              <w:t> </w:t>
            </w:r>
          </w:p>
        </w:tc>
        <w:tc>
          <w:tcPr>
            <w:tcW w:w="1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6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723</w:t>
            </w:r>
            <w:r>
              <w:rPr>
                <w:color w:val="000000"/>
              </w:rPr>
              <w:t> </w:t>
            </w:r>
          </w:p>
        </w:tc>
        <w:tc>
          <w:tcPr>
            <w:tcW w:w="2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74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(1,760)</w:t>
            </w:r>
          </w:p>
        </w:tc>
        <w:tc>
          <w:tcPr>
            <w:tcW w:w="4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95" w:type="dxa"/>
        <w:jc w:val="left"/>
        <w:tblInd w:w="0" w:type="dxa"/>
        <w:tblLayout w:type="fixed"/>
        <w:tblCellMar>
          <w:top w:w="28" w:type="dxa"/>
          <w:left w:w="28" w:type="dxa"/>
          <w:bottom w:w="28" w:type="dxa"/>
          <w:right w:w="28" w:type="dxa"/>
        </w:tblCellMar>
      </w:tblPr>
      <w:tblGrid>
        <w:gridCol w:w="1073"/>
        <w:gridCol w:w="944"/>
        <w:gridCol w:w="952"/>
        <w:gridCol w:w="280"/>
        <w:gridCol w:w="819"/>
        <w:gridCol w:w="146"/>
        <w:gridCol w:w="240"/>
        <w:gridCol w:w="701"/>
        <w:gridCol w:w="125"/>
        <w:gridCol w:w="514"/>
        <w:gridCol w:w="989"/>
        <w:gridCol w:w="267"/>
        <w:gridCol w:w="749"/>
        <w:gridCol w:w="1445"/>
        <w:gridCol w:w="551"/>
      </w:tblGrid>
      <w:tr>
        <w:trPr/>
        <w:tc>
          <w:tcPr>
            <w:tcW w:w="107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March 31, 2024</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restructuring</w:t>
              <w:br/>
              <w:t>costs incurred</w:t>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Termination</w:t>
              <w:br/>
              <w:t>and other</w:t>
              <w:br/>
              <w:t>costs</w:t>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Impairment of assets</w:t>
            </w:r>
          </w:p>
        </w:tc>
        <w:tc>
          <w:tcPr>
            <w:tcW w:w="2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Pension Curtailment (Gain)/Loss</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2,209 </w:t>
            </w:r>
          </w:p>
        </w:tc>
        <w:tc>
          <w:tcPr>
            <w:tcW w:w="1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2,209 </w:t>
            </w:r>
          </w:p>
        </w:tc>
        <w:tc>
          <w:tcPr>
            <w:tcW w:w="1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table below presents the year-to-date changes in restructuring liabilities for 2025 and 2024:</w:t>
      </w:r>
    </w:p>
    <w:tbl>
      <w:tblPr>
        <w:tblW w:w="9546" w:type="dxa"/>
        <w:jc w:val="left"/>
        <w:tblInd w:w="0" w:type="dxa"/>
        <w:tblLayout w:type="fixed"/>
        <w:tblCellMar>
          <w:top w:w="28" w:type="dxa"/>
          <w:left w:w="28" w:type="dxa"/>
          <w:bottom w:w="28" w:type="dxa"/>
          <w:right w:w="28" w:type="dxa"/>
        </w:tblCellMar>
      </w:tblPr>
      <w:tblGrid>
        <w:gridCol w:w="1003"/>
        <w:gridCol w:w="885"/>
        <w:gridCol w:w="887"/>
        <w:gridCol w:w="349"/>
        <w:gridCol w:w="1045"/>
        <w:gridCol w:w="180"/>
        <w:gridCol w:w="313"/>
        <w:gridCol w:w="936"/>
        <w:gridCol w:w="162"/>
        <w:gridCol w:w="211"/>
        <w:gridCol w:w="691"/>
        <w:gridCol w:w="109"/>
        <w:gridCol w:w="445"/>
        <w:gridCol w:w="794"/>
        <w:gridCol w:w="232"/>
        <w:gridCol w:w="276"/>
        <w:gridCol w:w="827"/>
        <w:gridCol w:w="201"/>
      </w:tblGrid>
      <w:tr>
        <w:trPr/>
        <w:tc>
          <w:tcPr>
            <w:tcW w:w="10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Restructuring</w:t>
              <w:br/>
              <w:t>charges accrued</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Payments</w:t>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w:t>
              <w:br/>
              <w:t>translation /other</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2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termination and other costs</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4,996</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3,808</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w:t>
            </w: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4,668</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431" w:type="dxa"/>
        <w:jc w:val="left"/>
        <w:tblInd w:w="0" w:type="dxa"/>
        <w:tblLayout w:type="fixed"/>
        <w:tblCellMar>
          <w:top w:w="28" w:type="dxa"/>
          <w:left w:w="28" w:type="dxa"/>
          <w:bottom w:w="28" w:type="dxa"/>
          <w:right w:w="28" w:type="dxa"/>
        </w:tblCellMar>
      </w:tblPr>
      <w:tblGrid>
        <w:gridCol w:w="1003"/>
        <w:gridCol w:w="885"/>
        <w:gridCol w:w="887"/>
        <w:gridCol w:w="456"/>
        <w:gridCol w:w="879"/>
        <w:gridCol w:w="239"/>
        <w:gridCol w:w="318"/>
        <w:gridCol w:w="928"/>
        <w:gridCol w:w="165"/>
        <w:gridCol w:w="233"/>
        <w:gridCol w:w="541"/>
        <w:gridCol w:w="121"/>
        <w:gridCol w:w="525"/>
        <w:gridCol w:w="674"/>
        <w:gridCol w:w="272"/>
        <w:gridCol w:w="280"/>
        <w:gridCol w:w="820"/>
        <w:gridCol w:w="205"/>
      </w:tblGrid>
      <w:tr>
        <w:trPr/>
        <w:tc>
          <w:tcPr>
            <w:tcW w:w="100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Restructuring</w:t>
              <w:br/>
              <w:t>charges accrued</w:t>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Payments</w:t>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w:t>
              <w:br/>
              <w:t>translation /other</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2024</w:t>
            </w:r>
          </w:p>
        </w:tc>
      </w:tr>
      <w:tr>
        <w:trPr/>
        <w:tc>
          <w:tcPr>
            <w:tcW w:w="2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termination and other costs</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i/>
          <w:color w:val="000000"/>
          <w:sz w:val="20"/>
        </w:rPr>
      </w:pPr>
      <w:r>
        <w:rPr>
          <w:rFonts w:ascii="Arial;sans-serif" w:hAnsi="Arial;sans-serif"/>
          <w:b/>
          <w:i/>
          <w:color w:val="000000"/>
          <w:sz w:val="20"/>
        </w:rPr>
        <w:t>5. Other (Income)/Expense,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components of Other (income)/expense, net are:</w:t>
      </w:r>
    </w:p>
    <w:tbl>
      <w:tblPr>
        <w:tblW w:w="10205" w:type="dxa"/>
        <w:jc w:val="left"/>
        <w:tblInd w:w="0" w:type="dxa"/>
        <w:tblLayout w:type="fixed"/>
        <w:tblCellMar>
          <w:top w:w="28" w:type="dxa"/>
          <w:left w:w="28" w:type="dxa"/>
          <w:bottom w:w="28" w:type="dxa"/>
          <w:right w:w="28" w:type="dxa"/>
        </w:tblCellMar>
      </w:tblPr>
      <w:tblGrid>
        <w:gridCol w:w="2390"/>
        <w:gridCol w:w="2090"/>
        <w:gridCol w:w="2098"/>
        <w:gridCol w:w="109"/>
        <w:gridCol w:w="253"/>
        <w:gridCol w:w="490"/>
        <w:gridCol w:w="1467"/>
        <w:gridCol w:w="253"/>
        <w:gridCol w:w="211"/>
        <w:gridCol w:w="687"/>
        <w:gridCol w:w="157"/>
      </w:tblGrid>
      <w:tr>
        <w:trPr/>
        <w:tc>
          <w:tcPr>
            <w:tcW w:w="2390"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3" w:type="dxa"/>
            <w:gridSpan w:val="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55" w:type="dxa"/>
            <w:gridSpan w:val="3"/>
            <w:tcBorders/>
          </w:tcPr>
          <w:p>
            <w:pPr>
              <w:pStyle w:val="TableContents"/>
              <w:bidi w:val="0"/>
              <w:spacing w:before="0" w:after="283"/>
              <w:jc w:val="left"/>
              <w:rPr>
                <w:sz w:val="4"/>
                <w:szCs w:val="4"/>
              </w:rPr>
            </w:pPr>
            <w:r>
              <w:rPr>
                <w:sz w:val="4"/>
                <w:szCs w:val="4"/>
              </w:rPr>
            </w:r>
          </w:p>
        </w:tc>
      </w:tr>
      <w:tr>
        <w:trPr/>
        <w:tc>
          <w:tcPr>
            <w:tcW w:w="65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65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Currency transaction losses/(gains)</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3,152</w:t>
            </w: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instruments losses/(gains)</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(2,526)</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Bank fees and 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w:t>
            </w: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Components of net periodic pension and postretirement cost other than service cost</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9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821</w:t>
            </w:r>
            <w:r>
              <w:rPr>
                <w:color w:val="000000"/>
              </w:rPr>
              <w:t>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(540)</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46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983</w:t>
            </w:r>
            <w:r>
              <w:rPr>
                <w:color w:val="000000"/>
              </w:rPr>
              <w:t> </w:t>
            </w:r>
          </w:p>
        </w:tc>
        <w:tc>
          <w:tcPr>
            <w:tcW w:w="25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(2,982)</w:t>
            </w:r>
          </w:p>
        </w:tc>
        <w:tc>
          <w:tcPr>
            <w:tcW w:w="15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Other (income)/expense, net, included foreign currency related transactions which resulted in losses of $3.2 million in the three months ended March 31, 2025, as compared to gains of $1.3 million in the same periods last year. In addition, changes in the fair value of derivative instruments included gains of $2.5 million in the three months ended March 31, 2025, as compared to gains of $0.1 million in the same period last year, driven by currency rate movements, most notably the Brazilian Real and Mexican Peso.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6. Income Taxes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effective income tax rate for the three months ended March 31, 2025 and 2024, is as follows:</w:t>
      </w:r>
    </w:p>
    <w:tbl>
      <w:tblPr>
        <w:tblW w:w="4910" w:type="dxa"/>
        <w:jc w:val="left"/>
        <w:tblInd w:w="0" w:type="dxa"/>
        <w:tblLayout w:type="fixed"/>
        <w:tblCellMar>
          <w:top w:w="28" w:type="dxa"/>
          <w:left w:w="28" w:type="dxa"/>
          <w:bottom w:w="28" w:type="dxa"/>
          <w:right w:w="28" w:type="dxa"/>
        </w:tblCellMar>
      </w:tblPr>
      <w:tblGrid>
        <w:gridCol w:w="761"/>
        <w:gridCol w:w="668"/>
        <w:gridCol w:w="670"/>
        <w:gridCol w:w="284"/>
        <w:gridCol w:w="284"/>
        <w:gridCol w:w="706"/>
        <w:gridCol w:w="284"/>
        <w:gridCol w:w="284"/>
        <w:gridCol w:w="706"/>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26.6</w:t>
            </w:r>
            <w:r>
              <w:rPr>
                <w:color w:val="000000"/>
              </w:rPr>
              <w:t>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Income tax expense for the quarter was computed in accordance with ASC 740-270, Income Taxes – Interim Reporting. Under this method, loss jurisdictions which cannot recognize a tax benefit with regard to their generated losses are excluded from the annual effective tax rate calculation and their taxes will be recorded discretely in each quarter.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Our 2025 estimated annual effective tax rate primarily reflects the 21% federal tax rate, the impact of state and local taxation, the impact of taxation upon foreign operations, and forecasted permanent differences. Our actual effective tax rates were 26.6% and 29.2% for the three months ended March 31, 2025 and 2024, respectively. </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effective tax rate for the three months ended March 31, 2025 included a net discrete tax benefit of $1.3 million. This discrete tax benefit is mostly attributable to the true-up for prior year's estimated taxes, a net decrease in valuation allowances and a net decrease in uncertain tax positions. The rate for the three months ended March 31, 2025 was lower than the three months ended March 31, 2024 mainly due to the favorable discrete tax adjustment related to a decrease in valuation allowance in the current period.</w:t>
      </w:r>
    </w:p>
    <w:p>
      <w:pPr>
        <w:pStyle w:val="TextBody"/>
        <w:bidi w:val="0"/>
        <w:spacing w:lineRule="auto" w:line="288" w:before="12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Company is subject to audit in the U.S. and various foreign jurisdictions. Our open tax years for major jurisdictions generally range from 2013-2024. We believe appropriate provisions for all outstanding tax issues have been made for all jurisdictions and all open years. Audit outcomes and the timing of audit settlements are subject to significant uncertainty. It is reasonably possible that within the next 12 months, unrecognized tax benefits could decrease by up to $2.2 million based on current estimates. </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7. Earnings Per Share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amounts used in computing earnings per share and the weighted average number of shares of potentially dilutive securities are as follows:</w:t>
      </w:r>
    </w:p>
    <w:tbl>
      <w:tblPr>
        <w:tblW w:w="9845" w:type="dxa"/>
        <w:jc w:val="left"/>
        <w:tblInd w:w="0" w:type="dxa"/>
        <w:tblLayout w:type="fixed"/>
        <w:tblCellMar>
          <w:top w:w="28" w:type="dxa"/>
          <w:left w:w="28" w:type="dxa"/>
          <w:bottom w:w="28" w:type="dxa"/>
          <w:right w:w="28" w:type="dxa"/>
        </w:tblCellMar>
      </w:tblPr>
      <w:tblGrid>
        <w:gridCol w:w="2550"/>
        <w:gridCol w:w="2238"/>
        <w:gridCol w:w="2246"/>
        <w:gridCol w:w="256"/>
        <w:gridCol w:w="895"/>
        <w:gridCol w:w="132"/>
        <w:gridCol w:w="256"/>
        <w:gridCol w:w="877"/>
        <w:gridCol w:w="132"/>
        <w:gridCol w:w="109"/>
        <w:gridCol w:w="154"/>
      </w:tblGrid>
      <w:tr>
        <w:trPr/>
        <w:tc>
          <w:tcPr>
            <w:tcW w:w="2550"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 thousands, except earnings per share)</w:t>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Company</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17,355</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27,291 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 average number of shares:</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Weighted average number of shares used in calculating basic net income per share</w:t>
            </w:r>
          </w:p>
        </w:tc>
        <w:tc>
          <w:tcPr>
            <w:tcW w:w="11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30,823</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31,209 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Effect of dilutive stock-based compensation plans:</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Restricted stock units and multi-year awards</w:t>
            </w:r>
          </w:p>
        </w:tc>
        <w:tc>
          <w:tcPr>
            <w:tcW w:w="115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161</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number of shares used in calculating diluted net income per share</w:t>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30,984</w:t>
            </w: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31,291 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attributable to the Company per share:</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0.56</w:t>
            </w: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3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9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0.56</w:t>
            </w:r>
            <w:r>
              <w:rPr>
                <w:color w:val="000000"/>
              </w:rPr>
              <w:t> </w:t>
            </w:r>
          </w:p>
        </w:tc>
        <w:tc>
          <w:tcPr>
            <w:tcW w:w="13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0.87 </w:t>
            </w:r>
          </w:p>
        </w:tc>
        <w:tc>
          <w:tcPr>
            <w:tcW w:w="13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 w:after="283"/>
        <w:jc w:val="left"/>
        <w:rPr/>
      </w:pPr>
      <w:r>
        <w:rPr/>
      </w:r>
    </w:p>
    <w:p>
      <w:pPr>
        <w:pStyle w:val="TextBody"/>
        <w:bidi w:val="0"/>
        <w:spacing w:before="20" w:after="283"/>
        <w:jc w:val="left"/>
        <w:rPr/>
      </w:pPr>
      <w:r>
        <w:rPr/>
      </w:r>
    </w:p>
    <w:p>
      <w:pPr>
        <w:pStyle w:val="TextBody"/>
        <w:bidi w:val="0"/>
        <w:spacing w:before="20" w:after="283"/>
        <w:jc w:val="left"/>
        <w:rPr/>
      </w:pPr>
      <w:r>
        <w:rPr/>
      </w:r>
    </w:p>
    <w:p>
      <w:pPr>
        <w:pStyle w:val="TextBody"/>
        <w:bidi w:val="0"/>
        <w:spacing w:before="20" w:after="283"/>
        <w:jc w:val="left"/>
        <w:rPr/>
      </w:pPr>
      <w:r>
        <w:rPr/>
      </w:r>
    </w:p>
    <w:p>
      <w:pPr>
        <w:pStyle w:val="TextBody"/>
        <w:bidi w:val="0"/>
        <w:spacing w:before="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8. Accumulated Other Comprehensive Income ("AOCI")</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table below presents changes in the components of AOCI for the period from December 31, 2024 to March 31, 2025:</w:t>
      </w:r>
    </w:p>
    <w:tbl>
      <w:tblPr>
        <w:tblW w:w="10205" w:type="dxa"/>
        <w:jc w:val="left"/>
        <w:tblInd w:w="0" w:type="dxa"/>
        <w:tblLayout w:type="fixed"/>
        <w:tblCellMar>
          <w:top w:w="28" w:type="dxa"/>
          <w:left w:w="28" w:type="dxa"/>
          <w:bottom w:w="28" w:type="dxa"/>
          <w:right w:w="28" w:type="dxa"/>
        </w:tblCellMar>
      </w:tblPr>
      <w:tblGrid>
        <w:gridCol w:w="1983"/>
        <w:gridCol w:w="1723"/>
        <w:gridCol w:w="1628"/>
        <w:gridCol w:w="211"/>
        <w:gridCol w:w="871"/>
        <w:gridCol w:w="109"/>
        <w:gridCol w:w="254"/>
        <w:gridCol w:w="889"/>
        <w:gridCol w:w="133"/>
        <w:gridCol w:w="265"/>
        <w:gridCol w:w="604"/>
        <w:gridCol w:w="137"/>
        <w:gridCol w:w="244"/>
        <w:gridCol w:w="973"/>
        <w:gridCol w:w="181"/>
      </w:tblGrid>
      <w:tr>
        <w:trPr/>
        <w:tc>
          <w:tcPr>
            <w:tcW w:w="198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Translation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Pension and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postretirement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liability</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Derivative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w:t>
            </w:r>
          </w:p>
        </w:tc>
        <w:tc>
          <w:tcPr>
            <w:tcW w:w="13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 Other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Income</w:t>
            </w:r>
          </w:p>
        </w:tc>
      </w:tr>
      <w:tr>
        <w:trPr/>
        <w:tc>
          <w:tcPr>
            <w:tcW w:w="5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(181,555)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(14,328)</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(195,989)</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comprehensive income/(loss) before reclassifications, net of tax</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(4,013)</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12,666 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Pension settlement/curtailment, net of tax</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(expense)/income related to swaps reclassified to the Consolidated Statements of Income, net of tax</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Pension and postretirement liability adjustments reclassified to Consolidated Statements of Income, net of tax</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period other comprehensive income</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(2,662)</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13,839 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March 31, 2025</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(164,419)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(16,990)</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(741)</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(182,150)</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table below presents changes in the components of AOCI for the period from December 31, 2023 to March 31, 2024:</w:t>
      </w:r>
    </w:p>
    <w:tbl>
      <w:tblPr>
        <w:tblW w:w="10205" w:type="dxa"/>
        <w:jc w:val="left"/>
        <w:tblInd w:w="0" w:type="dxa"/>
        <w:tblLayout w:type="fixed"/>
        <w:tblCellMar>
          <w:top w:w="28" w:type="dxa"/>
          <w:left w:w="28" w:type="dxa"/>
          <w:bottom w:w="28" w:type="dxa"/>
          <w:right w:w="28" w:type="dxa"/>
        </w:tblCellMar>
      </w:tblPr>
      <w:tblGrid>
        <w:gridCol w:w="1983"/>
        <w:gridCol w:w="1723"/>
        <w:gridCol w:w="1628"/>
        <w:gridCol w:w="211"/>
        <w:gridCol w:w="871"/>
        <w:gridCol w:w="109"/>
        <w:gridCol w:w="254"/>
        <w:gridCol w:w="889"/>
        <w:gridCol w:w="133"/>
        <w:gridCol w:w="223"/>
        <w:gridCol w:w="667"/>
        <w:gridCol w:w="116"/>
        <w:gridCol w:w="244"/>
        <w:gridCol w:w="973"/>
        <w:gridCol w:w="181"/>
      </w:tblGrid>
      <w:tr>
        <w:trPr/>
        <w:tc>
          <w:tcPr>
            <w:tcW w:w="1983"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Translation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2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Pension and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postretirement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liability</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adjustments</w:t>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Derivative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valuation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adjustment</w:t>
            </w:r>
          </w:p>
        </w:tc>
        <w:tc>
          <w:tcPr>
            <w:tcW w:w="13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Total Other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Comprehensive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Income</w:t>
            </w:r>
          </w:p>
        </w:tc>
      </w:tr>
      <w:tr>
        <w:trPr/>
        <w:tc>
          <w:tcPr>
            <w:tcW w:w="5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(124,901)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(17,346)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9,079</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(133,168)</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income/(loss) before reclassifications, net of tax</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(10,939)</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r>
      <w:tr>
        <w:trPr/>
        <w:tc>
          <w:tcPr>
            <w:tcW w:w="5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(expense)/income related to swaps reclassified to the Consolidated Statements of Income, net of tax</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postretirement liability adjustments reclassified to Consolidated Statements of Income, net of tax</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period other comprehensive income</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(13,858)</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March 31, 2024</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(137,017)</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(16,964)</w:t>
            </w:r>
          </w:p>
        </w:tc>
        <w:tc>
          <w:tcPr>
            <w:tcW w:w="1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6,955</w:t>
            </w:r>
            <w:r>
              <w:rPr>
                <w:color w:val="000000"/>
              </w:rPr>
              <w:t> </w:t>
            </w:r>
          </w:p>
        </w:tc>
        <w:tc>
          <w:tcPr>
            <w:tcW w:w="1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(147,026)</w:t>
            </w:r>
          </w:p>
        </w:tc>
        <w:tc>
          <w:tcPr>
            <w:tcW w:w="1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components of AOCI that are reclassified to the Consolidated Statements of Income relate to our pension and postretirement plans and interest rate swaps.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table below presents the expense/(income) amounts reclassified from AOCI, and the line items of the Consolidated Statements of Income that were affected for the three months ended March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tbl>
      <w:tblPr>
        <w:tblW w:w="10205" w:type="dxa"/>
        <w:jc w:val="left"/>
        <w:tblInd w:w="0" w:type="dxa"/>
        <w:tblLayout w:type="fixed"/>
        <w:tblCellMar>
          <w:top w:w="28" w:type="dxa"/>
          <w:left w:w="28" w:type="dxa"/>
          <w:bottom w:w="28" w:type="dxa"/>
          <w:right w:w="28" w:type="dxa"/>
        </w:tblCellMar>
      </w:tblPr>
      <w:tblGrid>
        <w:gridCol w:w="2729"/>
        <w:gridCol w:w="2402"/>
        <w:gridCol w:w="2417"/>
        <w:gridCol w:w="258"/>
        <w:gridCol w:w="774"/>
        <w:gridCol w:w="133"/>
        <w:gridCol w:w="258"/>
        <w:gridCol w:w="833"/>
        <w:gridCol w:w="133"/>
        <w:gridCol w:w="109"/>
        <w:gridCol w:w="159"/>
      </w:tblGrid>
      <w:tr>
        <w:trPr/>
        <w:tc>
          <w:tcPr>
            <w:tcW w:w="2729"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75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Pre-tax Derivative valuation reclassified from Accumulated Other Comprehensive Income:</w:t>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(income)/expense, net related to interest rate swaps included in Income before taxes</w:t>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(192)</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(4,038)</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effect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Effect on net income due to items reclassified from Accumulated Other Comprehensive Income</w:t>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(178)</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(3,016)</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Pre-tax pension and postretirement liabilities reclassified from Accumulated Other Comprehensive Income:</w:t>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Pension settlement/curtailment</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1,600</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prior service credit</w:t>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Amortization of net actuarial loss</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287</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pre-tax amount reclassified (a)</w:t>
            </w:r>
          </w:p>
        </w:tc>
        <w:tc>
          <w:tcPr>
            <w:tcW w:w="10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1,850</w:t>
            </w:r>
            <w:r>
              <w:rPr>
                <w:color w:val="000000"/>
              </w:rPr>
              <w:t>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effect</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(499)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on net income due to items reclassified from Accumulated Other Comprehensive Income</w:t>
            </w:r>
          </w:p>
        </w:tc>
        <w:tc>
          <w:tcPr>
            <w:tcW w:w="25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7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1,351</w:t>
            </w:r>
            <w:r>
              <w:rPr>
                <w:color w:val="000000"/>
              </w:rPr>
              <w:t> </w:t>
            </w:r>
          </w:p>
        </w:tc>
        <w:tc>
          <w:tcPr>
            <w:tcW w:w="1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0" w:after="0"/>
        <w:ind w:left="0" w:right="0" w:hanging="720"/>
        <w:jc w:val="both"/>
        <w:rPr/>
      </w:pPr>
      <w:r>
        <w:rPr>
          <w:rFonts w:ascii="Arial;sans-serif" w:hAnsi="Arial;sans-serif"/>
          <w:b w:val="false"/>
          <w:color w:val="000000"/>
          <w:sz w:val="18"/>
        </w:rPr>
        <w:t xml:space="preserve">(a)These accumulated other comprehensive income components are included in the computation of net periodic pension cost (see </w:t>
      </w:r>
      <w:r>
        <w:rPr>
          <w:rFonts w:ascii="Arial;sans-serif" w:hAnsi="Arial;sans-serif"/>
          <w:b w:val="false"/>
          <w:i/>
          <w:color w:val="000000"/>
          <w:sz w:val="18"/>
        </w:rPr>
        <w:t>Note 3. Pensions and Other Postretirement Benefit Plans</w:t>
      </w:r>
      <w:r>
        <w:rPr>
          <w:rFonts w:ascii="Arial;sans-serif" w:hAnsi="Arial;sans-serif"/>
          <w:b w:val="false"/>
          <w:color w:val="000000"/>
          <w:sz w:val="18"/>
        </w:rPr>
        <w:t>).</w:t>
      </w:r>
    </w:p>
    <w:p>
      <w:pPr>
        <w:pStyle w:val="TextBody"/>
        <w:bidi w:val="0"/>
        <w:spacing w:before="80" w:after="283"/>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9. Noncontrolling Interests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Effective October 31, 2013, Safran S.A. (Safran) acquired a 10 percent equity interest in Albany Safran Composites, LLC ("ASC").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On August 31, 2023, the Company acquired all the outstanding shares of Heimbach, a privately held manufacturer of paper machine clothing with headquarters in Düren, Germany. In July 2021, Heimbach acquired 85% of Arcari, SRL (“Arcari”). Arcari is a manufacturer of textile and plastic industrial technical products and conveyor belts. For the three months ended March 31, 2025, the net income/(loss) attributable to Arcari’s noncontrolling interest was less than $0.1 million and the noncontrolling interest balance as of March 31, 2025 was $0.3 million.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table below presents a reconciliation of income attributable to the noncontrolling interest and noncontrolling equity in the Company’s subsidiaries:</w:t>
      </w:r>
    </w:p>
    <w:tbl>
      <w:tblPr>
        <w:tblW w:w="9387" w:type="dxa"/>
        <w:jc w:val="left"/>
        <w:tblInd w:w="0" w:type="dxa"/>
        <w:tblLayout w:type="fixed"/>
        <w:tblCellMar>
          <w:top w:w="28" w:type="dxa"/>
          <w:left w:w="28" w:type="dxa"/>
          <w:bottom w:w="28" w:type="dxa"/>
          <w:right w:w="28" w:type="dxa"/>
        </w:tblCellMar>
      </w:tblPr>
      <w:tblGrid>
        <w:gridCol w:w="2463"/>
        <w:gridCol w:w="2165"/>
        <w:gridCol w:w="2167"/>
        <w:gridCol w:w="242"/>
        <w:gridCol w:w="726"/>
        <w:gridCol w:w="311"/>
        <w:gridCol w:w="242"/>
        <w:gridCol w:w="708"/>
        <w:gridCol w:w="363"/>
      </w:tblGrid>
      <w:tr>
        <w:trPr/>
        <w:tc>
          <w:tcPr>
            <w:tcW w:w="2463"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ASC Noncontrolling Interest</w:t>
            </w:r>
          </w:p>
        </w:tc>
        <w:tc>
          <w:tcPr>
            <w:tcW w:w="259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6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of Albany Safran Composites (ASC)</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940</w:t>
            </w: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Return attributable to the Company's preferred holding</w:t>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441</w:t>
            </w: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of ASC available for common ownership</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499</w:t>
            </w: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Ownership percentage of noncontrolling shareholder</w:t>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w:t>
            </w:r>
            <w:r>
              <w:rPr>
                <w:color w:val="000000"/>
              </w:rPr>
              <w:t> </w:t>
            </w:r>
          </w:p>
        </w:tc>
        <w:tc>
          <w:tcPr>
            <w:tcW w:w="3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6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the noncontrolling interest</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w:t>
            </w: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 beginning of year</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4,983</w:t>
            </w: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5,423 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w:t>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w:t>
            </w:r>
            <w:r>
              <w:rPr>
                <w:color w:val="000000"/>
              </w:rPr>
              <w:t>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3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other comprehensive income attributable to the noncontrolling interest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ASC Noncontrolling interest, end of interim period</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4,897</w:t>
            </w: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5,551 </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Arcari Noncontrolling interest, end of interim period</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296</w:t>
            </w: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Noncontrolling interest, end of interim period</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5,193</w:t>
            </w:r>
            <w:r>
              <w:rPr>
                <w:color w:val="000000"/>
              </w:rPr>
              <w:t> </w:t>
            </w:r>
          </w:p>
        </w:tc>
        <w:tc>
          <w:tcPr>
            <w:tcW w:w="3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6,076 </w:t>
            </w:r>
          </w:p>
        </w:tc>
        <w:tc>
          <w:tcPr>
            <w:tcW w:w="3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10. Accounts Receivable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Accounts receivable, net includes Trade and other accounts receivable and Bank promissory notes, net of Allowance for expected credit losses. In connection with certain revenues in Asia, the Company accepts a bank promissory note as customer payment. The notes may be presented for payment at maturity, which is less than one year. As of March 31, 2025 and December 31, 2024, Accounts receivable consisted of the following:</w:t>
      </w:r>
    </w:p>
    <w:tbl>
      <w:tblPr>
        <w:tblW w:w="5984" w:type="dxa"/>
        <w:jc w:val="left"/>
        <w:tblInd w:w="0" w:type="dxa"/>
        <w:tblLayout w:type="fixed"/>
        <w:tblCellMar>
          <w:top w:w="28" w:type="dxa"/>
          <w:left w:w="28" w:type="dxa"/>
          <w:bottom w:w="28" w:type="dxa"/>
          <w:right w:w="28" w:type="dxa"/>
        </w:tblCellMar>
      </w:tblPr>
      <w:tblGrid>
        <w:gridCol w:w="1122"/>
        <w:gridCol w:w="990"/>
        <w:gridCol w:w="992"/>
        <w:gridCol w:w="229"/>
        <w:gridCol w:w="913"/>
        <w:gridCol w:w="118"/>
        <w:gridCol w:w="287"/>
        <w:gridCol w:w="1124"/>
        <w:gridCol w:w="209"/>
      </w:tblGrid>
      <w:tr>
        <w:trPr/>
        <w:tc>
          <w:tcPr>
            <w:tcW w:w="112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1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3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and other accounts receivable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256,115</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231,136 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 promissory notes</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20,853</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19,637 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expected credit losses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(4,507)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2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272,461</w:t>
            </w:r>
            <w:r>
              <w:rPr>
                <w:color w:val="000000"/>
              </w:rPr>
              <w:t> </w:t>
            </w:r>
          </w:p>
        </w:tc>
        <w:tc>
          <w:tcPr>
            <w:tcW w:w="1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246,688 </w:t>
            </w:r>
          </w:p>
        </w:tc>
        <w:tc>
          <w:tcPr>
            <w:tcW w:w="2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March 31, 2025 and December 31, 2024, the Company had trade accounts receivable from SAFRAN of $73.2 million and $77.7 million, respectively.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of March 31, 2025 and December 31, 2024, the Company did not have any Noncurrent receivables and related Allowance for expected credit losses.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11. Contract Assets and Liabilities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Contract assets include unbilled amounts typically resulting from revenues under contracts when the over time method of revenue recognition is utilized, and revenue recognized exceeds the amount billed to the customer. Contract assets are transferred to Accounts receivable, net when the entitlement to pay becomes unconditional and the customer is invoiced. Contract liabilities include advance payments and billings in excess of revenue recognized. Contract liabilities are included in Accrued liabilities in the Consolidated Balance Sheets.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Contract assets and Contract liabilities are reported on the Consolidated Balance Sheets in a net position on a contract-by-contract basis at the end of each reporting period.</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March 31, 2025 and December 31, 2024, Contract assets and Contract liabilities consisted of the following:</w:t>
      </w:r>
    </w:p>
    <w:tbl>
      <w:tblPr>
        <w:tblW w:w="5969" w:type="dxa"/>
        <w:jc w:val="left"/>
        <w:tblInd w:w="0" w:type="dxa"/>
        <w:tblLayout w:type="fixed"/>
        <w:tblCellMar>
          <w:top w:w="28" w:type="dxa"/>
          <w:left w:w="28" w:type="dxa"/>
          <w:bottom w:w="28" w:type="dxa"/>
          <w:right w:w="28" w:type="dxa"/>
        </w:tblCellMar>
      </w:tblPr>
      <w:tblGrid>
        <w:gridCol w:w="1117"/>
        <w:gridCol w:w="985"/>
        <w:gridCol w:w="987"/>
        <w:gridCol w:w="229"/>
        <w:gridCol w:w="913"/>
        <w:gridCol w:w="118"/>
        <w:gridCol w:w="287"/>
        <w:gridCol w:w="1124"/>
        <w:gridCol w:w="209"/>
      </w:tblGrid>
      <w:tr>
        <w:trPr/>
        <w:tc>
          <w:tcPr>
            <w:tcW w:w="111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1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156,852</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167,397 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Allowance for expected credit losses</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(783)</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assets, net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156,069</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166,557 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w:t>
            </w:r>
          </w:p>
        </w:tc>
        <w:tc>
          <w:tcPr>
            <w:tcW w:w="2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7,682</w:t>
            </w:r>
            <w:r>
              <w:rPr>
                <w:color w:val="000000"/>
              </w:rPr>
              <w:t>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6,085 </w:t>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Contract assets, net decreased $10.5 million during the three months ended March 31, 2025. The decrease was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primarily due to invoicing to customers for satisfied performance obligations for contracts that were in a contract asset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position, primarily related to commercial and space programs. There were no impairment losses related to our Contract assets during the three months ended March 31, 2025 and March 31, 2024.</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Contract liabilities increased $1.6 million for the period ended March 31, 2025 compared to December 31, 2024, primarily due to the amounts invoiced to customers for contracts that were in a contract liability position exceeding the revenue recognized from satisfied performance obligations. Revenue recognized for the three months ended March 31, 2025 and 2024 that was included in the Contract liability balance at the beginning of the year was $4.2 million and $3.5 million, respectively.</w:t>
      </w:r>
    </w:p>
    <w:p>
      <w:pPr>
        <w:pStyle w:val="TextBody"/>
        <w:bidi w:val="0"/>
        <w:spacing w:before="200" w:after="283"/>
        <w:jc w:val="both"/>
        <w:rPr/>
      </w:pPr>
      <w:r>
        <w:rPr/>
      </w:r>
    </w:p>
    <w:p>
      <w:pPr>
        <w:pStyle w:val="TextBody"/>
        <w:bidi w:val="0"/>
        <w:spacing w:before="80" w:after="283"/>
        <w:jc w:val="both"/>
        <w:rPr/>
      </w:pPr>
      <w:r>
        <w:rPr/>
      </w:r>
    </w:p>
    <w:p>
      <w:pPr>
        <w:pStyle w:val="TextBody"/>
        <w:bidi w:val="0"/>
        <w:spacing w:before="80" w:after="283"/>
        <w:jc w:val="both"/>
        <w:rPr/>
      </w:pPr>
      <w:r>
        <w:rPr/>
      </w:r>
    </w:p>
    <w:p>
      <w:pPr>
        <w:pStyle w:val="TextBody"/>
        <w:bidi w:val="0"/>
        <w:spacing w:before="80" w:after="283"/>
        <w:jc w:val="both"/>
        <w:rPr/>
      </w:pPr>
      <w:r>
        <w:rPr/>
      </w:r>
    </w:p>
    <w:p>
      <w:pPr>
        <w:pStyle w:val="TextBody"/>
        <w:bidi w:val="0"/>
        <w:spacing w:before="80" w:after="283"/>
        <w:jc w:val="both"/>
        <w:rPr/>
      </w:pPr>
      <w:r>
        <w:rPr/>
      </w:r>
    </w:p>
    <w:p>
      <w:pPr>
        <w:pStyle w:val="TextBody"/>
        <w:bidi w:val="0"/>
        <w:spacing w:before="80" w:after="283"/>
        <w:jc w:val="both"/>
        <w:rPr/>
      </w:pPr>
      <w:r>
        <w:rPr/>
      </w:r>
    </w:p>
    <w:p>
      <w:pPr>
        <w:pStyle w:val="TextBody"/>
        <w:bidi w:val="0"/>
        <w:spacing w:before="80" w:after="283"/>
        <w:jc w:val="both"/>
        <w:rPr/>
      </w:pPr>
      <w:r>
        <w:rPr/>
      </w:r>
    </w:p>
    <w:p>
      <w:pPr>
        <w:pStyle w:val="TextBody"/>
        <w:bidi w:val="0"/>
        <w:spacing w:before="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12. Inventories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March 31, 2025 and December 31, 2024, Inventories consisted of the following:</w:t>
      </w:r>
    </w:p>
    <w:tbl>
      <w:tblPr>
        <w:tblW w:w="4349" w:type="dxa"/>
        <w:jc w:val="left"/>
        <w:tblInd w:w="0" w:type="dxa"/>
        <w:tblLayout w:type="fixed"/>
        <w:tblCellMar>
          <w:top w:w="28" w:type="dxa"/>
          <w:left w:w="28" w:type="dxa"/>
          <w:bottom w:w="28" w:type="dxa"/>
          <w:right w:w="28" w:type="dxa"/>
        </w:tblCellMar>
      </w:tblPr>
      <w:tblGrid>
        <w:gridCol w:w="531"/>
        <w:gridCol w:w="468"/>
        <w:gridCol w:w="470"/>
        <w:gridCol w:w="229"/>
        <w:gridCol w:w="913"/>
        <w:gridCol w:w="118"/>
        <w:gridCol w:w="287"/>
        <w:gridCol w:w="1124"/>
        <w:gridCol w:w="209"/>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16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80,546</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76,559 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Work in process</w:t>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65,127</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54,917 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goods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15,409</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inventories</w:t>
            </w:r>
          </w:p>
        </w:tc>
        <w:tc>
          <w:tcPr>
            <w:tcW w:w="2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161,082</w:t>
            </w:r>
            <w:r>
              <w:rPr>
                <w:color w:val="000000"/>
              </w:rPr>
              <w:t> </w:t>
            </w:r>
          </w:p>
        </w:tc>
        <w:tc>
          <w:tcPr>
            <w:tcW w:w="1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145,845 </w:t>
            </w:r>
          </w:p>
        </w:tc>
        <w:tc>
          <w:tcPr>
            <w:tcW w:w="2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13. Goodwill and Other Intangible Assets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sets forth the gross carrying value, accumulated amortization and net values of intangible assets and goodwill as of March 31, 2025 and December 31, 2024:</w:t>
      </w:r>
    </w:p>
    <w:tbl>
      <w:tblPr>
        <w:tblW w:w="10205" w:type="dxa"/>
        <w:jc w:val="left"/>
        <w:tblInd w:w="0" w:type="dxa"/>
        <w:tblLayout w:type="fixed"/>
        <w:tblCellMar>
          <w:top w:w="28" w:type="dxa"/>
          <w:left w:w="28" w:type="dxa"/>
          <w:bottom w:w="28" w:type="dxa"/>
          <w:right w:w="28" w:type="dxa"/>
        </w:tblCellMar>
      </w:tblPr>
      <w:tblGrid>
        <w:gridCol w:w="1056"/>
        <w:gridCol w:w="840"/>
        <w:gridCol w:w="841"/>
        <w:gridCol w:w="395"/>
        <w:gridCol w:w="395"/>
        <w:gridCol w:w="396"/>
        <w:gridCol w:w="325"/>
        <w:gridCol w:w="1300"/>
        <w:gridCol w:w="168"/>
        <w:gridCol w:w="558"/>
        <w:gridCol w:w="1950"/>
        <w:gridCol w:w="290"/>
        <w:gridCol w:w="293"/>
        <w:gridCol w:w="1175"/>
        <w:gridCol w:w="223"/>
      </w:tblGrid>
      <w:tr>
        <w:trPr/>
        <w:tc>
          <w:tcPr>
            <w:tcW w:w="10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8"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2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 </w:t>
              <w:br/>
              <w:t>life in years</w:t>
            </w:r>
          </w:p>
        </w:tc>
        <w:tc>
          <w:tcPr>
            <w:tcW w:w="1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2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 and other</w:t>
            </w:r>
          </w:p>
        </w:tc>
        <w:tc>
          <w:tcPr>
            <w:tcW w:w="1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2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Finite-lived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Trademarks and trade names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6-15</w:t>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0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208</w:t>
            </w: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95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(200)</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7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Technology</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10-15</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6,048</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(3,398)</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2,650</w:t>
            </w: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Intellectual property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15</w:t>
            </w:r>
          </w:p>
        </w:tc>
        <w:tc>
          <w:tcPr>
            <w:tcW w:w="162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1,250</w:t>
            </w: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(443)</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807</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Customer relationships</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8-15</w:t>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69,298</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(48,203)</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21,095</w:t>
            </w: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Developed technology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9</w:t>
            </w:r>
          </w:p>
        </w:tc>
        <w:tc>
          <w:tcPr>
            <w:tcW w:w="162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8,884</w:t>
            </w: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(1,832)</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7,052</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85,688</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(54,076)</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31,612</w:t>
            </w: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Trade name</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0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5,951</w:t>
            </w: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95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7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5,951</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MC Goodwill</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65,873</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65,873</w:t>
            </w: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Goodwill</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112,964</w:t>
            </w: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112,964</w:t>
            </w: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3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184,788</w:t>
            </w:r>
            <w:r>
              <w:rPr>
                <w:color w:val="000000"/>
              </w:rPr>
              <w:t>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9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184,788</w:t>
            </w:r>
            <w:r>
              <w:rPr>
                <w:color w:val="000000"/>
              </w:rPr>
              <w:t> </w:t>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tbl>
      <w:tblPr>
        <w:tblW w:w="10205" w:type="dxa"/>
        <w:jc w:val="left"/>
        <w:tblInd w:w="0" w:type="dxa"/>
        <w:tblLayout w:type="fixed"/>
        <w:tblCellMar>
          <w:top w:w="28" w:type="dxa"/>
          <w:left w:w="28" w:type="dxa"/>
          <w:bottom w:w="28" w:type="dxa"/>
          <w:right w:w="28" w:type="dxa"/>
        </w:tblCellMar>
      </w:tblPr>
      <w:tblGrid>
        <w:gridCol w:w="1056"/>
        <w:gridCol w:w="840"/>
        <w:gridCol w:w="841"/>
        <w:gridCol w:w="395"/>
        <w:gridCol w:w="395"/>
        <w:gridCol w:w="396"/>
        <w:gridCol w:w="329"/>
        <w:gridCol w:w="1293"/>
        <w:gridCol w:w="171"/>
        <w:gridCol w:w="557"/>
        <w:gridCol w:w="1950"/>
        <w:gridCol w:w="290"/>
        <w:gridCol w:w="297"/>
        <w:gridCol w:w="1168"/>
        <w:gridCol w:w="227"/>
      </w:tblGrid>
      <w:tr>
        <w:trPr/>
        <w:tc>
          <w:tcPr>
            <w:tcW w:w="10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8"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2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 </w:t>
              <w:br/>
              <w:t>life in years</w:t>
            </w:r>
          </w:p>
        </w:tc>
        <w:tc>
          <w:tcPr>
            <w:tcW w:w="1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27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 and other</w:t>
            </w:r>
          </w:p>
        </w:tc>
        <w:tc>
          <w:tcPr>
            <w:tcW w:w="16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2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Finite-lived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Trademarks and trade names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6-15</w:t>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5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Technology</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10-15</w:t>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(3,140)</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Intellectual property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15</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Customer relationships</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8-15</w:t>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69,175 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(47,283)</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Developed technology</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9</w:t>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7,004 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Finite-lived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(52,585)</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32,415 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Trade name</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5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5,712 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MC Goodwill</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63,988 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63,988 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Goodwill</w:t>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112,273 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112,273 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Indefinite-lived intangible assets:</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181,973 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181,973 </w:t>
            </w:r>
          </w:p>
        </w:tc>
        <w:tc>
          <w:tcPr>
            <w:tcW w:w="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changes in intangible assets, net and goodwill from December 31, 2024 to March 31, 2025, were as follows:</w:t>
      </w:r>
    </w:p>
    <w:tbl>
      <w:tblPr>
        <w:tblW w:w="8775" w:type="dxa"/>
        <w:jc w:val="left"/>
        <w:tblInd w:w="0" w:type="dxa"/>
        <w:tblLayout w:type="fixed"/>
        <w:tblCellMar>
          <w:top w:w="28" w:type="dxa"/>
          <w:left w:w="28" w:type="dxa"/>
          <w:bottom w:w="28" w:type="dxa"/>
          <w:right w:w="28" w:type="dxa"/>
        </w:tblCellMar>
      </w:tblPr>
      <w:tblGrid>
        <w:gridCol w:w="1062"/>
        <w:gridCol w:w="937"/>
        <w:gridCol w:w="940"/>
        <w:gridCol w:w="286"/>
        <w:gridCol w:w="1141"/>
        <w:gridCol w:w="147"/>
        <w:gridCol w:w="235"/>
        <w:gridCol w:w="453"/>
        <w:gridCol w:w="123"/>
        <w:gridCol w:w="253"/>
        <w:gridCol w:w="757"/>
        <w:gridCol w:w="131"/>
        <w:gridCol w:w="223"/>
        <w:gridCol w:w="667"/>
        <w:gridCol w:w="116"/>
        <w:gridCol w:w="228"/>
        <w:gridCol w:w="910"/>
        <w:gridCol w:w="166"/>
      </w:tblGrid>
      <w:tr>
        <w:trPr/>
        <w:tc>
          <w:tcPr>
            <w:tcW w:w="106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br/>
              <w:t>Changes</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Amortization</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w:t>
              <w:br/>
              <w:t>Translation</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Finite-lived intangible assets:</w:t>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Trademarks and trade names</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Technology</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2,680</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2,650</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Intellectual property</w:t>
            </w:r>
          </w:p>
        </w:tc>
        <w:tc>
          <w:tcPr>
            <w:tcW w:w="14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828</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807</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Customer relationships</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21,892</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(870)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21,095</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Developed technology</w:t>
            </w:r>
          </w:p>
        </w:tc>
        <w:tc>
          <w:tcPr>
            <w:tcW w:w="14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7,004</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(233)</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281</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7,052</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Finite-lived intangible assets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32,415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(1,269)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31,612</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Indefinite-lived intangible assets:</w:t>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Heimbach Trade name</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5,712</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5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239</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5,951</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MC Goodwill</w:t>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63,988</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1,885</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65,873</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AEC Goodwill</w:t>
            </w:r>
          </w:p>
        </w:tc>
        <w:tc>
          <w:tcPr>
            <w:tcW w:w="142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112,273</w:t>
            </w: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691</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112,964</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Indefinite-lived assets:</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181,973</w:t>
            </w:r>
            <w:r>
              <w:rPr>
                <w:color w:val="000000"/>
              </w:rPr>
              <w:t> </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2,815</w:t>
            </w: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184,788</w:t>
            </w:r>
            <w:r>
              <w:rPr>
                <w:color w:val="000000"/>
              </w:rPr>
              <w:t>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14. Financial Instruments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Debt principally consists of a revolving credit agreement and foreign bank debt assumed in the 2023 acquisition of Heimbach. The following table represents the Company's outstanding debt:</w:t>
      </w:r>
    </w:p>
    <w:tbl>
      <w:tblPr>
        <w:tblW w:w="10205" w:type="dxa"/>
        <w:jc w:val="left"/>
        <w:tblInd w:w="0" w:type="dxa"/>
        <w:tblLayout w:type="fixed"/>
        <w:tblCellMar>
          <w:top w:w="28" w:type="dxa"/>
          <w:left w:w="28" w:type="dxa"/>
          <w:bottom w:w="28" w:type="dxa"/>
          <w:right w:w="28" w:type="dxa"/>
        </w:tblCellMar>
      </w:tblPr>
      <w:tblGrid>
        <w:gridCol w:w="124"/>
        <w:gridCol w:w="1798"/>
        <w:gridCol w:w="1775"/>
        <w:gridCol w:w="1781"/>
        <w:gridCol w:w="393"/>
        <w:gridCol w:w="1569"/>
        <w:gridCol w:w="203"/>
        <w:gridCol w:w="453"/>
        <w:gridCol w:w="1775"/>
        <w:gridCol w:w="334"/>
      </w:tblGrid>
      <w:tr>
        <w:trPr/>
        <w:tc>
          <w:tcPr>
            <w:tcW w:w="124"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interest rates)</w:t>
            </w:r>
          </w:p>
        </w:tc>
        <w:tc>
          <w:tcPr>
            <w:tcW w:w="2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2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under the Amended Credit Agreement (1)</w:t>
            </w:r>
          </w:p>
        </w:tc>
        <w:tc>
          <w:tcPr>
            <w:tcW w:w="2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USD borrowings</w:t>
            </w:r>
          </w:p>
        </w:tc>
        <w:tc>
          <w:tcPr>
            <w:tcW w:w="39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6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319,000</w:t>
            </w: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225,000 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 borrowings</w:t>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97,390</w:t>
            </w: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93,485 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bank debt</w:t>
            </w:r>
          </w:p>
        </w:tc>
        <w:tc>
          <w:tcPr>
            <w:tcW w:w="196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w:t>
            </w: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bank debt</w:t>
            </w:r>
          </w:p>
        </w:tc>
        <w:tc>
          <w:tcPr>
            <w:tcW w:w="1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416,429</w:t>
            </w: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318,531 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maturities of long-term debt</w:t>
            </w:r>
          </w:p>
        </w:tc>
        <w:tc>
          <w:tcPr>
            <w:tcW w:w="1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3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416,429</w:t>
            </w:r>
            <w:r>
              <w:rPr>
                <w:color w:val="000000"/>
              </w:rPr>
              <w:t> </w:t>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318,531 </w:t>
            </w:r>
          </w:p>
        </w:tc>
        <w:tc>
          <w:tcPr>
            <w:tcW w:w="3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 xml:space="preserve">(1) The credit facility matures in August 2028. At the end of March 31, 2025 and December 31, 2024, the USD interest rate in effect was 5.79% and 5.77%, respectively, including the effect of interest rate swaps; at the end of March 31, 2025 and December 31, 2024, the EUR interest rate in effect was 3.83% and 4.09%, respectively, including the effect of interest rate swaps. </w:t>
            </w:r>
          </w:p>
        </w:tc>
      </w:tr>
    </w:tbl>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Amended Credit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On August 16, 2023, we entered into a $800 million unsecured committed Five-Year Revolving Credit Facility Agreement, amended on June 28, 2024 (collectively, the “Amended Credit Agreement”), which matures in August of 2028.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applicable interest rate for borrowings under the Amended Credit Agreement is based on both Term SOFR and EURIBOR plus a spread, which is based on our leverage ratio (as defined in the Amended Credit Agreement) at the time of a borrowing as follows:</w:t>
      </w:r>
    </w:p>
    <w:tbl>
      <w:tblPr>
        <w:tblW w:w="6913" w:type="dxa"/>
        <w:jc w:val="left"/>
        <w:tblInd w:w="0" w:type="dxa"/>
        <w:tblLayout w:type="fixed"/>
        <w:tblCellMar>
          <w:top w:w="28" w:type="dxa"/>
          <w:left w:w="28" w:type="dxa"/>
          <w:bottom w:w="28" w:type="dxa"/>
          <w:right w:w="28" w:type="dxa"/>
        </w:tblCellMar>
      </w:tblPr>
      <w:tblGrid>
        <w:gridCol w:w="868"/>
        <w:gridCol w:w="765"/>
        <w:gridCol w:w="767"/>
        <w:gridCol w:w="489"/>
        <w:gridCol w:w="489"/>
        <w:gridCol w:w="491"/>
        <w:gridCol w:w="354"/>
        <w:gridCol w:w="354"/>
        <w:gridCol w:w="356"/>
        <w:gridCol w:w="580"/>
        <w:gridCol w:w="580"/>
        <w:gridCol w:w="820"/>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Leverage Ratio</w:t>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Commitment Fee</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ABR Spread</w:t>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Benchmark/ Daily</w:t>
              <w:br/>
              <w:t>Simple SOFR Spread</w:t>
            </w:r>
          </w:p>
        </w:tc>
      </w:tr>
      <w:tr>
        <w:trPr/>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&lt;1.00:1.00</w:t>
            </w:r>
          </w:p>
        </w:tc>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0.275%</w:t>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0.500%</w:t>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1.500%</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val="false"/>
                <w:color w:val="000000"/>
                <w:sz w:val="18"/>
              </w:rPr>
              <w:t>1.00:1.00 and &lt; 2.00:1.00</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0.300%</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0.625%</w:t>
            </w:r>
          </w:p>
        </w:tc>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1.625%</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val="false"/>
                <w:color w:val="000000"/>
                <w:sz w:val="18"/>
              </w:rPr>
              <w:t>2.00:1.00 and &lt; 3.00:1.00</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0.325%</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0.750%</w:t>
            </w:r>
          </w:p>
        </w:tc>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1.750%</w:t>
            </w:r>
          </w:p>
        </w:tc>
      </w:tr>
      <w:tr>
        <w:trPr/>
        <w:tc>
          <w:tcPr>
            <w:tcW w:w="24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val="false"/>
                <w:color w:val="000000"/>
                <w:sz w:val="18"/>
              </w:rPr>
              <w:t>3.00:1.00</w:t>
            </w:r>
          </w:p>
        </w:tc>
        <w:tc>
          <w:tcPr>
            <w:tcW w:w="14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0.350%</w:t>
            </w:r>
          </w:p>
        </w:tc>
        <w:tc>
          <w:tcPr>
            <w:tcW w:w="1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1.000%</w:t>
            </w:r>
          </w:p>
        </w:tc>
        <w:tc>
          <w:tcPr>
            <w:tcW w:w="1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2.000%</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of March 31, 2025, the applicable interest rate for borrowings under the Amended Credit Agreement was based on one-month term SOFR and one-month EURIBOR plus the spread, which was 1.50%.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of March 31, 2025, there was $416.4 million of borrowings outstanding under the Amended Credit Agreement and we had borrowings available of $383.6 million, based on our maximum leverage ratio and our Consolidated EBITDA (as defined in the Amended Credit Agreement).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Under the Amended Credit Agreement, we are required to maintain a leverage ratio (as defined in the Credit Agreement) of not greater than 3.75 to 1.00, or 4.25 to 1.00 after a significant acquisition. We are also required to maintain a minimum interest coverage ratio (as defined in the Credit Agreement) of greater than 3.00 to 1.00. If our leverage ratio exceeds 3.50 to 1.00, we will be restricted in paying dividends to a maximum amount of $40 million in a calendar year.</w:t>
      </w:r>
    </w:p>
    <w:p>
      <w:pPr>
        <w:pStyle w:val="TextBody"/>
        <w:bidi w:val="0"/>
        <w:spacing w:lineRule="auto" w:line="288" w:before="120" w:after="283"/>
        <w:jc w:val="both"/>
        <w:rPr/>
      </w:pPr>
      <w:r>
        <w:rPr>
          <w:rFonts w:ascii="Arial;sans-serif" w:hAnsi="Arial;sans-serif"/>
          <w:b w:val="false"/>
          <w:color w:val="000000"/>
          <w:sz w:val="20"/>
        </w:rPr>
        <w:t>As of March 31, 2025, our leverage ratio was</w:t>
      </w:r>
      <w:r>
        <w:rPr>
          <w:color w:val="000000"/>
          <w:shd w:fill="FFFFFF" w:val="clear"/>
        </w:rPr>
        <w:t xml:space="preserve"> </w:t>
      </w:r>
      <w:r>
        <w:rPr>
          <w:rFonts w:ascii="Arial;sans-serif" w:hAnsi="Arial;sans-serif"/>
          <w:b w:val="false"/>
          <w:color w:val="000000"/>
          <w:sz w:val="20"/>
          <w:shd w:fill="FFFFFF" w:val="clear"/>
        </w:rPr>
        <w:t>1.35</w:t>
      </w:r>
      <w:r>
        <w:rPr>
          <w:color w:val="000000"/>
        </w:rPr>
        <w:t xml:space="preserve"> </w:t>
      </w:r>
      <w:r>
        <w:rPr>
          <w:rFonts w:ascii="Arial;sans-serif" w:hAnsi="Arial;sans-serif"/>
          <w:b w:val="false"/>
          <w:color w:val="000000"/>
          <w:sz w:val="20"/>
        </w:rPr>
        <w:t xml:space="preserve">to 1.00 and our interest coverage ratio was </w:t>
      </w:r>
      <w:r>
        <w:rPr>
          <w:rFonts w:ascii="Arial;sans-serif" w:hAnsi="Arial;sans-serif"/>
          <w:b w:val="false"/>
          <w:color w:val="000000"/>
          <w:sz w:val="20"/>
          <w:shd w:fill="FFFFFF" w:val="clear"/>
        </w:rPr>
        <w:t>13.39</w:t>
      </w:r>
      <w:r>
        <w:rPr>
          <w:color w:val="000000"/>
        </w:rPr>
        <w:t xml:space="preserve"> </w:t>
      </w:r>
      <w:r>
        <w:rPr>
          <w:rFonts w:ascii="Arial;sans-serif" w:hAnsi="Arial;sans-serif"/>
          <w:b w:val="false"/>
          <w:color w:val="000000"/>
          <w:sz w:val="20"/>
        </w:rPr>
        <w:t>to 1.00. As of March 31, 2025, we were in compliance with all applicable covenants. We anticipate continued compliance in each of the next four quarters while continuing to monitor future compliance based on current and future economic conditions.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borrowings are guaranteed by certain of the Company’s subsidiaries, including all significant U.S. subsidiaries (subject to certain exceptions), as defined in the Amended Credit Agreement. Our ability to borrow additional amounts under the Amended Credit Agreement is conditional upon the absence of any defaults, as well as the absence of any material adverse change (as defined in the Amended Credit Agreement).</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Interest Rate Swaps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From time to time, the Company enters into interest rate swap contracts to manage the interest rate risk associated with its outstanding variable-interest rate borrowings. Such contracts are intended to economically hedge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reference rate component of future interest payments associated with outstanding borrowings under the Company’s Amended Credit Agreement.</w:t>
      </w:r>
    </w:p>
    <w:p>
      <w:pPr>
        <w:pStyle w:val="TextBody"/>
        <w:bidi w:val="0"/>
        <w:spacing w:lineRule="auto" w:line="276" w:before="120" w:after="283"/>
        <w:jc w:val="both"/>
        <w:rPr>
          <w:rFonts w:ascii="Arial;sans-serif" w:hAnsi="Arial;sans-serif"/>
          <w:b w:val="false"/>
          <w:color w:val="000000"/>
          <w:sz w:val="20"/>
        </w:rPr>
      </w:pPr>
      <w:r>
        <w:rPr>
          <w:rFonts w:ascii="Arial;sans-serif" w:hAnsi="Arial;sans-serif"/>
          <w:b w:val="false"/>
          <w:color w:val="000000"/>
          <w:sz w:val="20"/>
        </w:rPr>
        <w:t>In November, 2024, we entered into two interest rate swap agreements: A USD interest rate swap agreement and a EUR interest rate swap agreement. The USD interest rate swap agreement covers the period November 15, 2024 through November 15, 2026. This transaction has the effect of fixing the SOFR portion of the interest rate (before the credit spread) on $125 million of the US indebtedness drawn under the Amended Credit Facility. Under the terms of this transaction, the Company pays a fixed rate of 3.987% and our counterparty pays a floating rate based on the one-month SOFR rate at each monthly calculation date. The EUR interest rate swap agreement covers the period November 14, 2024 through November 15, 2026. This transaction has the effect of fixing the EURIBOR portion of the interest rate (before the credit spread) on EUR 45 million of the EUR indebtedness drawn under the Amended Credit Facility. Under the terms of this transaction, the Company pays a fixed rate of 2.277% and our counterparty pays a floating rate based on the one-month EURIBOR rate at each monthly calculation date.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In 2021, we entered into interest rate swap agreements for the period of October 17, 2022 through October 27, 2024, to hedge $350 million of variable-interest rate indebtedness. </w:t>
      </w:r>
    </w:p>
    <w:p>
      <w:pPr>
        <w:pStyle w:val="TextBody"/>
        <w:bidi w:val="0"/>
        <w:spacing w:lineRule="auto" w:line="288" w:before="120" w:after="283"/>
        <w:jc w:val="both"/>
        <w:rPr/>
      </w:pPr>
      <w:r>
        <w:rPr>
          <w:rFonts w:ascii="Arial;sans-serif" w:hAnsi="Arial;sans-serif"/>
          <w:b w:val="false"/>
          <w:color w:val="000000"/>
          <w:sz w:val="20"/>
        </w:rPr>
        <w:t>These interest rate swaps are accounted for as a hedge of future cash flows, as further described in Note 15,</w:t>
      </w:r>
      <w:r>
        <w:rPr>
          <w:color w:val="000000"/>
        </w:rPr>
        <w:t xml:space="preserve"> </w:t>
      </w:r>
      <w:r>
        <w:rPr>
          <w:rFonts w:ascii="Arial;sans-serif" w:hAnsi="Arial;sans-serif"/>
          <w:b w:val="false"/>
          <w:i/>
          <w:color w:val="000000"/>
          <w:sz w:val="20"/>
        </w:rPr>
        <w:t>Fair-Value Measurements</w:t>
      </w:r>
      <w:r>
        <w:rPr>
          <w:rFonts w:ascii="Arial;sans-serif" w:hAnsi="Arial;sans-serif"/>
          <w:b w:val="false"/>
          <w:color w:val="000000"/>
          <w:sz w:val="20"/>
        </w:rPr>
        <w:t>. No cash collateral was received or pledged in relation to the swap agreements.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15. Fair-Value Measurements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that prioritizes the inputs used to measure fair value. This hierarchy requires the Company to maximize the use of observable inputs and minimize the use of unobservable inputs. The three levels of inputs used to measure fair value are as follows: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1 - Quoted prices in active markets for identical assets or liabilities.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Level 2 - Observable inputs other than quoted prices included in Level 1, such as quoted prices in markets that are not active or other inputs that are observable or can be corroborated by observable market data.</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Level 3 - Unobservable inputs that are supported by little or no market activity and are significant to the fair value of the assets or liabilities. This includes certain pricing models, discounted cash flow methodologies and similar techniques that use significant unobservable inputs.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had no Level 3 financial assets or liabilities at March 31, 2025 or at December 31, 2024, other than certain pension assets as indicated in our December 31, 2024 Annual Report on Form 10-K.</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presents the fair-value hierarchy for our Level 1 and Level 2 financial and non-financial assets and liabilities, which are measured at fair value on a recurring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3eea95731744f07a8f7a1aef4de9a6b_7">
        <w:r>
          <w:rPr>
            <w:rStyle w:val="InternetLink"/>
            <w:rFonts w:ascii="Book Antiqua;sans-serif" w:hAnsi="Book Antiqua;sans-serif"/>
            <w:b w:val="false"/>
            <w:i/>
            <w:color w:val="0000FF"/>
            <w:sz w:val="20"/>
            <w:u w:val="single"/>
          </w:rPr>
          <w:t>Index</w:t>
        </w:r>
      </w:hyperlink>
    </w:p>
    <w:tbl>
      <w:tblPr>
        <w:tblW w:w="9664" w:type="dxa"/>
        <w:jc w:val="left"/>
        <w:tblInd w:w="0" w:type="dxa"/>
        <w:tblLayout w:type="fixed"/>
        <w:tblCellMar>
          <w:top w:w="28" w:type="dxa"/>
          <w:left w:w="28" w:type="dxa"/>
          <w:bottom w:w="28" w:type="dxa"/>
          <w:right w:w="28" w:type="dxa"/>
        </w:tblCellMar>
      </w:tblPr>
      <w:tblGrid>
        <w:gridCol w:w="1697"/>
        <w:gridCol w:w="1496"/>
        <w:gridCol w:w="1501"/>
        <w:gridCol w:w="211"/>
        <w:gridCol w:w="631"/>
        <w:gridCol w:w="109"/>
        <w:gridCol w:w="109"/>
        <w:gridCol w:w="109"/>
        <w:gridCol w:w="109"/>
        <w:gridCol w:w="283"/>
        <w:gridCol w:w="545"/>
        <w:gridCol w:w="148"/>
        <w:gridCol w:w="109"/>
        <w:gridCol w:w="109"/>
        <w:gridCol w:w="109"/>
        <w:gridCol w:w="211"/>
        <w:gridCol w:w="721"/>
        <w:gridCol w:w="109"/>
        <w:gridCol w:w="109"/>
        <w:gridCol w:w="109"/>
        <w:gridCol w:w="109"/>
        <w:gridCol w:w="279"/>
        <w:gridCol w:w="537"/>
        <w:gridCol w:w="205"/>
      </w:tblGrid>
      <w:tr>
        <w:trPr/>
        <w:tc>
          <w:tcPr>
            <w:tcW w:w="1697"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Quoted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prices in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active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Significant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observable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Quoted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prices in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active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Significant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other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observable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inputs</w:t>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(Level 2)</w:t>
            </w:r>
          </w:p>
        </w:tc>
      </w:tr>
      <w:tr>
        <w:trPr/>
        <w:tc>
          <w:tcPr>
            <w:tcW w:w="4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Fair Value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Assets: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Foreign currency option contracts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Other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of unaffiliated foreign public company (a)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Other Non-Current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forward contracts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(662)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Arial;sans-serif" w:hAnsi="Arial;sans-serif"/>
          <w:b w:val="false"/>
          <w:color w:val="000000"/>
          <w:sz w:val="18"/>
        </w:rPr>
      </w:pPr>
      <w:r>
        <w:rPr>
          <w:rFonts w:ascii="Arial;sans-serif" w:hAnsi="Arial;sans-serif"/>
          <w:b w:val="false"/>
          <w:color w:val="000000"/>
          <w:sz w:val="18"/>
        </w:rPr>
        <w:t>(a)Original cost basis $0.5 million.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Cash equivalents include short-term securities that are considered to be highly liquid and easily tradable. These securities are valued using inputs observable in active markets for identical securities.</w:t>
      </w:r>
    </w:p>
    <w:p>
      <w:pPr>
        <w:pStyle w:val="TextBody"/>
        <w:bidi w:val="0"/>
        <w:spacing w:lineRule="auto" w:line="288" w:before="120" w:after="283"/>
        <w:jc w:val="both"/>
        <w:rPr/>
      </w:pPr>
      <w:r>
        <w:rPr>
          <w:rFonts w:ascii="Arial;sans-serif" w:hAnsi="Arial;sans-serif"/>
          <w:b w:val="false"/>
          <w:color w:val="000000"/>
          <w:sz w:val="20"/>
        </w:rPr>
        <w:t xml:space="preserve">The interest rate swaps are accounted for as hedges of future cash flows. The fair value of our interest rate swaps is derived from a discounted cash flow analysis based on the terms of the contract and the interest rate curve, and is included in Other assets and/or Other noncurrent liabilities in the Consolidated Balance Sheets. Unrealized gains and losses on the interest rate swaps flow through the caption Derivative valuation adjustment in the Shareholders’ equity section of the Consolidated Balance Sheets. as of March 31, 2025, these interest rate swaps were determined to be highly effective hedges of interest rate cashflow risk. Amounts accumulated in Other comprehensive income are reclassified as interest expense/(income), net when the related interest payments (that is, the hedged forecasted transactions), affect earnings. Interest expense/(income) related to payments under the active swap agreements totaled $(0.2) million for the three months ended March 31, 2025 and </w:t>
      </w:r>
      <w:r>
        <w:rPr>
          <w:rFonts w:ascii="Arial;sans-serif" w:hAnsi="Arial;sans-serif"/>
          <w:b w:val="false"/>
          <w:color w:val="000000"/>
          <w:sz w:val="20"/>
          <w:shd w:fill="FFFFFF" w:val="clear"/>
        </w:rPr>
        <w:t>$(4.0) million</w:t>
      </w:r>
      <w:r>
        <w:rPr>
          <w:color w:val="000000"/>
        </w:rPr>
        <w:t xml:space="preserve"> </w:t>
      </w:r>
      <w:r>
        <w:rPr>
          <w:rFonts w:ascii="Arial;sans-serif" w:hAnsi="Arial;sans-serif"/>
          <w:b w:val="false"/>
          <w:color w:val="000000"/>
          <w:sz w:val="20"/>
        </w:rPr>
        <w:t xml:space="preserve">for the three months ended March 31, 2024.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operate our business in many regions of the world, and currency rate movements can have a significant effect on operating results. From time to time, we enter into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Accrued liabilities, as applicable. Changes in fair value of these instruments are recorded as gains or losses within Other (income)/expense, net.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When exercised, the foreign currency instruments are net-settled with the same financial institution that bought or sold them. For all positions, whether options or forward contracts, there is a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(Gains)/losses related to changes in fair value of derivative instruments that were recognized in Other (income)/expense, net in the Consolidated Statements of Income were as follows: </w:t>
      </w:r>
    </w:p>
    <w:p>
      <w:pPr>
        <w:pStyle w:val="TextBody"/>
        <w:bidi w:val="0"/>
        <w:spacing w:before="120" w:after="283"/>
        <w:jc w:val="left"/>
        <w:rPr/>
      </w:pPr>
      <w:r>
        <w:rPr/>
      </w:r>
    </w:p>
    <w:tbl>
      <w:tblPr>
        <w:tblW w:w="7101" w:type="dxa"/>
        <w:jc w:val="left"/>
        <w:tblInd w:w="0" w:type="dxa"/>
        <w:tblLayout w:type="fixed"/>
        <w:tblCellMar>
          <w:top w:w="28" w:type="dxa"/>
          <w:left w:w="28" w:type="dxa"/>
          <w:bottom w:w="28" w:type="dxa"/>
          <w:right w:w="28" w:type="dxa"/>
        </w:tblCellMar>
      </w:tblPr>
      <w:tblGrid>
        <w:gridCol w:w="1551"/>
        <w:gridCol w:w="1368"/>
        <w:gridCol w:w="1371"/>
        <w:gridCol w:w="287"/>
        <w:gridCol w:w="941"/>
        <w:gridCol w:w="148"/>
        <w:gridCol w:w="287"/>
        <w:gridCol w:w="737"/>
        <w:gridCol w:w="148"/>
        <w:gridCol w:w="109"/>
        <w:gridCol w:w="154"/>
      </w:tblGrid>
      <w:tr>
        <w:trPr/>
        <w:tc>
          <w:tcPr>
            <w:tcW w:w="155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not designated as hedging instruments:</w:t>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options (gains)/losses</w:t>
            </w:r>
          </w:p>
        </w:tc>
        <w:tc>
          <w:tcPr>
            <w:tcW w:w="28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4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(2,526)</w:t>
            </w:r>
          </w:p>
        </w:tc>
        <w:tc>
          <w:tcPr>
            <w:tcW w:w="14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14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16. Commitments and Contingencies </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Asbestos Litigation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 We were defending 3,653 claims as of March 31, 2025.</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sets forth the number of claims filed, the number of claims settled, dismissed or otherwise resolved, and the aggregate settlement amount during the periods presented:</w:t>
      </w:r>
    </w:p>
    <w:tbl>
      <w:tblPr>
        <w:tblW w:w="8889" w:type="dxa"/>
        <w:jc w:val="left"/>
        <w:tblInd w:w="0" w:type="dxa"/>
        <w:tblLayout w:type="fixed"/>
        <w:tblCellMar>
          <w:top w:w="28" w:type="dxa"/>
          <w:left w:w="28" w:type="dxa"/>
          <w:bottom w:w="28" w:type="dxa"/>
          <w:right w:w="28" w:type="dxa"/>
        </w:tblCellMar>
      </w:tblPr>
      <w:tblGrid>
        <w:gridCol w:w="1267"/>
        <w:gridCol w:w="1112"/>
        <w:gridCol w:w="1115"/>
        <w:gridCol w:w="321"/>
        <w:gridCol w:w="314"/>
        <w:gridCol w:w="316"/>
        <w:gridCol w:w="324"/>
        <w:gridCol w:w="324"/>
        <w:gridCol w:w="326"/>
        <w:gridCol w:w="344"/>
        <w:gridCol w:w="344"/>
        <w:gridCol w:w="346"/>
        <w:gridCol w:w="321"/>
        <w:gridCol w:w="314"/>
        <w:gridCol w:w="316"/>
        <w:gridCol w:w="422"/>
        <w:gridCol w:w="753"/>
        <w:gridCol w:w="310"/>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number of claims)</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Opening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Number of</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Claims</w:t>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Claims</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Dismissed,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Settled, or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Resolved</w:t>
            </w:r>
          </w:p>
        </w:tc>
        <w:tc>
          <w:tcPr>
            <w:tcW w:w="10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New Claims</w:t>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Closing</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Number of</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Claims</w:t>
            </w:r>
          </w:p>
        </w:tc>
        <w:tc>
          <w:tcPr>
            <w:tcW w:w="14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Amounts Paid to</w:t>
              <w:br/>
              <w:t>Settle or</w:t>
              <w:br/>
              <w:t>Resolve</w:t>
            </w:r>
          </w:p>
        </w:tc>
      </w:tr>
      <w:tr>
        <w:trPr/>
        <w:tc>
          <w:tcPr>
            <w:tcW w:w="34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 the period ended December 31, 2024</w:t>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period ended March 31, 2025</w:t>
            </w:r>
          </w:p>
        </w:tc>
        <w:tc>
          <w:tcPr>
            <w:tcW w:w="63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3,646</w:t>
            </w:r>
            <w:r>
              <w:rPr>
                <w:color w:val="000000"/>
              </w:rPr>
              <w:t> </w:t>
            </w:r>
          </w:p>
        </w:tc>
        <w:tc>
          <w:tcPr>
            <w:tcW w:w="3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w:t>
            </w:r>
            <w:r>
              <w:rPr>
                <w:color w:val="000000"/>
              </w:rPr>
              <w:t> </w:t>
            </w:r>
          </w:p>
        </w:tc>
        <w:tc>
          <w:tcPr>
            <w:tcW w:w="32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w:t>
            </w:r>
            <w:r>
              <w:rPr>
                <w:color w:val="000000"/>
              </w:rPr>
              <w:t> </w:t>
            </w:r>
          </w:p>
        </w:tc>
        <w:tc>
          <w:tcPr>
            <w:tcW w:w="34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3,653</w:t>
            </w:r>
            <w:r>
              <w:rPr>
                <w:color w:val="000000"/>
              </w:rPr>
              <w:t> </w:t>
            </w:r>
          </w:p>
        </w:tc>
        <w:tc>
          <w:tcPr>
            <w:tcW w:w="3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w:t>
            </w:r>
            <w:r>
              <w:rPr>
                <w:color w:val="000000"/>
              </w:rPr>
              <w:t> </w:t>
            </w:r>
          </w:p>
        </w:tc>
        <w:tc>
          <w:tcPr>
            <w:tcW w:w="31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March 31, 2025, we had resolved, by means of settlement or dismissal, 38,062 claims at a total cost of $10.6 million. Of this amount, almost 100% was paid by our insurance carrier, who has confirmed that we have approximately $140 million of remaining coverage under primary and excess policies that should be available with respect to current and future asbestos claims.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Company’s subsidiary, Brandon Drying Fabrics, Inc. (“Brandon”), is also a separate defendant in many of the asbestos cases in which Albany is named as a defendant, despite never having manufactured any fabrics containing asbestos. While Brandon was defending against 7,675 claims as of March 31, 2025, only twelve claims have been filed against Brandon since January 1, 2012, and only $15,000 in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pStyle w:val="TextBody"/>
        <w:bidi w:val="0"/>
        <w:spacing w:before="120" w:after="283"/>
        <w:jc w:val="both"/>
        <w:rPr/>
      </w:pPr>
      <w:r>
        <w:rPr/>
      </w:r>
    </w:p>
    <w:p>
      <w:pPr>
        <w:pStyle w:val="TextBody"/>
        <w:bidi w:val="0"/>
        <w:spacing w:before="200" w:after="283"/>
        <w:jc w:val="both"/>
        <w:rPr/>
      </w:pPr>
      <w:r>
        <w:rPr/>
      </w:r>
    </w:p>
    <w:p>
      <w:pPr>
        <w:pStyle w:val="TextBody"/>
        <w:bidi w:val="0"/>
        <w:spacing w:before="200" w:after="283"/>
        <w:jc w:val="both"/>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17. Changes in Shareholders’ Equity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changes in Shareholders’ Equity for the period December 31, 2024 to March 31, 2025:</w:t>
      </w:r>
    </w:p>
    <w:tbl>
      <w:tblPr>
        <w:tblW w:w="10822" w:type="dxa"/>
        <w:jc w:val="left"/>
        <w:tblInd w:w="0" w:type="dxa"/>
        <w:tblLayout w:type="fixed"/>
        <w:tblCellMar>
          <w:top w:w="28" w:type="dxa"/>
          <w:left w:w="28" w:type="dxa"/>
          <w:bottom w:w="28" w:type="dxa"/>
          <w:right w:w="28" w:type="dxa"/>
        </w:tblCellMar>
      </w:tblPr>
      <w:tblGrid>
        <w:gridCol w:w="408"/>
        <w:gridCol w:w="232"/>
        <w:gridCol w:w="216"/>
        <w:gridCol w:w="248"/>
        <w:gridCol w:w="248"/>
        <w:gridCol w:w="161"/>
        <w:gridCol w:w="176"/>
        <w:gridCol w:w="286"/>
        <w:gridCol w:w="109"/>
        <w:gridCol w:w="109"/>
        <w:gridCol w:w="1501"/>
        <w:gridCol w:w="166"/>
        <w:gridCol w:w="556"/>
        <w:gridCol w:w="109"/>
        <w:gridCol w:w="229"/>
        <w:gridCol w:w="895"/>
        <w:gridCol w:w="152"/>
        <w:gridCol w:w="166"/>
        <w:gridCol w:w="541"/>
        <w:gridCol w:w="109"/>
        <w:gridCol w:w="248"/>
        <w:gridCol w:w="248"/>
        <w:gridCol w:w="161"/>
        <w:gridCol w:w="287"/>
        <w:gridCol w:w="935"/>
        <w:gridCol w:w="189"/>
        <w:gridCol w:w="294"/>
        <w:gridCol w:w="773"/>
        <w:gridCol w:w="194"/>
        <w:gridCol w:w="166"/>
        <w:gridCol w:w="556"/>
        <w:gridCol w:w="154"/>
      </w:tblGrid>
      <w:tr>
        <w:trPr/>
        <w:tc>
          <w:tcPr>
            <w:tcW w:w="40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Additional paid-in capital</w:t>
            </w:r>
          </w:p>
        </w:tc>
        <w:tc>
          <w:tcPr>
            <w:tcW w:w="8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Retained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earnings</w:t>
            </w:r>
          </w:p>
        </w:tc>
        <w:tc>
          <w:tcPr>
            <w:tcW w:w="12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Accumulated items of other comprehensive income</w:t>
            </w:r>
          </w:p>
        </w:tc>
        <w:tc>
          <w:tcPr>
            <w:tcW w:w="147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Treasury Stock</w:t>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Noncontrolling Interest</w:t>
            </w:r>
          </w:p>
        </w:tc>
        <w:tc>
          <w:tcPr>
            <w:tcW w:w="12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Total Shareholders' Equity</w:t>
            </w:r>
          </w:p>
        </w:tc>
        <w:tc>
          <w:tcPr>
            <w:tcW w:w="876" w:type="dxa"/>
            <w:gridSpan w:val="3"/>
            <w:tcBorders/>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2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December 31, 2024</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40,917</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452,933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1,065,763</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(195,989)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9,845</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(379,210)</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5,409</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948,947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17,355 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w:t>
            </w:r>
          </w:p>
        </w:tc>
        <w:tc>
          <w:tcPr>
            <w:tcW w:w="19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17,349 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Compensation and benefits paid or payable in shares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Purchase of Treasury shares (a)</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925 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(69,153)</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(69,153)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declared on Class A Common Stock, $0.27 per share</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(8,262)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(8,262)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paid to noncontrolling interests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(2,662)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(2,662)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Derivative valuation adjustment and other</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March 31, 2025</w:t>
            </w:r>
          </w:p>
        </w:tc>
        <w:tc>
          <w:tcPr>
            <w:tcW w:w="49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40,973</w:t>
            </w:r>
            <w:r>
              <w:rPr>
                <w:color w:val="000000"/>
              </w:rPr>
              <w:t> </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455,584</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8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1,074,863</w:t>
            </w:r>
            <w:r>
              <w:rPr>
                <w:color w:val="000000"/>
              </w:rPr>
              <w:t> </w:t>
            </w:r>
          </w:p>
        </w:tc>
        <w:tc>
          <w:tcPr>
            <w:tcW w:w="15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(182,150)</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10,770</w:t>
            </w:r>
            <w:r>
              <w:rPr>
                <w:color w:val="000000"/>
              </w:rPr>
              <w:t> </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(448,363)</w:t>
            </w:r>
          </w:p>
        </w:tc>
        <w:tc>
          <w:tcPr>
            <w:tcW w:w="1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7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5,193</w:t>
            </w:r>
            <w:r>
              <w:rPr>
                <w:color w:val="000000"/>
              </w:rPr>
              <w:t> </w:t>
            </w:r>
          </w:p>
        </w:tc>
        <w:tc>
          <w:tcPr>
            <w:tcW w:w="19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905,168</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20" w:after="283"/>
        <w:jc w:val="both"/>
        <w:rPr>
          <w:rFonts w:ascii="Arial;sans-serif" w:hAnsi="Arial;sans-serif"/>
          <w:b w:val="false"/>
          <w:color w:val="000000"/>
          <w:sz w:val="20"/>
        </w:rPr>
      </w:pPr>
      <w:r>
        <w:rPr>
          <w:rFonts w:ascii="Arial;sans-serif" w:hAnsi="Arial;sans-serif"/>
          <w:b w:val="false"/>
          <w:color w:val="000000"/>
          <w:sz w:val="20"/>
        </w:rPr>
        <w:t>The following table summarizes changes in Shareholders’ Equity for the period December 31, 2023 to March 31, 2024:</w:t>
      </w:r>
    </w:p>
    <w:tbl>
      <w:tblPr>
        <w:tblW w:w="10807" w:type="dxa"/>
        <w:jc w:val="left"/>
        <w:tblInd w:w="0" w:type="dxa"/>
        <w:tblLayout w:type="fixed"/>
        <w:tblCellMar>
          <w:top w:w="28" w:type="dxa"/>
          <w:left w:w="28" w:type="dxa"/>
          <w:bottom w:w="28" w:type="dxa"/>
          <w:right w:w="28" w:type="dxa"/>
        </w:tblCellMar>
      </w:tblPr>
      <w:tblGrid>
        <w:gridCol w:w="396"/>
        <w:gridCol w:w="229"/>
        <w:gridCol w:w="231"/>
        <w:gridCol w:w="248"/>
        <w:gridCol w:w="248"/>
        <w:gridCol w:w="161"/>
        <w:gridCol w:w="176"/>
        <w:gridCol w:w="286"/>
        <w:gridCol w:w="109"/>
        <w:gridCol w:w="109"/>
        <w:gridCol w:w="1501"/>
        <w:gridCol w:w="166"/>
        <w:gridCol w:w="556"/>
        <w:gridCol w:w="109"/>
        <w:gridCol w:w="308"/>
        <w:gridCol w:w="1200"/>
        <w:gridCol w:w="203"/>
        <w:gridCol w:w="166"/>
        <w:gridCol w:w="541"/>
        <w:gridCol w:w="109"/>
        <w:gridCol w:w="218"/>
        <w:gridCol w:w="218"/>
        <w:gridCol w:w="161"/>
        <w:gridCol w:w="287"/>
        <w:gridCol w:w="935"/>
        <w:gridCol w:w="189"/>
        <w:gridCol w:w="203"/>
        <w:gridCol w:w="534"/>
        <w:gridCol w:w="134"/>
        <w:gridCol w:w="166"/>
        <w:gridCol w:w="556"/>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Additional paid-in capital</w:t>
            </w:r>
          </w:p>
        </w:tc>
        <w:tc>
          <w:tcPr>
            <w:tcW w:w="8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Retained </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earnings</w:t>
            </w:r>
          </w:p>
        </w:tc>
        <w:tc>
          <w:tcPr>
            <w:tcW w:w="17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Accumulated items of other comprehensive income</w:t>
            </w:r>
          </w:p>
        </w:tc>
        <w:tc>
          <w:tcPr>
            <w:tcW w:w="1413"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Class A</w:t>
            </w:r>
          </w:p>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Treasury Stock</w:t>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Noncontrolling Interest</w:t>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2"/>
              </w:rPr>
            </w:pPr>
            <w:r>
              <w:rPr>
                <w:rFonts w:ascii="Arial;sans-serif" w:hAnsi="Arial;sans-serif"/>
                <w:b/>
                <w:color w:val="000000"/>
                <w:sz w:val="12"/>
              </w:rPr>
              <w:t>Total </w:t>
              <w:br/>
              <w:t>Shareholders' Equity</w:t>
            </w:r>
          </w:p>
        </w:tc>
        <w:tc>
          <w:tcPr>
            <w:tcW w:w="876" w:type="dxa"/>
            <w:gridSpan w:val="3"/>
            <w:tcBorders/>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2"/>
              </w:rPr>
            </w:pPr>
            <w:r>
              <w:rPr>
                <w:rFonts w:ascii="Arial;sans-serif" w:hAnsi="Arial;sans-serif"/>
                <w:b/>
                <w:color w:val="000000"/>
                <w:sz w:val="12"/>
              </w:rPr>
              <w:t>(in thousands)</w:t>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50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Shares</w:t>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2"/>
              </w:rPr>
            </w:pPr>
            <w:r>
              <w:rPr>
                <w:rFonts w:ascii="Arial;sans-serif" w:hAnsi="Arial;sans-serif"/>
                <w:b/>
                <w:color w:val="000000"/>
                <w:sz w:val="12"/>
              </w:rPr>
              <w:t>Amount</w:t>
            </w:r>
          </w:p>
        </w:tc>
      </w:tr>
      <w:tr>
        <w:trPr/>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December 31, 2023</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40,856</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448,218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1,010,942</w:t>
            </w: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(133,168)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9,662</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(364,665)</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5,952</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967,320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27,291 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27,369 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Compensation and benefits paid or payable in shares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declared on Class A Common Stock, $0.26 per share</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(8,122)</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translation adjustments</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(12,070)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Pension and postretirement liability adjustments</w:t>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Derivative valuation adjustment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March 31, 2024</w:t>
            </w:r>
          </w:p>
        </w:tc>
        <w:tc>
          <w:tcPr>
            <w:tcW w:w="49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40,898</w:t>
            </w:r>
            <w:r>
              <w:rPr>
                <w:color w:val="000000"/>
              </w:rPr>
              <w:t> </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41</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449,028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120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1,030,111</w:t>
            </w:r>
            <w:r>
              <w:rPr>
                <w:color w:val="000000"/>
              </w:rPr>
              <w:t> </w:t>
            </w:r>
          </w:p>
        </w:tc>
        <w:tc>
          <w:tcPr>
            <w:tcW w:w="20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(147,026)</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9,662</w:t>
            </w:r>
            <w:r>
              <w:rPr>
                <w:color w:val="000000"/>
              </w:rPr>
              <w:t> </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93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(364,665)</w:t>
            </w:r>
          </w:p>
        </w:tc>
        <w:tc>
          <w:tcPr>
            <w:tcW w:w="18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6,076</w:t>
            </w:r>
            <w:r>
              <w:rPr>
                <w:color w:val="000000"/>
              </w:rPr>
              <w:t> </w:t>
            </w:r>
          </w:p>
        </w:tc>
        <w:tc>
          <w:tcPr>
            <w:tcW w:w="1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973,565</w:t>
            </w:r>
            <w:r>
              <w:rPr>
                <w:color w:val="000000"/>
              </w:rPr>
              <w:t>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ind w:left="0" w:right="0" w:hanging="720"/>
        <w:jc w:val="both"/>
        <w:rPr>
          <w:rFonts w:ascii="Arial;sans-serif" w:hAnsi="Arial;sans-serif"/>
          <w:b w:val="false"/>
          <w:color w:val="000000"/>
          <w:sz w:val="18"/>
        </w:rPr>
      </w:pPr>
      <w:r>
        <w:rPr>
          <w:rFonts w:ascii="Arial;sans-serif" w:hAnsi="Arial;sans-serif"/>
          <w:b w:val="false"/>
          <w:color w:val="000000"/>
          <w:sz w:val="18"/>
        </w:rPr>
        <w:t>(a)In 2021, the Company's Board of Directors authorized the Company to repurchase shares of up to $200 million through open market purchases, privately negotiated transactions or otherwise, and to determine the prices, times and amounts. On February 21, 2025, the Company's Board of Directors authorized the Company to repurchase shares up to $250 million (excluding any fees, commissions, taxes or other expenses related to such purchases), which replaced the 2021 authorization. In 2025, the Company repurchased 925,443 shares totaling $69.2 million.</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i/>
          <w:color w:val="000000"/>
          <w:sz w:val="20"/>
        </w:rPr>
      </w:pPr>
      <w:r>
        <w:rPr>
          <w:rFonts w:ascii="Arial;sans-serif" w:hAnsi="Arial;sans-serif"/>
          <w:b/>
          <w:i/>
          <w:color w:val="000000"/>
          <w:sz w:val="20"/>
        </w:rPr>
        <w:t>18. Subsequent Events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evaluated subsequent events through the issuance date of these financial statements in Form 10-Q. No material subsequent events were identified that require disclosure.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"forecast," ”look for,” “will,” “should,” “guidance,” “guide”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There are a number of risks, uncertainties, and other important factors that could cause actual results to differ materially from the forward-looking statements, including, but not limited to: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Conditions in the industries in which our Machine Clothing and Albany Engineered Composites segments compete, along with the general risks associated with macroeconomic conditions, including higher interest rates, inflationary pressures, or the effects of another pandemic, for an extended period of time;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Some of the Company’s competitors in the Machine Clothing segment have the capability to make and sell paper machines and papermaking equipment as well as other engineered fabrics;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Machine Clothing and Albany Engineered Composites segments are subject to significant risks related to the potential manufacture and sale of defective or non-conforming products;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Deterioration of global economic conditions could have an adverse impact on the Company's segments and overall business and results of operations;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the Albany Engineered Composites segment, new and unique risks introduced by the U.S. Government's Department of Defense ("DoD") Cybersecurity Maturity Model Certification ("CMMC") program;</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Across the entire Company, increasing labor, raw material, energy, or logistics and costs due to supply chain constraints and inflationary pressures. These challenges have only increased as a result of the ongoing Russia-Ukraine war and the conflict in the Middle East;</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We may be unable to maintain effective systems of internal controls while consolidating dispersed corporate functions to our corporate headquarters in New Hampshire;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Our ability to attract and retain business and employees may depend on our reputation in the marketplace;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Across both segments, potential port strikes could cause additional disruptions to our supply chain;</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Harm caused by changes in our relationships or contracts with suppliers and customers;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the Machine Clothing segment, greater than anticipated declines in the demand for publication grades of paper, or lower than anticipated growth in other paper grades;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the Albany Engineered Composites segment, longer-than-expected timeframe for the aerospace industry to utilize existing inventories, unanticipated reductions in demand, delays, technical difficulties, and cancellations in aerospace programs that are expected to generate revenue and drive long-term growth;</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Inability of our Machine Clothing or Albany Engineered Composite segments to create additional production capacity in a timely manner or the occurrence of other manufacturing or supply difficulties (including as a result of geopolitical crises, natural disaster, public health crises and epidemics/pandemics, regulatory or otherwise);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Changes in geopolitical conditions impacting countries where the Company does or intends to do business, including the effects of the implementation of trade tariffs on imported goods;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Failure to achieve or maintain anticipated profitable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Company's insurance coverage may be inadequate to cover significant risk exposures;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Failure to achieve our strategic initiatives and other goals, including, but not limited to, our sustainability goals;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the Albany Engineered Composites segment, the estimates and expectations based on aircraft production rates provided by Airbus, Boeing and others;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the Albany Engineered Composites segment, risks and uncertainties associated with the successful implementation and ramp up of significant new programs, including the ability to manufacture the products to the detailed specifications required and recover start-up costs and other investments in the programs;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the Albany Engineered Composites segment, risks associated with changes in estimates and assumptions that could result in a decline in program gross margins or turn a profitable program into a loss program;</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Adverse impacts from inflation, an economic slowdown or recession and by disruption in capital and credit markets that might impede our access to credit, increase our borrowing costs and impair the financial soundness of our customers and suppliers;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Expectations regarding our ability to attract, motivate, and retain the workforce necessary to execute our business strategy and other goals;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Adverse impacts from fluctuations in foreign currency exchange rates;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Harm caused by customer purchase reductions, payment defaults or contract non-renewal;</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the Albany Engineered Composites segment, future funding and compliance risks associated with our contracts with government entities, OEM customers or prime contractors on contracts with government entities;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Costly and disruptive legal disputes and settlements and the Company's ability to provide adequate insurance coverage;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Increasing operational and compliance costs associated with increasing environmental, social and governance regulatory requirements, as well as the risk of noncompliance;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Future levels of indebtedness and capital expenditures;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Impairment of goodwill and other intangible assets;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Adverse impacts from changes in tax legislation or challenges to our tax positions;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Cybersecurity incidents or significant computer system compromises or data breaches to our information technology systems, processes, sites and cloud-based providers;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Disruptions or challenges arising from the implementation or upgrading of new information technology systems;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Significant changes in critical estimates and assumptions related to pension and other post-retirement benefit costs and liabilities;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Significant problems with information systems or networks;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Failure to adequately integrate acquired companies into our business systems and processes within the expected timeframe or, failure to or delayed realization of anticipated benefits of the acquisition could adversely impact the Company’s business, financial condition and results of operations;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Failure to adequately protect our proprietary technology or intellectual property, which would allow competitors or others to take advantage of our research and development efforts;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Impacts on our stock price and trading volume if securities or industry analysis do not publish research or publish inaccurate or unfavorable research about our business, or by future sales of shares by our existing stockholders and the impact of any changes in cash dividend payments;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The impact of shareholder activism on our operations, strategy, and overall performance;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Other risks and uncertainties detailed in this report and other periodic reports.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Further information concerning important factors that could cause actual events or results to be materially different from the forward-looking statements can be found in the “Business Environment Overview and Trends” sections of this quarterly report, as well as in the Item 1A-“Risk Factors” section of our most recent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pStyle w:val="TextBody"/>
        <w:bidi w:val="0"/>
        <w:spacing w:lineRule="auto" w:line="288" w:before="160" w:after="283"/>
        <w:jc w:val="both"/>
        <w:rPr>
          <w:rFonts w:ascii="Arial;sans-serif" w:hAnsi="Arial;sans-serif"/>
          <w:b/>
          <w:color w:val="000000"/>
          <w:sz w:val="20"/>
        </w:rPr>
      </w:pPr>
      <w:r>
        <w:rPr>
          <w:rFonts w:ascii="Arial;sans-serif" w:hAnsi="Arial;sans-serif"/>
          <w:b/>
          <w:color w:val="000000"/>
          <w:sz w:val="20"/>
        </w:rPr>
        <w:t xml:space="preserve">Business Environment Overview and Trends </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We conduct our business under two reportable segments: Machine Clothing (“MC”) and Albany Engineered Composites (“AEC”) each rooted in similar materials sciences know-how that forms a common approach to customer value proposition in design and manufacturability. MC competes on the basis of its deep industry knowledge, customer reputation and customer service and global advanced textile manufacturing capabilities, which has enabled it to develop a robust and market leading product offering that can be tailored to customer-specific requirements. AEC competes on the basis of its innovative technology solutions, extensive composite manufacturing capabilities and capacity that enable it to offer high quality specific part and assembly solutions that achieve its customers’ application performance requirements.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Machine Clothing Segment </w:t>
      </w:r>
    </w:p>
    <w:p>
      <w:pPr>
        <w:pStyle w:val="TextBody"/>
        <w:bidi w:val="0"/>
        <w:spacing w:before="0" w:after="0"/>
        <w:jc w:val="both"/>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MC segment expects revenues to continue to decline for publication grade paper into 2025 and beyond, however, we see an offsetting effect due to growth in demand across Europe for packaging, and to a lesser degree, tissue grade products and continued softness in Asia. The MC segment's backlog continues to be stable.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MC believes it is well-positioned in key markets, with high-quality, low-cost production in growth markets, substantially lower fixed costs in mature markets, and continued strength in new product development, technical product support, and manufacturing technology. Some of the markets in which MC's products are sold are expected to have volume trends that are in line with global GDP. MC continues to face pricing pressures in all markets. Despite these market pressures on revenue growth, the MC segment is expected to improve earnings in the future through cost controls and manufacturing productivity efficiencies.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Albany Engineered Composites Segment</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AEC segment continues to ramp-up production levels on commercial, defense, and space programs. In the first quarter of 2025, the Company updated its labor, material input and scrap assumptions and estimates of certain long-term programs that resulted in a negative cumulative change in estimated profitability in the amount of $7.0 million. The negative cumulative change in profitability was primarily driven by a few large complex programs, including $2.0 million for various CH-53K programs, $1.7 million on our Gulfstream program, $0.9 million on our F-35 program, and $2.4 million, net on all other programs.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br/>
        <w:t>Also, please refer to the Business Environment Overview and Trends in the Management's Discussion and Analysis of Financial Condition and Results of Operations in our Annual Report on Form 10-K for the year ended December 31, 2024. The Annual Report on Form 10-K, along with the Company's other filings, can be found on the Securities and Exchange Commission's website, www.sec.gov, as well as on the Company's website: www.albint.com.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Consolidated Results of Operations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Net Revenues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our Net revenues by business segment:</w:t>
      </w:r>
    </w:p>
    <w:tbl>
      <w:tblPr>
        <w:tblW w:w="7881" w:type="dxa"/>
        <w:jc w:val="left"/>
        <w:tblInd w:w="0" w:type="dxa"/>
        <w:tblLayout w:type="fixed"/>
        <w:tblCellMar>
          <w:top w:w="28" w:type="dxa"/>
          <w:left w:w="28" w:type="dxa"/>
          <w:bottom w:w="28" w:type="dxa"/>
          <w:right w:w="28" w:type="dxa"/>
        </w:tblCellMar>
      </w:tblPr>
      <w:tblGrid>
        <w:gridCol w:w="1059"/>
        <w:gridCol w:w="931"/>
        <w:gridCol w:w="934"/>
        <w:gridCol w:w="109"/>
        <w:gridCol w:w="201"/>
        <w:gridCol w:w="201"/>
        <w:gridCol w:w="390"/>
        <w:gridCol w:w="1555"/>
        <w:gridCol w:w="201"/>
        <w:gridCol w:w="211"/>
        <w:gridCol w:w="826"/>
        <w:gridCol w:w="109"/>
        <w:gridCol w:w="291"/>
        <w:gridCol w:w="294"/>
        <w:gridCol w:w="569"/>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2300" w:type="dxa"/>
            <w:gridSpan w:val="6"/>
            <w:tcBorders/>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174,697</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94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114,077</w:t>
            </w: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288,774</w:t>
            </w:r>
            <w:r>
              <w:rPr>
                <w:color w:val="000000"/>
              </w:rPr>
              <w:t> </w:t>
            </w:r>
          </w:p>
        </w:tc>
        <w:tc>
          <w:tcPr>
            <w:tcW w:w="2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313,330 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5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60" w:after="283"/>
        <w:jc w:val="both"/>
        <w:rPr>
          <w:rFonts w:ascii="Arial;sans-serif" w:hAnsi="Arial;sans-serif"/>
          <w:b w:val="false"/>
          <w:color w:val="000000"/>
          <w:sz w:val="20"/>
        </w:rPr>
      </w:pPr>
      <w:r>
        <w:rPr>
          <w:rFonts w:ascii="Arial;sans-serif" w:hAnsi="Arial;sans-serif"/>
          <w:b w:val="false"/>
          <w:color w:val="000000"/>
          <w:sz w:val="20"/>
        </w:rPr>
        <w:t>The following tables provide a comparison of 2025 Net revenues, excluding currency translation effects, to 2024 Net revenues:</w:t>
      </w:r>
    </w:p>
    <w:tbl>
      <w:tblPr>
        <w:tblW w:w="10205" w:type="dxa"/>
        <w:jc w:val="left"/>
        <w:tblInd w:w="0" w:type="dxa"/>
        <w:tblLayout w:type="fixed"/>
        <w:tblCellMar>
          <w:top w:w="28" w:type="dxa"/>
          <w:left w:w="28" w:type="dxa"/>
          <w:bottom w:w="28" w:type="dxa"/>
          <w:right w:w="28" w:type="dxa"/>
        </w:tblCellMar>
      </w:tblPr>
      <w:tblGrid>
        <w:gridCol w:w="529"/>
        <w:gridCol w:w="465"/>
        <w:gridCol w:w="466"/>
        <w:gridCol w:w="270"/>
        <w:gridCol w:w="1078"/>
        <w:gridCol w:w="139"/>
        <w:gridCol w:w="386"/>
        <w:gridCol w:w="1227"/>
        <w:gridCol w:w="199"/>
        <w:gridCol w:w="376"/>
        <w:gridCol w:w="1474"/>
        <w:gridCol w:w="194"/>
        <w:gridCol w:w="271"/>
        <w:gridCol w:w="1064"/>
        <w:gridCol w:w="140"/>
        <w:gridCol w:w="476"/>
        <w:gridCol w:w="369"/>
        <w:gridCol w:w="1082"/>
      </w:tblGrid>
      <w:tr>
        <w:trPr/>
        <w:tc>
          <w:tcPr>
            <w:tcW w:w="52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4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revenues as reported, Q1 2025</w:t>
            </w:r>
          </w:p>
        </w:tc>
        <w:tc>
          <w:tcPr>
            <w:tcW w:w="18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(Decrease)/ increase due to changes in currency translation rates</w:t>
            </w:r>
          </w:p>
        </w:tc>
        <w:tc>
          <w:tcPr>
            <w:tcW w:w="2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Q1 2025 revenues on same basis as Q1 2024 currency translation rates</w:t>
            </w:r>
          </w:p>
        </w:tc>
        <w:tc>
          <w:tcPr>
            <w:tcW w:w="14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revenues as reported, Q1 2024</w:t>
            </w:r>
          </w:p>
        </w:tc>
        <w:tc>
          <w:tcPr>
            <w:tcW w:w="19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 compared to Q1 2024, excluding currency rate effects</w:t>
            </w:r>
          </w:p>
        </w:tc>
      </w:tr>
      <w:tr>
        <w:trPr/>
        <w:tc>
          <w:tcPr>
            <w:tcW w:w="1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174,697</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(2,516)</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177,213 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185,217 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34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114,077</w:t>
            </w: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114,563 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128,113 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10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288,774</w:t>
            </w:r>
            <w:r>
              <w:rPr>
                <w:color w:val="000000"/>
              </w:rPr>
              <w:t> </w:t>
            </w:r>
          </w:p>
        </w:tc>
        <w:tc>
          <w:tcPr>
            <w:tcW w:w="1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(3,002)</w:t>
            </w:r>
          </w:p>
        </w:tc>
        <w:tc>
          <w:tcPr>
            <w:tcW w:w="1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291,776 </w:t>
            </w:r>
          </w:p>
        </w:tc>
        <w:tc>
          <w:tcPr>
            <w:tcW w:w="1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313,330 </w:t>
            </w:r>
          </w:p>
        </w:tc>
        <w:tc>
          <w:tcPr>
            <w:tcW w:w="1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0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Net revenues decreased 7.8% compared to the first quarter of 2024, driven by lower Net revenues in publication, tissue and pulp grades within MC and a decrease in Net revenues in AEC due to a reduction in certain commercial and space programs.</w:t>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 xml:space="preserve">MC's Net revenues decreased 5.7% compared to the first quarter of 2024 driven by lower revenues in publications, tissue and pulp grades. In addition, changes in currency translation rates had the effect of decreasing Net revenues $2.5 million.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AEC's Net revenues decreased 11.0% compared to the first quarter of 2024, primarily driven by demand reductions on certain commercial and space programs, which was partially offset by higher revenues on CH-53K and other programs. Changes in currency translation rates had the effect of decreasing Net revenues $0.5 million.</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Gross Profit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Gross profit by business segment:</w:t>
      </w:r>
    </w:p>
    <w:tbl>
      <w:tblPr>
        <w:tblW w:w="6934" w:type="dxa"/>
        <w:jc w:val="left"/>
        <w:tblInd w:w="0" w:type="dxa"/>
        <w:tblLayout w:type="fixed"/>
        <w:tblCellMar>
          <w:top w:w="28" w:type="dxa"/>
          <w:left w:w="28" w:type="dxa"/>
          <w:bottom w:w="28" w:type="dxa"/>
          <w:right w:w="28" w:type="dxa"/>
        </w:tblCellMar>
      </w:tblPr>
      <w:tblGrid>
        <w:gridCol w:w="1059"/>
        <w:gridCol w:w="931"/>
        <w:gridCol w:w="934"/>
        <w:gridCol w:w="109"/>
        <w:gridCol w:w="209"/>
        <w:gridCol w:w="405"/>
        <w:gridCol w:w="1414"/>
        <w:gridCol w:w="520"/>
        <w:gridCol w:w="211"/>
        <w:gridCol w:w="826"/>
        <w:gridCol w:w="31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353" w:type="dxa"/>
            <w:gridSpan w:val="3"/>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79,902</w:t>
            </w:r>
            <w:r>
              <w:rPr>
                <w:color w:val="000000"/>
              </w:rPr>
              <w:t>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84,655 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16,584</w:t>
            </w:r>
            <w:r>
              <w:rPr>
                <w:color w:val="000000"/>
              </w:rPr>
              <w:t>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96,486</w:t>
            </w:r>
            <w:r>
              <w:rPr>
                <w:color w:val="000000"/>
              </w:rPr>
              <w:t>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108,686 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9"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33.4</w:t>
            </w:r>
            <w:r>
              <w:rPr>
                <w:color w:val="000000"/>
              </w:rPr>
              <w:t> </w:t>
            </w:r>
          </w:p>
        </w:tc>
        <w:tc>
          <w:tcPr>
            <w:tcW w:w="5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3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The decrease in 2025 Gross profit, as compared to the same period last year, was driven by increased cost assumptions that adjusted the expected profitability of certain long-term contracts in the AEC segment. Gross profit as a percentage of revenues by segment was as follows: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 xml:space="preserve">MC's gross profit margin remained consistent with the prior year, yielding 45.7% in both 2024 and 2025.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AEC's gross profit margin decreased from 18.8% in 2024 to 14.5% in 2025, driven primarily by cumulative changes in the estimated profitability of long-term contracts, which decreased gross profit by $7.0 million in 2025, as compared to a decrease of $0.9 million during the same period last year.</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Selling, General, and Administrative ("SG&amp;A")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SG&amp;A expenses by business segment:</w:t>
      </w:r>
    </w:p>
    <w:tbl>
      <w:tblPr>
        <w:tblW w:w="6829" w:type="dxa"/>
        <w:jc w:val="left"/>
        <w:tblInd w:w="0" w:type="dxa"/>
        <w:tblLayout w:type="fixed"/>
        <w:tblCellMar>
          <w:top w:w="28" w:type="dxa"/>
          <w:left w:w="28" w:type="dxa"/>
          <w:bottom w:w="28" w:type="dxa"/>
          <w:right w:w="28" w:type="dxa"/>
        </w:tblCellMar>
      </w:tblPr>
      <w:tblGrid>
        <w:gridCol w:w="1059"/>
        <w:gridCol w:w="931"/>
        <w:gridCol w:w="934"/>
        <w:gridCol w:w="109"/>
        <w:gridCol w:w="209"/>
        <w:gridCol w:w="405"/>
        <w:gridCol w:w="1414"/>
        <w:gridCol w:w="520"/>
        <w:gridCol w:w="211"/>
        <w:gridCol w:w="721"/>
        <w:gridCol w:w="31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248" w:type="dxa"/>
            <w:gridSpan w:val="3"/>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32,881</w:t>
            </w:r>
            <w:r>
              <w:rPr>
                <w:color w:val="000000"/>
              </w:rPr>
              <w:t>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32,767 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10,126</w:t>
            </w:r>
            <w:r>
              <w:rPr>
                <w:color w:val="000000"/>
              </w:rPr>
              <w:t>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10,805</w:t>
            </w:r>
            <w:r>
              <w:rPr>
                <w:color w:val="000000"/>
              </w:rPr>
              <w:t>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4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53,812</w:t>
            </w:r>
            <w:r>
              <w:rPr>
                <w:color w:val="000000"/>
              </w:rPr>
              <w:t> </w:t>
            </w:r>
          </w:p>
        </w:tc>
        <w:tc>
          <w:tcPr>
            <w:tcW w:w="5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54,835 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18.6</w:t>
            </w:r>
            <w:r>
              <w:rPr>
                <w:color w:val="000000"/>
              </w:rPr>
              <w:t> </w:t>
            </w:r>
          </w:p>
        </w:tc>
        <w:tc>
          <w:tcPr>
            <w:tcW w:w="5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Consolidated SG&amp;A expenses decreased 1.9% as compared to the first quarter of 2024, however, as a percentage of Net revenues, SG&amp;A expenses increased from 17.5% in 2024 to 18.6% in 2025.</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MC SG&amp;A expenses increased $0.1 million as compared to the first quarter of 2024, with a $3.1 million increase due to changes in currency translation rates, offset by a $3.0 million decrease in travel, service, and personnel-related costs.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In AEC, SG&amp;A expenses decreased $1.4 million, compared to the first quarter of 2024 primarily driven by lower incentive compensation and personnel-related costs.</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Corporate SG&amp;A expenses increased $0.3 million, compared to the first quarter of 2024 principally due to higher incentive compensation and personnel-related costs, offset by a decrease in professional fees and smaller impact from changes in currency translation rates.</w:t>
      </w:r>
    </w:p>
    <w:p>
      <w:pPr>
        <w:pStyle w:val="TextBody"/>
        <w:bidi w:val="0"/>
        <w:spacing w:before="120" w:after="283"/>
        <w:jc w:val="both"/>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Technical and Research</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summarizes technical and research expenses by business segment:</w:t>
      </w:r>
    </w:p>
    <w:tbl>
      <w:tblPr>
        <w:tblW w:w="6829" w:type="dxa"/>
        <w:jc w:val="left"/>
        <w:tblInd w:w="0" w:type="dxa"/>
        <w:tblLayout w:type="fixed"/>
        <w:tblCellMar>
          <w:top w:w="28" w:type="dxa"/>
          <w:left w:w="28" w:type="dxa"/>
          <w:bottom w:w="28" w:type="dxa"/>
          <w:right w:w="28" w:type="dxa"/>
        </w:tblCellMar>
      </w:tblPr>
      <w:tblGrid>
        <w:gridCol w:w="1059"/>
        <w:gridCol w:w="931"/>
        <w:gridCol w:w="934"/>
        <w:gridCol w:w="109"/>
        <w:gridCol w:w="209"/>
        <w:gridCol w:w="405"/>
        <w:gridCol w:w="1414"/>
        <w:gridCol w:w="520"/>
        <w:gridCol w:w="211"/>
        <w:gridCol w:w="721"/>
        <w:gridCol w:w="31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248" w:type="dxa"/>
            <w:gridSpan w:val="3"/>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7,243</w:t>
            </w:r>
            <w:r>
              <w:rPr>
                <w:color w:val="000000"/>
              </w:rPr>
              <w:t>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3,674</w:t>
            </w:r>
            <w:r>
              <w:rPr>
                <w:color w:val="000000"/>
              </w:rPr>
              <w:t>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979</w:t>
            </w:r>
            <w:r>
              <w:rPr>
                <w:color w:val="000000"/>
              </w:rPr>
              <w:t>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4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11,896</w:t>
            </w:r>
            <w:r>
              <w:rPr>
                <w:color w:val="000000"/>
              </w:rPr>
              <w:t> </w:t>
            </w:r>
          </w:p>
        </w:tc>
        <w:tc>
          <w:tcPr>
            <w:tcW w:w="5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12,665 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w:t>
            </w:r>
            <w:r>
              <w:rPr>
                <w:color w:val="000000"/>
              </w:rPr>
              <w:t> </w:t>
            </w:r>
          </w:p>
        </w:tc>
        <w:tc>
          <w:tcPr>
            <w:tcW w:w="5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60" w:after="283"/>
        <w:jc w:val="both"/>
        <w:rPr/>
      </w:pPr>
      <w:r>
        <w:rPr/>
      </w:r>
    </w:p>
    <w:p>
      <w:pPr>
        <w:pStyle w:val="TextBody"/>
        <w:bidi w:val="0"/>
        <w:spacing w:lineRule="auto" w:line="288" w:before="60" w:after="283"/>
        <w:jc w:val="both"/>
        <w:rPr>
          <w:rFonts w:ascii="Arial;sans-serif" w:hAnsi="Arial;sans-serif"/>
          <w:b w:val="false"/>
          <w:color w:val="000000"/>
          <w:sz w:val="20"/>
        </w:rPr>
      </w:pPr>
      <w:r>
        <w:rPr>
          <w:rFonts w:ascii="Arial;sans-serif" w:hAnsi="Arial;sans-serif"/>
          <w:b w:val="false"/>
          <w:color w:val="000000"/>
          <w:sz w:val="20"/>
        </w:rPr>
        <w:t>Consolidated Technical and research expenses decreased 6.1% as compared to the first quarter of 2024 and as a percentage of Net revenues increased from 4.0% in 2024 to 4.1% in 2025.</w:t>
      </w:r>
    </w:p>
    <w:p>
      <w:pPr>
        <w:pStyle w:val="TextBody"/>
        <w:bidi w:val="0"/>
        <w:spacing w:lineRule="auto" w:line="288" w:before="60" w:after="283"/>
        <w:ind w:left="0" w:right="0" w:hanging="360"/>
        <w:jc w:val="both"/>
        <w:rPr/>
      </w:pPr>
      <w:r>
        <w:rPr>
          <w:color w:val="000000"/>
        </w:rPr>
        <w:t>•</w:t>
      </w:r>
      <w:r>
        <w:rPr>
          <w:rFonts w:ascii="Arial;sans-serif" w:hAnsi="Arial;sans-serif"/>
          <w:b w:val="false"/>
          <w:color w:val="000000"/>
          <w:sz w:val="20"/>
        </w:rPr>
        <w:t xml:space="preserve">MC Technical and research expenses decreased $0.3 million as compared to the first quarter of 2024 due to lower personnel and development related costs, in addition to increased allocated costs to Corporate. </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AEC Technical and research expenses decreased $1.5 million as compared to the first quarter of 2024, due to decreases in research material and labor costs, in addition to increased allocated costs to Corporate.</w:t>
      </w:r>
    </w:p>
    <w:p>
      <w:pPr>
        <w:pStyle w:val="TextBody"/>
        <w:bidi w:val="0"/>
        <w:spacing w:lineRule="auto" w:line="288" w:before="120" w:after="283"/>
        <w:ind w:left="0" w:right="0" w:hanging="360"/>
        <w:jc w:val="both"/>
        <w:rPr/>
      </w:pPr>
      <w:r>
        <w:rPr>
          <w:color w:val="000000"/>
        </w:rPr>
        <w:t>•</w:t>
      </w:r>
      <w:r>
        <w:rPr>
          <w:rFonts w:ascii="Arial;sans-serif" w:hAnsi="Arial;sans-serif"/>
          <w:b w:val="false"/>
          <w:color w:val="000000"/>
          <w:sz w:val="20"/>
        </w:rPr>
        <w:t>Corporate expenses in the first quarter of 2025 relate primarily to new business ventures initiatives and allocated costs from MC and AEC in 2025.</w:t>
      </w:r>
    </w:p>
    <w:p>
      <w:pPr>
        <w:pStyle w:val="TextBody"/>
        <w:bidi w:val="0"/>
        <w:spacing w:before="120" w:after="283"/>
        <w:jc w:val="both"/>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Restructuring Expense, net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addition to the items discussed above affecting Gross profit, SG&amp;A and Technical and research expenses, Operating income was affected by Restructuring expense, net, of $2.5 million in the three months ended March 31, 2025, compared to $2.2 million in the first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summarizes Restructuring expenses, net by business segment:</w:t>
      </w:r>
    </w:p>
    <w:tbl>
      <w:tblPr>
        <w:tblW w:w="6563" w:type="dxa"/>
        <w:jc w:val="left"/>
        <w:tblInd w:w="0" w:type="dxa"/>
        <w:tblLayout w:type="fixed"/>
        <w:tblCellMar>
          <w:top w:w="28" w:type="dxa"/>
          <w:left w:w="28" w:type="dxa"/>
          <w:bottom w:w="28" w:type="dxa"/>
          <w:right w:w="28" w:type="dxa"/>
        </w:tblCellMar>
      </w:tblPr>
      <w:tblGrid>
        <w:gridCol w:w="1059"/>
        <w:gridCol w:w="931"/>
        <w:gridCol w:w="934"/>
        <w:gridCol w:w="109"/>
        <w:gridCol w:w="262"/>
        <w:gridCol w:w="507"/>
        <w:gridCol w:w="1518"/>
        <w:gridCol w:w="262"/>
        <w:gridCol w:w="211"/>
        <w:gridCol w:w="61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981" w:type="dxa"/>
            <w:gridSpan w:val="3"/>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1,347</w:t>
            </w:r>
            <w:r>
              <w:rPr>
                <w:color w:val="000000"/>
              </w:rPr>
              <w:t>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2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1,168</w:t>
            </w:r>
            <w:r>
              <w:rPr>
                <w:color w:val="000000"/>
              </w:rPr>
              <w:t>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total</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2,515</w:t>
            </w:r>
            <w:r>
              <w:rPr>
                <w:color w:val="000000"/>
              </w:rPr>
              <w:t> </w:t>
            </w:r>
          </w:p>
        </w:tc>
        <w:tc>
          <w:tcPr>
            <w:tcW w:w="26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2,209 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At MC, restructuring actions were taken in 2024 and 2025 to cease operations at several facilities, including at the Company's MC forming fabric manufacturing facility in Chungju, South Korea, at the Company's Heimbach engineered fabric manufacturing facility in Rochdale, UK, at the Company's Heimbach paper machine clothing facility in Olten, Switzerland and at the Company's MC manufacturing facility in Ballo, Italy. These actions drove $3.3 million of restructuring charges during the first three months of 2025, of which $3.1 million in restructuring expenses related to workforce reductions, fixed asset impairments and related costs, as well as related charges of $0.2 million in Cost of goods sold for the write-off of inventory, offset by a $1.8 million pension curtailment gain. We expect to incur additional restructuring expenses related to these actions throughout the remainder of the year.</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At AEC, restructuring activities were related to reorganizational costs as well as a reduction in the workforce within AEC, which resulted in restructuring expenses of $1.2 million and $2.2 million for the first three months of 2025 and 2024, respectively.</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Operating Income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following table summarizes operating income/(loss) by business segment:</w:t>
      </w:r>
    </w:p>
    <w:tbl>
      <w:tblPr>
        <w:tblW w:w="6829" w:type="dxa"/>
        <w:jc w:val="left"/>
        <w:tblInd w:w="0" w:type="dxa"/>
        <w:tblLayout w:type="fixed"/>
        <w:tblCellMar>
          <w:top w:w="28" w:type="dxa"/>
          <w:left w:w="28" w:type="dxa"/>
          <w:bottom w:w="28" w:type="dxa"/>
          <w:right w:w="28" w:type="dxa"/>
        </w:tblCellMar>
      </w:tblPr>
      <w:tblGrid>
        <w:gridCol w:w="1059"/>
        <w:gridCol w:w="931"/>
        <w:gridCol w:w="934"/>
        <w:gridCol w:w="109"/>
        <w:gridCol w:w="209"/>
        <w:gridCol w:w="405"/>
        <w:gridCol w:w="1414"/>
        <w:gridCol w:w="520"/>
        <w:gridCol w:w="211"/>
        <w:gridCol w:w="721"/>
        <w:gridCol w:w="31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8" w:type="dxa"/>
            <w:gridSpan w:val="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248" w:type="dxa"/>
            <w:gridSpan w:val="3"/>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 Clothing</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38,431</w:t>
            </w:r>
            <w:r>
              <w:rPr>
                <w:color w:val="000000"/>
              </w:rPr>
              <w:t>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44,347 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Albany Engineered Composites</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1,616</w:t>
            </w:r>
            <w:r>
              <w:rPr>
                <w:color w:val="000000"/>
              </w:rPr>
              <w:t>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(11,784)</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4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28,263</w:t>
            </w:r>
            <w:r>
              <w:rPr>
                <w:color w:val="000000"/>
              </w:rPr>
              <w:t> </w:t>
            </w:r>
          </w:p>
        </w:tc>
        <w:tc>
          <w:tcPr>
            <w:tcW w:w="5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38,977 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w:t>
            </w:r>
            <w:r>
              <w:rPr>
                <w:color w:val="000000"/>
              </w:rPr>
              <w:t>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Changes in operating income were primarily attributable to the drivers noted above.</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Other Earnings Items</w:t>
      </w:r>
    </w:p>
    <w:tbl>
      <w:tblPr>
        <w:tblW w:w="8498" w:type="dxa"/>
        <w:jc w:val="left"/>
        <w:tblInd w:w="0" w:type="dxa"/>
        <w:tblLayout w:type="fixed"/>
        <w:tblCellMar>
          <w:top w:w="28" w:type="dxa"/>
          <w:left w:w="28" w:type="dxa"/>
          <w:bottom w:w="28" w:type="dxa"/>
          <w:right w:w="28" w:type="dxa"/>
        </w:tblCellMar>
      </w:tblPr>
      <w:tblGrid>
        <w:gridCol w:w="1757"/>
        <w:gridCol w:w="1550"/>
        <w:gridCol w:w="1552"/>
        <w:gridCol w:w="109"/>
        <w:gridCol w:w="262"/>
        <w:gridCol w:w="507"/>
        <w:gridCol w:w="1518"/>
        <w:gridCol w:w="262"/>
        <w:gridCol w:w="211"/>
        <w:gridCol w:w="616"/>
        <w:gridCol w:w="154"/>
      </w:tblGrid>
      <w:tr>
        <w:trPr/>
        <w:tc>
          <w:tcPr>
            <w:tcW w:w="1757"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981" w:type="dxa"/>
            <w:gridSpan w:val="3"/>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4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3,655</w:t>
            </w:r>
            <w:r>
              <w:rPr>
                <w:color w:val="000000"/>
              </w:rPr>
              <w:t>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8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983</w:t>
            </w: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6,276</w:t>
            </w: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(loss)/income attributable to the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2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w:t>
            </w:r>
          </w:p>
        </w:tc>
        <w:tc>
          <w:tcPr>
            <w:tcW w:w="2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Interest Expense/(Income), net</w:t>
      </w:r>
    </w:p>
    <w:p>
      <w:pPr>
        <w:pStyle w:val="TextBody"/>
        <w:bidi w:val="0"/>
        <w:spacing w:lineRule="auto" w:line="288" w:before="120" w:after="283"/>
        <w:jc w:val="both"/>
        <w:rPr/>
      </w:pPr>
      <w:r>
        <w:rPr>
          <w:rFonts w:ascii="Arial;sans-serif" w:hAnsi="Arial;sans-serif"/>
          <w:b w:val="false"/>
          <w:color w:val="000000"/>
          <w:sz w:val="20"/>
        </w:rPr>
        <w:t xml:space="preserve">Interest expense, net, increased over the prior year primarily due to higher average debt balances, in part offset by a larger amount of interest income earned on cash equivalents during the current year. See </w:t>
      </w:r>
      <w:r>
        <w:rPr>
          <w:rFonts w:ascii="Arial;sans-serif" w:hAnsi="Arial;sans-serif"/>
          <w:b w:val="false"/>
          <w:i/>
          <w:color w:val="000000"/>
          <w:sz w:val="20"/>
        </w:rPr>
        <w:t>Note 14. Financial Instruments</w:t>
      </w:r>
      <w:r>
        <w:rPr>
          <w:color w:val="000000"/>
        </w:rPr>
        <w:t xml:space="preserve"> </w:t>
      </w:r>
      <w:r>
        <w:rPr>
          <w:rFonts w:ascii="Arial;sans-serif" w:hAnsi="Arial;sans-serif"/>
          <w:b w:val="false"/>
          <w:color w:val="000000"/>
          <w:sz w:val="20"/>
        </w:rPr>
        <w:t>in the Notes to Consolidated Financial Statements for further discussion of borrowings and interest rates.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Other (Income)/Expense, net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Other (income)/expense, net, included foreign currency related transactions, which resulted in losses of $3.2 million in the three months ended March 31, 2025, as compared to losses of $1.3 million in the same period last year. In addition, changes in the fair value of derivative instruments included gains of $2.5 million in the three months ended March 31, 2025, as compared to gains of $0.1 million in the same period last year, driven by currency rate movements, most notably the Brazilian Real and Mexican Peso.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Effective Income Tax Rate</w:t>
      </w:r>
    </w:p>
    <w:tbl>
      <w:tblPr>
        <w:tblW w:w="5121" w:type="dxa"/>
        <w:jc w:val="left"/>
        <w:tblInd w:w="0" w:type="dxa"/>
        <w:tblLayout w:type="fixed"/>
        <w:tblCellMar>
          <w:top w:w="28" w:type="dxa"/>
          <w:left w:w="28" w:type="dxa"/>
          <w:bottom w:w="28" w:type="dxa"/>
          <w:right w:w="28" w:type="dxa"/>
        </w:tblCellMar>
      </w:tblPr>
      <w:tblGrid>
        <w:gridCol w:w="836"/>
        <w:gridCol w:w="736"/>
        <w:gridCol w:w="738"/>
        <w:gridCol w:w="284"/>
        <w:gridCol w:w="284"/>
        <w:gridCol w:w="706"/>
        <w:gridCol w:w="284"/>
        <w:gridCol w:w="284"/>
        <w:gridCol w:w="706"/>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income tax rate</w:t>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26.6</w:t>
            </w:r>
            <w:r>
              <w:rPr>
                <w:color w:val="000000"/>
              </w:rPr>
              <w:t>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has operations that constitute a taxable presence in 22 countries outside of the United States. The majority of these countries had income tax rates that were above the United States federal tax rate of 21 percent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pStyle w:val="TextBody"/>
        <w:bidi w:val="0"/>
        <w:spacing w:lineRule="auto" w:line="288" w:before="120" w:after="283"/>
        <w:jc w:val="both"/>
        <w:rPr/>
      </w:pPr>
      <w:r>
        <w:rPr>
          <w:rFonts w:ascii="Arial;sans-serif" w:hAnsi="Arial;sans-serif"/>
          <w:b w:val="false"/>
          <w:color w:val="000000"/>
          <w:sz w:val="20"/>
        </w:rPr>
        <w:t>The tax rate is affected by recurring items, such as the income tax rate in the U.S. and non-U.S. jurisdictions and the mix of pre-tax income earned in those jurisdictions. The tax rate is also affected by U.S. tax costs on foreign pre-tax earnings, and by discrete items that may occur in any given year but are not consistent from year to year. The Company’s effective tax rate for the first quarter of 2025 was 26.6%, lower compared to 29.2% for the same period in 2024, mainly due to favorable discrete tax adjustments in the current period exceeding favorable discrete tax adjustments in the prior period. For more information, see Note 6</w:t>
      </w:r>
      <w:r>
        <w:rPr>
          <w:rFonts w:ascii="Arial;sans-serif" w:hAnsi="Arial;sans-serif"/>
          <w:b w:val="false"/>
          <w:i/>
          <w:color w:val="000000"/>
          <w:sz w:val="20"/>
        </w:rPr>
        <w:t>, Income Taxes,</w:t>
      </w:r>
      <w:r>
        <w:rPr>
          <w:color w:val="000000"/>
        </w:rPr>
        <w:t xml:space="preserve"> </w:t>
      </w:r>
      <w:r>
        <w:rPr>
          <w:rFonts w:ascii="Arial;sans-serif" w:hAnsi="Arial;sans-serif"/>
          <w:b w:val="false"/>
          <w:color w:val="000000"/>
          <w:sz w:val="20"/>
        </w:rPr>
        <w:t>in the Notes to the Consolidated Financial Statements.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Organization for Economic Co-operation and Development has issued Pillar Two model rules introducing a new global minimum tax of 15 percent intended to be effective on January 1, 2024. While the U.S. has not yet adopted the Pillar Two rules, various other governments around the world are enacting legislation. As currently designed, Pillar Two will ultimately apply to our worldwide operations. Although we do not expect these rules to materially increase our global tax costs in 2025, there remains uncertainty as to the final Pillar Two model rules. We will continue to monitor U.S. and global legislative action related to Pillar Two for potential impacts.</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Segment Results of Operations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Machine Clothing Segment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MC segment accounted for 60% of our consolidated revenues during the three months ended March 31, 2025. A summary of selected financial results for MC is as follows: </w:t>
      </w:r>
    </w:p>
    <w:p>
      <w:pPr>
        <w:pStyle w:val="TextBody"/>
        <w:bidi w:val="0"/>
        <w:spacing w:lineRule="auto" w:line="288" w:before="140" w:after="283"/>
        <w:jc w:val="both"/>
        <w:rPr>
          <w:rFonts w:ascii="Arial;sans-serif" w:hAnsi="Arial;sans-serif"/>
          <w:b/>
          <w:color w:val="000000"/>
          <w:sz w:val="20"/>
        </w:rPr>
      </w:pPr>
      <w:r>
        <w:rPr>
          <w:rFonts w:ascii="Arial;sans-serif" w:hAnsi="Arial;sans-serif"/>
          <w:b/>
          <w:color w:val="000000"/>
          <w:sz w:val="20"/>
        </w:rPr>
        <w:t>Review of Operations</w:t>
      </w:r>
    </w:p>
    <w:tbl>
      <w:tblPr>
        <w:tblW w:w="6935" w:type="dxa"/>
        <w:jc w:val="left"/>
        <w:tblInd w:w="0" w:type="dxa"/>
        <w:tblLayout w:type="fixed"/>
        <w:tblCellMar>
          <w:top w:w="28" w:type="dxa"/>
          <w:left w:w="28" w:type="dxa"/>
          <w:bottom w:w="28" w:type="dxa"/>
          <w:right w:w="28" w:type="dxa"/>
        </w:tblCellMar>
      </w:tblPr>
      <w:tblGrid>
        <w:gridCol w:w="1059"/>
        <w:gridCol w:w="931"/>
        <w:gridCol w:w="934"/>
        <w:gridCol w:w="109"/>
        <w:gridCol w:w="194"/>
        <w:gridCol w:w="375"/>
        <w:gridCol w:w="1498"/>
        <w:gridCol w:w="482"/>
        <w:gridCol w:w="211"/>
        <w:gridCol w:w="826"/>
        <w:gridCol w:w="31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353" w:type="dxa"/>
            <w:gridSpan w:val="3"/>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174,697</w:t>
            </w:r>
            <w:r>
              <w:rPr>
                <w:color w:val="000000"/>
              </w:rPr>
              <w:t>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185,217 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79,902</w:t>
            </w: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84,655 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45.7</w:t>
            </w: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SG&amp;A expenses</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32,881</w:t>
            </w: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32,767 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7,243</w:t>
            </w: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7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38,431</w:t>
            </w:r>
            <w:r>
              <w:rPr>
                <w:color w:val="000000"/>
              </w:rPr>
              <w:t> </w:t>
            </w:r>
          </w:p>
        </w:tc>
        <w:tc>
          <w:tcPr>
            <w:tcW w:w="48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44,347 </w:t>
            </w:r>
          </w:p>
        </w:tc>
        <w:tc>
          <w:tcPr>
            <w:tcW w:w="3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Net Revenues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three months ended March 31, 2025, Net revenues decreased $10.5 million or 5.7% as compared to the the first quarter of 2024, driven by a decrease in publication, tissue and pulp grades. In addition, changes in currency translation rates had the effect of decreasing Net revenues $2.5 million.</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Gross Profit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three months ended March 31, 2025, Gross profit decreased by $4.8 million, however the gross profit margin was unchanged at 45.7% for the first quarter of both 2024 and 2025.</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Operating Income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three months ended March 31, 2025, Operating income decreased as compared to the first three months of 2024, decreasing $5.9 million or 13.3%. The weaker Gross profit performance was slightly offset by lower Technical and Research expenses. SG&amp;A expenses increased $0.1 million as compared to 2024, with a $3.1 million increase due to changes in currency translation rates, offset by a $3.0 million decrease in travel, service, and personnel-related costs. Technical and research expenses decreased $0.3 million as compared to 2024 due to lower personnel and development costs, along with an increase in allocated costs to Corporate. In addition, Restructuring expenses increased $1.3 million related to recent announcements to cease operations at multiple manufacturing facilities, further reducing Operating income.</w:t>
      </w:r>
    </w:p>
    <w:p>
      <w:pPr>
        <w:pStyle w:val="TextBody"/>
        <w:bidi w:val="0"/>
        <w:spacing w:before="120" w:after="283"/>
        <w:jc w:val="both"/>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Albany Engineered Composites ("AEC") Segment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AEC segment accounted for 40% of our consolidated revenues during the three months ended March 31, 2025, respectively. A summary of selected financial results for AEC is as follows: </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Review of Operations</w:t>
      </w:r>
    </w:p>
    <w:tbl>
      <w:tblPr>
        <w:tblW w:w="6935" w:type="dxa"/>
        <w:jc w:val="left"/>
        <w:tblInd w:w="0" w:type="dxa"/>
        <w:tblLayout w:type="fixed"/>
        <w:tblCellMar>
          <w:top w:w="28" w:type="dxa"/>
          <w:left w:w="28" w:type="dxa"/>
          <w:bottom w:w="28" w:type="dxa"/>
          <w:right w:w="28" w:type="dxa"/>
        </w:tblCellMar>
      </w:tblPr>
      <w:tblGrid>
        <w:gridCol w:w="1059"/>
        <w:gridCol w:w="931"/>
        <w:gridCol w:w="934"/>
        <w:gridCol w:w="109"/>
        <w:gridCol w:w="194"/>
        <w:gridCol w:w="375"/>
        <w:gridCol w:w="1498"/>
        <w:gridCol w:w="482"/>
        <w:gridCol w:w="211"/>
        <w:gridCol w:w="826"/>
        <w:gridCol w:w="316"/>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9" w:type="dxa"/>
            <w:gridSpan w:val="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353" w:type="dxa"/>
            <w:gridSpan w:val="3"/>
            <w:tcBorders/>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114,077</w:t>
            </w:r>
            <w:r>
              <w:rPr>
                <w:color w:val="000000"/>
              </w:rPr>
              <w:t>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128,113 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16,584</w:t>
            </w: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of Net revenues</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14.5</w:t>
            </w: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SG&amp;A expenses</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7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10,126</w:t>
            </w:r>
            <w:r>
              <w:rPr>
                <w:color w:val="000000"/>
              </w:rPr>
              <w:t>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Technical and research expenses</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3,674</w:t>
            </w:r>
            <w:r>
              <w:rPr>
                <w:color w:val="000000"/>
              </w:rPr>
              <w:t>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87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1,616</w:t>
            </w:r>
            <w:r>
              <w:rPr>
                <w:color w:val="000000"/>
              </w:rPr>
              <w:t> </w:t>
            </w:r>
          </w:p>
        </w:tc>
        <w:tc>
          <w:tcPr>
            <w:tcW w:w="48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5,158 </w:t>
            </w:r>
          </w:p>
        </w:tc>
        <w:tc>
          <w:tcPr>
            <w:tcW w:w="3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Net Revenues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three months ended March 31, 2025, Net revenues decreased 14.0 million or 11.0% as compared to the first quarter of 2024. This decrease is primarily driven by demand reductions on certain commercial and space programs, which was partially offset by higher revenues on CH-53K and other programs. Changes in currency translation rates had the effect of Net revenues $0.5 million.</w:t>
      </w:r>
    </w:p>
    <w:p>
      <w:pPr>
        <w:pStyle w:val="TextBody"/>
        <w:bidi w:val="0"/>
        <w:spacing w:lineRule="auto" w:line="288" w:before="120" w:after="283"/>
        <w:jc w:val="both"/>
        <w:rPr/>
      </w:pPr>
      <w:r>
        <w:rPr>
          <w:rFonts w:ascii="Arial;sans-serif" w:hAnsi="Arial;sans-serif"/>
          <w:b w:val="false"/>
          <w:color w:val="000000"/>
          <w:sz w:val="20"/>
        </w:rPr>
        <w:t>AEC has contracts with certain customers, including its contract for the LEAP program, where revenue is determined by a cost-plus-fee agreement. Revenue earned under these arrangements accounted for approximately 32 percent and 36</w:t>
      </w:r>
      <w:r>
        <w:rPr>
          <w:color w:val="000000"/>
          <w:shd w:fill="FFFFFF" w:val="clear"/>
        </w:rPr>
        <w:t xml:space="preserve"> </w:t>
      </w:r>
      <w:r>
        <w:rPr>
          <w:rFonts w:ascii="Arial;sans-serif" w:hAnsi="Arial;sans-serif"/>
          <w:b w:val="false"/>
          <w:color w:val="000000"/>
          <w:sz w:val="20"/>
          <w:shd w:fill="FFFFFF" w:val="clear"/>
        </w:rPr>
        <w:t>percent</w:t>
      </w:r>
      <w:r>
        <w:rPr>
          <w:color w:val="000000"/>
        </w:rPr>
        <w:t xml:space="preserve"> </w:t>
      </w:r>
      <w:r>
        <w:rPr>
          <w:rFonts w:ascii="Arial;sans-serif" w:hAnsi="Arial;sans-serif"/>
          <w:b w:val="false"/>
          <w:color w:val="000000"/>
          <w:sz w:val="20"/>
        </w:rPr>
        <w:t xml:space="preserve">of segment revenue for the first three months of 2025 and 2024, respectively. </w:t>
      </w:r>
    </w:p>
    <w:p>
      <w:pPr>
        <w:pStyle w:val="TextBody"/>
        <w:bidi w:val="0"/>
        <w:spacing w:lineRule="auto" w:line="288" w:before="120" w:after="283"/>
        <w:jc w:val="both"/>
        <w:rPr/>
      </w:pPr>
      <w:r>
        <w:rPr>
          <w:rFonts w:ascii="Arial;sans-serif" w:hAnsi="Arial;sans-serif"/>
          <w:b w:val="false"/>
          <w:color w:val="000000"/>
          <w:sz w:val="20"/>
        </w:rPr>
        <w:t>In addition, AEC has long-term contracts in which the selling price is fixed.</w:t>
      </w:r>
      <w:r>
        <w:rPr>
          <w:color w:val="000000"/>
        </w:rPr>
        <w:t xml:space="preserve"> </w:t>
      </w:r>
      <w:r>
        <w:rPr>
          <w:rFonts w:ascii="Arial;sans-serif" w:hAnsi="Arial;sans-serif"/>
          <w:b w:val="false"/>
          <w:color w:val="000000"/>
          <w:sz w:val="20"/>
        </w:rPr>
        <w:t>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 For contracts with anticipated losses, a provision for the entire amount of the estimated remaining loss is charged against income in the period in which the loss becomes known. Contract losses are determined considering all direct and indirect contract costs, exclusive of any selling, general or administrative cost allocations, which are treated as period expenses. Expected losses on projects include losses on contract options that are probable of exercise, excluding profitable options that often follow.</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Gross Profit</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For the three months ended March 31, 2025, Gross profit decreased $7.4 million as compared to the same period last year, and as a percentage of revenues decreased from 18.8% in 2024 to 14.5% in 2025. This decrease in Gross profit was driven primarily by changes in the estimated profitability of long-term contracts, which decreased gross profit by $7.0 million in 2025 due to increased cost assumptions. For the three months ended March 31, 2024, adjustments in the estimated profitability of long-term contracts decreased Gross profit $0.9 million.</w:t>
      </w:r>
    </w:p>
    <w:p>
      <w:pPr>
        <w:pStyle w:val="TextBody"/>
        <w:bidi w:val="0"/>
        <w:spacing w:before="200" w:after="283"/>
        <w:jc w:val="both"/>
        <w:rPr/>
      </w:pPr>
      <w:r>
        <w:rPr/>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Operating Income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For the three months ended March 31, 2025, Operating income decreased $3.5 million, principally due to reduced Gross profit as noted above. This was offset by a decrease in SG&amp;A expenses of $1.4 million, primarily driven by decreased incentive compensation and personnel-related costs. Technical and research expenses decreased $1.5 million compared to the first quarter of 2024, attributable to decreases in research and material costs, combined with allocations to Corporate. Restructuring expenses decreased $1.0 million compared to the same period in the prior year. </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Working Capital, Liquidity and Capital Structure</w:t>
      </w:r>
    </w:p>
    <w:p>
      <w:pPr>
        <w:pStyle w:val="TextBody"/>
        <w:bidi w:val="0"/>
        <w:spacing w:lineRule="auto" w:line="268" w:before="120" w:after="283"/>
        <w:jc w:val="left"/>
        <w:rPr>
          <w:rFonts w:ascii="Arial;sans-serif" w:hAnsi="Arial;sans-serif"/>
          <w:b/>
          <w:i/>
          <w:color w:val="000000"/>
          <w:sz w:val="20"/>
        </w:rPr>
      </w:pPr>
      <w:r>
        <w:rPr>
          <w:rFonts w:ascii="Arial;sans-serif" w:hAnsi="Arial;sans-serif"/>
          <w:b/>
          <w:i/>
          <w:color w:val="000000"/>
          <w:sz w:val="20"/>
        </w:rPr>
        <w:t>Cash Flow Summary</w:t>
      </w:r>
    </w:p>
    <w:tbl>
      <w:tblPr>
        <w:tblW w:w="7796" w:type="dxa"/>
        <w:jc w:val="left"/>
        <w:tblInd w:w="0" w:type="dxa"/>
        <w:tblLayout w:type="fixed"/>
        <w:tblCellMar>
          <w:top w:w="28" w:type="dxa"/>
          <w:left w:w="28" w:type="dxa"/>
          <w:bottom w:w="28" w:type="dxa"/>
          <w:right w:w="28" w:type="dxa"/>
        </w:tblCellMar>
      </w:tblPr>
      <w:tblGrid>
        <w:gridCol w:w="1882"/>
        <w:gridCol w:w="1659"/>
        <w:gridCol w:w="1663"/>
        <w:gridCol w:w="232"/>
        <w:gridCol w:w="928"/>
        <w:gridCol w:w="120"/>
        <w:gridCol w:w="232"/>
        <w:gridCol w:w="911"/>
        <w:gridCol w:w="169"/>
      </w:tblGrid>
      <w:tr>
        <w:trPr/>
        <w:tc>
          <w:tcPr>
            <w:tcW w:w="188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6"/>
              </w:rPr>
            </w:pPr>
            <w:r>
              <w:rPr>
                <w:rFonts w:ascii="Arial;sans-serif" w:hAnsi="Arial;sans-serif"/>
                <w:b/>
                <w:color w:val="000000"/>
                <w:sz w:val="16"/>
              </w:rPr>
              <w:t>(in thousands)</w:t>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5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17,349</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27,369 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21,291</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22,304 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working capital (a)</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(25,847)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(27,171)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other noncurrent liabilities and deferred taxes</w:t>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2,532</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items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(13,206)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1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2,119</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9,597 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(15,597)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(26,880)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cash provided/used in financing activities</w:t>
            </w:r>
          </w:p>
        </w:tc>
        <w:tc>
          <w:tcPr>
            <w:tcW w:w="11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15,091</w:t>
            </w: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(28,069)</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2,458</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Decrease in cash and cash equivalents</w:t>
            </w:r>
          </w:p>
        </w:tc>
        <w:tc>
          <w:tcPr>
            <w:tcW w:w="11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4,071</w:t>
            </w:r>
            <w:r>
              <w:rPr>
                <w:color w:val="000000"/>
              </w:rPr>
              <w:t>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(48,008)</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year</w:t>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115,283</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173,420 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2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119,354</w:t>
            </w:r>
            <w:r>
              <w:rPr>
                <w:color w:val="000000"/>
              </w:rPr>
              <w:t> </w:t>
            </w:r>
          </w:p>
        </w:tc>
        <w:tc>
          <w:tcPr>
            <w:tcW w:w="1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125,412 </w:t>
            </w:r>
          </w:p>
        </w:tc>
        <w:tc>
          <w:tcPr>
            <w:tcW w:w="16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Arial;sans-serif" w:hAnsi="Arial;sans-serif"/>
          <w:b w:val="false"/>
          <w:color w:val="000000"/>
          <w:sz w:val="18"/>
        </w:rPr>
      </w:pPr>
      <w:r>
        <w:rPr>
          <w:rFonts w:ascii="Arial;sans-serif" w:hAnsi="Arial;sans-serif"/>
          <w:b w:val="false"/>
          <w:color w:val="000000"/>
          <w:sz w:val="18"/>
        </w:rPr>
        <w:t>(a)Includes Accounts receivable, Contract assets, Inventories, Accounts payable, and Accrued liabilities.</w:t>
      </w:r>
    </w:p>
    <w:p>
      <w:pPr>
        <w:pStyle w:val="TextBody"/>
        <w:bidi w:val="0"/>
        <w:spacing w:before="0" w:after="0"/>
        <w:ind w:left="0" w:right="0" w:hanging="360"/>
        <w:jc w:val="left"/>
        <w:rPr/>
      </w:pPr>
      <w:r>
        <w:rPr/>
      </w:r>
    </w:p>
    <w:p>
      <w:pPr>
        <w:pStyle w:val="TextBody"/>
        <w:bidi w:val="0"/>
        <w:spacing w:lineRule="auto" w:line="288" w:before="160" w:after="283"/>
        <w:jc w:val="both"/>
        <w:rPr>
          <w:rFonts w:ascii="Arial;sans-serif" w:hAnsi="Arial;sans-serif"/>
          <w:b w:val="false"/>
          <w:color w:val="000000"/>
          <w:sz w:val="20"/>
        </w:rPr>
      </w:pPr>
      <w:r>
        <w:rPr>
          <w:rFonts w:ascii="Arial;sans-serif" w:hAnsi="Arial;sans-serif"/>
          <w:b w:val="false"/>
          <w:color w:val="000000"/>
          <w:sz w:val="20"/>
        </w:rPr>
        <w:t>Net cash provided by operating activities during the first three months of 2025 was $2.1 million, compared to $9.6 million in the same period last year. The decrease was primarily driven by a reduction in the gross profit of both segments, resulting in a lower net income compared to the first three months of 2024. This was offset by a slightly lower change in working capital, along with favorable changes in other noncurrent liabilities and deferred taxes.</w:t>
      </w:r>
    </w:p>
    <w:p>
      <w:pPr>
        <w:pStyle w:val="TextBody"/>
        <w:bidi w:val="0"/>
        <w:spacing w:lineRule="auto" w:line="288" w:before="120" w:after="283"/>
        <w:jc w:val="both"/>
        <w:rPr/>
      </w:pPr>
      <w:r>
        <w:rPr>
          <w:rFonts w:ascii="Arial;sans-serif" w:hAnsi="Arial;sans-serif"/>
          <w:b w:val="false"/>
          <w:color w:val="000000"/>
          <w:sz w:val="20"/>
        </w:rPr>
        <w:t>Net cash used in investing activities included capital expenditures totaling $15.6 million and $26.9 million for the first three months of 2025 and 2024, respectively, with</w:t>
      </w:r>
      <w:r>
        <w:rPr>
          <w:color w:val="000000"/>
          <w:shd w:fill="FFFFFF" w:val="clear"/>
        </w:rPr>
        <w:t xml:space="preserve"> </w:t>
      </w:r>
      <w:r>
        <w:rPr>
          <w:rFonts w:ascii="Arial;sans-serif" w:hAnsi="Arial;sans-serif"/>
          <w:b w:val="false"/>
          <w:color w:val="000000"/>
          <w:sz w:val="20"/>
          <w:shd w:fill="FFFFFF" w:val="clear"/>
        </w:rPr>
        <w:t>investments focused on aerospace program support, continued maintenance capex and capital designed to improve operating efficiencies across the Company.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Net cash provided in financing activities was $15.1 million for the first three months of 2025 as compared to net cash used of $28.1 million for the first three months of 2024. The increase in net cash provided during 2025 was due to increased borrowings from the revolving credit facility and lesser principal payments on debt, partially offset by an increase in share repurchases. </w:t>
      </w:r>
    </w:p>
    <w:p>
      <w:pPr>
        <w:pStyle w:val="TextBody"/>
        <w:bidi w:val="0"/>
        <w:spacing w:lineRule="auto" w:line="288" w:before="200" w:after="283"/>
        <w:jc w:val="both"/>
        <w:rPr>
          <w:rFonts w:ascii="Arial;sans-serif" w:hAnsi="Arial;sans-serif"/>
          <w:b/>
          <w:i/>
          <w:color w:val="000000"/>
          <w:sz w:val="20"/>
        </w:rPr>
      </w:pPr>
      <w:r>
        <w:rPr>
          <w:rFonts w:ascii="Arial;sans-serif" w:hAnsi="Arial;sans-serif"/>
          <w:b/>
          <w:i/>
          <w:color w:val="000000"/>
          <w:sz w:val="20"/>
        </w:rPr>
        <w:t>Liquidity and Capital Structure</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finance our business activities principally with cash generated from operations and borrowings, largely through our revolving credit agreement as discussed below.</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Under our $800 million unsecured committed Amended Credit Agreement, $416.4 million of borrowings were outstanding as of March 31, 2025. In addition, we have borrowings outstanding at our Heimbach subsidiary that are considered immaterial in the aggregate.</w:t>
      </w:r>
    </w:p>
    <w:p>
      <w:pPr>
        <w:pStyle w:val="TextBody"/>
        <w:bidi w:val="0"/>
        <w:spacing w:lineRule="auto" w:line="288" w:before="120" w:after="283"/>
        <w:jc w:val="both"/>
        <w:rPr/>
      </w:pPr>
      <w:r>
        <w:rPr>
          <w:rFonts w:ascii="Arial;sans-serif" w:hAnsi="Arial;sans-serif"/>
          <w:b w:val="false"/>
          <w:color w:val="000000"/>
          <w:sz w:val="20"/>
        </w:rPr>
        <w:t xml:space="preserve">As of March 31, 2025, we had cash and cash equivalents of $119.4 million and available borrowings under our Amended Credit Agreement of $383.6 million, for a total liquidity of approximately $503.0 million. We believe cash flows from operations and the availability of funds under our Amended Credit Agreement will be adequate to fund our operations and business needs over the next twelve months. For more information on credit agreements, see </w:t>
      </w:r>
      <w:r>
        <w:rPr>
          <w:rFonts w:ascii="Arial;sans-serif" w:hAnsi="Arial;sans-serif"/>
          <w:b w:val="false"/>
          <w:i/>
          <w:color w:val="000000"/>
          <w:sz w:val="20"/>
        </w:rPr>
        <w:t>Note 14. Financial Instruments</w:t>
      </w:r>
      <w:r>
        <w:rPr>
          <w:color w:val="000000"/>
        </w:rPr>
        <w:t xml:space="preserve"> </w:t>
      </w:r>
      <w:r>
        <w:rPr>
          <w:rFonts w:ascii="Arial;sans-serif" w:hAnsi="Arial;sans-serif"/>
          <w:b w:val="false"/>
          <w:color w:val="000000"/>
          <w:sz w:val="20"/>
        </w:rPr>
        <w:t xml:space="preserve">in the Notes to Consolidated Financial Statements.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As of March 31, 2025, $88.4 million of our total cash and cash equivalents were held by non-U.S. subsidiaries. The accumulated undistributed earnings of the Company’s foreign operations not targeted for repatriation to the U.S.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excess of $140.0 million, as of March 31, 2025 and are intended to remain indefinitely invested in foreign operations. Our cash planning strategy includes repatriating current earnings in excess of working capital requirements from certain countries in which our subsidiaries operate. While we have been successful in such endeavor to date, there can be no assurance that we will be able to cost effectively repatriate funds in the future. Repatriating such cash from certain jurisdictions, which is currently considered to be indefinitely reinvested in foreign operations, may also result in additional taxes.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have also returned cash to shareholders through dividends and share repurchases. During the first three months of 2025, we paid $8.4 million in dividends and repurchased 925,443 shares for a total cost of $69.2 million.</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first quarter of 2025, the Company decided to consolidate headquarters in Portsmouth, NH. This change impacts approximately 100 employees, will take place over the next year and a half, and will cost an estimated $7.0 million over that period related to retention, relocation, severance, and professional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140" w:after="283"/>
        <w:jc w:val="both"/>
        <w:rPr>
          <w:rFonts w:ascii="Arial;sans-serif" w:hAnsi="Arial;sans-serif"/>
          <w:b w:val="false"/>
          <w:color w:val="000000"/>
          <w:sz w:val="20"/>
        </w:rPr>
      </w:pPr>
      <w:r>
        <w:rPr>
          <w:rFonts w:ascii="Arial;sans-serif" w:hAnsi="Arial;sans-serif"/>
          <w:b w:val="false"/>
          <w:color w:val="000000"/>
          <w:sz w:val="20"/>
        </w:rPr>
        <w:t>The Company is party to certain off-balance sheet arrangements, including certain guarantees. The Company provides financial assurance, such as payment guarantee and letters of credit and surety bonds, primarily to support workers’ compensation programs and customs clearance, of less than $10 million. There were no material changes in the Company’s off-balance sheet arrangements during the first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Arial;sans-serif" w:hAnsi="Arial;sans-serif"/>
          <w:b/>
          <w:color w:val="000000"/>
          <w:sz w:val="20"/>
        </w:rPr>
        <w:t>Item 3.</w:t>
      </w:r>
      <w:r>
        <w:rPr>
          <w:color w:val="000000"/>
          <w:shd w:fill="FFFFFF" w:val="clear"/>
        </w:rPr>
        <w:t xml:space="preserve"> </w:t>
      </w:r>
      <w:r>
        <w:rPr>
          <w:rFonts w:ascii="Arial;sans-serif" w:hAnsi="Arial;sans-serif"/>
          <w:b/>
          <w:color w:val="000000"/>
          <w:sz w:val="20"/>
          <w:shd w:fill="FFFFFF" w:val="clear"/>
        </w:rPr>
        <w:t>Quantitative and Qualitative Disclosures about Market Risk</w:t>
      </w:r>
    </w:p>
    <w:p>
      <w:pPr>
        <w:pStyle w:val="TextBody"/>
        <w:bidi w:val="0"/>
        <w:spacing w:lineRule="auto" w:line="288" w:before="120" w:after="283"/>
        <w:jc w:val="both"/>
        <w:rPr/>
      </w:pPr>
      <w:r>
        <w:rPr>
          <w:rFonts w:ascii="Arial;sans-serif" w:hAnsi="Arial;sans-serif"/>
          <w:b w:val="false"/>
          <w:color w:val="000000"/>
          <w:sz w:val="20"/>
          <w:shd w:fill="FFFFFF" w:val="clear"/>
        </w:rPr>
        <w:t>We are exposed to changes in both foreign currency exchange rates and interest rates. From time to time, the Company enters into derivative agreements to manage these risks.</w:t>
      </w:r>
      <w:r>
        <w:rPr>
          <w:color w:val="000000"/>
        </w:rPr>
        <w:t xml:space="preserve"> </w:t>
      </w:r>
      <w:r>
        <w:rPr>
          <w:rFonts w:ascii="Arial;sans-serif" w:hAnsi="Arial;sans-serif"/>
          <w:b w:val="false"/>
          <w:color w:val="000000"/>
          <w:sz w:val="20"/>
        </w:rPr>
        <w:t>The market risk is the potential loss arising from adverse changes in these rates as discussed below.</w:t>
      </w:r>
    </w:p>
    <w:p>
      <w:pPr>
        <w:pStyle w:val="TextBody"/>
        <w:bidi w:val="0"/>
        <w:spacing w:lineRule="auto" w:line="288" w:before="120" w:after="283"/>
        <w:jc w:val="both"/>
        <w:rPr>
          <w:rFonts w:ascii="Arial;sans-serif" w:hAnsi="Arial;sans-serif"/>
          <w:b/>
          <w:color w:val="000000"/>
          <w:sz w:val="20"/>
        </w:rPr>
      </w:pPr>
      <w:r>
        <w:rPr>
          <w:rFonts w:ascii="Arial;sans-serif" w:hAnsi="Arial;sans-serif"/>
          <w:b/>
          <w:color w:val="000000"/>
          <w:sz w:val="20"/>
        </w:rPr>
        <w:t>Foreign Currency Exchange Rate Risk</w:t>
      </w:r>
    </w:p>
    <w:p>
      <w:pPr>
        <w:pStyle w:val="TextBody"/>
        <w:bidi w:val="0"/>
        <w:spacing w:lineRule="auto" w:line="288" w:before="120" w:after="283"/>
        <w:jc w:val="both"/>
        <w:rPr/>
      </w:pPr>
      <w:r>
        <w:rPr>
          <w:rFonts w:ascii="Arial;sans-serif" w:hAnsi="Arial;sans-serif"/>
          <w:b w:val="false"/>
          <w:color w:val="000000"/>
          <w:sz w:val="20"/>
        </w:rPr>
        <w:t xml:space="preserve">We have manufacturing plants and sales transactions worldwide and, therefore, are subject to foreign currency risk. </w:t>
      </w:r>
      <w:r>
        <w:rPr>
          <w:rFonts w:ascii="Arial;sans-serif" w:hAnsi="Arial;sans-serif"/>
          <w:b w:val="false"/>
          <w:color w:val="000000"/>
          <w:sz w:val="20"/>
          <w:shd w:fill="FFFFFF" w:val="clear"/>
        </w:rPr>
        <w:t>Our operational results can be materially impacted depending on the volatility and magnitude of foreign rate changes.</w:t>
      </w:r>
      <w:r>
        <w:rPr>
          <w:color w:val="000000"/>
        </w:rPr>
        <w:t xml:space="preserve"> </w:t>
      </w:r>
      <w:r>
        <w:rPr>
          <w:rFonts w:ascii="Arial;sans-serif" w:hAnsi="Arial;sans-serif"/>
          <w:b w:val="false"/>
          <w:color w:val="000000"/>
          <w:sz w:val="20"/>
        </w:rPr>
        <w:t>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w:t>
      </w:r>
      <w:r>
        <w:rPr>
          <w:rFonts w:ascii="Arial;sans-serif" w:hAnsi="Arial;sans-serif"/>
          <w:b w:val="false"/>
          <w:color w:val="000000"/>
          <w:sz w:val="20"/>
          <w:shd w:fill="FFFFFF" w:val="clear"/>
        </w:rPr>
        <w:t>y $593.9 million.</w:t>
      </w:r>
      <w:r>
        <w:rPr>
          <w:color w:val="000000"/>
        </w:rPr>
        <w:t xml:space="preserve"> </w:t>
      </w:r>
      <w:r>
        <w:rPr>
          <w:rFonts w:ascii="Arial;sans-serif" w:hAnsi="Arial;sans-serif"/>
          <w:b w:val="false"/>
          <w:color w:val="000000"/>
          <w:sz w:val="20"/>
        </w:rPr>
        <w:t>The potential loss in fair value resulting from a hypothetical 10% adverse change in quoted foreign currency exchange rates amounts to</w:t>
      </w:r>
      <w:r>
        <w:rPr>
          <w:color w:val="000000"/>
          <w:shd w:fill="FFFFFF" w:val="clear"/>
        </w:rPr>
        <w:t xml:space="preserve"> </w:t>
      </w:r>
      <w:r>
        <w:rPr>
          <w:rFonts w:ascii="Arial;sans-serif" w:hAnsi="Arial;sans-serif"/>
          <w:b w:val="false"/>
          <w:color w:val="000000"/>
          <w:sz w:val="20"/>
          <w:shd w:fill="FFFFFF" w:val="clear"/>
        </w:rPr>
        <w:t>$59.4 million</w:t>
      </w:r>
      <w:r>
        <w:rPr>
          <w:rFonts w:ascii="Arial;sans-serif" w:hAnsi="Arial;sans-serif"/>
          <w:b w:val="false"/>
          <w:color w:val="000000"/>
          <w:sz w:val="20"/>
        </w:rPr>
        <w:t>. Furthermore, related to foreign currency transactions, we have exposure to various nonfunctional currency balances totalin</w:t>
      </w:r>
      <w:r>
        <w:rPr>
          <w:rFonts w:ascii="Arial;sans-serif" w:hAnsi="Arial;sans-serif"/>
          <w:b w:val="false"/>
          <w:color w:val="000000"/>
          <w:sz w:val="20"/>
          <w:shd w:fill="FFFFFF" w:val="clear"/>
        </w:rPr>
        <w:t>g $156.9 million. This amount includes, on an absolute basis, exposures to assets and liabilities held in currencies other than our local entities’ functional currencies. On a net basis, we had $57.9 million of foreign currency assets as of March 31, 2025. As currency rates change, these nonfunctional currency balances are revalued, and the corresponding adjustment is recorded in the income statement. A hypothetical change of 10% in currency rates could result in an adjustment to the income statement of approximately $5.8 million. Actual results ma</w:t>
      </w:r>
      <w:r>
        <w:rPr>
          <w:rFonts w:ascii="Arial;sans-serif" w:hAnsi="Arial;sans-serif"/>
          <w:b w:val="false"/>
          <w:color w:val="000000"/>
          <w:sz w:val="20"/>
        </w:rPr>
        <w:t>y differ from these estimates.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Interest Rate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exposed to interest rate fluctuations with respect to our variable rate debt, depending on general economic conditions.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31, 2025, we had the following unhedged variable rate debt:</w:t>
      </w:r>
    </w:p>
    <w:p>
      <w:pPr>
        <w:pStyle w:val="TextBody"/>
        <w:bidi w:val="0"/>
        <w:spacing w:before="0" w:after="0"/>
        <w:jc w:val="both"/>
        <w:rPr/>
      </w:pPr>
      <w:r>
        <w:rPr/>
      </w:r>
    </w:p>
    <w:tbl>
      <w:tblPr>
        <w:tblW w:w="8341" w:type="dxa"/>
        <w:jc w:val="left"/>
        <w:tblInd w:w="0" w:type="dxa"/>
        <w:tblLayout w:type="fixed"/>
        <w:tblCellMar>
          <w:top w:w="28" w:type="dxa"/>
          <w:left w:w="28" w:type="dxa"/>
          <w:bottom w:w="28" w:type="dxa"/>
          <w:right w:w="28" w:type="dxa"/>
        </w:tblCellMar>
      </w:tblPr>
      <w:tblGrid>
        <w:gridCol w:w="2038"/>
        <w:gridCol w:w="1787"/>
        <w:gridCol w:w="1799"/>
        <w:gridCol w:w="469"/>
        <w:gridCol w:w="1906"/>
        <w:gridCol w:w="342"/>
      </w:tblGrid>
      <w:tr>
        <w:trPr/>
        <w:tc>
          <w:tcPr>
            <w:tcW w:w="2038"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83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 thousands, except interest rates)</w:t>
            </w:r>
          </w:p>
        </w:tc>
      </w:tr>
      <w:tr>
        <w:trPr/>
        <w:tc>
          <w:tcPr>
            <w:tcW w:w="5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27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Credit agreement borrowings outstanding (due in 2028):</w:t>
            </w:r>
          </w:p>
        </w:tc>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USD borrowings (end of period all-in interest rate of 5.9%)</w:t>
            </w:r>
          </w:p>
        </w:tc>
        <w:tc>
          <w:tcPr>
            <w:tcW w:w="2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194,000 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EUR borrowings (end of period all-in interest rate of 3.9%)</w:t>
            </w:r>
          </w:p>
        </w:tc>
        <w:tc>
          <w:tcPr>
            <w:tcW w:w="23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48,695 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Foreign bank debt (end of period all-in interest rate of 4.10%)</w:t>
            </w:r>
          </w:p>
        </w:tc>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r>
      <w:tr>
        <w:trPr/>
        <w:tc>
          <w:tcPr>
            <w:tcW w:w="56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46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0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242,734 </w:t>
            </w:r>
          </w:p>
        </w:tc>
        <w:tc>
          <w:tcPr>
            <w:tcW w:w="34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20" w:after="283"/>
        <w:jc w:val="both"/>
        <w:rPr/>
      </w:pPr>
      <w:r>
        <w:rPr>
          <w:rFonts w:ascii="Arial;sans-serif" w:hAnsi="Arial;sans-serif"/>
          <w:b w:val="false"/>
          <w:color w:val="000000"/>
          <w:sz w:val="20"/>
        </w:rPr>
        <w:t xml:space="preserve">Assuming borrowings were outstanding for an entire year, an increase of one percentage point in weighted average interest rates would increase interest expense by $2.4 million. To manage interest rate risk, we may periodically enter into interest rate swap agreements to effectively fix the interest rates on variable debt to a specific rate for a period of time. See </w:t>
      </w:r>
      <w:r>
        <w:rPr>
          <w:rFonts w:ascii="Arial;sans-serif" w:hAnsi="Arial;sans-serif"/>
          <w:b w:val="false"/>
          <w:i/>
          <w:color w:val="000000"/>
          <w:sz w:val="20"/>
        </w:rPr>
        <w:t>Note</w:t>
      </w:r>
      <w:r>
        <w:rPr>
          <w:color w:val="000000"/>
        </w:rPr>
        <w:t xml:space="preserve"> </w:t>
      </w:r>
      <w:r>
        <w:rPr>
          <w:rFonts w:ascii="Arial;sans-serif" w:hAnsi="Arial;sans-serif"/>
          <w:b w:val="false"/>
          <w:i/>
          <w:color w:val="000000"/>
          <w:sz w:val="20"/>
        </w:rPr>
        <w:t>14. Financial Instruments</w:t>
      </w:r>
      <w:r>
        <w:rPr>
          <w:color w:val="000000"/>
        </w:rPr>
        <w:t xml:space="preserve"> </w:t>
      </w:r>
      <w:r>
        <w:rPr>
          <w:rFonts w:ascii="Arial;sans-serif" w:hAnsi="Arial;sans-serif"/>
          <w:b w:val="false"/>
          <w:color w:val="000000"/>
          <w:sz w:val="20"/>
        </w:rPr>
        <w:t>in the Notes to the Consolidated Financial Statements in Item 1, which is incorporated herein by reference.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Disclosure controls and procedures.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and communicated to the Company’s management, including its principal executive officer and principal financial officer as appropriate, to allow timely decisions regarding required disclosure.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Changes in internal control over financial reporting.</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There was no change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283"/>
        <w:jc w:val="both"/>
        <w:rPr/>
      </w:pPr>
      <w:r>
        <w:rPr>
          <w:rFonts w:ascii="Arial;sans-serif" w:hAnsi="Arial;sans-serif"/>
          <w:b w:val="false"/>
          <w:color w:val="000000"/>
          <w:sz w:val="20"/>
        </w:rPr>
        <w:t xml:space="preserve">The information set forth above under </w:t>
      </w:r>
      <w:r>
        <w:rPr>
          <w:rFonts w:ascii="Arial;sans-serif" w:hAnsi="Arial;sans-serif"/>
          <w:b w:val="false"/>
          <w:i/>
          <w:color w:val="000000"/>
          <w:sz w:val="20"/>
        </w:rPr>
        <w:t>Note 16.</w:t>
      </w:r>
      <w:r>
        <w:rPr>
          <w:color w:val="000000"/>
        </w:rPr>
        <w:t xml:space="preserve"> </w:t>
      </w:r>
      <w:r>
        <w:rPr>
          <w:rFonts w:ascii="Arial;sans-serif" w:hAnsi="Arial;sans-serif"/>
          <w:b w:val="false"/>
          <w:i/>
          <w:color w:val="000000"/>
          <w:sz w:val="20"/>
        </w:rPr>
        <w:t>Commitments and Contingencies</w:t>
      </w:r>
      <w:r>
        <w:rPr>
          <w:color w:val="000000"/>
        </w:rPr>
        <w:t xml:space="preserve"> </w:t>
      </w:r>
      <w:r>
        <w:rPr>
          <w:rFonts w:ascii="Arial;sans-serif" w:hAnsi="Arial;sans-serif"/>
          <w:b w:val="false"/>
          <w:color w:val="000000"/>
          <w:sz w:val="20"/>
        </w:rPr>
        <w:t>in Item 1, Notes to Consolidated Financial Statements is incorporated herein by reference.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There have been no material changes from the risk factors previously disclosed in our Annual Report on Form 10-K for the year ended December 31, 2024.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200" w:after="283"/>
        <w:jc w:val="both"/>
        <w:rPr>
          <w:rFonts w:ascii="Arial;sans-serif" w:hAnsi="Arial;sans-serif"/>
          <w:b/>
          <w:color w:val="000000"/>
          <w:sz w:val="20"/>
        </w:rPr>
      </w:pPr>
      <w:r>
        <w:rPr>
          <w:rFonts w:ascii="Arial;sans-serif" w:hAnsi="Arial;sans-serif"/>
          <w:b/>
          <w:color w:val="000000"/>
          <w:sz w:val="20"/>
        </w:rPr>
        <w:t>Issuer Purchases of Equity Securities during the three months ended March 31, 2025</w:t>
      </w:r>
    </w:p>
    <w:tbl>
      <w:tblPr>
        <w:tblW w:w="10205" w:type="dxa"/>
        <w:jc w:val="left"/>
        <w:tblInd w:w="0" w:type="dxa"/>
        <w:tblLayout w:type="fixed"/>
        <w:tblCellMar>
          <w:top w:w="28" w:type="dxa"/>
          <w:left w:w="28" w:type="dxa"/>
          <w:bottom w:w="28" w:type="dxa"/>
          <w:right w:w="28" w:type="dxa"/>
        </w:tblCellMar>
      </w:tblPr>
      <w:tblGrid>
        <w:gridCol w:w="554"/>
        <w:gridCol w:w="438"/>
        <w:gridCol w:w="445"/>
        <w:gridCol w:w="658"/>
        <w:gridCol w:w="523"/>
        <w:gridCol w:w="524"/>
        <w:gridCol w:w="308"/>
        <w:gridCol w:w="943"/>
        <w:gridCol w:w="158"/>
        <w:gridCol w:w="954"/>
        <w:gridCol w:w="840"/>
        <w:gridCol w:w="843"/>
        <w:gridCol w:w="569"/>
        <w:gridCol w:w="2026"/>
        <w:gridCol w:w="422"/>
      </w:tblGrid>
      <w:tr>
        <w:trPr/>
        <w:tc>
          <w:tcPr>
            <w:tcW w:w="55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Period</w:t>
            </w:r>
          </w:p>
        </w:tc>
        <w:tc>
          <w:tcPr>
            <w:tcW w:w="1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 number of shares purchased</w:t>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Average price paid per share</w:t>
            </w:r>
          </w:p>
        </w:tc>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 number of shares purchased as part of publicly announced program</w:t>
            </w:r>
          </w:p>
        </w:tc>
        <w:tc>
          <w:tcPr>
            <w:tcW w:w="3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Approx. dollar value of shares that may yet be purchased under the program (in thousands)</w:t>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 to January 31, 2025</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128,370 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128,370 </w:t>
            </w:r>
          </w:p>
        </w:tc>
        <w:tc>
          <w:tcPr>
            <w:tcW w:w="8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65,817 </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February 1 to February 20, 2025</w:t>
            </w:r>
          </w:p>
        </w:tc>
        <w:tc>
          <w:tcPr>
            <w:tcW w:w="11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29,807 </w:t>
            </w:r>
          </w:p>
        </w:tc>
        <w:tc>
          <w:tcPr>
            <w:tcW w:w="5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29,807 </w:t>
            </w:r>
          </w:p>
        </w:tc>
        <w:tc>
          <w:tcPr>
            <w:tcW w:w="8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63,438 </w:t>
            </w:r>
          </w:p>
        </w:tc>
        <w:tc>
          <w:tcPr>
            <w:tcW w:w="4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1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158,177 </w:t>
            </w:r>
          </w:p>
        </w:tc>
        <w:tc>
          <w:tcPr>
            <w:tcW w:w="5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158,177 </w:t>
            </w:r>
          </w:p>
        </w:tc>
        <w:tc>
          <w:tcPr>
            <w:tcW w:w="8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6"/>
        <w:gridCol w:w="461"/>
        <w:gridCol w:w="466"/>
        <w:gridCol w:w="655"/>
        <w:gridCol w:w="519"/>
        <w:gridCol w:w="520"/>
        <w:gridCol w:w="306"/>
        <w:gridCol w:w="937"/>
        <w:gridCol w:w="157"/>
        <w:gridCol w:w="944"/>
        <w:gridCol w:w="830"/>
        <w:gridCol w:w="832"/>
        <w:gridCol w:w="526"/>
        <w:gridCol w:w="2135"/>
        <w:gridCol w:w="391"/>
      </w:tblGrid>
      <w:tr>
        <w:trPr/>
        <w:tc>
          <w:tcPr>
            <w:tcW w:w="52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Period</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 number of shares purchased</w:t>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Average price paid per share</w:t>
            </w:r>
          </w:p>
        </w:tc>
        <w:tc>
          <w:tcPr>
            <w:tcW w:w="2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 number of shares purchased as part of publicly announced program</w:t>
            </w:r>
          </w:p>
        </w:tc>
        <w:tc>
          <w:tcPr>
            <w:tcW w:w="3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Approx. dollar value of shares that may yet be purchased under the program (in thousands)</w:t>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February 21 to February 28, 2025</w:t>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85,971 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85,971 </w:t>
            </w:r>
          </w:p>
        </w:tc>
        <w:tc>
          <w:tcPr>
            <w:tcW w:w="8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243,444 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 to March 31, 2025</w:t>
            </w:r>
          </w:p>
        </w:tc>
        <w:tc>
          <w:tcPr>
            <w:tcW w:w="11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681,295 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681,295 </w:t>
            </w:r>
          </w:p>
        </w:tc>
        <w:tc>
          <w:tcPr>
            <w:tcW w:w="8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193,444 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17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767,266 </w:t>
            </w:r>
          </w:p>
        </w:tc>
        <w:tc>
          <w:tcPr>
            <w:tcW w:w="5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767,266 </w:t>
            </w:r>
          </w:p>
        </w:tc>
        <w:tc>
          <w:tcPr>
            <w:tcW w:w="8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193,444 </w:t>
            </w:r>
          </w:p>
        </w:tc>
        <w:tc>
          <w:tcPr>
            <w:tcW w:w="3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On February 21, 2025, the Company's Board of Directors authorized the Company to repurchase shares up to $250 million (excluding any fees, commissions, taxes or other expenses related to such purchases), which replaces the 2021 authorization. Share purchases may be made through open market purchases, privately negotiated transactions or otherwise. The program does not obligate the Company to acquire any particular amount of common stock, and it may be suspended or terminated at any time at the Company's discretion. The timing and amount of any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repurchases will be based on the Company’s liquidity, general business and market conditions, debt covenant restrictions and other factors, including alternative investment opportunities and capital structure. In total, the Company has repurchased 925,443 shares in 2025 for a total cost of $69.2 million. As of March 31, 2025, we were authorized to repurchase shares up to $193.4 million.</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Under the Company's previously authorized $200 million stock repurchase program authorized on October 25, 2021, the Company has repurchased 1,649,081 shares for a total cost of $136.5 million as of March 31, 2025. Of this, 158,177 shares were repurchased in 2025 for $12.6 million, 182,901 shares were repurchased in 2024 for $14.5 million, 1,022,717 shares were repurchased in 2022 for $85.1 million and 285,286 shares were repurchased in 2021 for $24.3 million. There are no remaining shares under this plan as a result of the Board of Directors authorization of the $250 million plan on February 21, 2025, as detailed above.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40" w:after="283"/>
        <w:jc w:val="left"/>
        <w:rPr>
          <w:rFonts w:ascii="Arial;sans-serif" w:hAnsi="Arial;sans-serif"/>
          <w:b w:val="false"/>
          <w:i/>
          <w:color w:val="000000"/>
          <w:sz w:val="20"/>
        </w:rPr>
      </w:pPr>
      <w:r>
        <w:rPr>
          <w:rFonts w:ascii="Arial;sans-serif" w:hAnsi="Arial;sans-serif"/>
          <w:b w:val="false"/>
          <w:i/>
          <w:color w:val="000000"/>
          <w:sz w:val="20"/>
        </w:rPr>
        <w:t>Securities Trading Plans of Directors and Executive Officers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During the three months ended March 31, 2025, none of our directors or executive officers adopted or terminated any contract, instruction or written plan for the purchase or sale of Albany International Corp. securities that was intended to satisfy the affirmative defense conditions of Rule 10b5-1(c) or any “non-Rule 10b5-1 trading arrangement.”</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1"/>
        <w:gridCol w:w="282"/>
        <w:gridCol w:w="283"/>
        <w:gridCol w:w="2789"/>
        <w:gridCol w:w="2694"/>
        <w:gridCol w:w="3836"/>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Exhibit No.</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Description</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10(l)(xviii)</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8"/>
                  <w:u w:val="single"/>
                </w:rPr>
                <w:t>Form of Performance Stock Unit Award Agreement</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10(l)(xix)</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8"/>
                  <w:u w:val="single"/>
                </w:rPr>
                <w:t>Form of Restricted Stock Unit Award Agreement</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in-20250331xex311.htm">
              <w:r>
                <w:rPr>
                  <w:rStyle w:val="InternetLink"/>
                  <w:rFonts w:ascii="Arial;sans-serif" w:hAnsi="Arial;sans-serif"/>
                  <w:b w:val="false"/>
                  <w:color w:val="0000FF"/>
                  <w:sz w:val="18"/>
                  <w:u w:val="single"/>
                </w:rPr>
                <w:t>Certification of the Chief Executive Officer pursuant to Rule 13a-14(a)/15d-14(a) of the Exchange Act.</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in-20250331xex312.htm">
              <w:r>
                <w:rPr>
                  <w:rStyle w:val="InternetLink"/>
                  <w:rFonts w:ascii="Arial;sans-serif" w:hAnsi="Arial;sans-serif"/>
                  <w:b w:val="false"/>
                  <w:color w:val="0000FF"/>
                  <w:sz w:val="18"/>
                  <w:u w:val="single"/>
                </w:rPr>
                <w:t>Certification of the Chief Financial Officer pursuant to Rule 13a-14(a)/15d-14(a) of the Exchange Act.</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in-20250331xex321.htm">
              <w:r>
                <w:rPr>
                  <w:rStyle w:val="InternetLink"/>
                  <w:rFonts w:ascii="Arial;sans-serif" w:hAnsi="Arial;sans-serif"/>
                  <w:b w:val="false"/>
                  <w:color w:val="0000FF"/>
                  <w:sz w:val="18"/>
                  <w:u w:val="single"/>
                </w:rPr>
                <w:t>Certification pursuant to Section 906 of the Sarbanes-Oxley Act of 2002 (Subsections (a) and (b) of Section 1350, Chapter 63 of Title 18, United States Code).</w:t>
              </w:r>
            </w:hyperlink>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Instance Document- the instance document does not appear in the Interactive Data File because its XBRL tags are embedded within the Inline XBRL document.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Schema Document.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Calculation Linkbase Document.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Definition Linkbase Document.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Label Linkbase Document.</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9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Presentation Linkbase Document.</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9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077"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465"/>
        <w:gridCol w:w="1465"/>
        <w:gridCol w:w="2080"/>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ALBANY INTERNATIONAL CORP.</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(Registrant)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April 30,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Robert D. Starr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Robert D. Starr</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Executive Vice President and Chief Financial Officer</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 OF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Gunnar Kleveland, certify that: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report on Form 10-Q of Albany International Corp.;</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5624" w:type="dxa"/>
        <w:jc w:val="left"/>
        <w:tblInd w:w="0" w:type="dxa"/>
        <w:tblLayout w:type="fixed"/>
        <w:tblCellMar>
          <w:top w:w="28" w:type="dxa"/>
          <w:left w:w="28" w:type="dxa"/>
          <w:bottom w:w="28" w:type="dxa"/>
          <w:right w:w="28" w:type="dxa"/>
        </w:tblCellMar>
      </w:tblPr>
      <w:tblGrid>
        <w:gridCol w:w="667"/>
        <w:gridCol w:w="585"/>
        <w:gridCol w:w="592"/>
        <w:gridCol w:w="115"/>
        <w:gridCol w:w="115"/>
        <w:gridCol w:w="116"/>
        <w:gridCol w:w="1003"/>
        <w:gridCol w:w="1003"/>
        <w:gridCol w:w="1428"/>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April 30, 2025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Gunnar Kleveland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Gunnar Kleveland</w:t>
              <w:br/>
              <w:t>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RULE 13A-14 OF THE SECURITIES EXCHANGE ACT OF 1934,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 Robert D. Starr, certify that: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1.I have reviewed this report on Form 10-Q of Albany International Corp.;</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tbl>
      <w:tblPr>
        <w:tblW w:w="7560" w:type="dxa"/>
        <w:jc w:val="left"/>
        <w:tblInd w:w="0" w:type="dxa"/>
        <w:tblLayout w:type="fixed"/>
        <w:tblCellMar>
          <w:top w:w="28" w:type="dxa"/>
          <w:left w:w="28" w:type="dxa"/>
          <w:bottom w:w="28" w:type="dxa"/>
          <w:right w:w="28" w:type="dxa"/>
        </w:tblCellMar>
      </w:tblPr>
      <w:tblGrid>
        <w:gridCol w:w="667"/>
        <w:gridCol w:w="585"/>
        <w:gridCol w:w="592"/>
        <w:gridCol w:w="115"/>
        <w:gridCol w:w="115"/>
        <w:gridCol w:w="116"/>
        <w:gridCol w:w="1571"/>
        <w:gridCol w:w="1571"/>
        <w:gridCol w:w="2228"/>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April 30, 2025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Starr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D. Starr</w:t>
              <w:br/>
              <w:t>Executive Vice President and Chief Financial Officer</w:t>
              <w:b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In connection with the Quarterly Report of Albany International Corp. (the Company) on Form 10-Q for the period ending March 31, 2025, as filed with the Securities and Exchange Commission on the date hereof (the Report), Gunnar Kleveland, President and Chief Executive Officer, and Robert D. Starr, Executive Vice President and Chief Financial Officer of the Company, certify, pursuant to 18 U.S.C. § 1350, as adopted pursuant to § 906 of the Sarbanes-Oxley Act of 2002, that:</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and Exchange Act of 1934; and</w:t>
      </w:r>
    </w:p>
    <w:p>
      <w:pPr>
        <w:pStyle w:val="TextBody"/>
        <w:bidi w:val="0"/>
        <w:spacing w:lineRule="auto" w:line="288" w:before="120" w:after="283"/>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7540" w:type="dxa"/>
        <w:jc w:val="center"/>
        <w:tblInd w:w="0" w:type="dxa"/>
        <w:tblLayout w:type="fixed"/>
        <w:tblCellMar>
          <w:top w:w="28" w:type="dxa"/>
          <w:left w:w="28" w:type="dxa"/>
          <w:bottom w:w="28" w:type="dxa"/>
          <w:right w:w="28" w:type="dxa"/>
        </w:tblCellMar>
      </w:tblPr>
      <w:tblGrid>
        <w:gridCol w:w="667"/>
        <w:gridCol w:w="585"/>
        <w:gridCol w:w="592"/>
        <w:gridCol w:w="109"/>
        <w:gridCol w:w="109"/>
        <w:gridCol w:w="109"/>
        <w:gridCol w:w="1568"/>
        <w:gridCol w:w="1568"/>
        <w:gridCol w:w="22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Gunnar Kleveland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Gunnar Kleveland</w:t>
              <w:br/>
              <w:t>President and Chief Executive Officer</w:t>
              <w:b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D. Starr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Robert D. Starr</w:t>
              <w:br/>
              <w:t>Executive Vice President and Chief Financial Officer</w:t>
              <w:b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Book Antiqu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9793/000081979325000010/exhibit10lxviiiperformance.htm" TargetMode="External"/><Relationship Id="rId3" Type="http://schemas.openxmlformats.org/officeDocument/2006/relationships/hyperlink" Target="https://www.sec.gov/Archives/edgar/data/819793/000081979325000010/exhibit10lxixrestrictedsto.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17300</Words>
  <Characters>97529</Characters>
  <CharactersWithSpaces>113216</CharactersWithSpaces>
  <Paragraphs>2743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