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80" w:right="1920" w:hanging="3872"/>
        <w:spacing w:after="0" w:line="498" w:lineRule="auto"/>
        <w:tabs>
          <w:tab w:leader="none" w:pos="2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2016</w:t>
      </w:r>
    </w:p>
    <w:p>
      <w:pPr>
        <w:jc w:val="center"/>
        <w:spacing w:after="0"/>
        <w:rPr>
          <w:sz w:val="20"/>
          <w:szCs w:val="20"/>
          <w:color w:val="auto"/>
        </w:rPr>
      </w:pPr>
      <w:r>
        <w:rPr>
          <w:rFonts w:ascii="Arial" w:cs="Arial" w:eastAsia="Arial" w:hAnsi="Arial"/>
          <w:sz w:val="18"/>
          <w:szCs w:val="18"/>
          <w:color w:val="auto"/>
        </w:rPr>
        <w:t>OR</w:t>
      </w:r>
    </w:p>
    <w:p>
      <w:pPr>
        <w:spacing w:after="0" w:line="190" w:lineRule="exact"/>
        <w:rPr>
          <w:sz w:val="24"/>
          <w:szCs w:val="24"/>
          <w:color w:val="auto"/>
        </w:rPr>
      </w:pPr>
    </w:p>
    <w:p>
      <w:pPr>
        <w:ind w:left="3400" w:right="1920" w:hanging="3392"/>
        <w:spacing w:after="0" w:line="498"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jc w:val="center"/>
              <w:ind w:right="1080"/>
              <w:spacing w:after="0"/>
              <w:rPr>
                <w:sz w:val="20"/>
                <w:szCs w:val="20"/>
                <w:color w:val="auto"/>
              </w:rPr>
            </w:pPr>
            <w:r>
              <w:rPr>
                <w:rFonts w:ascii="Arial" w:cs="Arial" w:eastAsia="Arial" w:hAnsi="Arial"/>
                <w:sz w:val="18"/>
                <w:szCs w:val="18"/>
                <w:color w:val="auto"/>
                <w:w w:val="99"/>
              </w:rPr>
              <w:t>Delaware</w:t>
            </w:r>
          </w:p>
        </w:tc>
        <w:tc>
          <w:tcPr>
            <w:tcW w:w="5140" w:type="dxa"/>
            <w:vAlign w:val="bottom"/>
          </w:tcPr>
          <w:p>
            <w:pPr>
              <w:jc w:val="right"/>
              <w:ind w:right="1970"/>
              <w:spacing w:after="0"/>
              <w:rPr>
                <w:sz w:val="20"/>
                <w:szCs w:val="20"/>
                <w:color w:val="auto"/>
              </w:rPr>
            </w:pPr>
            <w:r>
              <w:rPr>
                <w:rFonts w:ascii="Arial" w:cs="Arial" w:eastAsia="Arial" w:hAnsi="Arial"/>
                <w:sz w:val="18"/>
                <w:szCs w:val="18"/>
                <w:color w:val="auto"/>
              </w:rPr>
              <w:t>14-0462060</w:t>
            </w:r>
          </w:p>
        </w:tc>
      </w:tr>
      <w:tr>
        <w:trPr>
          <w:trHeight w:val="195"/>
        </w:trPr>
        <w:tc>
          <w:tcPr>
            <w:tcW w:w="5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(State or other jurisdiction of</w:t>
            </w:r>
          </w:p>
        </w:tc>
        <w:tc>
          <w:tcPr>
            <w:tcW w:w="1120" w:type="dxa"/>
            <w:vAlign w:val="bottom"/>
          </w:tcPr>
          <w:p>
            <w:pPr>
              <w:spacing w:after="0"/>
              <w:rPr>
                <w:sz w:val="16"/>
                <w:szCs w:val="16"/>
                <w:color w:val="auto"/>
              </w:rPr>
            </w:pPr>
          </w:p>
        </w:tc>
        <w:tc>
          <w:tcPr>
            <w:tcW w:w="5140" w:type="dxa"/>
            <w:vAlign w:val="bottom"/>
            <w:tcBorders>
              <w:top w:val="single" w:sz="8" w:color="auto"/>
            </w:tcBorders>
          </w:tcPr>
          <w:p>
            <w:pPr>
              <w:ind w:left="12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17"/>
        </w:trPr>
        <w:tc>
          <w:tcPr>
            <w:tcW w:w="6280" w:type="dxa"/>
            <w:vAlign w:val="bottom"/>
            <w:gridSpan w:val="2"/>
          </w:tcPr>
          <w:p>
            <w:pPr>
              <w:ind w:left="1380"/>
              <w:spacing w:after="0"/>
              <w:rPr>
                <w:sz w:val="20"/>
                <w:szCs w:val="20"/>
                <w:color w:val="auto"/>
              </w:rPr>
            </w:pPr>
            <w:r>
              <w:rPr>
                <w:rFonts w:ascii="Arial" w:cs="Arial" w:eastAsia="Arial" w:hAnsi="Arial"/>
                <w:sz w:val="18"/>
                <w:szCs w:val="18"/>
                <w:color w:val="auto"/>
              </w:rPr>
              <w:t>incorporation or organization)</w:t>
            </w:r>
          </w:p>
        </w:tc>
        <w:tc>
          <w:tcPr>
            <w:tcW w:w="5140" w:type="dxa"/>
            <w:vAlign w:val="bottom"/>
          </w:tcPr>
          <w:p>
            <w:pPr>
              <w:spacing w:after="0"/>
              <w:rPr>
                <w:sz w:val="18"/>
                <w:szCs w:val="18"/>
                <w:color w:val="auto"/>
              </w:rPr>
            </w:pPr>
          </w:p>
        </w:tc>
      </w:tr>
      <w:tr>
        <w:trPr>
          <w:trHeight w:val="392"/>
        </w:trPr>
        <w:tc>
          <w:tcPr>
            <w:tcW w:w="6280" w:type="dxa"/>
            <w:vAlign w:val="bottom"/>
            <w:gridSpan w:val="2"/>
          </w:tcPr>
          <w:p>
            <w:pPr>
              <w:jc w:val="center"/>
              <w:ind w:right="1080"/>
              <w:spacing w:after="0"/>
              <w:rPr>
                <w:sz w:val="20"/>
                <w:szCs w:val="20"/>
                <w:color w:val="auto"/>
              </w:rPr>
            </w:pPr>
            <w:r>
              <w:rPr>
                <w:rFonts w:ascii="Arial" w:cs="Arial" w:eastAsia="Arial" w:hAnsi="Arial"/>
                <w:sz w:val="18"/>
                <w:szCs w:val="18"/>
                <w:color w:val="auto"/>
                <w:w w:val="99"/>
              </w:rPr>
              <w:t>216 Airport Drive, Rochester, New Hampshire</w:t>
            </w:r>
          </w:p>
        </w:tc>
        <w:tc>
          <w:tcPr>
            <w:tcW w:w="5140" w:type="dxa"/>
            <w:vAlign w:val="bottom"/>
          </w:tcPr>
          <w:p>
            <w:pPr>
              <w:jc w:val="right"/>
              <w:ind w:right="2210"/>
              <w:spacing w:after="0"/>
              <w:rPr>
                <w:sz w:val="20"/>
                <w:szCs w:val="20"/>
                <w:color w:val="auto"/>
              </w:rPr>
            </w:pPr>
            <w:r>
              <w:rPr>
                <w:rFonts w:ascii="Arial" w:cs="Arial" w:eastAsia="Arial" w:hAnsi="Arial"/>
                <w:sz w:val="18"/>
                <w:szCs w:val="18"/>
                <w:color w:val="auto"/>
              </w:rPr>
              <w:t>03867</w:t>
            </w:r>
          </w:p>
        </w:tc>
      </w:tr>
      <w:tr>
        <w:trPr>
          <w:trHeight w:val="210"/>
        </w:trPr>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120" w:type="dxa"/>
            <w:vAlign w:val="bottom"/>
          </w:tcPr>
          <w:p>
            <w:pPr>
              <w:spacing w:after="0"/>
              <w:rPr>
                <w:sz w:val="18"/>
                <w:szCs w:val="18"/>
                <w:color w:val="auto"/>
              </w:rPr>
            </w:pPr>
          </w:p>
        </w:tc>
        <w:tc>
          <w:tcPr>
            <w:tcW w:w="5140" w:type="dxa"/>
            <w:vAlign w:val="bottom"/>
            <w:tcBorders>
              <w:top w:val="single" w:sz="8" w:color="auto"/>
            </w:tcBorders>
          </w:tcPr>
          <w:p>
            <w:pPr>
              <w:ind w:left="212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203" w:lineRule="exact"/>
        <w:rPr>
          <w:sz w:val="24"/>
          <w:szCs w:val="24"/>
          <w:color w:val="auto"/>
        </w:rPr>
      </w:pPr>
    </w:p>
    <w:p>
      <w:pPr>
        <w:ind w:right="60"/>
        <w:spacing w:after="0"/>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203" w:lineRule="exact"/>
        <w:rPr>
          <w:sz w:val="24"/>
          <w:szCs w:val="24"/>
          <w:color w:val="auto"/>
        </w:rPr>
      </w:pPr>
    </w:p>
    <w:p>
      <w:pPr>
        <w:ind w:right="400"/>
        <w:spacing w:after="0" w:line="24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5" w:right="239" w:bottom="1440" w:gutter="0" w:footer="0" w:header="0"/>
        </w:sectPr>
      </w:pPr>
    </w:p>
    <w:p>
      <w:pPr>
        <w:spacing w:after="0" w:line="183"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2160" w:space="720"/>
            <w:col w:w="2120" w:space="720"/>
            <w:col w:w="2700" w:space="720"/>
            <w:col w:w="40" w:space="200"/>
            <w:col w:w="2040"/>
          </w:cols>
          <w:pgMar w:left="240" w:top="225"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220"/>
        <w:spacing w:after="0" w:line="246" w:lineRule="auto"/>
        <w:rPr>
          <w:sz w:val="20"/>
          <w:szCs w:val="20"/>
          <w:color w:val="auto"/>
        </w:rPr>
      </w:pPr>
      <w:r>
        <w:rPr>
          <w:rFonts w:ascii="Arial" w:cs="Arial" w:eastAsia="Arial" w:hAnsi="Arial"/>
          <w:sz w:val="18"/>
          <w:szCs w:val="18"/>
          <w:color w:val="auto"/>
        </w:rPr>
        <w:t>The registrant had 28.9 million shares of Class A Common Stock and 3.2 million shares of Class B Common Stock outstanding as of July 31, 2016.</w:t>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Page No.</w:t>
            </w:r>
          </w:p>
        </w:tc>
      </w:tr>
      <w:tr>
        <w:trPr>
          <w:trHeight w:val="412"/>
        </w:trPr>
        <w:tc>
          <w:tcPr>
            <w:tcW w:w="10620" w:type="dxa"/>
            <w:vAlign w:val="bottom"/>
            <w:gridSpan w:val="19"/>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gridSpan w:val="17"/>
          </w:tcPr>
          <w:p>
            <w:pPr>
              <w:ind w:left="80"/>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 three and six months ended June 30, 2016 and 2015</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gridSpan w:val="17"/>
          </w:tcPr>
          <w:p>
            <w:pPr>
              <w:ind w:left="80"/>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income/(loss) – three and six months ended June 30, 2016 and 2015</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12"/>
          </w:tcPr>
          <w:p>
            <w:pPr>
              <w:ind w:left="80"/>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June 30, 2016 and December 31, 2015</w:t>
              </w:r>
            </w:hyperlink>
          </w:p>
        </w:tc>
        <w:tc>
          <w:tcPr>
            <w:tcW w:w="3340" w:type="dxa"/>
            <w:vAlign w:val="bottom"/>
            <w:tcBorders>
              <w:top w:val="single" w:sz="8" w:color="0000EE"/>
            </w:tcBorders>
            <w:gridSpan w:val="4"/>
          </w:tcPr>
          <w:p>
            <w:pPr>
              <w:spacing w:after="0"/>
              <w:rPr>
                <w:sz w:val="15"/>
                <w:szCs w:val="15"/>
                <w:color w:val="auto"/>
              </w:rPr>
            </w:pPr>
          </w:p>
        </w:tc>
        <w:tc>
          <w:tcPr>
            <w:tcW w:w="130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60" w:type="dxa"/>
            <w:vAlign w:val="bottom"/>
            <w:gridSpan w:val="17"/>
          </w:tcPr>
          <w:p>
            <w:pPr>
              <w:ind w:left="8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six months ended June 30, 2016 and 2015</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60" w:type="dxa"/>
            <w:vAlign w:val="bottom"/>
            <w:tcBorders>
              <w:top w:val="single" w:sz="8" w:color="0000EE"/>
            </w:tcBorders>
            <w:gridSpan w:val="14"/>
          </w:tcPr>
          <w:p>
            <w:pPr>
              <w:ind w:left="8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800" w:type="dxa"/>
            <w:vAlign w:val="bottom"/>
            <w:gridSpan w:val="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10380" w:type="dxa"/>
            <w:vAlign w:val="bottom"/>
            <w:gridSpan w:val="18"/>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EE"/>
              <w:bottom w:val="single" w:sz="8" w:color="0000EE"/>
            </w:tcBorders>
            <w:gridSpan w:val="6"/>
          </w:tcPr>
          <w:p>
            <w:pPr>
              <w:ind w:left="80"/>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Forward-looking statements</w:t>
              </w:r>
            </w:hyperlink>
          </w:p>
        </w:tc>
        <w:tc>
          <w:tcPr>
            <w:tcW w:w="5360" w:type="dxa"/>
            <w:vAlign w:val="bottom"/>
            <w:tcBorders>
              <w:top w:val="single" w:sz="8" w:color="0000EE"/>
            </w:tcBorders>
            <w:gridSpan w:val="9"/>
          </w:tcPr>
          <w:p>
            <w:pPr>
              <w:spacing w:after="0"/>
              <w:rPr>
                <w:sz w:val="15"/>
                <w:szCs w:val="15"/>
                <w:color w:val="auto"/>
              </w:rPr>
            </w:pPr>
          </w:p>
        </w:tc>
        <w:tc>
          <w:tcPr>
            <w:tcW w:w="27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40" w:type="dxa"/>
            <w:vAlign w:val="bottom"/>
          </w:tcPr>
          <w:p>
            <w:pPr>
              <w:spacing w:after="0"/>
              <w:rPr>
                <w:sz w:val="15"/>
                <w:szCs w:val="15"/>
                <w:color w:val="auto"/>
              </w:rPr>
            </w:pPr>
          </w:p>
        </w:tc>
        <w:tc>
          <w:tcPr>
            <w:tcW w:w="10380" w:type="dxa"/>
            <w:vAlign w:val="bottom"/>
            <w:gridSpan w:val="18"/>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240" w:type="dxa"/>
            <w:vAlign w:val="bottom"/>
          </w:tcPr>
          <w:p>
            <w:pPr>
              <w:spacing w:after="0"/>
              <w:rPr>
                <w:sz w:val="15"/>
                <w:szCs w:val="15"/>
                <w:color w:val="auto"/>
              </w:rPr>
            </w:pPr>
          </w:p>
        </w:tc>
        <w:tc>
          <w:tcPr>
            <w:tcW w:w="52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Item 4. Controls and Procedures</w:t>
              </w:r>
            </w:hyperlink>
          </w:p>
        </w:tc>
        <w:tc>
          <w:tcPr>
            <w:tcW w:w="5100" w:type="dxa"/>
            <w:vAlign w:val="bottom"/>
            <w:gridSpan w:val="7"/>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2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26"/>
        </w:trPr>
        <w:tc>
          <w:tcPr>
            <w:tcW w:w="10620" w:type="dxa"/>
            <w:vAlign w:val="bottom"/>
            <w:gridSpan w:val="19"/>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 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830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54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Item 2. Unregistered Sales of Equity Securities and Use of Proceeds</w:t>
              </w:r>
            </w:hyperlink>
          </w:p>
        </w:tc>
        <w:tc>
          <w:tcPr>
            <w:tcW w:w="4920" w:type="dxa"/>
            <w:vAlign w:val="bottom"/>
            <w:gridSpan w:val="6"/>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312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Item 3. Defaults upon Senior Securities</w:t>
              </w:r>
            </w:hyperlink>
          </w:p>
        </w:tc>
        <w:tc>
          <w:tcPr>
            <w:tcW w:w="7260" w:type="dxa"/>
            <w:vAlign w:val="bottom"/>
            <w:gridSpan w:val="9"/>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10380" w:type="dxa"/>
            <w:vAlign w:val="bottom"/>
            <w:gridSpan w:val="18"/>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Item 4. Mine Safety Disclosures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4"/>
          </w:tcPr>
          <w:p>
            <w:pPr>
              <w:spacing w:after="0"/>
              <w:rPr>
                <w:sz w:val="15"/>
                <w:szCs w:val="15"/>
                <w:color w:val="auto"/>
              </w:rPr>
            </w:pPr>
          </w:p>
        </w:tc>
        <w:tc>
          <w:tcPr>
            <w:tcW w:w="780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40" w:type="dxa"/>
            <w:vAlign w:val="bottom"/>
          </w:tcPr>
          <w:p>
            <w:pPr>
              <w:spacing w:after="0"/>
              <w:rPr>
                <w:sz w:val="15"/>
                <w:szCs w:val="15"/>
                <w:color w:val="auto"/>
              </w:rPr>
            </w:pPr>
          </w:p>
        </w:tc>
        <w:tc>
          <w:tcPr>
            <w:tcW w:w="10380" w:type="dxa"/>
            <w:vAlign w:val="bottom"/>
            <w:gridSpan w:val="18"/>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331"/>
        </w:trPr>
        <w:tc>
          <w:tcPr>
            <w:tcW w:w="260" w:type="dxa"/>
            <w:vAlign w:val="bottom"/>
            <w:gridSpan w:val="2"/>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4520" w:type="dxa"/>
            <w:vAlign w:val="bottom"/>
            <w:gridSpan w:val="11"/>
          </w:tcPr>
          <w:p>
            <w:pPr>
              <w:jc w:val="right"/>
              <w:ind w:right="220"/>
              <w:spacing w:after="0"/>
              <w:rPr>
                <w:sz w:val="20"/>
                <w:szCs w:val="20"/>
                <w:color w:val="auto"/>
              </w:rPr>
            </w:pPr>
            <w:r>
              <w:rPr>
                <w:rFonts w:ascii="Arial" w:cs="Arial" w:eastAsia="Arial" w:hAnsi="Arial"/>
                <w:sz w:val="18"/>
                <w:szCs w:val="18"/>
                <w:color w:val="auto"/>
              </w:rPr>
              <w:t>2</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2"/>
        </w:trPr>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8"/>
                <w:szCs w:val="18"/>
                <w:color w:val="auto"/>
                <w:w w:val="99"/>
              </w:rPr>
              <w:t>Three Months Ended</w:t>
            </w:r>
          </w:p>
        </w:tc>
        <w:tc>
          <w:tcPr>
            <w:tcW w:w="1880" w:type="dxa"/>
            <w:vAlign w:val="bottom"/>
            <w:gridSpan w:val="3"/>
          </w:tcPr>
          <w:p>
            <w:pPr>
              <w:jc w:val="right"/>
              <w:ind w:right="1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240" w:type="dxa"/>
            <w:vAlign w:val="bottom"/>
            <w:gridSpan w:val="4"/>
          </w:tcPr>
          <w:p>
            <w:pPr>
              <w:jc w:val="center"/>
              <w:ind w:right="360"/>
              <w:spacing w:after="0" w:line="202" w:lineRule="exact"/>
              <w:rPr>
                <w:sz w:val="20"/>
                <w:szCs w:val="20"/>
                <w:color w:val="auto"/>
              </w:rPr>
            </w:pPr>
            <w:r>
              <w:rPr>
                <w:rFonts w:ascii="Arial" w:cs="Arial" w:eastAsia="Arial" w:hAnsi="Arial"/>
                <w:sz w:val="18"/>
                <w:szCs w:val="18"/>
                <w:color w:val="auto"/>
                <w:w w:val="98"/>
              </w:rPr>
              <w:t>June 30,</w:t>
            </w:r>
          </w:p>
        </w:tc>
        <w:tc>
          <w:tcPr>
            <w:tcW w:w="1880" w:type="dxa"/>
            <w:vAlign w:val="bottom"/>
            <w:gridSpan w:val="3"/>
          </w:tcPr>
          <w:p>
            <w:pPr>
              <w:jc w:val="right"/>
              <w:ind w:right="510"/>
              <w:spacing w:after="0" w:line="20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8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2015</w:t>
            </w:r>
          </w:p>
        </w:tc>
        <w:tc>
          <w:tcPr>
            <w:tcW w:w="360" w:type="dxa"/>
            <w:vAlign w:val="bottom"/>
          </w:tcPr>
          <w:p>
            <w:pPr>
              <w:spacing w:after="0"/>
              <w:rPr>
                <w:sz w:val="17"/>
                <w:szCs w:val="17"/>
                <w:color w:val="auto"/>
              </w:rPr>
            </w:pPr>
          </w:p>
        </w:tc>
        <w:tc>
          <w:tcPr>
            <w:tcW w:w="8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sales</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w w:val="98"/>
              </w:rPr>
              <w:t>$203,190</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w w:val="98"/>
              </w:rPr>
              <w:t>$172,289</w:t>
            </w: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w w:val="98"/>
              </w:rPr>
              <w:t>$375,521</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$353,613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Borders>
              <w:bottom w:val="single" w:sz="8" w:color="BFBFB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124,875</w:t>
            </w:r>
          </w:p>
        </w:tc>
        <w:tc>
          <w:tcPr>
            <w:tcW w:w="240" w:type="dxa"/>
            <w:vAlign w:val="bottom"/>
            <w:tcBorders>
              <w:bottom w:val="single" w:sz="8" w:color="BFBFB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117,697</w:t>
            </w:r>
          </w:p>
        </w:tc>
        <w:tc>
          <w:tcPr>
            <w:tcW w:w="360" w:type="dxa"/>
            <w:vAlign w:val="bottom"/>
            <w:tcBorders>
              <w:bottom w:val="single" w:sz="8" w:color="BFBFB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224,705</w:t>
            </w:r>
          </w:p>
        </w:tc>
        <w:tc>
          <w:tcPr>
            <w:tcW w:w="240" w:type="dxa"/>
            <w:vAlign w:val="bottom"/>
            <w:tcBorders>
              <w:bottom w:val="single" w:sz="8" w:color="BFBFBF"/>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222,337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8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78,315</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54,592</w:t>
            </w: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150,816</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131,276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43,534</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39,932</w:t>
            </w: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82,955</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75,165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8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10,276</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10,411</w:t>
            </w: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20,408</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22,712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Restructuring expenses, net</w:t>
            </w: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6,648</w:t>
            </w:r>
          </w:p>
        </w:tc>
        <w:tc>
          <w:tcPr>
            <w:tcW w:w="240" w:type="dxa"/>
            <w:vAlign w:val="bottom"/>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1,211</w:t>
            </w:r>
          </w:p>
        </w:tc>
        <w:tc>
          <w:tcPr>
            <w:tcW w:w="360" w:type="dxa"/>
            <w:vAlign w:val="bottom"/>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7,327</w:t>
            </w:r>
          </w:p>
        </w:tc>
        <w:tc>
          <w:tcPr>
            <w:tcW w:w="240" w:type="dxa"/>
            <w:vAlign w:val="bottom"/>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Operating income</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17,857</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3,038</w:t>
            </w: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40,126</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3,691</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2,702</w:t>
            </w: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5,929</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Other (income)/expense, net</w:t>
            </w:r>
          </w:p>
        </w:tc>
        <w:tc>
          <w:tcPr>
            <w:tcW w:w="1060" w:type="dxa"/>
            <w:vAlign w:val="bottom"/>
            <w:gridSpan w:val="2"/>
            <w:shd w:val="clear" w:color="auto" w:fill="BFBFBF"/>
          </w:tcPr>
          <w:p>
            <w:pPr>
              <w:jc w:val="right"/>
              <w:ind w:right="240"/>
              <w:spacing w:after="0" w:line="202" w:lineRule="exact"/>
              <w:rPr>
                <w:sz w:val="20"/>
                <w:szCs w:val="20"/>
                <w:color w:val="auto"/>
              </w:rPr>
            </w:pPr>
            <w:r>
              <w:rPr>
                <w:rFonts w:ascii="Arial" w:cs="Arial" w:eastAsia="Arial" w:hAnsi="Arial"/>
                <w:sz w:val="18"/>
                <w:szCs w:val="18"/>
                <w:color w:val="auto"/>
              </w:rPr>
              <w:t>(2,017)</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2,820</w:t>
            </w:r>
          </w:p>
        </w:tc>
        <w:tc>
          <w:tcPr>
            <w:tcW w:w="360" w:type="dxa"/>
            <w:vAlign w:val="bottom"/>
            <w:shd w:val="clear" w:color="auto" w:fill="BFBFBF"/>
          </w:tcPr>
          <w:p>
            <w:pPr>
              <w:spacing w:after="0"/>
              <w:rPr>
                <w:sz w:val="17"/>
                <w:szCs w:val="17"/>
                <w:color w:val="auto"/>
              </w:rPr>
            </w:pPr>
          </w:p>
        </w:tc>
        <w:tc>
          <w:tcPr>
            <w:tcW w:w="1060" w:type="dxa"/>
            <w:vAlign w:val="bottom"/>
            <w:gridSpan w:val="2"/>
            <w:shd w:val="clear" w:color="auto" w:fill="BFBFBF"/>
          </w:tcPr>
          <w:p>
            <w:pPr>
              <w:jc w:val="right"/>
              <w:ind w:right="240"/>
              <w:spacing w:after="0" w:line="202" w:lineRule="exact"/>
              <w:rPr>
                <w:sz w:val="20"/>
                <w:szCs w:val="20"/>
                <w:color w:val="auto"/>
              </w:rPr>
            </w:pPr>
            <w:r>
              <w:rPr>
                <w:rFonts w:ascii="Arial" w:cs="Arial" w:eastAsia="Arial" w:hAnsi="Arial"/>
                <w:sz w:val="18"/>
                <w:szCs w:val="18"/>
                <w:color w:val="auto"/>
              </w:rPr>
              <w:t>(2,345)</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Income/(loss) before income taxes</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16,183</w:t>
            </w:r>
          </w:p>
        </w:tc>
        <w:tc>
          <w:tcPr>
            <w:tcW w:w="240" w:type="dxa"/>
            <w:vAlign w:val="bottom"/>
            <w:shd w:val="clear" w:color="auto" w:fill="BFBFBF"/>
          </w:tcPr>
          <w:p>
            <w:pPr>
              <w:spacing w:after="0"/>
              <w:rPr>
                <w:sz w:val="17"/>
                <w:szCs w:val="17"/>
                <w:color w:val="auto"/>
              </w:rPr>
            </w:pPr>
          </w:p>
        </w:tc>
        <w:tc>
          <w:tcPr>
            <w:tcW w:w="1180" w:type="dxa"/>
            <w:vAlign w:val="bottom"/>
            <w:gridSpan w:val="2"/>
            <w:shd w:val="clear" w:color="auto" w:fill="BFBFBF"/>
          </w:tcPr>
          <w:p>
            <w:pPr>
              <w:jc w:val="right"/>
              <w:ind w:right="360"/>
              <w:spacing w:after="0" w:line="202" w:lineRule="exact"/>
              <w:rPr>
                <w:sz w:val="20"/>
                <w:szCs w:val="20"/>
                <w:color w:val="auto"/>
              </w:rPr>
            </w:pPr>
            <w:r>
              <w:rPr>
                <w:rFonts w:ascii="Arial" w:cs="Arial" w:eastAsia="Arial" w:hAnsi="Arial"/>
                <w:sz w:val="18"/>
                <w:szCs w:val="18"/>
                <w:color w:val="auto"/>
              </w:rPr>
              <w:t>(2,484)</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36,542</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18,274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expense/(benefit)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6,082</w:t>
            </w:r>
          </w:p>
        </w:tc>
        <w:tc>
          <w:tcPr>
            <w:tcW w:w="24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(364)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13,125</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top w:val="single" w:sz="8" w:color="BFBFBF"/>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240" w:type="dxa"/>
            <w:vAlign w:val="bottom"/>
            <w:tcBorders>
              <w:top w:val="single" w:sz="8" w:color="BFBFBF"/>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360" w:type="dxa"/>
            <w:vAlign w:val="bottom"/>
            <w:tcBorders>
              <w:top w:val="single" w:sz="8" w:color="BFBFBF"/>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240" w:type="dxa"/>
            <w:vAlign w:val="bottom"/>
            <w:tcBorders>
              <w:top w:val="single" w:sz="8" w:color="BFBFBF"/>
            </w:tcBorders>
            <w:shd w:val="clear" w:color="auto" w:fill="BFBFBF"/>
          </w:tcPr>
          <w:p>
            <w:pPr>
              <w:spacing w:after="0"/>
              <w:rPr>
                <w:sz w:val="17"/>
                <w:szCs w:val="17"/>
                <w:color w:val="auto"/>
              </w:rPr>
            </w:pPr>
          </w:p>
        </w:tc>
        <w:tc>
          <w:tcPr>
            <w:tcW w:w="820" w:type="dxa"/>
            <w:vAlign w:val="bottom"/>
            <w:tcBorders>
              <w:top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40"/>
              <w:spacing w:after="0" w:line="202" w:lineRule="exact"/>
              <w:rPr>
                <w:sz w:val="20"/>
                <w:szCs w:val="20"/>
                <w:color w:val="auto"/>
              </w:rPr>
            </w:pPr>
            <w:r>
              <w:rPr>
                <w:rFonts w:ascii="Arial" w:cs="Arial" w:eastAsia="Arial" w:hAnsi="Arial"/>
                <w:sz w:val="18"/>
                <w:szCs w:val="18"/>
                <w:color w:val="auto"/>
              </w:rPr>
              <w:t>Net income/(loss)</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10,101</w:t>
            </w:r>
          </w:p>
        </w:tc>
        <w:tc>
          <w:tcPr>
            <w:tcW w:w="24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(2,120)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23,417</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(loss)/income attributable to the noncontrolling interest</w:t>
            </w: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(266)</w:t>
            </w:r>
          </w:p>
        </w:tc>
        <w:tc>
          <w:tcPr>
            <w:tcW w:w="240" w:type="dxa"/>
            <w:vAlign w:val="bottom"/>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52</w:t>
            </w:r>
          </w:p>
        </w:tc>
        <w:tc>
          <w:tcPr>
            <w:tcW w:w="360" w:type="dxa"/>
            <w:vAlign w:val="bottom"/>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(451)</w:t>
            </w:r>
          </w:p>
        </w:tc>
        <w:tc>
          <w:tcPr>
            <w:tcW w:w="240" w:type="dxa"/>
            <w:vAlign w:val="bottom"/>
            <w:shd w:val="clear" w:color="auto" w:fill="BFBFBF"/>
          </w:tcPr>
          <w:p>
            <w:pPr>
              <w:spacing w:after="0"/>
              <w:rPr>
                <w:sz w:val="17"/>
                <w:szCs w:val="17"/>
                <w:color w:val="auto"/>
              </w:rPr>
            </w:pPr>
          </w:p>
        </w:tc>
        <w:tc>
          <w:tcPr>
            <w:tcW w:w="82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80" w:type="dxa"/>
            <w:vAlign w:val="bottom"/>
          </w:tcPr>
          <w:p>
            <w:pPr>
              <w:ind w:left="40"/>
              <w:spacing w:after="0" w:line="197" w:lineRule="exact"/>
              <w:rPr>
                <w:sz w:val="20"/>
                <w:szCs w:val="20"/>
                <w:color w:val="auto"/>
              </w:rPr>
            </w:pPr>
            <w:r>
              <w:rPr>
                <w:rFonts w:ascii="Arial" w:cs="Arial" w:eastAsia="Arial" w:hAnsi="Arial"/>
                <w:sz w:val="18"/>
                <w:szCs w:val="18"/>
                <w:color w:val="auto"/>
              </w:rPr>
              <w:t>Net income/(loss) attributable to the Company</w:t>
            </w:r>
          </w:p>
        </w:tc>
        <w:tc>
          <w:tcPr>
            <w:tcW w:w="820" w:type="dxa"/>
            <w:vAlign w:val="bottom"/>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($2,172)</w:t>
            </w:r>
          </w:p>
        </w:tc>
        <w:tc>
          <w:tcPr>
            <w:tcW w:w="820" w:type="dxa"/>
            <w:vAlign w:val="bottom"/>
          </w:tcPr>
          <w:p>
            <w:pPr>
              <w:jc w:val="right"/>
              <w:spacing w:after="0"/>
              <w:rPr>
                <w:sz w:val="20"/>
                <w:szCs w:val="20"/>
                <w:color w:val="auto"/>
              </w:rPr>
            </w:pPr>
            <w:r>
              <w:rPr>
                <w:rFonts w:ascii="Arial" w:cs="Arial" w:eastAsia="Arial" w:hAnsi="Arial"/>
                <w:sz w:val="18"/>
                <w:szCs w:val="18"/>
                <w:color w:val="auto"/>
              </w:rPr>
              <w:t>$23,868</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280" w:type="dxa"/>
            <w:vAlign w:val="bottom"/>
            <w:tcBorders>
              <w:top w:val="single" w:sz="8" w:color="BFBFBF"/>
            </w:tcBorders>
            <w:shd w:val="clear" w:color="auto" w:fill="BFBFBF"/>
          </w:tcPr>
          <w:p>
            <w:pPr>
              <w:spacing w:after="0"/>
              <w:rPr>
                <w:sz w:val="15"/>
                <w:szCs w:val="15"/>
                <w:color w:val="auto"/>
              </w:rPr>
            </w:pPr>
          </w:p>
        </w:tc>
        <w:tc>
          <w:tcPr>
            <w:tcW w:w="820" w:type="dxa"/>
            <w:vAlign w:val="bottom"/>
            <w:tcBorders>
              <w:top w:val="single" w:sz="8" w:color="auto"/>
            </w:tcBorders>
            <w:shd w:val="clear" w:color="auto" w:fill="BFBFBF"/>
          </w:tcPr>
          <w:p>
            <w:pPr>
              <w:spacing w:after="0"/>
              <w:rPr>
                <w:sz w:val="15"/>
                <w:szCs w:val="15"/>
                <w:color w:val="auto"/>
              </w:rPr>
            </w:pPr>
          </w:p>
        </w:tc>
        <w:tc>
          <w:tcPr>
            <w:tcW w:w="240" w:type="dxa"/>
            <w:vAlign w:val="bottom"/>
            <w:tcBorders>
              <w:top w:val="single" w:sz="8" w:color="BFBFBF"/>
            </w:tcBorders>
            <w:shd w:val="clear" w:color="auto" w:fill="BFBFBF"/>
          </w:tcPr>
          <w:p>
            <w:pPr>
              <w:spacing w:after="0"/>
              <w:rPr>
                <w:sz w:val="15"/>
                <w:szCs w:val="15"/>
                <w:color w:val="auto"/>
              </w:rPr>
            </w:pPr>
          </w:p>
        </w:tc>
        <w:tc>
          <w:tcPr>
            <w:tcW w:w="820" w:type="dxa"/>
            <w:vAlign w:val="bottom"/>
            <w:tcBorders>
              <w:top w:val="single" w:sz="8" w:color="auto"/>
            </w:tcBorders>
            <w:shd w:val="clear" w:color="auto" w:fill="BFBFBF"/>
          </w:tcPr>
          <w:p>
            <w:pPr>
              <w:spacing w:after="0"/>
              <w:rPr>
                <w:sz w:val="15"/>
                <w:szCs w:val="15"/>
                <w:color w:val="auto"/>
              </w:rPr>
            </w:pPr>
          </w:p>
        </w:tc>
        <w:tc>
          <w:tcPr>
            <w:tcW w:w="360" w:type="dxa"/>
            <w:vAlign w:val="bottom"/>
            <w:tcBorders>
              <w:top w:val="single" w:sz="8" w:color="BFBFBF"/>
            </w:tcBorders>
            <w:shd w:val="clear" w:color="auto" w:fill="BFBFBF"/>
          </w:tcPr>
          <w:p>
            <w:pPr>
              <w:spacing w:after="0"/>
              <w:rPr>
                <w:sz w:val="15"/>
                <w:szCs w:val="15"/>
                <w:color w:val="auto"/>
              </w:rPr>
            </w:pPr>
          </w:p>
        </w:tc>
        <w:tc>
          <w:tcPr>
            <w:tcW w:w="820" w:type="dxa"/>
            <w:vAlign w:val="bottom"/>
            <w:tcBorders>
              <w:top w:val="single" w:sz="8" w:color="auto"/>
            </w:tcBorders>
            <w:shd w:val="clear" w:color="auto" w:fill="BFBFBF"/>
          </w:tcPr>
          <w:p>
            <w:pPr>
              <w:spacing w:after="0"/>
              <w:rPr>
                <w:sz w:val="15"/>
                <w:szCs w:val="15"/>
                <w:color w:val="auto"/>
              </w:rPr>
            </w:pPr>
          </w:p>
        </w:tc>
        <w:tc>
          <w:tcPr>
            <w:tcW w:w="240" w:type="dxa"/>
            <w:vAlign w:val="bottom"/>
            <w:tcBorders>
              <w:top w:val="single" w:sz="8" w:color="BFBFBF"/>
            </w:tcBorders>
            <w:shd w:val="clear" w:color="auto" w:fill="BFBFBF"/>
          </w:tcPr>
          <w:p>
            <w:pPr>
              <w:spacing w:after="0"/>
              <w:rPr>
                <w:sz w:val="15"/>
                <w:szCs w:val="15"/>
                <w:color w:val="auto"/>
              </w:rPr>
            </w:pPr>
          </w:p>
        </w:tc>
        <w:tc>
          <w:tcPr>
            <w:tcW w:w="820" w:type="dxa"/>
            <w:vAlign w:val="bottom"/>
            <w:tcBorders>
              <w:top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Earnings/(loss) per share attributable to Company shareholders - Basic</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$0.32</w:t>
            </w:r>
          </w:p>
        </w:tc>
        <w:tc>
          <w:tcPr>
            <w:tcW w:w="24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8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Earnings/(loss) per share attributable to Company shareholders - Diluted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$0.32</w:t>
            </w:r>
          </w:p>
        </w:tc>
        <w:tc>
          <w:tcPr>
            <w:tcW w:w="24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($0.07)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28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Basic</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32,093</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31,999</w:t>
            </w: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32,067</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31,941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Diluted</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32,131</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31,999</w:t>
            </w: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32,106</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32,015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Dividends per share, Class A and Class B</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$0.17</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$0.17</w:t>
            </w:r>
          </w:p>
        </w:tc>
        <w:tc>
          <w:tcPr>
            <w:tcW w:w="36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$0.34</w:t>
            </w:r>
          </w:p>
        </w:tc>
        <w:tc>
          <w:tcPr>
            <w:tcW w:w="24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520" w:type="dxa"/>
            <w:vAlign w:val="bottom"/>
            <w:gridSpan w:val="5"/>
          </w:tcPr>
          <w:p>
            <w:pPr>
              <w:jc w:val="center"/>
              <w:ind w:left="1770"/>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00" w:type="dxa"/>
            <w:vAlign w:val="bottom"/>
            <w:gridSpan w:val="2"/>
          </w:tcPr>
          <w:p>
            <w:pPr>
              <w:jc w:val="right"/>
              <w:ind w:right="1450"/>
              <w:spacing w:after="0"/>
              <w:rPr>
                <w:sz w:val="20"/>
                <w:szCs w:val="20"/>
                <w:color w:val="auto"/>
              </w:rPr>
            </w:pPr>
            <w:r>
              <w:rPr>
                <w:rFonts w:ascii="Arial" w:cs="Arial" w:eastAsia="Arial" w:hAnsi="Arial"/>
                <w:sz w:val="18"/>
                <w:szCs w:val="18"/>
                <w:color w:val="auto"/>
              </w:rPr>
              <w:t>3</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INCOME/(LOSS)</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8"/>
                <w:szCs w:val="18"/>
                <w:color w:val="auto"/>
              </w:rPr>
              <w:t>Three Months Ended</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320" w:type="dxa"/>
            <w:vAlign w:val="bottom"/>
            <w:gridSpan w:val="4"/>
          </w:tcPr>
          <w:p>
            <w:pPr>
              <w:jc w:val="right"/>
              <w:ind w:right="1060"/>
              <w:spacing w:after="0" w:line="202" w:lineRule="exact"/>
              <w:rPr>
                <w:sz w:val="20"/>
                <w:szCs w:val="20"/>
                <w:color w:val="auto"/>
              </w:rPr>
            </w:pPr>
            <w:r>
              <w:rPr>
                <w:rFonts w:ascii="Arial" w:cs="Arial" w:eastAsia="Arial" w:hAnsi="Arial"/>
                <w:sz w:val="18"/>
                <w:szCs w:val="18"/>
                <w:color w:val="auto"/>
              </w:rPr>
              <w:t>June 30,</w:t>
            </w:r>
          </w:p>
        </w:tc>
        <w:tc>
          <w:tcPr>
            <w:tcW w:w="1700" w:type="dxa"/>
            <w:vAlign w:val="bottom"/>
            <w:gridSpan w:val="3"/>
          </w:tcPr>
          <w:p>
            <w:pPr>
              <w:jc w:val="right"/>
              <w:ind w:right="410"/>
              <w:spacing w:after="0" w:line="20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Borders>
              <w:bottom w:val="single" w:sz="8" w:color="BFBFBF"/>
            </w:tcBorders>
          </w:tcPr>
          <w:p>
            <w:pPr>
              <w:spacing w:after="0"/>
              <w:rPr>
                <w:sz w:val="17"/>
                <w:szCs w:val="17"/>
                <w:color w:val="auto"/>
              </w:rPr>
            </w:pPr>
          </w:p>
        </w:tc>
        <w:tc>
          <w:tcPr>
            <w:tcW w:w="7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2016</w:t>
            </w:r>
          </w:p>
        </w:tc>
        <w:tc>
          <w:tcPr>
            <w:tcW w:w="320" w:type="dxa"/>
            <w:vAlign w:val="bottom"/>
            <w:tcBorders>
              <w:bottom w:val="single" w:sz="8" w:color="BFBFBF"/>
            </w:tcBorders>
          </w:tcPr>
          <w:p>
            <w:pPr>
              <w:spacing w:after="0"/>
              <w:rPr>
                <w:sz w:val="17"/>
                <w:szCs w:val="17"/>
                <w:color w:val="auto"/>
              </w:rPr>
            </w:pPr>
          </w:p>
        </w:tc>
        <w:tc>
          <w:tcPr>
            <w:tcW w:w="7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2015</w:t>
            </w:r>
          </w:p>
        </w:tc>
        <w:tc>
          <w:tcPr>
            <w:tcW w:w="480" w:type="dxa"/>
            <w:vAlign w:val="bottom"/>
            <w:tcBorders>
              <w:bottom w:val="single" w:sz="8" w:color="BFBFBF"/>
            </w:tcBorders>
          </w:tcPr>
          <w:p>
            <w:pPr>
              <w:spacing w:after="0"/>
              <w:rPr>
                <w:sz w:val="17"/>
                <w:szCs w:val="17"/>
                <w:color w:val="auto"/>
              </w:rPr>
            </w:pPr>
          </w:p>
        </w:tc>
        <w:tc>
          <w:tcPr>
            <w:tcW w:w="6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2016</w:t>
            </w:r>
          </w:p>
        </w:tc>
        <w:tc>
          <w:tcPr>
            <w:tcW w:w="260" w:type="dxa"/>
            <w:vAlign w:val="bottom"/>
            <w:tcBorders>
              <w:bottom w:val="single" w:sz="8" w:color="BFBFBF"/>
            </w:tcBorders>
          </w:tcPr>
          <w:p>
            <w:pPr>
              <w:spacing w:after="0"/>
              <w:rPr>
                <w:sz w:val="17"/>
                <w:szCs w:val="17"/>
                <w:color w:val="auto"/>
              </w:rPr>
            </w:pPr>
          </w:p>
        </w:tc>
        <w:tc>
          <w:tcPr>
            <w:tcW w:w="78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BFBFBF"/>
          </w:tcPr>
          <w:p>
            <w:pPr>
              <w:spacing w:after="0" w:line="196" w:lineRule="exact"/>
              <w:rPr>
                <w:sz w:val="20"/>
                <w:szCs w:val="20"/>
                <w:color w:val="auto"/>
              </w:rPr>
            </w:pPr>
            <w:r>
              <w:rPr>
                <w:rFonts w:ascii="Arial" w:cs="Arial" w:eastAsia="Arial" w:hAnsi="Arial"/>
                <w:sz w:val="18"/>
                <w:szCs w:val="18"/>
                <w:color w:val="auto"/>
              </w:rPr>
              <w:t>Net income/(loss)</w:t>
            </w:r>
          </w:p>
        </w:tc>
        <w:tc>
          <w:tcPr>
            <w:tcW w:w="7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$10,101</w:t>
            </w: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($2,120)</w:t>
            </w:r>
          </w:p>
        </w:tc>
        <w:tc>
          <w:tcPr>
            <w:tcW w:w="480" w:type="dxa"/>
            <w:vAlign w:val="bottom"/>
            <w:shd w:val="clear" w:color="auto" w:fill="BFBFBF"/>
          </w:tcPr>
          <w:p>
            <w:pPr>
              <w:spacing w:after="0"/>
              <w:rPr>
                <w:sz w:val="17"/>
                <w:szCs w:val="17"/>
                <w:color w:val="auto"/>
              </w:rPr>
            </w:pPr>
          </w:p>
        </w:tc>
        <w:tc>
          <w:tcPr>
            <w:tcW w:w="6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w w:val="91"/>
              </w:rPr>
              <w:t>$ 23,417</w:t>
            </w:r>
          </w:p>
        </w:tc>
        <w:tc>
          <w:tcPr>
            <w:tcW w:w="260" w:type="dxa"/>
            <w:vAlign w:val="bottom"/>
            <w:shd w:val="clear" w:color="auto" w:fill="BFBFBF"/>
          </w:tcPr>
          <w:p>
            <w:pPr>
              <w:spacing w:after="0"/>
              <w:rPr>
                <w:sz w:val="17"/>
                <w:szCs w:val="17"/>
                <w:color w:val="auto"/>
              </w:rPr>
            </w:pPr>
          </w:p>
        </w:tc>
        <w:tc>
          <w:tcPr>
            <w:tcW w:w="78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$10,119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7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7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(10,126)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10,785</w:t>
            </w:r>
          </w:p>
        </w:tc>
        <w:tc>
          <w:tcPr>
            <w:tcW w:w="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2,615</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Pension/postretirement plan remeasurement</w:t>
            </w: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BFBFBF"/>
          </w:tcPr>
          <w:p>
            <w:pPr>
              <w:spacing w:after="0"/>
              <w:rPr>
                <w:sz w:val="17"/>
                <w:szCs w:val="17"/>
                <w:color w:val="auto"/>
              </w:rPr>
            </w:pPr>
          </w:p>
        </w:tc>
        <w:tc>
          <w:tcPr>
            <w:tcW w:w="92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(170)</w:t>
            </w:r>
          </w:p>
        </w:tc>
        <w:tc>
          <w:tcPr>
            <w:tcW w:w="7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Prior service credit</w:t>
            </w:r>
          </w:p>
        </w:tc>
        <w:tc>
          <w:tcPr>
            <w:tcW w:w="108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(1,112)</w:t>
            </w:r>
          </w:p>
        </w:tc>
        <w:tc>
          <w:tcPr>
            <w:tcW w:w="1240" w:type="dxa"/>
            <w:vAlign w:val="bottom"/>
            <w:gridSpan w:val="2"/>
            <w:shd w:val="clear" w:color="auto" w:fill="BFBFBF"/>
          </w:tcPr>
          <w:p>
            <w:pPr>
              <w:jc w:val="right"/>
              <w:ind w:right="480"/>
              <w:spacing w:after="0" w:line="202" w:lineRule="exact"/>
              <w:rPr>
                <w:sz w:val="20"/>
                <w:szCs w:val="20"/>
                <w:color w:val="auto"/>
              </w:rPr>
            </w:pPr>
            <w:r>
              <w:rPr>
                <w:rFonts w:ascii="Arial" w:cs="Arial" w:eastAsia="Arial" w:hAnsi="Arial"/>
                <w:sz w:val="18"/>
                <w:szCs w:val="18"/>
                <w:color w:val="auto"/>
              </w:rPr>
              <w:t>(1,111)</w:t>
            </w:r>
          </w:p>
        </w:tc>
        <w:tc>
          <w:tcPr>
            <w:tcW w:w="92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(2,225)</w:t>
            </w:r>
          </w:p>
        </w:tc>
        <w:tc>
          <w:tcPr>
            <w:tcW w:w="7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380"/>
              <w:spacing w:after="0" w:line="202" w:lineRule="exact"/>
              <w:rPr>
                <w:sz w:val="20"/>
                <w:szCs w:val="20"/>
                <w:color w:val="auto"/>
              </w:rPr>
            </w:pPr>
            <w:r>
              <w:rPr>
                <w:rFonts w:ascii="Arial" w:cs="Arial" w:eastAsia="Arial" w:hAnsi="Arial"/>
                <w:sz w:val="18"/>
                <w:szCs w:val="18"/>
                <w:color w:val="auto"/>
              </w:rPr>
              <w:t>Net actuarial loss</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1,296</w:t>
            </w:r>
          </w:p>
        </w:tc>
        <w:tc>
          <w:tcPr>
            <w:tcW w:w="3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1,461</w:t>
            </w:r>
          </w:p>
        </w:tc>
        <w:tc>
          <w:tcPr>
            <w:tcW w:w="4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2,574</w:t>
            </w:r>
          </w:p>
        </w:tc>
        <w:tc>
          <w:tcPr>
            <w:tcW w:w="2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305</w:t>
            </w: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467</w:t>
            </w:r>
          </w:p>
        </w:tc>
        <w:tc>
          <w:tcPr>
            <w:tcW w:w="480" w:type="dxa"/>
            <w:vAlign w:val="bottom"/>
            <w:shd w:val="clear" w:color="auto" w:fill="BFBFBF"/>
          </w:tcPr>
          <w:p>
            <w:pPr>
              <w:spacing w:after="0"/>
              <w:rPr>
                <w:sz w:val="17"/>
                <w:szCs w:val="17"/>
                <w:color w:val="auto"/>
              </w:rPr>
            </w:pPr>
          </w:p>
        </w:tc>
        <w:tc>
          <w:tcPr>
            <w:tcW w:w="6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586</w:t>
            </w:r>
          </w:p>
        </w:tc>
        <w:tc>
          <w:tcPr>
            <w:tcW w:w="260" w:type="dxa"/>
            <w:vAlign w:val="bottom"/>
            <w:shd w:val="clear" w:color="auto" w:fill="BFBFBF"/>
          </w:tcPr>
          <w:p>
            <w:pPr>
              <w:spacing w:after="0"/>
              <w:rPr>
                <w:sz w:val="17"/>
                <w:szCs w:val="17"/>
                <w:color w:val="auto"/>
              </w:rPr>
            </w:pPr>
          </w:p>
        </w:tc>
        <w:tc>
          <w:tcPr>
            <w:tcW w:w="7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(4,581)</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48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(7,433)</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8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7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Income taxes related to items of other comprehensive income/(loss):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Pension/postretirement plan remeasurement</w:t>
            </w: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BFBFBF"/>
          </w:tcPr>
          <w:p>
            <w:pPr>
              <w:spacing w:after="0"/>
              <w:rPr>
                <w:sz w:val="17"/>
                <w:szCs w:val="17"/>
                <w:color w:val="auto"/>
              </w:rPr>
            </w:pPr>
          </w:p>
        </w:tc>
        <w:tc>
          <w:tcPr>
            <w:tcW w:w="6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65</w:t>
            </w:r>
          </w:p>
        </w:tc>
        <w:tc>
          <w:tcPr>
            <w:tcW w:w="260" w:type="dxa"/>
            <w:vAlign w:val="bottom"/>
            <w:shd w:val="clear" w:color="auto" w:fill="BFBFBF"/>
          </w:tcPr>
          <w:p>
            <w:pPr>
              <w:spacing w:after="0"/>
              <w:rPr>
                <w:sz w:val="17"/>
                <w:szCs w:val="17"/>
                <w:color w:val="auto"/>
              </w:rPr>
            </w:pPr>
          </w:p>
        </w:tc>
        <w:tc>
          <w:tcPr>
            <w:tcW w:w="7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48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(105)</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080" w:type="dxa"/>
            <w:vAlign w:val="bottom"/>
            <w:gridSpan w:val="2"/>
            <w:shd w:val="clear" w:color="auto" w:fill="BFBFBF"/>
          </w:tcPr>
          <w:p>
            <w:pPr>
              <w:jc w:val="right"/>
              <w:ind w:right="320"/>
              <w:spacing w:after="0" w:line="202" w:lineRule="exact"/>
              <w:rPr>
                <w:sz w:val="20"/>
                <w:szCs w:val="20"/>
                <w:color w:val="auto"/>
              </w:rPr>
            </w:pPr>
            <w:r>
              <w:rPr>
                <w:rFonts w:ascii="Arial" w:cs="Arial" w:eastAsia="Arial" w:hAnsi="Arial"/>
                <w:sz w:val="18"/>
                <w:szCs w:val="18"/>
                <w:color w:val="auto"/>
              </w:rPr>
              <w:t>(116)</w:t>
            </w:r>
          </w:p>
        </w:tc>
        <w:tc>
          <w:tcPr>
            <w:tcW w:w="7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(182)</w:t>
            </w:r>
          </w:p>
        </w:tc>
        <w:tc>
          <w:tcPr>
            <w:tcW w:w="480" w:type="dxa"/>
            <w:vAlign w:val="bottom"/>
            <w:shd w:val="clear" w:color="auto" w:fill="BFBFBF"/>
          </w:tcPr>
          <w:p>
            <w:pPr>
              <w:spacing w:after="0"/>
              <w:rPr>
                <w:sz w:val="17"/>
                <w:szCs w:val="17"/>
                <w:color w:val="auto"/>
              </w:rPr>
            </w:pPr>
          </w:p>
        </w:tc>
        <w:tc>
          <w:tcPr>
            <w:tcW w:w="92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(223)</w:t>
            </w:r>
          </w:p>
        </w:tc>
        <w:tc>
          <w:tcPr>
            <w:tcW w:w="7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Borders>
              <w:bottom w:val="single" w:sz="8" w:color="BFBFBF"/>
            </w:tcBorders>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1,741</w:t>
            </w:r>
          </w:p>
        </w:tc>
        <w:tc>
          <w:tcPr>
            <w:tcW w:w="320" w:type="dxa"/>
            <w:vAlign w:val="bottom"/>
            <w:tcBorders>
              <w:bottom w:val="single" w:sz="8" w:color="BFBFBF"/>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480" w:type="dxa"/>
            <w:vAlign w:val="bottom"/>
            <w:tcBorders>
              <w:bottom w:val="single" w:sz="8" w:color="BFBFB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2,825</w:t>
            </w:r>
          </w:p>
        </w:tc>
        <w:tc>
          <w:tcPr>
            <w:tcW w:w="260" w:type="dxa"/>
            <w:vAlign w:val="bottom"/>
            <w:tcBorders>
              <w:bottom w:val="single" w:sz="8" w:color="BFBFB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BFBFBF"/>
          </w:tcPr>
          <w:p>
            <w:pPr>
              <w:ind w:left="180"/>
              <w:spacing w:after="0" w:line="196" w:lineRule="exact"/>
              <w:rPr>
                <w:sz w:val="20"/>
                <w:szCs w:val="20"/>
                <w:color w:val="auto"/>
              </w:rPr>
            </w:pPr>
            <w:r>
              <w:rPr>
                <w:rFonts w:ascii="Arial" w:cs="Arial" w:eastAsia="Arial" w:hAnsi="Arial"/>
                <w:sz w:val="18"/>
                <w:szCs w:val="18"/>
                <w:color w:val="auto"/>
              </w:rPr>
              <w:t>Comprehensive income/(loss)</w:t>
            </w:r>
          </w:p>
        </w:tc>
        <w:tc>
          <w:tcPr>
            <w:tcW w:w="7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(2,548)</w:t>
            </w:r>
          </w:p>
        </w:tc>
        <w:tc>
          <w:tcPr>
            <w:tcW w:w="320" w:type="dxa"/>
            <w:vAlign w:val="bottom"/>
            <w:shd w:val="clear" w:color="auto" w:fill="BFBFBF"/>
          </w:tcPr>
          <w:p>
            <w:pPr>
              <w:spacing w:after="0"/>
              <w:rPr>
                <w:sz w:val="17"/>
                <w:szCs w:val="17"/>
                <w:color w:val="auto"/>
              </w:rPr>
            </w:pPr>
          </w:p>
        </w:tc>
        <w:tc>
          <w:tcPr>
            <w:tcW w:w="7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9,109</w:t>
            </w:r>
          </w:p>
        </w:tc>
        <w:tc>
          <w:tcPr>
            <w:tcW w:w="480" w:type="dxa"/>
            <w:vAlign w:val="bottom"/>
            <w:shd w:val="clear" w:color="auto" w:fill="BFBFBF"/>
          </w:tcPr>
          <w:p>
            <w:pPr>
              <w:spacing w:after="0"/>
              <w:rPr>
                <w:sz w:val="17"/>
                <w:szCs w:val="17"/>
                <w:color w:val="auto"/>
              </w:rPr>
            </w:pPr>
          </w:p>
        </w:tc>
        <w:tc>
          <w:tcPr>
            <w:tcW w:w="66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21,926</w:t>
            </w:r>
          </w:p>
        </w:tc>
        <w:tc>
          <w:tcPr>
            <w:tcW w:w="260" w:type="dxa"/>
            <w:vAlign w:val="bottom"/>
            <w:shd w:val="clear" w:color="auto" w:fill="BFBFBF"/>
          </w:tcPr>
          <w:p>
            <w:pPr>
              <w:spacing w:after="0"/>
              <w:rPr>
                <w:sz w:val="17"/>
                <w:szCs w:val="17"/>
                <w:color w:val="auto"/>
              </w:rPr>
            </w:pPr>
          </w:p>
        </w:tc>
        <w:tc>
          <w:tcPr>
            <w:tcW w:w="780" w:type="dxa"/>
            <w:vAlign w:val="bottom"/>
            <w:shd w:val="clear" w:color="auto" w:fill="BFBFBF"/>
          </w:tcPr>
          <w:p>
            <w:pPr>
              <w:jc w:val="right"/>
              <w:spacing w:after="0" w:line="196" w:lineRule="exact"/>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Comprehensive (loss)/income attributable to the noncontrolling interest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(264)</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48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(452)</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shd w:val="clear" w:color="auto" w:fill="BFBFBF"/>
          </w:tcPr>
          <w:p>
            <w:pPr>
              <w:spacing w:after="0"/>
              <w:rPr>
                <w:sz w:val="20"/>
                <w:szCs w:val="20"/>
                <w:color w:val="auto"/>
              </w:rPr>
            </w:pPr>
            <w:r>
              <w:rPr>
                <w:rFonts w:ascii="Arial" w:cs="Arial" w:eastAsia="Arial" w:hAnsi="Arial"/>
                <w:sz w:val="18"/>
                <w:szCs w:val="18"/>
                <w:color w:val="auto"/>
              </w:rPr>
              <w:t>Comprehensive income/(loss) attributable to the Company</w:t>
            </w: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BFBFB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BFBFB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vMerge w:val="continue"/>
            <w:shd w:val="clear" w:color="auto" w:fill="BFBFBF"/>
          </w:tcPr>
          <w:p>
            <w:pPr>
              <w:spacing w:after="0"/>
              <w:rPr>
                <w:sz w:val="18"/>
                <w:szCs w:val="18"/>
                <w:color w:val="auto"/>
              </w:rPr>
            </w:pPr>
          </w:p>
        </w:tc>
        <w:tc>
          <w:tcPr>
            <w:tcW w:w="1080" w:type="dxa"/>
            <w:vAlign w:val="bottom"/>
            <w:gridSpan w:val="2"/>
            <w:shd w:val="clear" w:color="auto" w:fill="BFBFB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2,284)</w:t>
            </w:r>
          </w:p>
        </w:tc>
        <w:tc>
          <w:tcPr>
            <w:tcW w:w="76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$9,057</w:t>
            </w:r>
          </w:p>
        </w:tc>
        <w:tc>
          <w:tcPr>
            <w:tcW w:w="480" w:type="dxa"/>
            <w:vAlign w:val="bottom"/>
            <w:shd w:val="clear" w:color="auto" w:fill="BFBFBF"/>
          </w:tcPr>
          <w:p>
            <w:pPr>
              <w:spacing w:after="0"/>
              <w:rPr>
                <w:sz w:val="18"/>
                <w:szCs w:val="18"/>
                <w:color w:val="auto"/>
              </w:rPr>
            </w:pPr>
          </w:p>
        </w:tc>
        <w:tc>
          <w:tcPr>
            <w:tcW w:w="920" w:type="dxa"/>
            <w:vAlign w:val="bottom"/>
            <w:gridSpan w:val="2"/>
            <w:shd w:val="clear" w:color="auto" w:fill="BFBFBF"/>
          </w:tcPr>
          <w:p>
            <w:pPr>
              <w:jc w:val="right"/>
              <w:ind w:righ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22,378</w:t>
            </w:r>
          </w:p>
        </w:tc>
        <w:tc>
          <w:tcPr>
            <w:tcW w:w="780" w:type="dxa"/>
            <w:vAlign w:val="bottom"/>
            <w:shd w:val="clear" w:color="auto" w:fill="BFBFB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BFBFB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BFBFB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BFBFB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BFBFB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20" w:type="dxa"/>
            <w:vAlign w:val="bottom"/>
            <w:gridSpan w:val="2"/>
          </w:tcPr>
          <w:p>
            <w:pPr>
              <w:ind w:left="460"/>
              <w:spacing w:after="0"/>
              <w:rPr>
                <w:sz w:val="20"/>
                <w:szCs w:val="20"/>
                <w:color w:val="auto"/>
              </w:rPr>
            </w:pPr>
            <w:r>
              <w:rPr>
                <w:rFonts w:ascii="Arial" w:cs="Arial" w:eastAsia="Arial" w:hAnsi="Arial"/>
                <w:sz w:val="18"/>
                <w:szCs w:val="18"/>
                <w:color w:val="auto"/>
              </w:rPr>
              <w:t>June 30,</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540" w:type="dxa"/>
            <w:vAlign w:val="bottom"/>
            <w:gridSpan w:val="2"/>
          </w:tcPr>
          <w:p>
            <w:pPr>
              <w:jc w:val="right"/>
              <w:ind w:right="510"/>
              <w:spacing w:after="0" w:line="203" w:lineRule="exact"/>
              <w:rPr>
                <w:sz w:val="20"/>
                <w:szCs w:val="20"/>
                <w:color w:val="auto"/>
              </w:rPr>
            </w:pPr>
            <w:r>
              <w:rPr>
                <w:rFonts w:ascii="Arial" w:cs="Arial" w:eastAsia="Arial" w:hAnsi="Arial"/>
                <w:sz w:val="18"/>
                <w:szCs w:val="18"/>
                <w:color w:val="auto"/>
              </w:rPr>
              <w:t>2016</w:t>
            </w:r>
          </w:p>
        </w:tc>
        <w:tc>
          <w:tcPr>
            <w:tcW w:w="900" w:type="dxa"/>
            <w:vAlign w:val="bottom"/>
          </w:tcPr>
          <w:p>
            <w:pPr>
              <w:spacing w:after="0"/>
              <w:rPr>
                <w:sz w:val="17"/>
                <w:szCs w:val="17"/>
                <w:color w:val="auto"/>
              </w:rPr>
            </w:pPr>
          </w:p>
        </w:tc>
        <w:tc>
          <w:tcPr>
            <w:tcW w:w="158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$176,025</w:t>
            </w:r>
          </w:p>
        </w:tc>
        <w:tc>
          <w:tcPr>
            <w:tcW w:w="900" w:type="dxa"/>
            <w:vAlign w:val="bottom"/>
            <w:shd w:val="clear" w:color="auto" w:fill="BFBFBF"/>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$185,113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176,336</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145,371</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106,406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and receivable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1,230</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Asset held for sale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5,078</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9,582</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BFBFBF"/>
            </w:tcBorders>
            <w:shd w:val="clear" w:color="auto" w:fill="BFBFBF"/>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513,622</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452,060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440,175</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357,470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Intangibles,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58,325</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18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98,566</w:t>
            </w:r>
          </w:p>
        </w:tc>
        <w:tc>
          <w:tcPr>
            <w:tcW w:w="900" w:type="dxa"/>
            <w:vAlign w:val="bottom"/>
            <w:shd w:val="clear" w:color="auto" w:fill="C0C0C0"/>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Income taxes receivable and deferred</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110,263</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18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28,379</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BFBFBF"/>
            </w:tcBorders>
          </w:tcPr>
          <w:p>
            <w:pPr>
              <w:ind w:left="340"/>
              <w:spacing w:after="0" w:line="197" w:lineRule="exact"/>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BFBFBF"/>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$1,249,330</w:t>
            </w:r>
          </w:p>
        </w:tc>
        <w:tc>
          <w:tcPr>
            <w:tcW w:w="900" w:type="dxa"/>
            <w:vAlign w:val="bottom"/>
            <w:tcBorders>
              <w:bottom w:val="single" w:sz="8" w:color="BFBFBF"/>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80" w:type="dxa"/>
            <w:vAlign w:val="bottom"/>
            <w:shd w:val="clear" w:color="auto" w:fill="BFBFBF"/>
          </w:tcPr>
          <w:p>
            <w:pPr>
              <w:spacing w:after="0"/>
              <w:rPr>
                <w:sz w:val="15"/>
                <w:szCs w:val="15"/>
                <w:color w:val="auto"/>
              </w:rPr>
            </w:pPr>
          </w:p>
        </w:tc>
        <w:tc>
          <w:tcPr>
            <w:tcW w:w="920" w:type="dxa"/>
            <w:vAlign w:val="bottom"/>
            <w:shd w:val="clear" w:color="auto" w:fill="BFBFBF"/>
          </w:tcPr>
          <w:p>
            <w:pPr>
              <w:spacing w:after="0"/>
              <w:rPr>
                <w:sz w:val="15"/>
                <w:szCs w:val="15"/>
                <w:color w:val="auto"/>
              </w:rPr>
            </w:pPr>
          </w:p>
        </w:tc>
        <w:tc>
          <w:tcPr>
            <w:tcW w:w="1620" w:type="dxa"/>
            <w:vAlign w:val="bottom"/>
            <w:shd w:val="clear" w:color="auto" w:fill="BFBFBF"/>
          </w:tcPr>
          <w:p>
            <w:pPr>
              <w:spacing w:after="0"/>
              <w:rPr>
                <w:sz w:val="15"/>
                <w:szCs w:val="15"/>
                <w:color w:val="auto"/>
              </w:rPr>
            </w:pPr>
          </w:p>
        </w:tc>
        <w:tc>
          <w:tcPr>
            <w:tcW w:w="900" w:type="dxa"/>
            <w:vAlign w:val="bottom"/>
            <w:shd w:val="clear" w:color="auto" w:fill="BFBFBF"/>
          </w:tcPr>
          <w:p>
            <w:pPr>
              <w:spacing w:after="0"/>
              <w:rPr>
                <w:sz w:val="15"/>
                <w:szCs w:val="15"/>
                <w:color w:val="auto"/>
              </w:rPr>
            </w:pPr>
          </w:p>
        </w:tc>
        <w:tc>
          <w:tcPr>
            <w:tcW w:w="158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$531</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40,608</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920" w:type="dxa"/>
            <w:vAlign w:val="bottom"/>
            <w:shd w:val="clear" w:color="auto" w:fill="BFBFBF"/>
          </w:tcPr>
          <w:p>
            <w:pPr>
              <w:spacing w:after="0"/>
              <w:rPr>
                <w:sz w:val="17"/>
                <w:szCs w:val="17"/>
                <w:color w:val="auto"/>
              </w:rPr>
            </w:pPr>
          </w:p>
        </w:tc>
        <w:tc>
          <w:tcPr>
            <w:tcW w:w="162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87,388</w:t>
            </w:r>
          </w:p>
        </w:tc>
        <w:tc>
          <w:tcPr>
            <w:tcW w:w="900" w:type="dxa"/>
            <w:vAlign w:val="bottom"/>
            <w:shd w:val="clear" w:color="auto" w:fill="BFBFBF"/>
          </w:tcPr>
          <w:p>
            <w:pPr>
              <w:spacing w:after="0"/>
              <w:rPr>
                <w:sz w:val="17"/>
                <w:szCs w:val="17"/>
                <w:color w:val="auto"/>
              </w:rPr>
            </w:pPr>
          </w:p>
        </w:tc>
        <w:tc>
          <w:tcPr>
            <w:tcW w:w="158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91,785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9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566</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180"/>
              <w:spacing w:after="0"/>
              <w:rPr>
                <w:sz w:val="20"/>
                <w:szCs w:val="20"/>
                <w:color w:val="auto"/>
              </w:rPr>
            </w:pPr>
            <w:r>
              <w:rPr>
                <w:rFonts w:ascii="Arial" w:cs="Arial" w:eastAsia="Arial" w:hAnsi="Arial"/>
                <w:sz w:val="18"/>
                <w:szCs w:val="18"/>
                <w:color w:val="auto"/>
              </w:rPr>
              <w:t>Income taxes payable</w:t>
            </w:r>
          </w:p>
        </w:tc>
        <w:tc>
          <w:tcPr>
            <w:tcW w:w="920" w:type="dxa"/>
            <w:vAlign w:val="bottom"/>
            <w:shd w:val="clear" w:color="auto" w:fill="BFBFBF"/>
          </w:tcPr>
          <w:p>
            <w:pPr>
              <w:spacing w:after="0"/>
              <w:rPr>
                <w:sz w:val="18"/>
                <w:szCs w:val="18"/>
                <w:color w:val="auto"/>
              </w:rPr>
            </w:pPr>
          </w:p>
        </w:tc>
        <w:tc>
          <w:tcPr>
            <w:tcW w:w="16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7,078</w:t>
            </w:r>
          </w:p>
        </w:tc>
        <w:tc>
          <w:tcPr>
            <w:tcW w:w="900" w:type="dxa"/>
            <w:vAlign w:val="bottom"/>
            <w:shd w:val="clear" w:color="auto" w:fill="BFBFBF"/>
          </w:tcPr>
          <w:p>
            <w:pPr>
              <w:spacing w:after="0"/>
              <w:rPr>
                <w:sz w:val="18"/>
                <w:szCs w:val="18"/>
                <w:color w:val="auto"/>
              </w:rPr>
            </w:pPr>
          </w:p>
        </w:tc>
        <w:tc>
          <w:tcPr>
            <w:tcW w:w="158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17"/>
                <w:szCs w:val="17"/>
                <w:color w:val="auto"/>
              </w:rPr>
            </w:pPr>
          </w:p>
        </w:tc>
        <w:tc>
          <w:tcPr>
            <w:tcW w:w="16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136,171</w:t>
            </w:r>
          </w:p>
        </w:tc>
        <w:tc>
          <w:tcPr>
            <w:tcW w:w="900" w:type="dxa"/>
            <w:vAlign w:val="bottom"/>
          </w:tcPr>
          <w:p>
            <w:pPr>
              <w:spacing w:after="0"/>
              <w:rPr>
                <w:sz w:val="17"/>
                <w:szCs w:val="17"/>
                <w:color w:val="auto"/>
              </w:rPr>
            </w:pPr>
          </w:p>
        </w:tc>
        <w:tc>
          <w:tcPr>
            <w:tcW w:w="15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126,231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Long-term debt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485,215</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Other noncurrent liabilities</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99,590</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Deferred taxes and other liabilities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12,760</w:t>
            </w:r>
          </w:p>
        </w:tc>
        <w:tc>
          <w:tcPr>
            <w:tcW w:w="9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BFBFBF"/>
            </w:tcBorders>
            <w:shd w:val="clear" w:color="auto" w:fill="BFBFBF"/>
          </w:tcPr>
          <w:p>
            <w:pPr>
              <w:ind w:left="34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Borders>
              <w:top w:val="single" w:sz="8" w:color="BFBFBF"/>
            </w:tcBorders>
            <w:shd w:val="clear" w:color="auto" w:fill="BFBFBF"/>
          </w:tcPr>
          <w:p>
            <w:pPr>
              <w:spacing w:after="0"/>
              <w:rPr>
                <w:sz w:val="17"/>
                <w:szCs w:val="17"/>
                <w:color w:val="auto"/>
              </w:rPr>
            </w:pPr>
          </w:p>
        </w:tc>
        <w:tc>
          <w:tcPr>
            <w:tcW w:w="1620" w:type="dxa"/>
            <w:vAlign w:val="bottom"/>
            <w:tcBorders>
              <w:top w:val="single" w:sz="8" w:color="auto"/>
              <w:bottom w:val="single" w:sz="8" w:color="auto"/>
            </w:tcBorders>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733,736</w:t>
            </w:r>
          </w:p>
        </w:tc>
        <w:tc>
          <w:tcPr>
            <w:tcW w:w="900" w:type="dxa"/>
            <w:vAlign w:val="bottom"/>
            <w:tcBorders>
              <w:top w:val="single" w:sz="8" w:color="BFBFBF"/>
            </w:tcBorders>
            <w:shd w:val="clear" w:color="auto" w:fill="BFBFBF"/>
          </w:tcPr>
          <w:p>
            <w:pPr>
              <w:spacing w:after="0"/>
              <w:rPr>
                <w:sz w:val="17"/>
                <w:szCs w:val="17"/>
                <w:color w:val="auto"/>
              </w:rPr>
            </w:pPr>
          </w:p>
        </w:tc>
        <w:tc>
          <w:tcPr>
            <w:tcW w:w="1580" w:type="dxa"/>
            <w:vAlign w:val="bottom"/>
            <w:tcBorders>
              <w:top w:val="single" w:sz="8" w:color="auto"/>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507,009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SHAREHOLDERS' EQUITY</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par value $5.00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340"/>
              <w:spacing w:after="0" w:line="203" w:lineRule="exact"/>
              <w:rPr>
                <w:sz w:val="20"/>
                <w:szCs w:val="20"/>
                <w:color w:val="auto"/>
              </w:rPr>
            </w:pPr>
            <w:r>
              <w:rPr>
                <w:rFonts w:ascii="Arial" w:cs="Arial" w:eastAsia="Arial" w:hAnsi="Arial"/>
                <w:sz w:val="18"/>
                <w:szCs w:val="18"/>
                <w:color w:val="auto"/>
              </w:rPr>
              <w:t>authorized 2,000,000 shares; none issued</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5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authorized 100,000,000 shares; issued 37,311,733</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37</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340"/>
              <w:spacing w:after="0" w:line="203" w:lineRule="exact"/>
              <w:rPr>
                <w:sz w:val="20"/>
                <w:szCs w:val="20"/>
                <w:color w:val="auto"/>
              </w:rPr>
            </w:pPr>
            <w:r>
              <w:rPr>
                <w:rFonts w:ascii="Arial" w:cs="Arial" w:eastAsia="Arial" w:hAnsi="Arial"/>
                <w:sz w:val="18"/>
                <w:szCs w:val="18"/>
                <w:color w:val="auto"/>
              </w:rPr>
              <w:t>in 2016 and 37,238,913 in 2015</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8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authorized 25,000,000 shares; issued and</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340"/>
              <w:spacing w:after="0" w:line="203" w:lineRule="exact"/>
              <w:rPr>
                <w:sz w:val="20"/>
                <w:szCs w:val="20"/>
                <w:color w:val="auto"/>
              </w:rPr>
            </w:pPr>
            <w:r>
              <w:rPr>
                <w:rFonts w:ascii="Arial" w:cs="Arial" w:eastAsia="Arial" w:hAnsi="Arial"/>
                <w:sz w:val="18"/>
                <w:szCs w:val="18"/>
                <w:color w:val="auto"/>
              </w:rPr>
              <w:t>outstanding 3,235,048 in 2016 and 2015</w:t>
            </w:r>
          </w:p>
        </w:tc>
        <w:tc>
          <w:tcPr>
            <w:tcW w:w="25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w:t>
            </w:r>
          </w:p>
        </w:tc>
        <w:tc>
          <w:tcPr>
            <w:tcW w:w="900" w:type="dxa"/>
            <w:vAlign w:val="bottom"/>
          </w:tcPr>
          <w:p>
            <w:pPr>
              <w:spacing w:after="0"/>
              <w:rPr>
                <w:sz w:val="17"/>
                <w:szCs w:val="17"/>
                <w:color w:val="auto"/>
              </w:rPr>
            </w:pPr>
          </w:p>
        </w:tc>
        <w:tc>
          <w:tcPr>
            <w:tcW w:w="15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Additional paid in capital</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424,921</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423,108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504,907</w:t>
            </w:r>
          </w:p>
        </w:tc>
        <w:tc>
          <w:tcPr>
            <w:tcW w:w="90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491,950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(106,262)</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(108,655)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(48,364)</w:t>
            </w: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(48,725)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34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(5,709)</w:t>
            </w:r>
          </w:p>
        </w:tc>
        <w:tc>
          <w:tcPr>
            <w:tcW w:w="90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1" w:lineRule="exact"/>
              <w:rPr>
                <w:sz w:val="20"/>
                <w:szCs w:val="20"/>
                <w:color w:val="auto"/>
              </w:rPr>
            </w:pPr>
            <w:r>
              <w:rPr>
                <w:rFonts w:ascii="Arial" w:cs="Arial" w:eastAsia="Arial" w:hAnsi="Arial"/>
                <w:sz w:val="18"/>
                <w:szCs w:val="18"/>
                <w:color w:val="auto"/>
              </w:rPr>
              <w:t>Treasury stock (Class A), at cost 8,445,342 shares</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BFBFBF"/>
          </w:tcPr>
          <w:p>
            <w:pPr>
              <w:ind w:left="340"/>
              <w:spacing w:after="0"/>
              <w:rPr>
                <w:sz w:val="20"/>
                <w:szCs w:val="20"/>
                <w:color w:val="auto"/>
              </w:rPr>
            </w:pPr>
            <w:r>
              <w:rPr>
                <w:rFonts w:ascii="Arial" w:cs="Arial" w:eastAsia="Arial" w:hAnsi="Arial"/>
                <w:sz w:val="18"/>
                <w:szCs w:val="18"/>
                <w:color w:val="auto"/>
              </w:rPr>
              <w:t>in 2016 and 8,455,293 shares in 2015</w:t>
            </w:r>
          </w:p>
        </w:tc>
        <w:tc>
          <w:tcPr>
            <w:tcW w:w="254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(257,177)</w:t>
            </w:r>
          </w:p>
        </w:tc>
        <w:tc>
          <w:tcPr>
            <w:tcW w:w="900" w:type="dxa"/>
            <w:vAlign w:val="bottom"/>
            <w:shd w:val="clear" w:color="auto" w:fill="BFBFBF"/>
          </w:tcPr>
          <w:p>
            <w:pPr>
              <w:spacing w:after="0"/>
              <w:rPr>
                <w:sz w:val="18"/>
                <w:szCs w:val="18"/>
                <w:color w:val="auto"/>
              </w:rPr>
            </w:pPr>
          </w:p>
        </w:tc>
        <w:tc>
          <w:tcPr>
            <w:tcW w:w="15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(257,391)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40"/>
              <w:spacing w:after="0" w:line="196" w:lineRule="exact"/>
              <w:rPr>
                <w:sz w:val="20"/>
                <w:szCs w:val="20"/>
                <w:color w:val="auto"/>
              </w:rPr>
            </w:pPr>
            <w:r>
              <w:rPr>
                <w:rFonts w:ascii="Arial" w:cs="Arial" w:eastAsia="Arial" w:hAnsi="Arial"/>
                <w:sz w:val="18"/>
                <w:szCs w:val="18"/>
                <w:color w:val="auto"/>
              </w:rPr>
              <w:t>Total Company shareholders' equity</w:t>
            </w:r>
          </w:p>
        </w:tc>
        <w:tc>
          <w:tcPr>
            <w:tcW w:w="920" w:type="dxa"/>
            <w:vAlign w:val="bottom"/>
          </w:tcPr>
          <w:p>
            <w:pPr>
              <w:spacing w:after="0"/>
              <w:rPr>
                <w:sz w:val="17"/>
                <w:szCs w:val="17"/>
                <w:color w:val="auto"/>
              </w:rPr>
            </w:pPr>
          </w:p>
        </w:tc>
        <w:tc>
          <w:tcPr>
            <w:tcW w:w="1620" w:type="dxa"/>
            <w:vAlign w:val="bottom"/>
            <w:tcBorders>
              <w:top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512,356</w:t>
            </w:r>
          </w:p>
        </w:tc>
        <w:tc>
          <w:tcPr>
            <w:tcW w:w="900" w:type="dxa"/>
            <w:vAlign w:val="bottom"/>
          </w:tcPr>
          <w:p>
            <w:pPr>
              <w:spacing w:after="0"/>
              <w:rPr>
                <w:sz w:val="17"/>
                <w:szCs w:val="17"/>
                <w:color w:val="auto"/>
              </w:rPr>
            </w:pPr>
          </w:p>
        </w:tc>
        <w:tc>
          <w:tcPr>
            <w:tcW w:w="1580" w:type="dxa"/>
            <w:vAlign w:val="bottom"/>
            <w:tcBorders>
              <w:top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498,863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BFBFBF"/>
          </w:tcPr>
          <w:p>
            <w:pPr>
              <w:ind w:left="180"/>
              <w:spacing w:after="0"/>
              <w:rPr>
                <w:sz w:val="20"/>
                <w:szCs w:val="20"/>
                <w:color w:val="auto"/>
              </w:rPr>
            </w:pPr>
            <w:r>
              <w:rPr>
                <w:rFonts w:ascii="Arial" w:cs="Arial" w:eastAsia="Arial" w:hAnsi="Arial"/>
                <w:sz w:val="18"/>
                <w:szCs w:val="18"/>
                <w:color w:val="auto"/>
              </w:rPr>
              <w:t>Noncontrolling interest</w:t>
            </w:r>
          </w:p>
        </w:tc>
        <w:tc>
          <w:tcPr>
            <w:tcW w:w="2540" w:type="dxa"/>
            <w:vAlign w:val="bottom"/>
            <w:gridSpan w:val="2"/>
            <w:shd w:val="clear" w:color="auto" w:fill="BFBFBF"/>
          </w:tcPr>
          <w:p>
            <w:pPr>
              <w:jc w:val="right"/>
              <w:ind w:right="30"/>
              <w:spacing w:after="0"/>
              <w:rPr>
                <w:sz w:val="20"/>
                <w:szCs w:val="20"/>
                <w:color w:val="auto"/>
              </w:rPr>
            </w:pPr>
            <w:r>
              <w:rPr>
                <w:rFonts w:ascii="Arial" w:cs="Arial" w:eastAsia="Arial" w:hAnsi="Arial"/>
                <w:sz w:val="18"/>
                <w:szCs w:val="18"/>
                <w:color w:val="auto"/>
              </w:rPr>
              <w:t>3,238</w:t>
            </w:r>
          </w:p>
        </w:tc>
        <w:tc>
          <w:tcPr>
            <w:tcW w:w="900" w:type="dxa"/>
            <w:vAlign w:val="bottom"/>
            <w:shd w:val="clear" w:color="auto" w:fill="BFBFBF"/>
          </w:tcPr>
          <w:p>
            <w:pPr>
              <w:spacing w:after="0"/>
              <w:rPr>
                <w:sz w:val="18"/>
                <w:szCs w:val="18"/>
                <w:color w:val="auto"/>
              </w:rPr>
            </w:pPr>
          </w:p>
        </w:tc>
        <w:tc>
          <w:tcPr>
            <w:tcW w:w="158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auto"/>
              </w:rPr>
              <w:t>Total equity</w:t>
            </w:r>
          </w:p>
        </w:tc>
        <w:tc>
          <w:tcPr>
            <w:tcW w:w="920" w:type="dxa"/>
            <w:vAlign w:val="bottom"/>
            <w:tcBorders>
              <w:bottom w:val="single" w:sz="8" w:color="BFBFB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515,594</w:t>
            </w:r>
          </w:p>
        </w:tc>
        <w:tc>
          <w:tcPr>
            <w:tcW w:w="900" w:type="dxa"/>
            <w:vAlign w:val="bottom"/>
            <w:tcBorders>
              <w:bottom w:val="single" w:sz="8" w:color="BFBFB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502,553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BFBFBF"/>
            </w:tcBorders>
            <w:shd w:val="clear" w:color="auto" w:fill="BFBFB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920" w:type="dxa"/>
            <w:vAlign w:val="bottom"/>
            <w:tcBorders>
              <w:bottom w:val="single" w:sz="8" w:color="BFBFBF"/>
            </w:tcBorders>
            <w:shd w:val="clear" w:color="auto" w:fill="BFBFBF"/>
          </w:tcPr>
          <w:p>
            <w:pPr>
              <w:spacing w:after="0"/>
              <w:rPr>
                <w:sz w:val="18"/>
                <w:szCs w:val="18"/>
                <w:color w:val="auto"/>
              </w:rPr>
            </w:pPr>
          </w:p>
        </w:tc>
        <w:tc>
          <w:tcPr>
            <w:tcW w:w="162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$1,249,330</w:t>
            </w:r>
          </w:p>
        </w:tc>
        <w:tc>
          <w:tcPr>
            <w:tcW w:w="900" w:type="dxa"/>
            <w:vAlign w:val="bottom"/>
            <w:tcBorders>
              <w:bottom w:val="single" w:sz="8" w:color="BFBFBF"/>
            </w:tcBorders>
            <w:shd w:val="clear" w:color="auto" w:fill="BFBFBF"/>
          </w:tcPr>
          <w:p>
            <w:pPr>
              <w:spacing w:after="0"/>
              <w:rPr>
                <w:sz w:val="18"/>
                <w:szCs w:val="18"/>
                <w:color w:val="auto"/>
              </w:rPr>
            </w:pPr>
          </w:p>
        </w:tc>
        <w:tc>
          <w:tcPr>
            <w:tcW w:w="158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$1,009,562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w:t>
      </w:r>
    </w:p>
    <w:p>
      <w:pPr>
        <w:jc w:val="center"/>
        <w:spacing w:after="0" w:line="235"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46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Three Months Ended</w:t>
            </w:r>
          </w:p>
        </w:tc>
        <w:tc>
          <w:tcPr>
            <w:tcW w:w="2020" w:type="dxa"/>
            <w:vAlign w:val="bottom"/>
            <w:gridSpan w:val="3"/>
          </w:tcPr>
          <w:p>
            <w:pPr>
              <w:jc w:val="right"/>
              <w:ind w:right="1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460" w:type="dxa"/>
            <w:vAlign w:val="bottom"/>
            <w:gridSpan w:val="4"/>
          </w:tcPr>
          <w:p>
            <w:pPr>
              <w:jc w:val="center"/>
              <w:ind w:right="440"/>
              <w:spacing w:after="0" w:line="202" w:lineRule="exact"/>
              <w:rPr>
                <w:sz w:val="20"/>
                <w:szCs w:val="20"/>
                <w:color w:val="auto"/>
              </w:rPr>
            </w:pPr>
            <w:r>
              <w:rPr>
                <w:rFonts w:ascii="Arial" w:cs="Arial" w:eastAsia="Arial" w:hAnsi="Arial"/>
                <w:sz w:val="18"/>
                <w:szCs w:val="18"/>
                <w:color w:val="auto"/>
              </w:rPr>
              <w:t>June 30,</w:t>
            </w:r>
          </w:p>
        </w:tc>
        <w:tc>
          <w:tcPr>
            <w:tcW w:w="2020" w:type="dxa"/>
            <w:vAlign w:val="bottom"/>
            <w:gridSpan w:val="3"/>
          </w:tcPr>
          <w:p>
            <w:pPr>
              <w:jc w:val="right"/>
              <w:ind w:right="570"/>
              <w:spacing w:after="0" w:line="20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7"/>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96"/>
        </w:trPr>
        <w:tc>
          <w:tcPr>
            <w:tcW w:w="69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income/(loss)</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$10,101</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($2,120)</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$23,417</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income/(loss) to net cash provided by operating activities: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Depreciation</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15,142</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13,373</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28,266</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26,897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2,817</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1,811</w:t>
            </w:r>
          </w:p>
        </w:tc>
        <w:tc>
          <w:tcPr>
            <w:tcW w:w="4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4,513</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Change in other noncurrent liabilities</w:t>
            </w: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(3,371)</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(6,007)</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(1,457)</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(5,928)</w:t>
            </w:r>
          </w:p>
        </w:tc>
        <w:tc>
          <w:tcPr>
            <w:tcW w:w="4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1,072</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484</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263</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1,076</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Gain on disposition of assets</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Excess tax benefit of options exercised</w:t>
            </w: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(342)</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(105)</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668</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w:t>
            </w:r>
          </w:p>
        </w:tc>
        <w:tc>
          <w:tcPr>
            <w:tcW w:w="4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1,532</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20" w:type="dxa"/>
            <w:vAlign w:val="bottom"/>
          </w:tcPr>
          <w:p>
            <w:pPr>
              <w:spacing w:after="0" w:line="201" w:lineRule="exact"/>
              <w:rPr>
                <w:sz w:val="20"/>
                <w:szCs w:val="20"/>
                <w:color w:val="auto"/>
              </w:rPr>
            </w:pPr>
            <w:r>
              <w:rPr>
                <w:rFonts w:ascii="Arial" w:cs="Arial" w:eastAsia="Arial" w:hAnsi="Arial"/>
                <w:sz w:val="18"/>
                <w:szCs w:val="18"/>
                <w:color w:val="auto"/>
              </w:rPr>
              <w:t>Changes in operating assets and liabilities that provide/(use) cash, net of impact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gridSpan w:val="2"/>
          </w:tcPr>
          <w:p>
            <w:pPr>
              <w:spacing w:after="0" w:line="203" w:lineRule="exact"/>
              <w:rPr>
                <w:sz w:val="20"/>
                <w:szCs w:val="20"/>
                <w:color w:val="auto"/>
              </w:rPr>
            </w:pPr>
            <w:r>
              <w:rPr>
                <w:rFonts w:ascii="Arial" w:cs="Arial" w:eastAsia="Arial" w:hAnsi="Arial"/>
                <w:sz w:val="18"/>
                <w:szCs w:val="18"/>
                <w:color w:val="auto"/>
              </w:rPr>
              <w:t>business acquisition: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(10,384)</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4,212</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(11,286)</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(6,027)</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(4,061)</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(7,375)</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2,561</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1,715</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(2,821)</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prepaid and receivable</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3,732</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4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1,837</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1,267</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(4,853)</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2,899</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689</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(8,154)</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Income taxes payable</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2,903</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475</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(933)</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BFBFBF"/>
            </w:tcBorders>
          </w:tcPr>
          <w:p>
            <w:pPr>
              <w:ind w:left="18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20" w:type="dxa"/>
            <w:vAlign w:val="bottom"/>
            <w:tcBorders>
              <w:bottom w:val="single" w:sz="8" w:color="BFBFBF"/>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7,062</w:t>
            </w:r>
          </w:p>
        </w:tc>
        <w:tc>
          <w:tcPr>
            <w:tcW w:w="440" w:type="dxa"/>
            <w:vAlign w:val="bottom"/>
            <w:tcBorders>
              <w:bottom w:val="single" w:sz="8" w:color="BFBFB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w:t>
            </w:r>
          </w:p>
        </w:tc>
        <w:tc>
          <w:tcPr>
            <w:tcW w:w="220" w:type="dxa"/>
            <w:vAlign w:val="bottom"/>
            <w:tcBorders>
              <w:bottom w:val="single" w:sz="8" w:color="BFBFBF"/>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18,609</w:t>
            </w:r>
          </w:p>
        </w:tc>
        <w:tc>
          <w:tcPr>
            <w:tcW w:w="220" w:type="dxa"/>
            <w:vAlign w:val="bottom"/>
            <w:shd w:val="clear" w:color="auto" w:fill="BFBFBF"/>
          </w:tcPr>
          <w:p>
            <w:pPr>
              <w:spacing w:after="0"/>
              <w:rPr>
                <w:sz w:val="17"/>
                <w:szCs w:val="17"/>
                <w:color w:val="auto"/>
              </w:rPr>
            </w:pPr>
          </w:p>
        </w:tc>
        <w:tc>
          <w:tcPr>
            <w:tcW w:w="9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10,943</w:t>
            </w:r>
          </w:p>
        </w:tc>
        <w:tc>
          <w:tcPr>
            <w:tcW w:w="440" w:type="dxa"/>
            <w:vAlign w:val="bottom"/>
            <w:shd w:val="clear" w:color="auto" w:fill="BFBFBF"/>
          </w:tcPr>
          <w:p>
            <w:pPr>
              <w:spacing w:after="0"/>
              <w:rPr>
                <w:sz w:val="17"/>
                <w:szCs w:val="17"/>
                <w:color w:val="auto"/>
              </w:rPr>
            </w:pPr>
          </w:p>
        </w:tc>
        <w:tc>
          <w:tcPr>
            <w:tcW w:w="9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22,653</w:t>
            </w:r>
          </w:p>
        </w:tc>
        <w:tc>
          <w:tcPr>
            <w:tcW w:w="220" w:type="dxa"/>
            <w:vAlign w:val="bottom"/>
            <w:shd w:val="clear" w:color="auto" w:fill="BFBFBF"/>
          </w:tcPr>
          <w:p>
            <w:pPr>
              <w:spacing w:after="0"/>
              <w:rPr>
                <w:sz w:val="17"/>
                <w:szCs w:val="17"/>
                <w:color w:val="auto"/>
              </w:rPr>
            </w:pPr>
          </w:p>
        </w:tc>
        <w:tc>
          <w:tcPr>
            <w:tcW w:w="900" w:type="dxa"/>
            <w:vAlign w:val="bottom"/>
            <w:tcBorders>
              <w:bottom w:val="single" w:sz="8" w:color="auto"/>
            </w:tcBorders>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17,352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INVESTING ACTIVITIES</w:t>
            </w:r>
          </w:p>
        </w:tc>
        <w:tc>
          <w:tcPr>
            <w:tcW w:w="90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Purchase of business, net of cash acquired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(187,000)</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(187,000)</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(20,112)</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(18,455)</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(28,105)</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(30,666)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Purchased software</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BFBFBF"/>
          </w:tcPr>
          <w:p>
            <w:pPr>
              <w:ind w:left="180"/>
              <w:spacing w:after="0"/>
              <w:rPr>
                <w:sz w:val="20"/>
                <w:szCs w:val="20"/>
                <w:color w:val="auto"/>
              </w:rPr>
            </w:pPr>
            <w:r>
              <w:rPr>
                <w:rFonts w:ascii="Arial" w:cs="Arial" w:eastAsia="Arial" w:hAnsi="Arial"/>
                <w:sz w:val="18"/>
                <w:szCs w:val="18"/>
                <w:color w:val="auto"/>
              </w:rPr>
              <w:t>Proceeds from sale or involuntary conversion of assets</w:t>
            </w: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1,736</w:t>
            </w:r>
          </w:p>
        </w:tc>
        <w:tc>
          <w:tcPr>
            <w:tcW w:w="22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1,736</w:t>
            </w:r>
          </w:p>
        </w:tc>
        <w:tc>
          <w:tcPr>
            <w:tcW w:w="22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Borders>
              <w:bottom w:val="single" w:sz="8" w:color="BFBFBF"/>
            </w:tcBorders>
          </w:tcPr>
          <w:p>
            <w:pPr>
              <w:ind w:left="180"/>
              <w:spacing w:after="0" w:line="196" w:lineRule="exact"/>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(205,965)</w:t>
            </w:r>
          </w:p>
        </w:tc>
        <w:tc>
          <w:tcPr>
            <w:tcW w:w="220" w:type="dxa"/>
            <w:vAlign w:val="bottom"/>
            <w:tcBorders>
              <w:bottom w:val="single" w:sz="8" w:color="BFBFBF"/>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(18,759)</w:t>
            </w:r>
          </w:p>
        </w:tc>
        <w:tc>
          <w:tcPr>
            <w:tcW w:w="440" w:type="dxa"/>
            <w:vAlign w:val="bottom"/>
            <w:tcBorders>
              <w:bottom w:val="single" w:sz="8" w:color="BFBFBF"/>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(214,040)</w:t>
            </w:r>
          </w:p>
        </w:tc>
        <w:tc>
          <w:tcPr>
            <w:tcW w:w="220" w:type="dxa"/>
            <w:vAlign w:val="bottom"/>
            <w:tcBorders>
              <w:bottom w:val="single" w:sz="8" w:color="BFBFBF"/>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2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Proceeds from borrowings</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207,134</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24,346</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219,530</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debt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(4,303)</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(22,824)</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Debt acquisition costs</w:t>
            </w: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(1,571)</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(1,630)</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(1,771)</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Swap termination payment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(5,175)</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(5,175)</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Proceeds from options exercised</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185</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1,039</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390</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tcPr>
          <w:p>
            <w:pPr>
              <w:ind w:left="180"/>
              <w:spacing w:after="0" w:line="202" w:lineRule="exact"/>
              <w:rPr>
                <w:sz w:val="20"/>
                <w:szCs w:val="20"/>
                <w:color w:val="auto"/>
              </w:rPr>
            </w:pPr>
            <w:r>
              <w:rPr>
                <w:rFonts w:ascii="Arial" w:cs="Arial" w:eastAsia="Arial" w:hAnsi="Arial"/>
                <w:sz w:val="18"/>
                <w:szCs w:val="18"/>
                <w:color w:val="auto"/>
              </w:rPr>
              <w:t>Excess tax benefit of options exercised</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342</w:t>
            </w:r>
          </w:p>
        </w:tc>
        <w:tc>
          <w:tcPr>
            <w:tcW w:w="44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BFBFBF"/>
          </w:tcPr>
          <w:p>
            <w:pPr>
              <w:ind w:left="180"/>
              <w:spacing w:after="0"/>
              <w:rPr>
                <w:sz w:val="20"/>
                <w:szCs w:val="20"/>
                <w:color w:val="auto"/>
              </w:rPr>
            </w:pPr>
            <w:r>
              <w:rPr>
                <w:rFonts w:ascii="Arial" w:cs="Arial" w:eastAsia="Arial" w:hAnsi="Arial"/>
                <w:sz w:val="18"/>
                <w:szCs w:val="18"/>
                <w:color w:val="auto"/>
              </w:rPr>
              <w:t>Dividends paid</w:t>
            </w: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(5,454)</w:t>
            </w:r>
          </w:p>
        </w:tc>
        <w:tc>
          <w:tcPr>
            <w:tcW w:w="22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(5,107)</w:t>
            </w:r>
          </w:p>
        </w:tc>
        <w:tc>
          <w:tcPr>
            <w:tcW w:w="44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(10,897)</w:t>
            </w:r>
          </w:p>
        </w:tc>
        <w:tc>
          <w:tcPr>
            <w:tcW w:w="22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tcPr>
          <w:p>
            <w:pPr>
              <w:ind w:left="18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194,732</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14,687</w:t>
            </w:r>
          </w:p>
        </w:tc>
        <w:tc>
          <w:tcPr>
            <w:tcW w:w="440" w:type="dxa"/>
            <w:vAlign w:val="bottom"/>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179,358</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20,366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BFBFB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4,765</w:t>
            </w:r>
          </w:p>
        </w:tc>
        <w:tc>
          <w:tcPr>
            <w:tcW w:w="44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9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Increase/(decrease) in cash and cash equivalents</w:t>
            </w: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6,410</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11,636</w:t>
            </w:r>
          </w:p>
        </w:tc>
        <w:tc>
          <w:tcPr>
            <w:tcW w:w="440" w:type="dxa"/>
            <w:vAlign w:val="bottom"/>
            <w:shd w:val="clear" w:color="auto" w:fill="BFBFBF"/>
          </w:tcPr>
          <w:p>
            <w:pPr>
              <w:spacing w:after="0"/>
              <w:rPr>
                <w:sz w:val="17"/>
                <w:szCs w:val="17"/>
                <w:color w:val="auto"/>
              </w:rPr>
            </w:pPr>
          </w:p>
        </w:tc>
        <w:tc>
          <w:tcPr>
            <w:tcW w:w="9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(9,088)</w:t>
            </w:r>
          </w:p>
        </w:tc>
        <w:tc>
          <w:tcPr>
            <w:tcW w:w="220" w:type="dxa"/>
            <w:vAlign w:val="bottom"/>
            <w:shd w:val="clear" w:color="auto" w:fill="BFBFBF"/>
          </w:tcPr>
          <w:p>
            <w:pPr>
              <w:spacing w:after="0"/>
              <w:rPr>
                <w:sz w:val="17"/>
                <w:szCs w:val="17"/>
                <w:color w:val="auto"/>
              </w:rPr>
            </w:pPr>
          </w:p>
        </w:tc>
        <w:tc>
          <w:tcPr>
            <w:tcW w:w="90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BFBFB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169,615</w:t>
            </w:r>
          </w:p>
        </w:tc>
        <w:tc>
          <w:tcPr>
            <w:tcW w:w="220" w:type="dxa"/>
            <w:vAlign w:val="bottom"/>
            <w:tcBorders>
              <w:bottom w:val="single" w:sz="8" w:color="BFBFBF"/>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170,838</w:t>
            </w:r>
          </w:p>
        </w:tc>
        <w:tc>
          <w:tcPr>
            <w:tcW w:w="440" w:type="dxa"/>
            <w:vAlign w:val="bottom"/>
            <w:tcBorders>
              <w:bottom w:val="single" w:sz="8" w:color="BFBFBF"/>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185,113</w:t>
            </w:r>
          </w:p>
        </w:tc>
        <w:tc>
          <w:tcPr>
            <w:tcW w:w="220" w:type="dxa"/>
            <w:vAlign w:val="bottom"/>
            <w:tcBorders>
              <w:bottom w:val="single" w:sz="8" w:color="BFBFBF"/>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bottom w:val="single" w:sz="8" w:color="BFBFBF"/>
            </w:tcBorders>
            <w:shd w:val="clear" w:color="auto" w:fill="BFBFBF"/>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176,025</w:t>
            </w:r>
          </w:p>
        </w:tc>
        <w:tc>
          <w:tcPr>
            <w:tcW w:w="220" w:type="dxa"/>
            <w:vAlign w:val="bottom"/>
            <w:tcBorders>
              <w:bottom w:val="single" w:sz="8" w:color="BFBFBF"/>
            </w:tcBorders>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182,474</w:t>
            </w:r>
          </w:p>
        </w:tc>
        <w:tc>
          <w:tcPr>
            <w:tcW w:w="440" w:type="dxa"/>
            <w:vAlign w:val="bottom"/>
            <w:tcBorders>
              <w:bottom w:val="single" w:sz="8" w:color="BFBFBF"/>
            </w:tcBorders>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176,025</w:t>
            </w:r>
          </w:p>
        </w:tc>
        <w:tc>
          <w:tcPr>
            <w:tcW w:w="220" w:type="dxa"/>
            <w:vAlign w:val="bottom"/>
            <w:tcBorders>
              <w:bottom w:val="single" w:sz="8" w:color="BFBFBF"/>
            </w:tcBorders>
            <w:shd w:val="clear" w:color="auto" w:fill="BFBFBF"/>
          </w:tcPr>
          <w:p>
            <w:pPr>
              <w:spacing w:after="0"/>
              <w:rPr>
                <w:sz w:val="18"/>
                <w:szCs w:val="18"/>
                <w:color w:val="auto"/>
              </w:rPr>
            </w:pPr>
          </w:p>
        </w:tc>
        <w:tc>
          <w:tcPr>
            <w:tcW w:w="90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$182,474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 w:name="page7"/>
    <w:bookmarkEnd w:id="6"/>
    <w:p>
      <w:pPr>
        <w:jc w:val="center"/>
        <w:ind w:left="1300"/>
        <w:spacing w:after="0"/>
        <w:rPr>
          <w:sz w:val="20"/>
          <w:szCs w:val="20"/>
          <w:color w:val="auto"/>
        </w:rPr>
      </w:pPr>
      <w:r>
        <w:rPr>
          <w:rFonts w:ascii="Arial" w:cs="Arial" w:eastAsia="Arial" w:hAnsi="Arial"/>
          <w:sz w:val="18"/>
          <w:szCs w:val="18"/>
          <w:color w:val="auto"/>
        </w:rPr>
        <w:t>ALBANY INTERNATIONAL CORP.</w:t>
      </w:r>
    </w:p>
    <w:p>
      <w:pPr>
        <w:ind w:left="4060"/>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ind w:right="8500" w:firstLine="8"/>
        <w:spacing w:after="0" w:line="372"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spacing w:after="0" w:line="2" w:lineRule="exact"/>
        <w:rPr>
          <w:sz w:val="20"/>
          <w:szCs w:val="20"/>
          <w:color w:val="auto"/>
        </w:rPr>
      </w:pPr>
    </w:p>
    <w:p>
      <w:pPr>
        <w:jc w:val="both"/>
        <w:ind w:right="240" w:firstLine="648"/>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w:t>
      </w:r>
    </w:p>
    <w:p>
      <w:pPr>
        <w:spacing w:after="0" w:line="94" w:lineRule="exact"/>
        <w:rPr>
          <w:sz w:val="20"/>
          <w:szCs w:val="20"/>
          <w:color w:val="auto"/>
        </w:rPr>
      </w:pPr>
    </w:p>
    <w:p>
      <w:pPr>
        <w:ind w:right="500" w:firstLine="648"/>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2015.</w:t>
      </w:r>
    </w:p>
    <w:p>
      <w:pPr>
        <w:spacing w:after="0" w:line="94" w:lineRule="exact"/>
        <w:rPr>
          <w:sz w:val="20"/>
          <w:szCs w:val="20"/>
          <w:color w:val="auto"/>
        </w:rPr>
      </w:pPr>
    </w:p>
    <w:p>
      <w:pPr>
        <w:ind w:right="80" w:firstLine="648"/>
        <w:spacing w:after="0" w:line="236" w:lineRule="auto"/>
        <w:rPr>
          <w:sz w:val="20"/>
          <w:szCs w:val="20"/>
          <w:color w:val="auto"/>
        </w:rPr>
      </w:pPr>
      <w:r>
        <w:rPr>
          <w:rFonts w:ascii="Arial" w:cs="Arial" w:eastAsia="Arial" w:hAnsi="Arial"/>
          <w:sz w:val="18"/>
          <w:szCs w:val="18"/>
          <w:color w:val="auto"/>
        </w:rPr>
        <w:t>Except as described herein, there has been no material change to the accounting policies applied to our consolidated results and footnote disclosures. In accordance with the accounting guidance for business combinations, we use the acquisition method of accounting to allocate costs of acquired businesses to the assets acquired and liabilities assumed based on their estimated fair values at the dates of acquisition. The excess costs of acquired businesses over the fair values of the assets acquired and liabilities assumed are recognized as goodwill. The valuations of acquired assets and liabilities will impact the determination of future operating results. In addition to using management estimates and negotiated amounts, we use a variety of information sources to determine the estimated fair values of the assets and liabilities, including third-party appraisals for the estimated value and lives of identifiable intangible assets and property and equipment. The business and technical judgment of management is used in determining the useful lives of finite-lived intangible assets in accordance with the accounting guidance for goodwill and intangible assets.</w:t>
      </w:r>
    </w:p>
    <w:p>
      <w:pPr>
        <w:spacing w:after="0" w:line="200" w:lineRule="exact"/>
        <w:rPr>
          <w:sz w:val="20"/>
          <w:szCs w:val="20"/>
          <w:color w:val="auto"/>
        </w:rPr>
      </w:pPr>
    </w:p>
    <w:p>
      <w:pPr>
        <w:spacing w:after="0" w:line="25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Business Acquisition</w:t>
      </w:r>
    </w:p>
    <w:p>
      <w:pPr>
        <w:spacing w:after="0" w:line="126"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cash of $187 million, plus the assumption of certain liabilities. The Company funded the cash payable at closing by utilizing proceeds from a $550 million, unsecured credit facility agreement that was completed April 8, 2016 (see Note 14). The seller has provided representations, warranties and indemnities customary for acquisition transactions, including indemnities for certain customer claims identified before closing. The acquired entity has been renamed Albany Aerostructures Composites LLC (“AAC”), and is part of the Albany Engineered Composites (“AEC”) segment.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ind w:left="660" w:right="520" w:firstLine="648"/>
        <w:spacing w:after="0" w:line="246" w:lineRule="auto"/>
        <w:rPr>
          <w:sz w:val="20"/>
          <w:szCs w:val="20"/>
          <w:color w:val="auto"/>
        </w:rPr>
      </w:pPr>
      <w:r>
        <w:rPr>
          <w:rFonts w:ascii="Arial" w:cs="Arial" w:eastAsia="Arial" w:hAnsi="Arial"/>
          <w:sz w:val="18"/>
          <w:szCs w:val="18"/>
          <w:color w:val="auto"/>
        </w:rPr>
        <w:t>The following table summarizes the provisional allocation of the purchase price of AAC to the fair value of the assets and liabilities acquired:</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April 8 , 2016</w:t>
            </w:r>
          </w:p>
        </w:tc>
        <w:tc>
          <w:tcPr>
            <w:tcW w:w="0" w:type="dxa"/>
            <w:vAlign w:val="bottom"/>
          </w:tcPr>
          <w:p>
            <w:pPr>
              <w:spacing w:after="0"/>
              <w:rPr>
                <w:sz w:val="1"/>
                <w:szCs w:val="1"/>
                <w:color w:val="auto"/>
              </w:rPr>
            </w:pPr>
          </w:p>
        </w:tc>
      </w:tr>
      <w:tr>
        <w:trPr>
          <w:trHeight w:val="195"/>
        </w:trPr>
        <w:tc>
          <w:tcPr>
            <w:tcW w:w="4920" w:type="dxa"/>
            <w:vAlign w:val="bottom"/>
          </w:tcPr>
          <w:p>
            <w:pPr>
              <w:spacing w:after="0" w:line="195" w:lineRule="exact"/>
              <w:rPr>
                <w:sz w:val="20"/>
                <w:szCs w:val="20"/>
                <w:color w:val="auto"/>
              </w:rPr>
            </w:pPr>
            <w:r>
              <w:rPr>
                <w:rFonts w:ascii="Arial" w:cs="Arial" w:eastAsia="Arial" w:hAnsi="Arial"/>
                <w:sz w:val="18"/>
                <w:szCs w:val="18"/>
                <w:b w:val="1"/>
                <w:bCs w:val="1"/>
                <w:color w:val="auto"/>
              </w:rPr>
              <w:t>Assets acquired</w:t>
            </w:r>
          </w:p>
        </w:tc>
        <w:tc>
          <w:tcPr>
            <w:tcW w:w="3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$16,264</w:t>
            </w:r>
          </w:p>
        </w:tc>
        <w:tc>
          <w:tcPr>
            <w:tcW w:w="0" w:type="dxa"/>
            <w:vAlign w:val="bottom"/>
          </w:tcPr>
          <w:p>
            <w:pPr>
              <w:spacing w:after="0"/>
              <w:rPr>
                <w:sz w:val="1"/>
                <w:szCs w:val="1"/>
                <w:color w:val="auto"/>
              </w:rPr>
            </w:pPr>
          </w:p>
        </w:tc>
      </w:tr>
      <w:tr>
        <w:trPr>
          <w:trHeight w:val="181"/>
        </w:trPr>
        <w:tc>
          <w:tcPr>
            <w:tcW w:w="4920" w:type="dxa"/>
            <w:vAlign w:val="bottom"/>
          </w:tcPr>
          <w:p>
            <w:pPr>
              <w:spacing w:after="0" w:line="181" w:lineRule="exact"/>
              <w:rPr>
                <w:sz w:val="20"/>
                <w:szCs w:val="20"/>
                <w:color w:val="auto"/>
              </w:rPr>
            </w:pPr>
            <w:r>
              <w:rPr>
                <w:rFonts w:ascii="Arial" w:cs="Arial" w:eastAsia="Arial" w:hAnsi="Arial"/>
                <w:sz w:val="18"/>
                <w:szCs w:val="18"/>
                <w:color w:val="auto"/>
              </w:rPr>
              <w:t>Accounts receivable</w:t>
            </w:r>
          </w:p>
        </w:tc>
        <w:tc>
          <w:tcPr>
            <w:tcW w:w="3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3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29,739</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402</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85,802</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Intangibles</w:t>
            </w:r>
          </w:p>
        </w:tc>
        <w:tc>
          <w:tcPr>
            <w:tcW w:w="3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59,360</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31,327</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assets acquired</w:t>
            </w:r>
          </w:p>
        </w:tc>
        <w:tc>
          <w:tcPr>
            <w:tcW w:w="3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$222,894</w:t>
            </w:r>
          </w:p>
        </w:tc>
        <w:tc>
          <w:tcPr>
            <w:tcW w:w="0" w:type="dxa"/>
            <w:vAlign w:val="bottom"/>
          </w:tcPr>
          <w:p>
            <w:pPr>
              <w:spacing w:after="0"/>
              <w:rPr>
                <w:sz w:val="1"/>
                <w:szCs w:val="1"/>
                <w:color w:val="auto"/>
              </w:rPr>
            </w:pPr>
          </w:p>
        </w:tc>
      </w:tr>
      <w:tr>
        <w:trPr>
          <w:trHeight w:val="398"/>
        </w:trPr>
        <w:tc>
          <w:tcPr>
            <w:tcW w:w="492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3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$8,745</w:t>
            </w:r>
          </w:p>
        </w:tc>
        <w:tc>
          <w:tcPr>
            <w:tcW w:w="0" w:type="dxa"/>
            <w:vAlign w:val="bottom"/>
          </w:tcPr>
          <w:p>
            <w:pPr>
              <w:spacing w:after="0"/>
              <w:rPr>
                <w:sz w:val="1"/>
                <w:szCs w:val="1"/>
                <w:color w:val="auto"/>
              </w:rPr>
            </w:pPr>
          </w:p>
        </w:tc>
      </w:tr>
      <w:tr>
        <w:trPr>
          <w:trHeight w:val="181"/>
        </w:trPr>
        <w:tc>
          <w:tcPr>
            <w:tcW w:w="4920" w:type="dxa"/>
            <w:vAlign w:val="bottom"/>
          </w:tcPr>
          <w:p>
            <w:pPr>
              <w:spacing w:after="0" w:line="181" w:lineRule="exact"/>
              <w:rPr>
                <w:sz w:val="20"/>
                <w:szCs w:val="20"/>
                <w:color w:val="auto"/>
              </w:rPr>
            </w:pPr>
            <w:r>
              <w:rPr>
                <w:rFonts w:ascii="Arial" w:cs="Arial" w:eastAsia="Arial" w:hAnsi="Arial"/>
                <w:sz w:val="18"/>
                <w:szCs w:val="18"/>
                <w:color w:val="auto"/>
              </w:rPr>
              <w:t>Accounts payable</w:t>
            </w:r>
          </w:p>
        </w:tc>
        <w:tc>
          <w:tcPr>
            <w:tcW w:w="3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2,364</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Capital lease obligation</w:t>
            </w:r>
          </w:p>
        </w:tc>
        <w:tc>
          <w:tcPr>
            <w:tcW w:w="3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23,815</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liabilities</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assumed</w:t>
            </w:r>
          </w:p>
        </w:tc>
        <w:tc>
          <w:tcPr>
            <w:tcW w:w="3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$35,894</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 acquired</w:t>
            </w:r>
          </w:p>
        </w:tc>
        <w:tc>
          <w:tcPr>
            <w:tcW w:w="3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$187,000</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60" w:right="60" w:firstLine="648"/>
        <w:spacing w:after="0" w:line="238" w:lineRule="auto"/>
        <w:rPr>
          <w:sz w:val="20"/>
          <w:szCs w:val="20"/>
          <w:color w:val="auto"/>
        </w:rPr>
      </w:pPr>
      <w:r>
        <w:rPr>
          <w:rFonts w:ascii="Arial" w:cs="Arial" w:eastAsia="Arial" w:hAnsi="Arial"/>
          <w:sz w:val="18"/>
          <w:szCs w:val="18"/>
          <w:color w:val="auto"/>
        </w:rPr>
        <w:t>Whereas the acquisition occurred during this quarterly reporting period, the Company is continuing to perform procedures to verify the value of all assets and liabilities acquired, and the useful lives of amortizable assets. Accordingly, adjustments to the values in the above table may be required in future periods. The Company has attributed the goodwill of $31.3 million which is assigned to the AEC segment. Management believes that the acquisition broadens and deepens AEC’s products, experience and manufacturing capabilities, and significantly increases opportunities for future growth. The goodwill is expected to be non-deductible for tax purposes.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tables presents operational results of AAC that are included in the Consolidated Statements of Income: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20" w:type="dxa"/>
            <w:vAlign w:val="bottom"/>
          </w:tcPr>
          <w:p>
            <w:pPr>
              <w:spacing w:after="0"/>
              <w:rPr>
                <w:sz w:val="16"/>
                <w:szCs w:val="16"/>
                <w:color w:val="auto"/>
              </w:rPr>
            </w:pPr>
          </w:p>
        </w:tc>
        <w:tc>
          <w:tcPr>
            <w:tcW w:w="376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center"/>
              <w:ind w:left="2510"/>
              <w:spacing w:after="0" w:line="194" w:lineRule="exact"/>
              <w:rPr>
                <w:sz w:val="20"/>
                <w:szCs w:val="20"/>
                <w:color w:val="auto"/>
              </w:rPr>
            </w:pPr>
            <w:r>
              <w:rPr>
                <w:rFonts w:ascii="Arial" w:cs="Arial" w:eastAsia="Arial" w:hAnsi="Arial"/>
                <w:sz w:val="18"/>
                <w:szCs w:val="18"/>
                <w:b w:val="1"/>
                <w:bCs w:val="1"/>
                <w:color w:val="auto"/>
                <w:w w:val="99"/>
              </w:rPr>
              <w:t>April 8 to</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220" w:type="dxa"/>
            <w:vAlign w:val="bottom"/>
          </w:tcPr>
          <w:p>
            <w:pPr>
              <w:jc w:val="center"/>
              <w:ind w:left="2510"/>
              <w:spacing w:after="0" w:line="202" w:lineRule="exact"/>
              <w:rPr>
                <w:sz w:val="20"/>
                <w:szCs w:val="20"/>
                <w:color w:val="auto"/>
              </w:rPr>
            </w:pPr>
            <w:r>
              <w:rPr>
                <w:rFonts w:ascii="Arial" w:cs="Arial" w:eastAsia="Arial" w:hAnsi="Arial"/>
                <w:sz w:val="18"/>
                <w:szCs w:val="18"/>
                <w:b w:val="1"/>
                <w:bCs w:val="1"/>
                <w:color w:val="auto"/>
              </w:rPr>
              <w:t>June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4220" w:type="dxa"/>
            <w:vAlign w:val="bottom"/>
            <w:tcBorders>
              <w:bottom w:val="single" w:sz="8" w:color="auto"/>
            </w:tcBorders>
          </w:tcPr>
          <w:p>
            <w:pPr>
              <w:jc w:val="center"/>
              <w:ind w:left="2570"/>
              <w:spacing w:after="0"/>
              <w:rPr>
                <w:sz w:val="20"/>
                <w:szCs w:val="20"/>
                <w:color w:val="auto"/>
              </w:rPr>
            </w:pPr>
            <w:r>
              <w:rPr>
                <w:rFonts w:ascii="Arial" w:cs="Arial" w:eastAsia="Arial" w:hAnsi="Arial"/>
                <w:sz w:val="18"/>
                <w:szCs w:val="18"/>
                <w:b w:val="1"/>
                <w:bCs w:val="1"/>
                <w:color w:val="auto"/>
                <w:w w:val="99"/>
              </w:rPr>
              <w:t>2016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76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42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$25,636</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4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1,709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4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1,266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7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Earnings per share:</w:t>
            </w:r>
          </w:p>
        </w:tc>
        <w:tc>
          <w:tcPr>
            <w:tcW w:w="4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rPr>
                <w:sz w:val="15"/>
                <w:szCs w:val="15"/>
                <w:color w:val="auto"/>
              </w:rPr>
            </w:pPr>
          </w:p>
        </w:tc>
        <w:tc>
          <w:tcPr>
            <w:tcW w:w="3760" w:type="dxa"/>
            <w:vAlign w:val="bottom"/>
          </w:tcPr>
          <w:p>
            <w:pPr>
              <w:spacing w:after="0" w:line="181" w:lineRule="exact"/>
              <w:rPr>
                <w:sz w:val="20"/>
                <w:szCs w:val="20"/>
                <w:color w:val="auto"/>
              </w:rPr>
            </w:pPr>
            <w:r>
              <w:rPr>
                <w:rFonts w:ascii="Arial" w:cs="Arial" w:eastAsia="Arial" w:hAnsi="Arial"/>
                <w:sz w:val="18"/>
                <w:szCs w:val="18"/>
                <w:color w:val="auto"/>
              </w:rPr>
              <w:t>Basic</w:t>
            </w:r>
          </w:p>
        </w:tc>
        <w:tc>
          <w:tcPr>
            <w:tcW w:w="422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4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9"/>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220" w:type="dxa"/>
            <w:vAlign w:val="bottom"/>
          </w:tcPr>
          <w:p>
            <w:pPr>
              <w:jc w:val="right"/>
              <w:ind w:right="3850"/>
              <w:spacing w:after="0"/>
              <w:rPr>
                <w:sz w:val="20"/>
                <w:szCs w:val="20"/>
                <w:color w:val="auto"/>
              </w:rPr>
            </w:pPr>
            <w:r>
              <w:rPr>
                <w:rFonts w:ascii="Arial" w:cs="Arial" w:eastAsia="Arial" w:hAnsi="Arial"/>
                <w:sz w:val="18"/>
                <w:szCs w:val="18"/>
                <w:color w:val="auto"/>
              </w:rPr>
              <w:t>8</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8" w:name="page9"/>
    <w:bookmarkEnd w:id="8"/>
    <w:p>
      <w:pPr>
        <w:ind w:left="660" w:right="60" w:firstLine="648"/>
        <w:spacing w:after="0" w:line="238" w:lineRule="auto"/>
        <w:rPr>
          <w:sz w:val="20"/>
          <w:szCs w:val="20"/>
          <w:color w:val="auto"/>
        </w:rPr>
      </w:pPr>
      <w:r>
        <w:rPr>
          <w:rFonts w:ascii="Arial" w:cs="Arial" w:eastAsia="Arial" w:hAnsi="Arial"/>
          <w:sz w:val="18"/>
          <w:szCs w:val="18"/>
          <w:color w:val="auto"/>
        </w:rPr>
        <w:t>The Consolidated Statements of Income reflect operational activity of AAC for only the period subsequent to the closing, which affects comparability of results. The following table shows total Company pro forma statements of operations for the three- and six-month periods ended June 30, 2016 and 2015, as if the acquisition had occurred on January 1, 2015. This pro forma information does not purport to represent what the Company’s actual results would have been if the acquisitions had occurred as of the date indicated, or what such results would be for any future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4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right"/>
              <w:ind w:right="1190"/>
              <w:spacing w:after="0"/>
              <w:rPr>
                <w:sz w:val="20"/>
                <w:szCs w:val="20"/>
                <w:color w:val="auto"/>
              </w:rPr>
            </w:pPr>
            <w:r>
              <w:rPr>
                <w:rFonts w:ascii="Arial" w:cs="Arial" w:eastAsia="Arial" w:hAnsi="Arial"/>
                <w:sz w:val="18"/>
                <w:szCs w:val="18"/>
                <w:b w:val="1"/>
                <w:bCs w:val="1"/>
                <w:color w:val="auto"/>
              </w:rPr>
              <w:t>Unaudited - Pro forma</w:t>
            </w: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3660" w:type="dxa"/>
            <w:vAlign w:val="bottom"/>
            <w:gridSpan w:val="2"/>
          </w:tcPr>
          <w:p>
            <w:pPr>
              <w:jc w:val="right"/>
              <w:ind w:right="950"/>
              <w:spacing w:after="0" w:line="202" w:lineRule="exact"/>
              <w:rPr>
                <w:sz w:val="20"/>
                <w:szCs w:val="20"/>
                <w:color w:val="auto"/>
              </w:rPr>
            </w:pPr>
            <w:r>
              <w:rPr>
                <w:rFonts w:ascii="Arial" w:cs="Arial" w:eastAsia="Arial" w:hAnsi="Arial"/>
                <w:sz w:val="18"/>
                <w:szCs w:val="18"/>
                <w:b w:val="1"/>
                <w:bCs w:val="1"/>
                <w:color w:val="auto"/>
              </w:rPr>
              <w:t>Three months ended</w:t>
            </w:r>
          </w:p>
        </w:tc>
        <w:tc>
          <w:tcPr>
            <w:tcW w:w="300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 except per share amounts)</w:t>
            </w:r>
          </w:p>
        </w:tc>
        <w:tc>
          <w:tcPr>
            <w:tcW w:w="2240" w:type="dxa"/>
            <w:vAlign w:val="bottom"/>
            <w:tcBorders>
              <w:bottom w:val="single" w:sz="8" w:color="auto"/>
            </w:tcBorders>
          </w:tcPr>
          <w:p>
            <w:pPr>
              <w:jc w:val="right"/>
              <w:ind w:right="1090"/>
              <w:spacing w:after="0" w:line="196" w:lineRule="exact"/>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050"/>
              <w:spacing w:after="0" w:line="196" w:lineRule="exact"/>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Combined Net sales</w:t>
            </w:r>
          </w:p>
        </w:tc>
        <w:tc>
          <w:tcPr>
            <w:tcW w:w="2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$204,371</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$192,508</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$397,706</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$392,988</w:t>
            </w:r>
          </w:p>
        </w:tc>
        <w:tc>
          <w:tcPr>
            <w:tcW w:w="0" w:type="dxa"/>
            <w:vAlign w:val="bottom"/>
          </w:tcPr>
          <w:p>
            <w:pPr>
              <w:spacing w:after="0"/>
              <w:rPr>
                <w:sz w:val="1"/>
                <w:szCs w:val="1"/>
                <w:color w:val="auto"/>
              </w:rPr>
            </w:pPr>
          </w:p>
        </w:tc>
      </w:tr>
      <w:tr>
        <w:trPr>
          <w:trHeight w:val="412"/>
        </w:trPr>
        <w:tc>
          <w:tcPr>
            <w:tcW w:w="4760" w:type="dxa"/>
            <w:vAlign w:val="bottom"/>
            <w:gridSpan w:val="2"/>
          </w:tcPr>
          <w:p>
            <w:pPr>
              <w:spacing w:after="0"/>
              <w:rPr>
                <w:sz w:val="20"/>
                <w:szCs w:val="20"/>
                <w:color w:val="auto"/>
              </w:rPr>
            </w:pPr>
            <w:r>
              <w:rPr>
                <w:rFonts w:ascii="Arial" w:cs="Arial" w:eastAsia="Arial" w:hAnsi="Arial"/>
                <w:sz w:val="18"/>
                <w:szCs w:val="18"/>
                <w:color w:val="auto"/>
              </w:rPr>
              <w:t>Combined Income/(loss) before income taxes</w:t>
            </w:r>
          </w:p>
        </w:tc>
        <w:tc>
          <w:tcPr>
            <w:tcW w:w="2240" w:type="dxa"/>
            <w:vAlign w:val="bottom"/>
          </w:tcPr>
          <w:p>
            <w:pPr>
              <w:jc w:val="right"/>
              <w:ind w:right="710"/>
              <w:spacing w:after="0"/>
              <w:rPr>
                <w:sz w:val="20"/>
                <w:szCs w:val="20"/>
                <w:color w:val="auto"/>
              </w:rPr>
            </w:pPr>
            <w:r>
              <w:rPr>
                <w:rFonts w:ascii="Arial" w:cs="Arial" w:eastAsia="Arial" w:hAnsi="Arial"/>
                <w:sz w:val="18"/>
                <w:szCs w:val="18"/>
                <w:b w:val="1"/>
                <w:bCs w:val="1"/>
                <w:color w:val="auto"/>
              </w:rPr>
              <w:t>$15,765</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($1,798)</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$38,915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$19,357</w:t>
            </w:r>
          </w:p>
        </w:tc>
        <w:tc>
          <w:tcPr>
            <w:tcW w:w="0" w:type="dxa"/>
            <w:vAlign w:val="bottom"/>
          </w:tcPr>
          <w:p>
            <w:pPr>
              <w:spacing w:after="0"/>
              <w:rPr>
                <w:sz w:val="1"/>
                <w:szCs w:val="1"/>
                <w:color w:val="auto"/>
              </w:rPr>
            </w:pPr>
          </w:p>
        </w:tc>
      </w:tr>
      <w:tr>
        <w:trPr>
          <w:trHeight w:val="391"/>
        </w:trPr>
        <w:tc>
          <w:tcPr>
            <w:tcW w:w="4760" w:type="dxa"/>
            <w:vAlign w:val="bottom"/>
            <w:gridSpan w:val="2"/>
          </w:tcPr>
          <w:p>
            <w:pPr>
              <w:spacing w:after="0"/>
              <w:rPr>
                <w:sz w:val="20"/>
                <w:szCs w:val="20"/>
                <w:color w:val="auto"/>
              </w:rPr>
            </w:pPr>
            <w:r>
              <w:rPr>
                <w:rFonts w:ascii="Arial" w:cs="Arial" w:eastAsia="Arial" w:hAnsi="Arial"/>
                <w:sz w:val="18"/>
                <w:szCs w:val="18"/>
                <w:color w:val="auto"/>
              </w:rPr>
              <w:t>Pro forma adjustments:</w:t>
            </w:r>
          </w:p>
        </w:tc>
        <w:tc>
          <w:tcPr>
            <w:tcW w:w="22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3,771</w:t>
            </w:r>
          </w:p>
        </w:tc>
        <w:tc>
          <w:tcPr>
            <w:tcW w:w="1420" w:type="dxa"/>
            <w:vAlign w:val="bottom"/>
          </w:tcPr>
          <w:p>
            <w:pPr>
              <w:spacing w:after="0"/>
              <w:rPr>
                <w:sz w:val="24"/>
                <w:szCs w:val="24"/>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5,367</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Acquisition expenses</w:t>
            </w:r>
          </w:p>
        </w:tc>
        <w:tc>
          <w:tcPr>
            <w:tcW w:w="2240" w:type="dxa"/>
            <w:vAlign w:val="bottom"/>
            <w:vMerge w:val="continue"/>
          </w:tcPr>
          <w:p>
            <w:pPr>
              <w:spacing w:after="0"/>
              <w:rPr>
                <w:sz w:val="17"/>
                <w:szCs w:val="17"/>
                <w:color w:val="auto"/>
              </w:rPr>
            </w:pP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980" w:type="dxa"/>
            <w:vAlign w:val="bottom"/>
            <w:vMerge w:val="continue"/>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Purchase accounting depreciation and amortization</w:t>
            </w:r>
          </w:p>
        </w:tc>
        <w:tc>
          <w:tcPr>
            <w:tcW w:w="22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(119)</w:t>
            </w:r>
          </w:p>
        </w:tc>
        <w:tc>
          <w:tcPr>
            <w:tcW w:w="1420" w:type="dxa"/>
            <w:vAlign w:val="bottom"/>
          </w:tcPr>
          <w:p>
            <w:pPr>
              <w:spacing w:after="0"/>
              <w:rPr>
                <w:sz w:val="17"/>
                <w:szCs w:val="17"/>
                <w:color w:val="auto"/>
              </w:rPr>
            </w:pPr>
          </w:p>
        </w:tc>
        <w:tc>
          <w:tcPr>
            <w:tcW w:w="19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(1,660)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gridSpan w:val="2"/>
          </w:tcPr>
          <w:p>
            <w:pPr>
              <w:spacing w:after="0" w:line="181" w:lineRule="exact"/>
              <w:rPr>
                <w:sz w:val="20"/>
                <w:szCs w:val="20"/>
                <w:color w:val="auto"/>
              </w:rPr>
            </w:pPr>
            <w:r>
              <w:rPr>
                <w:rFonts w:ascii="Arial" w:cs="Arial" w:eastAsia="Arial" w:hAnsi="Arial"/>
                <w:sz w:val="18"/>
                <w:szCs w:val="18"/>
                <w:color w:val="auto"/>
              </w:rPr>
              <w:t>expense</w:t>
            </w:r>
          </w:p>
        </w:tc>
        <w:tc>
          <w:tcPr>
            <w:tcW w:w="2240" w:type="dxa"/>
            <w:vAlign w:val="bottom"/>
            <w:vMerge w:val="continue"/>
          </w:tcPr>
          <w:p>
            <w:pPr>
              <w:spacing w:after="0"/>
              <w:rPr>
                <w:sz w:val="15"/>
                <w:szCs w:val="15"/>
                <w:color w:val="auto"/>
              </w:rPr>
            </w:pPr>
          </w:p>
        </w:tc>
        <w:tc>
          <w:tcPr>
            <w:tcW w:w="142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(1,541)</w:t>
            </w:r>
          </w:p>
        </w:tc>
        <w:tc>
          <w:tcPr>
            <w:tcW w:w="1980" w:type="dxa"/>
            <w:vAlign w:val="bottom"/>
            <w:vMerge w:val="continue"/>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25"/>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(99)</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(1,283)</w:t>
            </w:r>
          </w:p>
        </w:tc>
        <w:tc>
          <w:tcPr>
            <w:tcW w:w="19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(1,382)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32"/>
        </w:trPr>
        <w:tc>
          <w:tcPr>
            <w:tcW w:w="4760" w:type="dxa"/>
            <w:vAlign w:val="bottom"/>
            <w:gridSpan w:val="2"/>
          </w:tcPr>
          <w:p>
            <w:pPr>
              <w:spacing w:after="0"/>
              <w:rPr>
                <w:sz w:val="20"/>
                <w:szCs w:val="20"/>
                <w:color w:val="auto"/>
              </w:rPr>
            </w:pPr>
            <w:r>
              <w:rPr>
                <w:rFonts w:ascii="Arial" w:cs="Arial" w:eastAsia="Arial" w:hAnsi="Arial"/>
                <w:sz w:val="18"/>
                <w:szCs w:val="18"/>
                <w:color w:val="auto"/>
              </w:rPr>
              <w:t>Income/(loss) before income taxes</w:t>
            </w:r>
          </w:p>
        </w:tc>
        <w:tc>
          <w:tcPr>
            <w:tcW w:w="2240" w:type="dxa"/>
            <w:vAlign w:val="bottom"/>
          </w:tcPr>
          <w:p>
            <w:pPr>
              <w:jc w:val="right"/>
              <w:ind w:right="710"/>
              <w:spacing w:after="0"/>
              <w:rPr>
                <w:sz w:val="20"/>
                <w:szCs w:val="20"/>
                <w:color w:val="auto"/>
              </w:rPr>
            </w:pPr>
            <w:r>
              <w:rPr>
                <w:rFonts w:ascii="Arial" w:cs="Arial" w:eastAsia="Arial" w:hAnsi="Arial"/>
                <w:sz w:val="18"/>
                <w:szCs w:val="18"/>
                <w:b w:val="1"/>
                <w:bCs w:val="1"/>
                <w:color w:val="auto"/>
              </w:rPr>
              <w:t>19,318</w:t>
            </w:r>
          </w:p>
        </w:tc>
        <w:tc>
          <w:tcPr>
            <w:tcW w:w="1420" w:type="dxa"/>
            <w:vAlign w:val="bottom"/>
          </w:tcPr>
          <w:p>
            <w:pPr>
              <w:jc w:val="right"/>
              <w:ind w:right="350"/>
              <w:spacing w:after="0"/>
              <w:rPr>
                <w:sz w:val="20"/>
                <w:szCs w:val="20"/>
                <w:color w:val="auto"/>
              </w:rPr>
            </w:pPr>
            <w:r>
              <w:rPr>
                <w:rFonts w:ascii="Arial" w:cs="Arial" w:eastAsia="Arial" w:hAnsi="Arial"/>
                <w:sz w:val="18"/>
                <w:szCs w:val="18"/>
                <w:b w:val="1"/>
                <w:bCs w:val="1"/>
                <w:color w:val="auto"/>
              </w:rPr>
              <w:t>(4,622)</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41,240</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13,709</w:t>
            </w:r>
          </w:p>
        </w:tc>
        <w:tc>
          <w:tcPr>
            <w:tcW w:w="0" w:type="dxa"/>
            <w:vAlign w:val="bottom"/>
          </w:tcPr>
          <w:p>
            <w:pPr>
              <w:spacing w:after="0"/>
              <w:rPr>
                <w:sz w:val="1"/>
                <w:szCs w:val="1"/>
                <w:color w:val="auto"/>
              </w:rPr>
            </w:pPr>
          </w:p>
        </w:tc>
      </w:tr>
      <w:tr>
        <w:trPr>
          <w:trHeight w:val="166"/>
        </w:trPr>
        <w:tc>
          <w:tcPr>
            <w:tcW w:w="4760" w:type="dxa"/>
            <w:vAlign w:val="bottom"/>
            <w:tcBorders>
              <w:bottom w:val="single" w:sz="8" w:color="auto"/>
            </w:tcBorders>
            <w:gridSpan w:val="2"/>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Income/(loss) attributable to the Company</w:t>
            </w:r>
          </w:p>
        </w:tc>
        <w:tc>
          <w:tcPr>
            <w:tcW w:w="22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$12,289</w:t>
            </w:r>
          </w:p>
        </w:tc>
        <w:tc>
          <w:tcPr>
            <w:tcW w:w="14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($3,380)</w:t>
            </w:r>
          </w:p>
        </w:tc>
        <w:tc>
          <w:tcPr>
            <w:tcW w:w="19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$26,748</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376"/>
        </w:trPr>
        <w:tc>
          <w:tcPr>
            <w:tcW w:w="7000" w:type="dxa"/>
            <w:vAlign w:val="bottom"/>
            <w:gridSpan w:val="3"/>
          </w:tcPr>
          <w:p>
            <w:pPr>
              <w:spacing w:after="0"/>
              <w:rPr>
                <w:sz w:val="20"/>
                <w:szCs w:val="20"/>
                <w:color w:val="auto"/>
              </w:rPr>
            </w:pPr>
            <w:r>
              <w:rPr>
                <w:rFonts w:ascii="Arial" w:cs="Arial" w:eastAsia="Arial" w:hAnsi="Arial"/>
                <w:sz w:val="18"/>
                <w:szCs w:val="18"/>
                <w:color w:val="auto"/>
              </w:rPr>
              <w:t>Pro forma earnings/(loss) per share attributable to Company shareholders:</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Basic</w:t>
            </w:r>
          </w:p>
        </w:tc>
        <w:tc>
          <w:tcPr>
            <w:tcW w:w="22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$0.38</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($0.11)</w:t>
            </w:r>
          </w:p>
        </w:tc>
        <w:tc>
          <w:tcPr>
            <w:tcW w:w="19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$0.83</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9"/>
        </w:trPr>
        <w:tc>
          <w:tcPr>
            <w:tcW w:w="47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240" w:type="dxa"/>
            <w:vAlign w:val="bottom"/>
          </w:tcPr>
          <w:p>
            <w:pPr>
              <w:jc w:val="right"/>
              <w:ind w:right="710"/>
              <w:spacing w:after="0"/>
              <w:rPr>
                <w:sz w:val="20"/>
                <w:szCs w:val="20"/>
                <w:color w:val="auto"/>
              </w:rPr>
            </w:pPr>
            <w:r>
              <w:rPr>
                <w:rFonts w:ascii="Arial" w:cs="Arial" w:eastAsia="Arial" w:hAnsi="Arial"/>
                <w:sz w:val="18"/>
                <w:szCs w:val="18"/>
                <w:b w:val="1"/>
                <w:bCs w:val="1"/>
                <w:color w:val="auto"/>
              </w:rPr>
              <w:t>$0.38</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($0.11)</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$0.83</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40" w:type="dxa"/>
            <w:vAlign w:val="bottom"/>
          </w:tcPr>
          <w:p>
            <w:pPr>
              <w:jc w:val="right"/>
              <w:ind w:right="1150"/>
              <w:spacing w:after="0"/>
              <w:rPr>
                <w:sz w:val="20"/>
                <w:szCs w:val="20"/>
                <w:color w:val="auto"/>
              </w:rPr>
            </w:pPr>
            <w:r>
              <w:rPr>
                <w:rFonts w:ascii="Arial" w:cs="Arial" w:eastAsia="Arial" w:hAnsi="Arial"/>
                <w:sz w:val="18"/>
                <w:szCs w:val="18"/>
                <w:color w:val="auto"/>
              </w:rPr>
              <w:t>9</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gridSpan w:val="2"/>
          </w:tcPr>
          <w:p>
            <w:pPr>
              <w:jc w:val="right"/>
              <w:ind w:right="510"/>
              <w:spacing w:after="0" w:line="194" w:lineRule="exact"/>
              <w:rPr>
                <w:sz w:val="20"/>
                <w:szCs w:val="20"/>
                <w:color w:val="auto"/>
              </w:rPr>
            </w:pPr>
            <w:r>
              <w:rPr>
                <w:rFonts w:ascii="Arial" w:cs="Arial" w:eastAsia="Arial" w:hAnsi="Arial"/>
                <w:sz w:val="18"/>
                <w:szCs w:val="18"/>
                <w:b w:val="1"/>
                <w:bCs w:val="1"/>
                <w:color w:val="auto"/>
              </w:rPr>
              <w:t>Three months ended June 30,</w:t>
            </w:r>
          </w:p>
        </w:tc>
        <w:tc>
          <w:tcPr>
            <w:tcW w:w="3060" w:type="dxa"/>
            <w:vAlign w:val="bottom"/>
            <w:tcBorders>
              <w:top w:val="single" w:sz="8" w:color="auto"/>
            </w:tcBorders>
            <w:gridSpan w:val="2"/>
          </w:tcPr>
          <w:p>
            <w:pPr>
              <w:jc w:val="right"/>
              <w:ind w:right="270"/>
              <w:spacing w:after="0" w:line="194" w:lineRule="exact"/>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8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1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17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38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Net sales</w:t>
            </w:r>
          </w:p>
        </w:tc>
        <w:tc>
          <w:tcPr>
            <w:tcW w:w="2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$148,934</w:t>
            </w:r>
          </w:p>
        </w:tc>
        <w:tc>
          <w:tcPr>
            <w:tcW w:w="1660" w:type="dxa"/>
            <w:vAlign w:val="bottom"/>
          </w:tcPr>
          <w:p>
            <w:pPr>
              <w:spacing w:after="0"/>
              <w:rPr>
                <w:sz w:val="16"/>
                <w:szCs w:val="16"/>
                <w:color w:val="auto"/>
              </w:rPr>
            </w:pPr>
          </w:p>
        </w:tc>
        <w:tc>
          <w:tcPr>
            <w:tcW w:w="17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$294,197</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820" w:type="dxa"/>
            <w:vAlign w:val="bottom"/>
            <w:vMerge w:val="continue"/>
          </w:tcPr>
          <w:p>
            <w:pPr>
              <w:spacing w:after="0"/>
              <w:rPr>
                <w:sz w:val="15"/>
                <w:szCs w:val="15"/>
                <w:color w:val="auto"/>
              </w:rPr>
            </w:pPr>
          </w:p>
        </w:tc>
        <w:tc>
          <w:tcPr>
            <w:tcW w:w="166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$150,561</w:t>
            </w:r>
          </w:p>
        </w:tc>
        <w:tc>
          <w:tcPr>
            <w:tcW w:w="176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309,055</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2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54,256</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21,728</w:t>
            </w: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81,324</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44,558</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2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$203,190</w:t>
            </w:r>
          </w:p>
        </w:tc>
        <w:tc>
          <w:tcPr>
            <w:tcW w:w="16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$172,289</w:t>
            </w:r>
          </w:p>
        </w:tc>
        <w:tc>
          <w:tcPr>
            <w:tcW w:w="17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$375,521</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$353,613</w:t>
            </w:r>
          </w:p>
        </w:tc>
        <w:tc>
          <w:tcPr>
            <w:tcW w:w="0" w:type="dxa"/>
            <w:vAlign w:val="bottom"/>
          </w:tcPr>
          <w:p>
            <w:pPr>
              <w:spacing w:after="0"/>
              <w:rPr>
                <w:sz w:val="1"/>
                <w:szCs w:val="1"/>
                <w:color w:val="auto"/>
              </w:rPr>
            </w:pPr>
          </w:p>
        </w:tc>
      </w:tr>
      <w:tr>
        <w:trPr>
          <w:trHeight w:val="195"/>
        </w:trPr>
        <w:tc>
          <w:tcPr>
            <w:tcW w:w="38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Operating income/(loss)</w:t>
            </w:r>
          </w:p>
        </w:tc>
        <w:tc>
          <w:tcPr>
            <w:tcW w:w="2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$35,405</w:t>
            </w:r>
          </w:p>
        </w:tc>
        <w:tc>
          <w:tcPr>
            <w:tcW w:w="1660" w:type="dxa"/>
            <w:vAlign w:val="bottom"/>
          </w:tcPr>
          <w:p>
            <w:pPr>
              <w:spacing w:after="0"/>
              <w:rPr>
                <w:sz w:val="16"/>
                <w:szCs w:val="16"/>
                <w:color w:val="auto"/>
              </w:rPr>
            </w:pPr>
          </w:p>
        </w:tc>
        <w:tc>
          <w:tcPr>
            <w:tcW w:w="17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$72,543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8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2820" w:type="dxa"/>
            <w:vAlign w:val="bottom"/>
            <w:vMerge w:val="continue"/>
          </w:tcPr>
          <w:p>
            <w:pPr>
              <w:spacing w:after="0"/>
              <w:rPr>
                <w:sz w:val="15"/>
                <w:szCs w:val="15"/>
                <w:color w:val="auto"/>
              </w:rPr>
            </w:pPr>
          </w:p>
        </w:tc>
        <w:tc>
          <w:tcPr>
            <w:tcW w:w="166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$33,323</w:t>
            </w:r>
          </w:p>
        </w:tc>
        <w:tc>
          <w:tcPr>
            <w:tcW w:w="176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8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(5,848)</w:t>
            </w:r>
          </w:p>
        </w:tc>
        <w:tc>
          <w:tcPr>
            <w:tcW w:w="16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(18,633)</w:t>
            </w:r>
          </w:p>
        </w:tc>
        <w:tc>
          <w:tcPr>
            <w:tcW w:w="17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(9,553)</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(22,444)</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2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(11,700)</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(11,652)</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(22,864)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w:t>
            </w:r>
          </w:p>
        </w:tc>
        <w:tc>
          <w:tcPr>
            <w:tcW w:w="0" w:type="dxa"/>
            <w:vAlign w:val="bottom"/>
          </w:tcPr>
          <w:p>
            <w:pPr>
              <w:spacing w:after="0"/>
              <w:rPr>
                <w:sz w:val="1"/>
                <w:szCs w:val="1"/>
                <w:color w:val="auto"/>
              </w:rPr>
            </w:pPr>
          </w:p>
        </w:tc>
      </w:tr>
      <w:tr>
        <w:trPr>
          <w:trHeight w:val="195"/>
        </w:trPr>
        <w:tc>
          <w:tcPr>
            <w:tcW w:w="3880" w:type="dxa"/>
            <w:vAlign w:val="bottom"/>
            <w:gridSpan w:val="2"/>
          </w:tcPr>
          <w:p>
            <w:pPr>
              <w:spacing w:after="0" w:line="195" w:lineRule="exact"/>
              <w:rPr>
                <w:sz w:val="20"/>
                <w:szCs w:val="20"/>
                <w:color w:val="auto"/>
              </w:rPr>
            </w:pPr>
            <w:r>
              <w:rPr>
                <w:rFonts w:ascii="Arial" w:cs="Arial" w:eastAsia="Arial" w:hAnsi="Arial"/>
                <w:sz w:val="18"/>
                <w:szCs w:val="18"/>
                <w:color w:val="auto"/>
              </w:rPr>
              <w:t>Operating income</w:t>
            </w:r>
          </w:p>
        </w:tc>
        <w:tc>
          <w:tcPr>
            <w:tcW w:w="2820" w:type="dxa"/>
            <w:vAlign w:val="bottom"/>
          </w:tcPr>
          <w:p>
            <w:pPr>
              <w:jc w:val="right"/>
              <w:ind w:right="410"/>
              <w:spacing w:after="0" w:line="195" w:lineRule="exact"/>
              <w:rPr>
                <w:sz w:val="20"/>
                <w:szCs w:val="20"/>
                <w:color w:val="auto"/>
              </w:rPr>
            </w:pPr>
            <w:r>
              <w:rPr>
                <w:rFonts w:ascii="Arial" w:cs="Arial" w:eastAsia="Arial" w:hAnsi="Arial"/>
                <w:sz w:val="18"/>
                <w:szCs w:val="18"/>
                <w:b w:val="1"/>
                <w:bCs w:val="1"/>
                <w:color w:val="auto"/>
              </w:rPr>
              <w:t>17,857</w:t>
            </w:r>
          </w:p>
        </w:tc>
        <w:tc>
          <w:tcPr>
            <w:tcW w:w="166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3,038</w:t>
            </w:r>
          </w:p>
        </w:tc>
        <w:tc>
          <w:tcPr>
            <w:tcW w:w="1760" w:type="dxa"/>
            <w:vAlign w:val="bottom"/>
          </w:tcPr>
          <w:p>
            <w:pPr>
              <w:jc w:val="right"/>
              <w:ind w:right="410"/>
              <w:spacing w:after="0" w:line="195" w:lineRule="exact"/>
              <w:rPr>
                <w:sz w:val="20"/>
                <w:szCs w:val="20"/>
                <w:color w:val="auto"/>
              </w:rPr>
            </w:pPr>
            <w:r>
              <w:rPr>
                <w:rFonts w:ascii="Arial" w:cs="Arial" w:eastAsia="Arial" w:hAnsi="Arial"/>
                <w:sz w:val="18"/>
                <w:szCs w:val="18"/>
                <w:b w:val="1"/>
                <w:bCs w:val="1"/>
                <w:color w:val="auto"/>
              </w:rPr>
              <w:t>40,126</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28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(547)</w:t>
            </w:r>
          </w:p>
        </w:tc>
        <w:tc>
          <w:tcPr>
            <w:tcW w:w="1660" w:type="dxa"/>
            <w:vAlign w:val="bottom"/>
          </w:tcPr>
          <w:p>
            <w:pPr>
              <w:spacing w:after="0"/>
              <w:rPr>
                <w:sz w:val="17"/>
                <w:szCs w:val="17"/>
                <w:color w:val="auto"/>
              </w:rPr>
            </w:pPr>
          </w:p>
        </w:tc>
        <w:tc>
          <w:tcPr>
            <w:tcW w:w="17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(673)</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320"/>
              <w:spacing w:after="0" w:line="181" w:lineRule="exact"/>
              <w:rPr>
                <w:sz w:val="20"/>
                <w:szCs w:val="20"/>
                <w:color w:val="auto"/>
              </w:rPr>
            </w:pPr>
            <w:r>
              <w:rPr>
                <w:rFonts w:ascii="Arial" w:cs="Arial" w:eastAsia="Arial" w:hAnsi="Arial"/>
                <w:sz w:val="18"/>
                <w:szCs w:val="18"/>
                <w:color w:val="auto"/>
              </w:rPr>
              <w:t>Interest income</w:t>
            </w:r>
          </w:p>
        </w:tc>
        <w:tc>
          <w:tcPr>
            <w:tcW w:w="2820" w:type="dxa"/>
            <w:vAlign w:val="bottom"/>
            <w:vMerge w:val="continue"/>
          </w:tcPr>
          <w:p>
            <w:pPr>
              <w:spacing w:after="0"/>
              <w:rPr>
                <w:sz w:val="15"/>
                <w:szCs w:val="15"/>
                <w:color w:val="auto"/>
              </w:rPr>
            </w:pPr>
          </w:p>
        </w:tc>
        <w:tc>
          <w:tcPr>
            <w:tcW w:w="166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(437)</w:t>
            </w:r>
          </w:p>
        </w:tc>
        <w:tc>
          <w:tcPr>
            <w:tcW w:w="1760" w:type="dxa"/>
            <w:vAlign w:val="bottom"/>
            <w:vMerge w:val="continue"/>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320"/>
              <w:spacing w:after="0" w:line="202" w:lineRule="exact"/>
              <w:rPr>
                <w:sz w:val="20"/>
                <w:szCs w:val="20"/>
                <w:color w:val="auto"/>
              </w:rPr>
            </w:pPr>
            <w:r>
              <w:rPr>
                <w:rFonts w:ascii="Arial" w:cs="Arial" w:eastAsia="Arial" w:hAnsi="Arial"/>
                <w:sz w:val="18"/>
                <w:szCs w:val="18"/>
                <w:color w:val="auto"/>
              </w:rPr>
              <w:t>Interest expense</w:t>
            </w:r>
          </w:p>
        </w:tc>
        <w:tc>
          <w:tcPr>
            <w:tcW w:w="2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4,238</w:t>
            </w:r>
          </w:p>
        </w:tc>
        <w:tc>
          <w:tcPr>
            <w:tcW w:w="16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3,139</w:t>
            </w: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6,602</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income, net</w:t>
            </w:r>
          </w:p>
        </w:tc>
        <w:tc>
          <w:tcPr>
            <w:tcW w:w="2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2,820</w:t>
            </w:r>
          </w:p>
        </w:tc>
        <w:tc>
          <w:tcPr>
            <w:tcW w:w="1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(2,345)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2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$16,183</w:t>
            </w:r>
          </w:p>
        </w:tc>
        <w:tc>
          <w:tcPr>
            <w:tcW w:w="16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($2,484)</w:t>
            </w:r>
          </w:p>
        </w:tc>
        <w:tc>
          <w:tcPr>
            <w:tcW w:w="17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$36,542</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$18,274</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660" w:right="640" w:firstLine="648"/>
        <w:spacing w:after="0" w:line="246" w:lineRule="auto"/>
        <w:rPr>
          <w:sz w:val="20"/>
          <w:szCs w:val="20"/>
          <w:color w:val="auto"/>
        </w:rPr>
      </w:pPr>
      <w:r>
        <w:rPr>
          <w:rFonts w:ascii="Arial" w:cs="Arial" w:eastAsia="Arial" w:hAnsi="Arial"/>
          <w:sz w:val="18"/>
          <w:szCs w:val="18"/>
          <w:color w:val="auto"/>
        </w:rPr>
        <w:t>Total assets of the AEC segment increased by approximately $223 million during the second quarter of 2016 due to the acquisition of AAC.</w:t>
      </w:r>
    </w:p>
    <w:p>
      <w:pPr>
        <w:spacing w:after="0" w:line="156" w:lineRule="exact"/>
        <w:rPr>
          <w:sz w:val="20"/>
          <w:szCs w:val="20"/>
          <w:color w:val="auto"/>
        </w:rPr>
      </w:pPr>
    </w:p>
    <w:p>
      <w:pPr>
        <w:jc w:val="both"/>
        <w:ind w:left="660" w:right="20" w:firstLine="648"/>
        <w:spacing w:after="0"/>
        <w:rPr>
          <w:sz w:val="20"/>
          <w:szCs w:val="20"/>
          <w:color w:val="auto"/>
        </w:rPr>
      </w:pPr>
      <w:r>
        <w:rPr>
          <w:rFonts w:ascii="Arial" w:cs="Arial" w:eastAsia="Arial" w:hAnsi="Arial"/>
          <w:sz w:val="18"/>
          <w:szCs w:val="18"/>
          <w:color w:val="auto"/>
        </w:rPr>
        <w:t>Total capital expenditures for the first six months of 2016 were $30.9 million, including amounts that were included in Accounts payable. In the Consolidated Statements of Cash Flows, capital expenditures and accounts payable were each adjusted by $2.1 million to reflect the non-cash nature of the transactions.</w:t>
      </w:r>
    </w:p>
    <w:p>
      <w:pPr>
        <w:spacing w:after="0" w:line="176" w:lineRule="exact"/>
        <w:rPr>
          <w:sz w:val="20"/>
          <w:szCs w:val="20"/>
          <w:color w:val="auto"/>
        </w:rPr>
      </w:pPr>
    </w:p>
    <w:p>
      <w:pPr>
        <w:ind w:left="660" w:right="160" w:firstLine="648"/>
        <w:spacing w:after="0" w:line="246" w:lineRule="auto"/>
        <w:rPr>
          <w:sz w:val="20"/>
          <w:szCs w:val="20"/>
          <w:color w:val="auto"/>
        </w:rPr>
      </w:pPr>
      <w:r>
        <w:rPr>
          <w:rFonts w:ascii="Arial" w:cs="Arial" w:eastAsia="Arial" w:hAnsi="Arial"/>
          <w:sz w:val="18"/>
          <w:szCs w:val="18"/>
          <w:color w:val="auto"/>
        </w:rPr>
        <w:t>During the first six months of 2016, the Company recorded expenses of $5.4 million for acquisition-related costs. These costs are included in Selling, general and administrative expenses of the AEC segment.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96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jc w:val="right"/>
              <w:ind w:right="930"/>
              <w:spacing w:after="0" w:line="194" w:lineRule="exact"/>
              <w:rPr>
                <w:sz w:val="20"/>
                <w:szCs w:val="20"/>
                <w:color w:val="auto"/>
              </w:rPr>
            </w:pPr>
            <w:r>
              <w:rPr>
                <w:rFonts w:ascii="Arial" w:cs="Arial" w:eastAsia="Arial" w:hAnsi="Arial"/>
                <w:sz w:val="18"/>
                <w:szCs w:val="18"/>
                <w:b w:val="1"/>
                <w:bCs w:val="1"/>
                <w:color w:val="auto"/>
              </w:rPr>
              <w:t>Three months ended</w:t>
            </w:r>
          </w:p>
        </w:tc>
        <w:tc>
          <w:tcPr>
            <w:tcW w:w="304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3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3020" w:type="dxa"/>
            <w:vAlign w:val="bottom"/>
            <w:tcBorders>
              <w:bottom w:val="single" w:sz="8" w:color="auto"/>
            </w:tcBorders>
          </w:tcPr>
          <w:p>
            <w:pPr>
              <w:jc w:val="right"/>
              <w:ind w:right="1090"/>
              <w:spacing w:after="0" w:line="196" w:lineRule="exact"/>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2015</w:t>
            </w:r>
          </w:p>
        </w:tc>
        <w:tc>
          <w:tcPr>
            <w:tcW w:w="2020" w:type="dxa"/>
            <w:vAlign w:val="bottom"/>
            <w:tcBorders>
              <w:bottom w:val="single" w:sz="8" w:color="auto"/>
            </w:tcBorders>
          </w:tcPr>
          <w:p>
            <w:pPr>
              <w:jc w:val="right"/>
              <w:ind w:right="1050"/>
              <w:spacing w:after="0" w:line="196" w:lineRule="exact"/>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398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Restructuring expenses, net</w:t>
            </w:r>
          </w:p>
        </w:tc>
        <w:tc>
          <w:tcPr>
            <w:tcW w:w="30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$5,434</w:t>
            </w:r>
          </w:p>
        </w:tc>
        <w:tc>
          <w:tcPr>
            <w:tcW w:w="1380" w:type="dxa"/>
            <w:vAlign w:val="bottom"/>
          </w:tcPr>
          <w:p>
            <w:pPr>
              <w:spacing w:after="0"/>
              <w:rPr>
                <w:sz w:val="16"/>
                <w:szCs w:val="16"/>
                <w:color w:val="auto"/>
              </w:rPr>
            </w:pPr>
          </w:p>
        </w:tc>
        <w:tc>
          <w:tcPr>
            <w:tcW w:w="202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$6,132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80" w:type="dxa"/>
            <w:vAlign w:val="bottom"/>
            <w:gridSpan w:val="2"/>
          </w:tcPr>
          <w:p>
            <w:pPr>
              <w:spacing w:after="0" w:line="181" w:lineRule="exact"/>
              <w:rPr>
                <w:sz w:val="20"/>
                <w:szCs w:val="20"/>
                <w:color w:val="auto"/>
              </w:rPr>
            </w:pPr>
            <w:r>
              <w:rPr>
                <w:rFonts w:ascii="Arial" w:cs="Arial" w:eastAsia="Arial" w:hAnsi="Arial"/>
                <w:sz w:val="18"/>
                <w:szCs w:val="18"/>
                <w:color w:val="auto"/>
              </w:rPr>
              <w:t>Machine Clothing</w:t>
            </w:r>
          </w:p>
        </w:tc>
        <w:tc>
          <w:tcPr>
            <w:tcW w:w="3020" w:type="dxa"/>
            <w:vAlign w:val="bottom"/>
            <w:vMerge w:val="continue"/>
          </w:tcPr>
          <w:p>
            <w:pPr>
              <w:spacing w:after="0"/>
              <w:rPr>
                <w:sz w:val="15"/>
                <w:szCs w:val="15"/>
                <w:color w:val="auto"/>
              </w:rPr>
            </w:pPr>
          </w:p>
        </w:tc>
        <w:tc>
          <w:tcPr>
            <w:tcW w:w="1380" w:type="dxa"/>
            <w:vAlign w:val="bottom"/>
          </w:tcPr>
          <w:p>
            <w:pPr>
              <w:jc w:val="right"/>
              <w:ind w:right="370"/>
              <w:spacing w:after="0" w:line="181" w:lineRule="exact"/>
              <w:rPr>
                <w:sz w:val="20"/>
                <w:szCs w:val="20"/>
                <w:color w:val="auto"/>
              </w:rPr>
            </w:pPr>
            <w:r>
              <w:rPr>
                <w:rFonts w:ascii="Arial" w:cs="Arial" w:eastAsia="Arial" w:hAnsi="Arial"/>
                <w:sz w:val="18"/>
                <w:szCs w:val="18"/>
                <w:color w:val="auto"/>
              </w:rPr>
              <w:t>$1,211</w:t>
            </w:r>
          </w:p>
        </w:tc>
        <w:tc>
          <w:tcPr>
            <w:tcW w:w="2020" w:type="dxa"/>
            <w:vAlign w:val="bottom"/>
            <w:vMerge w:val="continue"/>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02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1,147</w:t>
            </w:r>
          </w:p>
        </w:tc>
        <w:tc>
          <w:tcPr>
            <w:tcW w:w="13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w:t>
            </w:r>
          </w:p>
        </w:tc>
        <w:tc>
          <w:tcPr>
            <w:tcW w:w="202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1,147</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67</w:t>
            </w: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48</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02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$6,648</w:t>
            </w:r>
          </w:p>
        </w:tc>
        <w:tc>
          <w:tcPr>
            <w:tcW w:w="13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$1,211</w:t>
            </w:r>
          </w:p>
        </w:tc>
        <w:tc>
          <w:tcPr>
            <w:tcW w:w="202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$7,327</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$10,212</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Pension Plans</w:t>
      </w:r>
    </w:p>
    <w:p>
      <w:pPr>
        <w:spacing w:after="0" w:line="189" w:lineRule="exact"/>
        <w:rPr>
          <w:sz w:val="20"/>
          <w:szCs w:val="20"/>
          <w:color w:val="auto"/>
        </w:rPr>
      </w:pPr>
    </w:p>
    <w:p>
      <w:pPr>
        <w:jc w:val="both"/>
        <w:ind w:left="660" w:right="300" w:firstLine="648"/>
        <w:spacing w:after="0"/>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only those benefits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10" w:name="page11"/>
    <w:bookmarkEnd w:id="10"/>
    <w:p>
      <w:pPr>
        <w:ind w:right="80"/>
        <w:spacing w:after="0" w:line="246" w:lineRule="auto"/>
        <w:rPr>
          <w:sz w:val="20"/>
          <w:szCs w:val="20"/>
          <w:color w:val="auto"/>
        </w:rPr>
      </w:pPr>
      <w:r>
        <w:rPr>
          <w:rFonts w:ascii="Arial" w:cs="Arial" w:eastAsia="Arial" w:hAnsi="Arial"/>
          <w:sz w:val="18"/>
          <w:szCs w:val="18"/>
          <w:color w:val="auto"/>
        </w:rPr>
        <w:t>accrued through February 2009. Benefit accruals under the U.S. Supplemental Executive Retirement Plan ("SERP") were similarly frozen. The eligibility, benefit formulas, and contribution requirements for plans outside of the U.S. vary by location.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periodic benefit plan cost for the six months ended June 30, 2016 and 2015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Pension plans</w:t>
            </w:r>
          </w:p>
        </w:tc>
        <w:tc>
          <w:tcPr>
            <w:tcW w:w="118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2"/>
          </w:tcPr>
          <w:p>
            <w:pPr>
              <w:jc w:val="right"/>
              <w:ind w:right="170"/>
              <w:spacing w:after="0" w:line="194" w:lineRule="exact"/>
              <w:rPr>
                <w:sz w:val="20"/>
                <w:szCs w:val="20"/>
                <w:color w:val="auto"/>
              </w:rPr>
            </w:pPr>
            <w:r>
              <w:rPr>
                <w:rFonts w:ascii="Arial" w:cs="Arial" w:eastAsia="Arial" w:hAnsi="Arial"/>
                <w:sz w:val="18"/>
                <w:szCs w:val="18"/>
                <w:b w:val="1"/>
                <w:bCs w:val="1"/>
                <w:color w:val="auto"/>
              </w:rPr>
              <w:t>Other postretirement benefits</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2016</w:t>
            </w: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8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320" w:type="dxa"/>
            <w:vAlign w:val="bottom"/>
          </w:tcPr>
          <w:p>
            <w:pPr>
              <w:spacing w:after="0" w:line="195" w:lineRule="exact"/>
              <w:rPr>
                <w:sz w:val="20"/>
                <w:szCs w:val="20"/>
                <w:color w:val="auto"/>
              </w:rPr>
            </w:pPr>
            <w:r>
              <w:rPr>
                <w:rFonts w:ascii="Arial" w:cs="Arial" w:eastAsia="Arial" w:hAnsi="Arial"/>
                <w:sz w:val="18"/>
                <w:szCs w:val="18"/>
                <w:color w:val="auto"/>
              </w:rPr>
              <w:t>Components of net periodic benefit cost:</w:t>
            </w:r>
          </w:p>
        </w:tc>
        <w:tc>
          <w:tcPr>
            <w:tcW w:w="280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$1,319</w:t>
            </w:r>
          </w:p>
        </w:tc>
        <w:tc>
          <w:tcPr>
            <w:tcW w:w="1180" w:type="dxa"/>
            <w:vAlign w:val="bottom"/>
          </w:tcPr>
          <w:p>
            <w:pPr>
              <w:spacing w:after="0"/>
              <w:rPr>
                <w:sz w:val="16"/>
                <w:szCs w:val="16"/>
                <w:color w:val="auto"/>
              </w:rPr>
            </w:pPr>
          </w:p>
        </w:tc>
        <w:tc>
          <w:tcPr>
            <w:tcW w:w="18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$127</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line="181" w:lineRule="exact"/>
              <w:rPr>
                <w:sz w:val="20"/>
                <w:szCs w:val="20"/>
                <w:color w:val="auto"/>
              </w:rPr>
            </w:pPr>
            <w:r>
              <w:rPr>
                <w:rFonts w:ascii="Arial" w:cs="Arial" w:eastAsia="Arial" w:hAnsi="Arial"/>
                <w:sz w:val="18"/>
                <w:szCs w:val="18"/>
                <w:color w:val="auto"/>
              </w:rPr>
              <w:t>Service cost</w:t>
            </w:r>
          </w:p>
        </w:tc>
        <w:tc>
          <w:tcPr>
            <w:tcW w:w="2800" w:type="dxa"/>
            <w:vAlign w:val="bottom"/>
            <w:vMerge w:val="continue"/>
          </w:tcPr>
          <w:p>
            <w:pPr>
              <w:spacing w:after="0"/>
              <w:rPr>
                <w:sz w:val="15"/>
                <w:szCs w:val="15"/>
                <w:color w:val="auto"/>
              </w:rPr>
            </w:pPr>
          </w:p>
        </w:tc>
        <w:tc>
          <w:tcPr>
            <w:tcW w:w="1180" w:type="dxa"/>
            <w:vAlign w:val="bottom"/>
          </w:tcPr>
          <w:p>
            <w:pPr>
              <w:jc w:val="right"/>
              <w:ind w:right="290"/>
              <w:spacing w:after="0" w:line="181" w:lineRule="exact"/>
              <w:rPr>
                <w:sz w:val="20"/>
                <w:szCs w:val="20"/>
                <w:color w:val="auto"/>
              </w:rPr>
            </w:pPr>
            <w:r>
              <w:rPr>
                <w:rFonts w:ascii="Arial" w:cs="Arial" w:eastAsia="Arial" w:hAnsi="Arial"/>
                <w:sz w:val="18"/>
                <w:szCs w:val="18"/>
                <w:color w:val="auto"/>
              </w:rPr>
              <w:t>$1,529</w:t>
            </w:r>
          </w:p>
        </w:tc>
        <w:tc>
          <w:tcPr>
            <w:tcW w:w="182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8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4,049</w:t>
            </w:r>
          </w:p>
        </w:tc>
        <w:tc>
          <w:tcPr>
            <w:tcW w:w="11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3,895</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1,221</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8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(4,482)</w:t>
            </w:r>
          </w:p>
        </w:tc>
        <w:tc>
          <w:tcPr>
            <w:tcW w:w="11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(4,326)</w:t>
            </w:r>
          </w:p>
        </w:tc>
        <w:tc>
          <w:tcPr>
            <w:tcW w:w="18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80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19</w:t>
            </w:r>
          </w:p>
        </w:tc>
        <w:tc>
          <w:tcPr>
            <w:tcW w:w="11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w:t>
            </w:r>
          </w:p>
        </w:tc>
        <w:tc>
          <w:tcPr>
            <w:tcW w:w="18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(2,244)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25"/>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28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1,164</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1,297</w:t>
            </w: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1,410</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8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$2,069</w:t>
            </w:r>
          </w:p>
        </w:tc>
        <w:tc>
          <w:tcPr>
            <w:tcW w:w="11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$2,419</w:t>
            </w:r>
          </w:p>
        </w:tc>
        <w:tc>
          <w:tcPr>
            <w:tcW w:w="18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$514</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During the first quarter of 2016 the Company announced the initiation of discussions with the relevant employee Works Council regarding a proposal to discontinue R&amp;D activities at its Machine Clothing production facility in Sélestat, France. In May 2016, we reached agreement with the Works Council on the restructuring plan, and R&amp;D activities are expected to discontinue during the third quarter of 2016. Approximately 25 positions will be terminated under this plan, and we recorded $2.4 million of restructuring expense in the second quarter 2016 as our estimate of the cost for severance, outplacement, and the write-off of equipment. Cost savings associated with this action will reduce research and development expenses in future periods.</w:t>
      </w:r>
    </w:p>
    <w:p>
      <w:pPr>
        <w:spacing w:after="0" w:line="9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Machine Clothing restructuring charges for the second quarter of 2016 also include $1.8 million for the relocation of equipment from our former manufacturing facility in Germany.</w:t>
      </w:r>
    </w:p>
    <w:p>
      <w:pPr>
        <w:spacing w:after="0" w:line="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2016 were principally related to the consolidation of the Company’s legacy programs into Boerne, Texas.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 Clothing restructuring costs in 2015 were principally related to plant closure costs in Göppingen, Germany.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gridSpan w:val="2"/>
          </w:tcPr>
          <w:p>
            <w:pPr>
              <w:jc w:val="right"/>
              <w:ind w:right="490"/>
              <w:spacing w:after="0" w:line="194" w:lineRule="exact"/>
              <w:rPr>
                <w:sz w:val="20"/>
                <w:szCs w:val="20"/>
                <w:color w:val="auto"/>
              </w:rPr>
            </w:pPr>
            <w:r>
              <w:rPr>
                <w:rFonts w:ascii="Arial" w:cs="Arial" w:eastAsia="Arial" w:hAnsi="Arial"/>
                <w:sz w:val="18"/>
                <w:szCs w:val="18"/>
                <w:b w:val="1"/>
                <w:bCs w:val="1"/>
                <w:color w:val="auto"/>
              </w:rPr>
              <w:t>Three months ended</w:t>
            </w:r>
          </w:p>
        </w:tc>
        <w:tc>
          <w:tcPr>
            <w:tcW w:w="348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100" w:type="dxa"/>
            <w:vAlign w:val="bottom"/>
          </w:tcPr>
          <w:p>
            <w:pPr>
              <w:spacing w:after="0"/>
              <w:rPr>
                <w:sz w:val="17"/>
                <w:szCs w:val="17"/>
                <w:color w:val="auto"/>
              </w:rPr>
            </w:pPr>
          </w:p>
        </w:tc>
        <w:tc>
          <w:tcPr>
            <w:tcW w:w="3840" w:type="dxa"/>
            <w:vAlign w:val="bottom"/>
            <w:gridSpan w:val="2"/>
          </w:tcPr>
          <w:p>
            <w:pPr>
              <w:jc w:val="right"/>
              <w:ind w:right="990"/>
              <w:spacing w:after="0" w:line="202" w:lineRule="exact"/>
              <w:rPr>
                <w:sz w:val="20"/>
                <w:szCs w:val="20"/>
                <w:color w:val="auto"/>
              </w:rPr>
            </w:pPr>
            <w:r>
              <w:rPr>
                <w:rFonts w:ascii="Arial" w:cs="Arial" w:eastAsia="Arial" w:hAnsi="Arial"/>
                <w:sz w:val="18"/>
                <w:szCs w:val="18"/>
                <w:b w:val="1"/>
                <w:bCs w:val="1"/>
                <w:color w:val="auto"/>
              </w:rPr>
              <w:t>June 30,</w:t>
            </w:r>
          </w:p>
        </w:tc>
        <w:tc>
          <w:tcPr>
            <w:tcW w:w="3480" w:type="dxa"/>
            <w:vAlign w:val="bottom"/>
            <w:gridSpan w:val="2"/>
          </w:tcPr>
          <w:p>
            <w:pPr>
              <w:jc w:val="right"/>
              <w:ind w:right="1070"/>
              <w:spacing w:after="0" w:line="202" w:lineRule="exact"/>
              <w:rPr>
                <w:sz w:val="20"/>
                <w:szCs w:val="20"/>
                <w:color w:val="auto"/>
              </w:rPr>
            </w:pPr>
            <w:r>
              <w:rPr>
                <w:rFonts w:ascii="Arial" w:cs="Arial" w:eastAsia="Arial" w:hAnsi="Arial"/>
                <w:sz w:val="18"/>
                <w:szCs w:val="18"/>
                <w:b w:val="1"/>
                <w:bCs w:val="1"/>
                <w:color w:val="auto"/>
              </w:rPr>
              <w:t>June 30,</w:t>
            </w:r>
          </w:p>
        </w:tc>
      </w:tr>
      <w:tr>
        <w:trPr>
          <w:trHeight w:val="225"/>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9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5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173"/>
        </w:trPr>
        <w:tc>
          <w:tcPr>
            <w:tcW w:w="41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1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$5,434</w:t>
            </w:r>
          </w:p>
        </w:tc>
        <w:tc>
          <w:tcPr>
            <w:tcW w:w="1660" w:type="dxa"/>
            <w:vAlign w:val="bottom"/>
          </w:tcPr>
          <w:p>
            <w:pPr>
              <w:jc w:val="right"/>
              <w:spacing w:after="0" w:line="173" w:lineRule="exact"/>
              <w:rPr>
                <w:sz w:val="20"/>
                <w:szCs w:val="20"/>
                <w:color w:val="auto"/>
              </w:rPr>
            </w:pPr>
            <w:r>
              <w:rPr>
                <w:rFonts w:ascii="Arial" w:cs="Arial" w:eastAsia="Arial" w:hAnsi="Arial"/>
                <w:sz w:val="18"/>
                <w:szCs w:val="18"/>
                <w:color w:val="auto"/>
              </w:rPr>
              <w:t>$1,211</w:t>
            </w:r>
          </w:p>
        </w:tc>
        <w:tc>
          <w:tcPr>
            <w:tcW w:w="192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$6,132</w:t>
            </w:r>
          </w:p>
        </w:tc>
        <w:tc>
          <w:tcPr>
            <w:tcW w:w="15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$10,212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1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1,147</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1,147</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48</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4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$6,648</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$1,211</w:t>
            </w:r>
          </w:p>
        </w:tc>
        <w:tc>
          <w:tcPr>
            <w:tcW w:w="19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$7,327</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$10,212</w:t>
            </w:r>
          </w:p>
        </w:tc>
      </w:tr>
      <w:tr>
        <w:trPr>
          <w:trHeight w:val="372"/>
        </w:trPr>
        <w:tc>
          <w:tcPr>
            <w:tcW w:w="4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73"/>
        </w:trPr>
        <w:tc>
          <w:tcPr>
            <w:tcW w:w="4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60" w:type="dxa"/>
            <w:vAlign w:val="bottom"/>
          </w:tcPr>
          <w:p>
            <w:pPr>
              <w:jc w:val="center"/>
              <w:ind w:right="950"/>
              <w:spacing w:after="0" w:line="173" w:lineRule="exact"/>
              <w:rPr>
                <w:sz w:val="20"/>
                <w:szCs w:val="20"/>
                <w:color w:val="auto"/>
              </w:rPr>
            </w:pPr>
            <w:r>
              <w:rPr>
                <w:rFonts w:ascii="Arial" w:cs="Arial" w:eastAsia="Arial" w:hAnsi="Arial"/>
                <w:sz w:val="18"/>
                <w:szCs w:val="18"/>
                <w:b w:val="1"/>
                <w:bCs w:val="1"/>
                <w:color w:val="auto"/>
                <w:w w:val="97"/>
              </w:rPr>
              <w:t>Total</w:t>
            </w:r>
          </w:p>
        </w:tc>
        <w:tc>
          <w:tcPr>
            <w:tcW w:w="1920" w:type="dxa"/>
            <w:vAlign w:val="bottom"/>
          </w:tcPr>
          <w:p>
            <w:pPr>
              <w:spacing w:after="0"/>
              <w:rPr>
                <w:sz w:val="15"/>
                <w:szCs w:val="15"/>
                <w:color w:val="auto"/>
              </w:rPr>
            </w:pPr>
          </w:p>
        </w:tc>
        <w:tc>
          <w:tcPr>
            <w:tcW w:w="15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Impairment of</w:t>
            </w:r>
          </w:p>
        </w:tc>
      </w:tr>
      <w:tr>
        <w:trPr>
          <w:trHeight w:val="203"/>
        </w:trPr>
        <w:tc>
          <w:tcPr>
            <w:tcW w:w="4100" w:type="dxa"/>
            <w:vAlign w:val="bottom"/>
          </w:tcPr>
          <w:p>
            <w:pPr>
              <w:spacing w:after="0"/>
              <w:rPr>
                <w:sz w:val="17"/>
                <w:szCs w:val="17"/>
                <w:color w:val="auto"/>
              </w:rPr>
            </w:pPr>
          </w:p>
        </w:tc>
        <w:tc>
          <w:tcPr>
            <w:tcW w:w="3840" w:type="dxa"/>
            <w:vAlign w:val="bottom"/>
            <w:gridSpan w:val="2"/>
          </w:tcPr>
          <w:p>
            <w:pPr>
              <w:jc w:val="center"/>
              <w:ind w:left="107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9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w w:val="99"/>
              </w:rPr>
              <w:t>Termination and</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auto"/>
              </w:rPr>
              <w:t>Six months ended June 30,2016</w:t>
            </w:r>
          </w:p>
        </w:tc>
        <w:tc>
          <w:tcPr>
            <w:tcW w:w="3840" w:type="dxa"/>
            <w:vAlign w:val="bottom"/>
            <w:gridSpan w:val="2"/>
          </w:tcPr>
          <w:p>
            <w:pPr>
              <w:jc w:val="center"/>
              <w:ind w:left="990"/>
              <w:spacing w:after="0" w:line="202" w:lineRule="exact"/>
              <w:rPr>
                <w:sz w:val="20"/>
                <w:szCs w:val="20"/>
                <w:color w:val="auto"/>
              </w:rPr>
            </w:pPr>
            <w:r>
              <w:rPr>
                <w:rFonts w:ascii="Arial" w:cs="Arial" w:eastAsia="Arial" w:hAnsi="Arial"/>
                <w:sz w:val="18"/>
                <w:szCs w:val="18"/>
                <w:b w:val="1"/>
                <w:bCs w:val="1"/>
                <w:color w:val="auto"/>
                <w:w w:val="99"/>
              </w:rPr>
              <w:t>costs incurred</w:t>
            </w:r>
          </w:p>
        </w:tc>
        <w:tc>
          <w:tcPr>
            <w:tcW w:w="192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other costs</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equipment</w:t>
            </w:r>
          </w:p>
        </w:tc>
      </w:tr>
      <w:tr>
        <w:trPr>
          <w:trHeight w:val="225"/>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195"/>
        </w:trPr>
        <w:tc>
          <w:tcPr>
            <w:tcW w:w="410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2180" w:type="dxa"/>
            <w:vAlign w:val="bottom"/>
          </w:tcPr>
          <w:p>
            <w:pPr>
              <w:spacing w:after="0"/>
              <w:rPr>
                <w:sz w:val="16"/>
                <w:szCs w:val="16"/>
                <w:color w:val="auto"/>
              </w:rPr>
            </w:pPr>
          </w:p>
        </w:tc>
        <w:tc>
          <w:tcPr>
            <w:tcW w:w="166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$6,132</w:t>
            </w:r>
          </w:p>
        </w:tc>
        <w:tc>
          <w:tcPr>
            <w:tcW w:w="192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$5,832</w:t>
            </w:r>
          </w:p>
        </w:tc>
        <w:tc>
          <w:tcPr>
            <w:tcW w:w="15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$300</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180" w:type="dxa"/>
            <w:vAlign w:val="bottom"/>
          </w:tcPr>
          <w:p>
            <w:pPr>
              <w:spacing w:after="0"/>
              <w:rPr>
                <w:sz w:val="17"/>
                <w:szCs w:val="17"/>
                <w:color w:val="auto"/>
              </w:rPr>
            </w:pPr>
          </w:p>
        </w:tc>
        <w:tc>
          <w:tcPr>
            <w:tcW w:w="166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1,147</w:t>
            </w:r>
          </w:p>
        </w:tc>
        <w:tc>
          <w:tcPr>
            <w:tcW w:w="19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921</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226</w:t>
            </w:r>
          </w:p>
        </w:tc>
      </w:tr>
      <w:tr>
        <w:trPr>
          <w:trHeight w:val="203"/>
        </w:trPr>
        <w:tc>
          <w:tcPr>
            <w:tcW w:w="4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2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rPr>
              <w:t>48</w:t>
            </w:r>
          </w:p>
        </w:tc>
        <w:tc>
          <w:tcPr>
            <w:tcW w:w="192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48</w:t>
            </w:r>
          </w:p>
        </w:tc>
        <w:tc>
          <w:tcPr>
            <w:tcW w:w="15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rPr>
              <w:t>$7,327</w:t>
            </w:r>
          </w:p>
        </w:tc>
        <w:tc>
          <w:tcPr>
            <w:tcW w:w="19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$6,801</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$526</w:t>
            </w:r>
          </w:p>
        </w:tc>
      </w:tr>
      <w:tr>
        <w:trPr>
          <w:trHeight w:val="385"/>
        </w:trPr>
        <w:tc>
          <w:tcPr>
            <w:tcW w:w="4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73"/>
        </w:trPr>
        <w:tc>
          <w:tcPr>
            <w:tcW w:w="4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60" w:type="dxa"/>
            <w:vAlign w:val="bottom"/>
          </w:tcPr>
          <w:p>
            <w:pPr>
              <w:jc w:val="center"/>
              <w:ind w:right="950"/>
              <w:spacing w:after="0" w:line="173" w:lineRule="exact"/>
              <w:rPr>
                <w:sz w:val="20"/>
                <w:szCs w:val="20"/>
                <w:color w:val="auto"/>
              </w:rPr>
            </w:pPr>
            <w:r>
              <w:rPr>
                <w:rFonts w:ascii="Arial" w:cs="Arial" w:eastAsia="Arial" w:hAnsi="Arial"/>
                <w:sz w:val="18"/>
                <w:szCs w:val="18"/>
                <w:b w:val="1"/>
                <w:bCs w:val="1"/>
                <w:color w:val="auto"/>
                <w:w w:val="97"/>
              </w:rPr>
              <w:t>Total</w:t>
            </w:r>
          </w:p>
        </w:tc>
        <w:tc>
          <w:tcPr>
            <w:tcW w:w="1920" w:type="dxa"/>
            <w:vAlign w:val="bottom"/>
          </w:tcPr>
          <w:p>
            <w:pPr>
              <w:spacing w:after="0"/>
              <w:rPr>
                <w:sz w:val="15"/>
                <w:szCs w:val="15"/>
                <w:color w:val="auto"/>
              </w:rPr>
            </w:pPr>
          </w:p>
        </w:tc>
        <w:tc>
          <w:tcPr>
            <w:tcW w:w="15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rPr>
              <w:t>Impairment of</w:t>
            </w:r>
          </w:p>
        </w:tc>
      </w:tr>
      <w:tr>
        <w:trPr>
          <w:trHeight w:val="203"/>
        </w:trPr>
        <w:tc>
          <w:tcPr>
            <w:tcW w:w="4100" w:type="dxa"/>
            <w:vAlign w:val="bottom"/>
          </w:tcPr>
          <w:p>
            <w:pPr>
              <w:spacing w:after="0"/>
              <w:rPr>
                <w:sz w:val="17"/>
                <w:szCs w:val="17"/>
                <w:color w:val="auto"/>
              </w:rPr>
            </w:pPr>
          </w:p>
        </w:tc>
        <w:tc>
          <w:tcPr>
            <w:tcW w:w="3840" w:type="dxa"/>
            <w:vAlign w:val="bottom"/>
            <w:gridSpan w:val="2"/>
          </w:tcPr>
          <w:p>
            <w:pPr>
              <w:jc w:val="center"/>
              <w:ind w:left="107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9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w w:val="99"/>
              </w:rPr>
              <w:t>Termination and</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auto"/>
              </w:rPr>
              <w:t>Six months ended June 30, 2015</w:t>
            </w:r>
          </w:p>
        </w:tc>
        <w:tc>
          <w:tcPr>
            <w:tcW w:w="3840" w:type="dxa"/>
            <w:vAlign w:val="bottom"/>
            <w:gridSpan w:val="2"/>
          </w:tcPr>
          <w:p>
            <w:pPr>
              <w:jc w:val="center"/>
              <w:ind w:left="990"/>
              <w:spacing w:after="0" w:line="202" w:lineRule="exact"/>
              <w:rPr>
                <w:sz w:val="20"/>
                <w:szCs w:val="20"/>
                <w:color w:val="auto"/>
              </w:rPr>
            </w:pPr>
            <w:r>
              <w:rPr>
                <w:rFonts w:ascii="Arial" w:cs="Arial" w:eastAsia="Arial" w:hAnsi="Arial"/>
                <w:sz w:val="18"/>
                <w:szCs w:val="18"/>
                <w:b w:val="1"/>
                <w:bCs w:val="1"/>
                <w:color w:val="auto"/>
                <w:w w:val="99"/>
              </w:rPr>
              <w:t>costs incurred</w:t>
            </w:r>
          </w:p>
        </w:tc>
        <w:tc>
          <w:tcPr>
            <w:tcW w:w="192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other costs</w:t>
            </w: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equipment</w:t>
            </w:r>
          </w:p>
        </w:tc>
      </w:tr>
      <w:tr>
        <w:trPr>
          <w:trHeight w:val="225"/>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195"/>
        </w:trPr>
        <w:tc>
          <w:tcPr>
            <w:tcW w:w="4100" w:type="dxa"/>
            <w:vAlign w:val="bottom"/>
          </w:tcPr>
          <w:p>
            <w:pPr>
              <w:spacing w:after="0" w:line="195" w:lineRule="exact"/>
              <w:rPr>
                <w:sz w:val="20"/>
                <w:szCs w:val="20"/>
                <w:color w:val="auto"/>
              </w:rPr>
            </w:pPr>
            <w:r>
              <w:rPr>
                <w:rFonts w:ascii="Arial" w:cs="Arial" w:eastAsia="Arial" w:hAnsi="Arial"/>
                <w:sz w:val="18"/>
                <w:szCs w:val="18"/>
                <w:color w:val="auto"/>
              </w:rPr>
              <w:t>Machine Clothing</w:t>
            </w:r>
          </w:p>
        </w:tc>
        <w:tc>
          <w:tcPr>
            <w:tcW w:w="2180" w:type="dxa"/>
            <w:vAlign w:val="bottom"/>
          </w:tcPr>
          <w:p>
            <w:pPr>
              <w:spacing w:after="0"/>
              <w:rPr>
                <w:sz w:val="16"/>
                <w:szCs w:val="16"/>
                <w:color w:val="auto"/>
              </w:rPr>
            </w:pPr>
          </w:p>
        </w:tc>
        <w:tc>
          <w:tcPr>
            <w:tcW w:w="166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$10,212</w:t>
            </w:r>
          </w:p>
        </w:tc>
        <w:tc>
          <w:tcPr>
            <w:tcW w:w="1920" w:type="dxa"/>
            <w:vAlign w:val="bottom"/>
          </w:tcPr>
          <w:p>
            <w:pPr>
              <w:jc w:val="right"/>
              <w:ind w:right="490"/>
              <w:spacing w:after="0" w:line="195" w:lineRule="exact"/>
              <w:rPr>
                <w:sz w:val="20"/>
                <w:szCs w:val="20"/>
                <w:color w:val="auto"/>
              </w:rPr>
            </w:pPr>
            <w:r>
              <w:rPr>
                <w:rFonts w:ascii="Arial" w:cs="Arial" w:eastAsia="Arial" w:hAnsi="Arial"/>
                <w:sz w:val="18"/>
                <w:szCs w:val="18"/>
                <w:color w:val="auto"/>
              </w:rPr>
              <w:t>$10,212</w:t>
            </w:r>
          </w:p>
        </w:tc>
        <w:tc>
          <w:tcPr>
            <w:tcW w:w="15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180" w:type="dxa"/>
            <w:vAlign w:val="bottom"/>
          </w:tcPr>
          <w:p>
            <w:pPr>
              <w:spacing w:after="0"/>
              <w:rPr>
                <w:sz w:val="17"/>
                <w:szCs w:val="17"/>
                <w:color w:val="auto"/>
              </w:rPr>
            </w:pPr>
          </w:p>
        </w:tc>
        <w:tc>
          <w:tcPr>
            <w:tcW w:w="166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92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Corporate Expenses</w:t>
            </w:r>
          </w:p>
        </w:tc>
        <w:tc>
          <w:tcPr>
            <w:tcW w:w="2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196"/>
        </w:trPr>
        <w:tc>
          <w:tcPr>
            <w:tcW w:w="4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rPr>
              <w:t>$10,212</w:t>
            </w:r>
          </w:p>
        </w:tc>
        <w:tc>
          <w:tcPr>
            <w:tcW w:w="19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$10,212</w:t>
            </w:r>
          </w:p>
        </w:tc>
        <w:tc>
          <w:tcPr>
            <w:tcW w:w="15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377" w:lineRule="exact"/>
        <w:rPr>
          <w:sz w:val="20"/>
          <w:szCs w:val="20"/>
          <w:color w:val="auto"/>
        </w:rPr>
      </w:pPr>
    </w:p>
    <w:p>
      <w:pPr>
        <w:ind w:right="360" w:firstLine="648"/>
        <w:spacing w:after="0"/>
        <w:rPr>
          <w:sz w:val="20"/>
          <w:szCs w:val="20"/>
          <w:color w:val="auto"/>
        </w:rPr>
      </w:pPr>
      <w:r>
        <w:rPr>
          <w:rFonts w:ascii="Arial" w:cs="Arial" w:eastAsia="Arial" w:hAnsi="Arial"/>
          <w:sz w:val="18"/>
          <w:szCs w:val="18"/>
          <w:color w:val="auto"/>
        </w:rPr>
        <w:t>We expect that approximately $10.2 million of Accrued liabilities for restructuring at June 30, 2016 will be paid within one year and approximately $ 2.0 million will be paid in the following year. The table below presents the year-to-date changes in restructuring liabilities for 2016 and 2015, all of which related to termination costs: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jc w:val="center"/>
              <w:ind w:left="230"/>
              <w:spacing w:after="0" w:line="194" w:lineRule="exact"/>
              <w:rPr>
                <w:sz w:val="20"/>
                <w:szCs w:val="20"/>
                <w:color w:val="auto"/>
              </w:rPr>
            </w:pPr>
            <w:r>
              <w:rPr>
                <w:rFonts w:ascii="Arial" w:cs="Arial" w:eastAsia="Arial" w:hAnsi="Arial"/>
                <w:sz w:val="18"/>
                <w:szCs w:val="18"/>
                <w:b w:val="1"/>
                <w:bCs w:val="1"/>
                <w:color w:val="auto"/>
              </w:rPr>
              <w:t>December 31,</w:t>
            </w:r>
          </w:p>
        </w:tc>
        <w:tc>
          <w:tcPr>
            <w:tcW w:w="1860" w:type="dxa"/>
            <w:vAlign w:val="bottom"/>
            <w:tcBorders>
              <w:top w:val="single" w:sz="8" w:color="auto"/>
            </w:tcBorders>
          </w:tcPr>
          <w:p>
            <w:pPr>
              <w:jc w:val="center"/>
              <w:ind w:right="190"/>
              <w:spacing w:after="0" w:line="194" w:lineRule="exact"/>
              <w:rPr>
                <w:sz w:val="20"/>
                <w:szCs w:val="20"/>
                <w:color w:val="auto"/>
              </w:rPr>
            </w:pPr>
            <w:r>
              <w:rPr>
                <w:rFonts w:ascii="Arial" w:cs="Arial" w:eastAsia="Arial" w:hAnsi="Arial"/>
                <w:sz w:val="18"/>
                <w:szCs w:val="18"/>
                <w:b w:val="1"/>
                <w:bCs w:val="1"/>
                <w:color w:val="auto"/>
                <w:w w:val="99"/>
              </w:rPr>
              <w:t>Restructuring</w:t>
            </w:r>
          </w:p>
        </w:tc>
        <w:tc>
          <w:tcPr>
            <w:tcW w:w="15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center"/>
              <w:ind w:right="210"/>
              <w:spacing w:after="0" w:line="194" w:lineRule="exact"/>
              <w:rPr>
                <w:sz w:val="20"/>
                <w:szCs w:val="20"/>
                <w:color w:val="auto"/>
              </w:rPr>
            </w:pPr>
            <w:r>
              <w:rPr>
                <w:rFonts w:ascii="Arial" w:cs="Arial" w:eastAsia="Arial" w:hAnsi="Arial"/>
                <w:sz w:val="18"/>
                <w:szCs w:val="18"/>
                <w:b w:val="1"/>
                <w:bCs w:val="1"/>
                <w:color w:val="auto"/>
                <w:w w:val="98"/>
              </w:rPr>
              <w:t>Currency</w:t>
            </w:r>
          </w:p>
        </w:tc>
        <w:tc>
          <w:tcPr>
            <w:tcW w:w="1460" w:type="dxa"/>
            <w:vAlign w:val="bottom"/>
            <w:tcBorders>
              <w:top w:val="single" w:sz="8" w:color="auto"/>
            </w:tcBorders>
          </w:tcPr>
          <w:p>
            <w:pPr>
              <w:jc w:val="center"/>
              <w:ind w:right="170"/>
              <w:spacing w:after="0" w:line="194" w:lineRule="exact"/>
              <w:rPr>
                <w:sz w:val="20"/>
                <w:szCs w:val="20"/>
                <w:color w:val="auto"/>
              </w:rPr>
            </w:pPr>
            <w:r>
              <w:rPr>
                <w:rFonts w:ascii="Arial" w:cs="Arial" w:eastAsia="Arial" w:hAnsi="Arial"/>
                <w:sz w:val="18"/>
                <w:szCs w:val="18"/>
                <w:b w:val="1"/>
                <w:bCs w:val="1"/>
                <w:color w:val="auto"/>
                <w:w w:val="99"/>
              </w:rPr>
              <w:t>June 30,</w:t>
            </w:r>
          </w:p>
        </w:tc>
        <w:tc>
          <w:tcPr>
            <w:tcW w:w="20" w:type="dxa"/>
            <w:vAlign w:val="bottom"/>
          </w:tcPr>
          <w:p>
            <w:pPr>
              <w:spacing w:after="0"/>
              <w:rPr>
                <w:sz w:val="16"/>
                <w:szCs w:val="16"/>
                <w:color w:val="auto"/>
              </w:rPr>
            </w:pPr>
          </w:p>
        </w:tc>
      </w:tr>
      <w:tr>
        <w:trPr>
          <w:trHeight w:val="225"/>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18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charges accrued</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Payments</w:t>
            </w:r>
          </w:p>
        </w:tc>
        <w:tc>
          <w:tcPr>
            <w:tcW w:w="18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translation /other</w:t>
            </w: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r>
      <w:tr>
        <w:trPr>
          <w:trHeight w:val="399"/>
        </w:trPr>
        <w:tc>
          <w:tcPr>
            <w:tcW w:w="2480" w:type="dxa"/>
            <w:vAlign w:val="bottom"/>
          </w:tcPr>
          <w:p>
            <w:pPr>
              <w:spacing w:after="0"/>
              <w:rPr>
                <w:sz w:val="20"/>
                <w:szCs w:val="20"/>
                <w:color w:val="auto"/>
              </w:rPr>
            </w:pPr>
            <w:r>
              <w:rPr>
                <w:rFonts w:ascii="Arial" w:cs="Arial" w:eastAsia="Arial" w:hAnsi="Arial"/>
                <w:sz w:val="18"/>
                <w:szCs w:val="18"/>
                <w:color w:val="auto"/>
              </w:rPr>
              <w:t>Total termination costs</w:t>
            </w:r>
          </w:p>
        </w:tc>
        <w:tc>
          <w:tcPr>
            <w:tcW w:w="2180" w:type="dxa"/>
            <w:vAlign w:val="bottom"/>
          </w:tcPr>
          <w:p>
            <w:pPr>
              <w:jc w:val="right"/>
              <w:spacing w:after="0"/>
              <w:rPr>
                <w:sz w:val="20"/>
                <w:szCs w:val="20"/>
                <w:color w:val="auto"/>
              </w:rPr>
            </w:pPr>
            <w:r>
              <w:rPr>
                <w:rFonts w:ascii="Arial" w:cs="Arial" w:eastAsia="Arial" w:hAnsi="Arial"/>
                <w:sz w:val="18"/>
                <w:szCs w:val="18"/>
                <w:color w:val="auto"/>
              </w:rPr>
              <w:t>$10,177</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$6,801</w:t>
            </w:r>
          </w:p>
        </w:tc>
        <w:tc>
          <w:tcPr>
            <w:tcW w:w="1560" w:type="dxa"/>
            <w:vAlign w:val="bottom"/>
          </w:tcPr>
          <w:p>
            <w:pPr>
              <w:jc w:val="right"/>
              <w:spacing w:after="0"/>
              <w:rPr>
                <w:sz w:val="20"/>
                <w:szCs w:val="20"/>
                <w:color w:val="auto"/>
              </w:rPr>
            </w:pPr>
            <w:r>
              <w:rPr>
                <w:rFonts w:ascii="Arial" w:cs="Arial" w:eastAsia="Arial" w:hAnsi="Arial"/>
                <w:sz w:val="18"/>
                <w:szCs w:val="18"/>
                <w:color w:val="auto"/>
              </w:rPr>
              <w:t>($6,835)</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$10,156</w:t>
            </w:r>
          </w:p>
        </w:tc>
      </w:tr>
      <w:tr>
        <w:trPr>
          <w:trHeight w:val="696"/>
        </w:trPr>
        <w:tc>
          <w:tcPr>
            <w:tcW w:w="24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12</w:t>
            </w:r>
          </w:p>
        </w:tc>
        <w:tc>
          <w:tcPr>
            <w:tcW w:w="15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4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rPr>
              <w:t>December 31,</w:t>
            </w:r>
          </w:p>
        </w:tc>
        <w:tc>
          <w:tcPr>
            <w:tcW w:w="1860" w:type="dxa"/>
            <w:vAlign w:val="bottom"/>
            <w:tcBorders>
              <w:top w:val="single" w:sz="8" w:color="auto"/>
            </w:tcBorders>
          </w:tcPr>
          <w:p>
            <w:pPr>
              <w:jc w:val="right"/>
              <w:ind w:right="390"/>
              <w:spacing w:after="0" w:line="194" w:lineRule="exact"/>
              <w:rPr>
                <w:sz w:val="20"/>
                <w:szCs w:val="20"/>
                <w:color w:val="auto"/>
              </w:rPr>
            </w:pPr>
            <w:r>
              <w:rPr>
                <w:rFonts w:ascii="Arial" w:cs="Arial" w:eastAsia="Arial" w:hAnsi="Arial"/>
                <w:sz w:val="18"/>
                <w:szCs w:val="18"/>
                <w:b w:val="1"/>
                <w:bCs w:val="1"/>
                <w:color w:val="auto"/>
              </w:rPr>
              <w:t>Restructuring</w:t>
            </w:r>
          </w:p>
        </w:tc>
        <w:tc>
          <w:tcPr>
            <w:tcW w:w="15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610"/>
              <w:spacing w:after="0" w:line="194" w:lineRule="exact"/>
              <w:rPr>
                <w:sz w:val="20"/>
                <w:szCs w:val="20"/>
                <w:color w:val="auto"/>
              </w:rPr>
            </w:pPr>
            <w:r>
              <w:rPr>
                <w:rFonts w:ascii="Arial" w:cs="Arial" w:eastAsia="Arial" w:hAnsi="Arial"/>
                <w:sz w:val="18"/>
                <w:szCs w:val="18"/>
                <w:b w:val="1"/>
                <w:bCs w:val="1"/>
                <w:color w:val="auto"/>
              </w:rPr>
              <w:t>Currency</w:t>
            </w:r>
          </w:p>
        </w:tc>
        <w:tc>
          <w:tcPr>
            <w:tcW w:w="1460" w:type="dxa"/>
            <w:vAlign w:val="bottom"/>
            <w:tcBorders>
              <w:top w:val="single" w:sz="8" w:color="auto"/>
            </w:tcBorders>
          </w:tcPr>
          <w:p>
            <w:pPr>
              <w:jc w:val="right"/>
              <w:ind w:right="410"/>
              <w:spacing w:after="0" w:line="194" w:lineRule="exact"/>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charges accrued</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Payments</w:t>
            </w:r>
          </w:p>
        </w:tc>
        <w:tc>
          <w:tcPr>
            <w:tcW w:w="1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translation /other</w:t>
            </w: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980" w:type="dxa"/>
            <w:vAlign w:val="bottom"/>
          </w:tcPr>
          <w:p>
            <w:pPr>
              <w:spacing w:after="0"/>
              <w:rPr>
                <w:sz w:val="20"/>
                <w:szCs w:val="20"/>
                <w:color w:val="auto"/>
              </w:rPr>
            </w:pPr>
            <w:r>
              <w:rPr>
                <w:rFonts w:ascii="Arial" w:cs="Arial" w:eastAsia="Arial" w:hAnsi="Arial"/>
                <w:sz w:val="18"/>
                <w:szCs w:val="18"/>
                <w:color w:val="auto"/>
              </w:rPr>
              <w:t>Total termination costs</w:t>
            </w:r>
          </w:p>
        </w:tc>
        <w:tc>
          <w:tcPr>
            <w:tcW w:w="1680" w:type="dxa"/>
            <w:vAlign w:val="bottom"/>
          </w:tcPr>
          <w:p>
            <w:pPr>
              <w:jc w:val="right"/>
              <w:spacing w:after="0"/>
              <w:rPr>
                <w:sz w:val="20"/>
                <w:szCs w:val="20"/>
                <w:color w:val="auto"/>
              </w:rPr>
            </w:pPr>
            <w:r>
              <w:rPr>
                <w:rFonts w:ascii="Arial" w:cs="Arial" w:eastAsia="Arial" w:hAnsi="Arial"/>
                <w:sz w:val="18"/>
                <w:szCs w:val="18"/>
                <w:color w:val="auto"/>
              </w:rPr>
              <w:t>$1,874</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$10,212</w:t>
            </w:r>
          </w:p>
        </w:tc>
        <w:tc>
          <w:tcPr>
            <w:tcW w:w="1560" w:type="dxa"/>
            <w:vAlign w:val="bottom"/>
          </w:tcPr>
          <w:p>
            <w:pPr>
              <w:jc w:val="right"/>
              <w:spacing w:after="0"/>
              <w:rPr>
                <w:sz w:val="20"/>
                <w:szCs w:val="20"/>
                <w:color w:val="auto"/>
              </w:rPr>
            </w:pPr>
            <w:r>
              <w:rPr>
                <w:rFonts w:ascii="Arial" w:cs="Arial" w:eastAsia="Arial" w:hAnsi="Arial"/>
                <w:sz w:val="18"/>
                <w:szCs w:val="18"/>
                <w:color w:val="auto"/>
              </w:rPr>
              <w:t>($9,229)</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($192)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601"/>
        </w:trPr>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6. Other Income, net</w:t>
            </w:r>
          </w:p>
        </w:tc>
        <w:tc>
          <w:tcPr>
            <w:tcW w:w="16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520" w:type="dxa"/>
            <w:vAlign w:val="bottom"/>
            <w:gridSpan w:val="3"/>
          </w:tcPr>
          <w:p>
            <w:pPr>
              <w:ind w:left="660"/>
              <w:spacing w:after="0"/>
              <w:rPr>
                <w:sz w:val="20"/>
                <w:szCs w:val="20"/>
                <w:color w:val="auto"/>
              </w:rPr>
            </w:pPr>
            <w:r>
              <w:rPr>
                <w:rFonts w:ascii="Arial" w:cs="Arial" w:eastAsia="Arial" w:hAnsi="Arial"/>
                <w:sz w:val="18"/>
                <w:szCs w:val="18"/>
                <w:color w:val="auto"/>
              </w:rPr>
              <w:t>The components of other (income)/expense, net are:</w:t>
            </w:r>
          </w:p>
        </w:tc>
        <w:tc>
          <w:tcPr>
            <w:tcW w:w="1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9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420" w:type="dxa"/>
            <w:vAlign w:val="bottom"/>
            <w:tcBorders>
              <w:bottom w:val="single" w:sz="8" w:color="auto"/>
            </w:tcBorders>
            <w:gridSpan w:val="2"/>
          </w:tcPr>
          <w:p>
            <w:pPr>
              <w:spacing w:after="0"/>
              <w:rPr>
                <w:sz w:val="8"/>
                <w:szCs w:val="8"/>
                <w:color w:val="auto"/>
              </w:rPr>
            </w:pPr>
          </w:p>
        </w:tc>
        <w:tc>
          <w:tcPr>
            <w:tcW w:w="3340" w:type="dxa"/>
            <w:vAlign w:val="bottom"/>
            <w:tcBorders>
              <w:bottom w:val="single" w:sz="8" w:color="auto"/>
            </w:tcBorders>
            <w:gridSpan w:val="2"/>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20" w:type="dxa"/>
            <w:vAlign w:val="bottom"/>
            <w:gridSpan w:val="2"/>
          </w:tcPr>
          <w:p>
            <w:pPr>
              <w:jc w:val="right"/>
              <w:ind w:right="630"/>
              <w:spacing w:after="0" w:line="173" w:lineRule="exact"/>
              <w:rPr>
                <w:sz w:val="20"/>
                <w:szCs w:val="20"/>
                <w:color w:val="auto"/>
              </w:rPr>
            </w:pPr>
            <w:r>
              <w:rPr>
                <w:rFonts w:ascii="Arial" w:cs="Arial" w:eastAsia="Arial" w:hAnsi="Arial"/>
                <w:sz w:val="18"/>
                <w:szCs w:val="18"/>
                <w:b w:val="1"/>
                <w:bCs w:val="1"/>
                <w:color w:val="auto"/>
              </w:rPr>
              <w:t>Three months ended</w:t>
            </w:r>
          </w:p>
        </w:tc>
        <w:tc>
          <w:tcPr>
            <w:tcW w:w="3340" w:type="dxa"/>
            <w:vAlign w:val="bottom"/>
            <w:gridSpan w:val="2"/>
          </w:tcPr>
          <w:p>
            <w:pPr>
              <w:jc w:val="center"/>
              <w:ind w:left="170"/>
              <w:spacing w:after="0" w:line="173"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20" w:type="dxa"/>
            <w:vAlign w:val="bottom"/>
            <w:gridSpan w:val="2"/>
          </w:tcPr>
          <w:p>
            <w:pPr>
              <w:jc w:val="right"/>
              <w:ind w:right="1130"/>
              <w:spacing w:after="0" w:line="202" w:lineRule="exact"/>
              <w:rPr>
                <w:sz w:val="20"/>
                <w:szCs w:val="20"/>
                <w:color w:val="auto"/>
              </w:rPr>
            </w:pPr>
            <w:r>
              <w:rPr>
                <w:rFonts w:ascii="Arial" w:cs="Arial" w:eastAsia="Arial" w:hAnsi="Arial"/>
                <w:sz w:val="18"/>
                <w:szCs w:val="18"/>
                <w:b w:val="1"/>
                <w:bCs w:val="1"/>
                <w:color w:val="auto"/>
              </w:rPr>
              <w:t>June 30,</w:t>
            </w:r>
          </w:p>
        </w:tc>
        <w:tc>
          <w:tcPr>
            <w:tcW w:w="3360" w:type="dxa"/>
            <w:vAlign w:val="bottom"/>
            <w:gridSpan w:val="3"/>
          </w:tcPr>
          <w:p>
            <w:pPr>
              <w:jc w:val="center"/>
              <w:ind w:left="190"/>
              <w:spacing w:after="0" w:line="202"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8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line="173" w:lineRule="exact"/>
              <w:rPr>
                <w:sz w:val="20"/>
                <w:szCs w:val="20"/>
                <w:color w:val="auto"/>
              </w:rPr>
            </w:pPr>
            <w:r>
              <w:rPr>
                <w:rFonts w:ascii="Arial" w:cs="Arial" w:eastAsia="Arial" w:hAnsi="Arial"/>
                <w:sz w:val="18"/>
                <w:szCs w:val="18"/>
                <w:color w:val="auto"/>
              </w:rPr>
              <w:t>Currency transaction (gains)/losses</w:t>
            </w:r>
          </w:p>
        </w:tc>
        <w:tc>
          <w:tcPr>
            <w:tcW w:w="1680" w:type="dxa"/>
            <w:vAlign w:val="bottom"/>
          </w:tcPr>
          <w:p>
            <w:pPr>
              <w:spacing w:after="0"/>
              <w:rPr>
                <w:sz w:val="15"/>
                <w:szCs w:val="15"/>
                <w:color w:val="auto"/>
              </w:rPr>
            </w:pPr>
          </w:p>
        </w:tc>
        <w:tc>
          <w:tcPr>
            <w:tcW w:w="186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($1,571)</w:t>
            </w:r>
          </w:p>
        </w:tc>
        <w:tc>
          <w:tcPr>
            <w:tcW w:w="15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$1,878</w:t>
            </w:r>
          </w:p>
        </w:tc>
        <w:tc>
          <w:tcPr>
            <w:tcW w:w="18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($2,049)</w:t>
            </w:r>
          </w:p>
        </w:tc>
        <w:tc>
          <w:tcPr>
            <w:tcW w:w="1460" w:type="dxa"/>
            <w:vAlign w:val="bottom"/>
          </w:tcPr>
          <w:p>
            <w:pPr>
              <w:jc w:val="right"/>
              <w:spacing w:after="0" w:line="173" w:lineRule="exact"/>
              <w:rPr>
                <w:sz w:val="20"/>
                <w:szCs w:val="20"/>
                <w:color w:val="auto"/>
              </w:rPr>
            </w:pPr>
            <w:r>
              <w:rPr>
                <w:rFonts w:ascii="Arial" w:cs="Arial" w:eastAsia="Arial" w:hAnsi="Arial"/>
                <w:sz w:val="18"/>
                <w:szCs w:val="18"/>
                <w:color w:val="auto"/>
              </w:rPr>
              <w:t>($549)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18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394</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234</w:t>
            </w:r>
          </w:p>
        </w:tc>
        <w:tc>
          <w:tcPr>
            <w:tcW w:w="18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546</w:t>
            </w:r>
          </w:p>
        </w:tc>
        <w:tc>
          <w:tcPr>
            <w:tcW w:w="1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1680" w:type="dxa"/>
            <w:vAlign w:val="bottom"/>
          </w:tcPr>
          <w:p>
            <w:pPr>
              <w:spacing w:after="0"/>
              <w:rPr>
                <w:sz w:val="17"/>
                <w:szCs w:val="17"/>
                <w:color w:val="auto"/>
              </w:rPr>
            </w:pPr>
          </w:p>
        </w:tc>
        <w:tc>
          <w:tcPr>
            <w:tcW w:w="18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(840)</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708</w:t>
            </w:r>
          </w:p>
        </w:tc>
        <w:tc>
          <w:tcPr>
            <w:tcW w:w="1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(842)</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($2,017)</w:t>
            </w:r>
          </w:p>
        </w:tc>
        <w:tc>
          <w:tcPr>
            <w:tcW w:w="1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$2,820</w:t>
            </w:r>
          </w:p>
        </w:tc>
        <w:tc>
          <w:tcPr>
            <w:tcW w:w="18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($2,345)</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In March 2015, the Company sold its total equity investment in an unaffiliated company, resulting in a gain of $0.9 million. The value of the investment had been written off in 2004.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2016 and 2015: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88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Three months</w:t>
            </w:r>
          </w:p>
        </w:tc>
        <w:tc>
          <w:tcPr>
            <w:tcW w:w="12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rPr>
              <w:t>Six months</w:t>
            </w: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ended June 30,</w:t>
            </w:r>
          </w:p>
        </w:tc>
        <w:tc>
          <w:tcPr>
            <w:tcW w:w="1280" w:type="dxa"/>
            <w:vAlign w:val="bottom"/>
          </w:tcPr>
          <w:p>
            <w:pPr>
              <w:spacing w:after="0"/>
              <w:rPr>
                <w:sz w:val="17"/>
                <w:szCs w:val="17"/>
                <w:color w:val="auto"/>
              </w:rPr>
            </w:pPr>
          </w:p>
        </w:tc>
        <w:tc>
          <w:tcPr>
            <w:tcW w:w="3000" w:type="dxa"/>
            <w:vAlign w:val="bottom"/>
            <w:gridSpan w:val="2"/>
          </w:tcPr>
          <w:p>
            <w:pPr>
              <w:jc w:val="right"/>
              <w:ind w:right="770"/>
              <w:spacing w:after="0" w:line="202" w:lineRule="exact"/>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2016</w:t>
            </w:r>
          </w:p>
        </w:tc>
        <w:tc>
          <w:tcPr>
            <w:tcW w:w="12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99"/>
              </w:rPr>
              <w:t>2015</w:t>
            </w:r>
          </w:p>
        </w:tc>
        <w:tc>
          <w:tcPr>
            <w:tcW w:w="20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2016</w:t>
            </w: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8"/>
        </w:trPr>
        <w:tc>
          <w:tcPr>
            <w:tcW w:w="4900" w:type="dxa"/>
            <w:vAlign w:val="bottom"/>
            <w:gridSpan w:val="2"/>
          </w:tcPr>
          <w:p>
            <w:pPr>
              <w:spacing w:after="0"/>
              <w:rPr>
                <w:sz w:val="20"/>
                <w:szCs w:val="20"/>
                <w:color w:val="auto"/>
              </w:rPr>
            </w:pPr>
            <w:r>
              <w:rPr>
                <w:rFonts w:ascii="Arial" w:cs="Arial" w:eastAsia="Arial" w:hAnsi="Arial"/>
                <w:sz w:val="18"/>
                <w:szCs w:val="18"/>
                <w:color w:val="auto"/>
              </w:rPr>
              <w:t>Income tax based on income/(loss) from continuing</w:t>
            </w: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gridSpan w:val="2"/>
          </w:tcPr>
          <w:p>
            <w:pPr>
              <w:spacing w:after="0" w:line="202" w:lineRule="exact"/>
              <w:rPr>
                <w:sz w:val="20"/>
                <w:szCs w:val="20"/>
                <w:color w:val="auto"/>
              </w:rPr>
            </w:pPr>
            <w:r>
              <w:rPr>
                <w:rFonts w:ascii="Arial" w:cs="Arial" w:eastAsia="Arial" w:hAnsi="Arial"/>
                <w:sz w:val="18"/>
                <w:szCs w:val="18"/>
                <w:color w:val="auto"/>
              </w:rPr>
              <w:t>operations, at estimated tax rates of 38.7% and 43.5%,</w:t>
            </w:r>
          </w:p>
        </w:tc>
        <w:tc>
          <w:tcPr>
            <w:tcW w:w="2240" w:type="dxa"/>
            <w:vAlign w:val="bottom"/>
            <w:vMerge w:val="restart"/>
          </w:tcPr>
          <w:p>
            <w:pPr>
              <w:jc w:val="right"/>
              <w:ind w:right="850"/>
              <w:spacing w:after="0"/>
              <w:rPr>
                <w:sz w:val="20"/>
                <w:szCs w:val="20"/>
                <w:color w:val="auto"/>
              </w:rPr>
            </w:pPr>
            <w:r>
              <w:rPr>
                <w:rFonts w:ascii="Arial" w:cs="Arial" w:eastAsia="Arial" w:hAnsi="Arial"/>
                <w:sz w:val="18"/>
                <w:szCs w:val="18"/>
                <w:b w:val="1"/>
                <w:bCs w:val="1"/>
                <w:color w:val="auto"/>
              </w:rPr>
              <w:t>$6,258</w:t>
            </w:r>
          </w:p>
        </w:tc>
        <w:tc>
          <w:tcPr>
            <w:tcW w:w="1280" w:type="dxa"/>
            <w:vAlign w:val="bottom"/>
          </w:tcPr>
          <w:p>
            <w:pPr>
              <w:spacing w:after="0"/>
              <w:rPr>
                <w:sz w:val="17"/>
                <w:szCs w:val="17"/>
                <w:color w:val="auto"/>
              </w:rPr>
            </w:pPr>
          </w:p>
        </w:tc>
        <w:tc>
          <w:tcPr>
            <w:tcW w:w="2040" w:type="dxa"/>
            <w:vAlign w:val="bottom"/>
            <w:vMerge w:val="restart"/>
          </w:tcPr>
          <w:p>
            <w:pPr>
              <w:jc w:val="right"/>
              <w:ind w:right="750"/>
              <w:spacing w:after="0"/>
              <w:rPr>
                <w:sz w:val="20"/>
                <w:szCs w:val="20"/>
                <w:color w:val="auto"/>
              </w:rPr>
            </w:pPr>
            <w:r>
              <w:rPr>
                <w:rFonts w:ascii="Arial" w:cs="Arial" w:eastAsia="Arial" w:hAnsi="Arial"/>
                <w:sz w:val="18"/>
                <w:szCs w:val="18"/>
                <w:b w:val="1"/>
                <w:bCs w:val="1"/>
                <w:color w:val="auto"/>
              </w:rPr>
              <w:t>$14,131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900" w:type="dxa"/>
            <w:vAlign w:val="bottom"/>
            <w:gridSpan w:val="2"/>
          </w:tcPr>
          <w:p>
            <w:pPr>
              <w:spacing w:after="0" w:line="181" w:lineRule="exact"/>
              <w:rPr>
                <w:sz w:val="20"/>
                <w:szCs w:val="20"/>
                <w:color w:val="auto"/>
              </w:rPr>
            </w:pPr>
            <w:r>
              <w:rPr>
                <w:rFonts w:ascii="Arial" w:cs="Arial" w:eastAsia="Arial" w:hAnsi="Arial"/>
                <w:sz w:val="18"/>
                <w:szCs w:val="18"/>
                <w:color w:val="auto"/>
              </w:rPr>
              <w:t>respectively</w:t>
            </w:r>
          </w:p>
        </w:tc>
        <w:tc>
          <w:tcPr>
            <w:tcW w:w="2240" w:type="dxa"/>
            <w:vAlign w:val="bottom"/>
            <w:vMerge w:val="continue"/>
          </w:tcPr>
          <w:p>
            <w:pPr>
              <w:spacing w:after="0"/>
              <w:rPr>
                <w:sz w:val="15"/>
                <w:szCs w:val="15"/>
                <w:color w:val="auto"/>
              </w:rPr>
            </w:pPr>
          </w:p>
        </w:tc>
        <w:tc>
          <w:tcPr>
            <w:tcW w:w="128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($1,080)</w:t>
            </w:r>
          </w:p>
        </w:tc>
        <w:tc>
          <w:tcPr>
            <w:tcW w:w="2040" w:type="dxa"/>
            <w:vAlign w:val="bottom"/>
            <w:vMerge w:val="continue"/>
          </w:tcPr>
          <w:p>
            <w:pPr>
              <w:spacing w:after="0"/>
              <w:rPr>
                <w:sz w:val="15"/>
                <w:szCs w:val="15"/>
                <w:color w:val="auto"/>
              </w:rPr>
            </w:pP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25"/>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change in estimated tax rate</w:t>
            </w:r>
          </w:p>
        </w:tc>
        <w:tc>
          <w:tcPr>
            <w:tcW w:w="22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(203)</w:t>
            </w: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736</w:t>
            </w:r>
          </w:p>
        </w:tc>
        <w:tc>
          <w:tcPr>
            <w:tcW w:w="2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900" w:type="dxa"/>
            <w:vAlign w:val="bottom"/>
            <w:gridSpan w:val="2"/>
          </w:tcPr>
          <w:p>
            <w:pPr>
              <w:spacing w:after="0"/>
              <w:rPr>
                <w:sz w:val="20"/>
                <w:szCs w:val="20"/>
                <w:color w:val="auto"/>
              </w:rPr>
            </w:pPr>
            <w:r>
              <w:rPr>
                <w:rFonts w:ascii="Arial" w:cs="Arial" w:eastAsia="Arial" w:hAnsi="Arial"/>
                <w:sz w:val="18"/>
                <w:szCs w:val="18"/>
                <w:color w:val="auto"/>
              </w:rPr>
              <w:t>Income tax expense/(benefit) before discrete items</w:t>
            </w:r>
          </w:p>
        </w:tc>
        <w:tc>
          <w:tcPr>
            <w:tcW w:w="2240" w:type="dxa"/>
            <w:vAlign w:val="bottom"/>
          </w:tcPr>
          <w:p>
            <w:pPr>
              <w:jc w:val="right"/>
              <w:ind w:right="850"/>
              <w:spacing w:after="0"/>
              <w:rPr>
                <w:sz w:val="20"/>
                <w:szCs w:val="20"/>
                <w:color w:val="auto"/>
              </w:rPr>
            </w:pPr>
            <w:r>
              <w:rPr>
                <w:rFonts w:ascii="Arial" w:cs="Arial" w:eastAsia="Arial" w:hAnsi="Arial"/>
                <w:sz w:val="18"/>
                <w:szCs w:val="18"/>
                <w:b w:val="1"/>
                <w:bCs w:val="1"/>
                <w:color w:val="auto"/>
              </w:rPr>
              <w:t>6,055</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(344)</w:t>
            </w: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14,131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368"/>
        </w:trPr>
        <w:tc>
          <w:tcPr>
            <w:tcW w:w="490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Provision for/resolution of tax audits and</w:t>
            </w:r>
          </w:p>
        </w:tc>
        <w:tc>
          <w:tcPr>
            <w:tcW w:w="2240" w:type="dxa"/>
            <w:vAlign w:val="bottom"/>
            <w:vMerge w:val="restart"/>
          </w:tcPr>
          <w:p>
            <w:pPr>
              <w:jc w:val="right"/>
              <w:ind w:right="85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7"/>
                <w:szCs w:val="17"/>
                <w:color w:val="auto"/>
              </w:rPr>
            </w:pPr>
          </w:p>
        </w:tc>
        <w:tc>
          <w:tcPr>
            <w:tcW w:w="204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(825)</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80" w:type="dxa"/>
            <w:vAlign w:val="bottom"/>
          </w:tcPr>
          <w:p>
            <w:pPr>
              <w:ind w:left="200"/>
              <w:spacing w:after="0" w:line="181" w:lineRule="exact"/>
              <w:rPr>
                <w:sz w:val="20"/>
                <w:szCs w:val="20"/>
                <w:color w:val="auto"/>
              </w:rPr>
            </w:pPr>
            <w:r>
              <w:rPr>
                <w:rFonts w:ascii="Arial" w:cs="Arial" w:eastAsia="Arial" w:hAnsi="Arial"/>
                <w:sz w:val="18"/>
                <w:szCs w:val="18"/>
                <w:color w:val="auto"/>
              </w:rPr>
              <w:t>contingencies, net</w:t>
            </w:r>
          </w:p>
        </w:tc>
        <w:tc>
          <w:tcPr>
            <w:tcW w:w="2240" w:type="dxa"/>
            <w:vAlign w:val="bottom"/>
            <w:vMerge w:val="continue"/>
          </w:tcPr>
          <w:p>
            <w:pPr>
              <w:spacing w:after="0"/>
              <w:rPr>
                <w:sz w:val="15"/>
                <w:szCs w:val="15"/>
                <w:color w:val="auto"/>
              </w:rPr>
            </w:pPr>
          </w:p>
        </w:tc>
        <w:tc>
          <w:tcPr>
            <w:tcW w:w="128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85</w:t>
            </w:r>
          </w:p>
        </w:tc>
        <w:tc>
          <w:tcPr>
            <w:tcW w:w="2040" w:type="dxa"/>
            <w:vAlign w:val="bottom"/>
            <w:vMerge w:val="continue"/>
          </w:tcPr>
          <w:p>
            <w:pPr>
              <w:spacing w:after="0"/>
              <w:rPr>
                <w:sz w:val="15"/>
                <w:szCs w:val="15"/>
                <w:color w:val="auto"/>
              </w:rPr>
            </w:pPr>
          </w:p>
        </w:tc>
        <w:tc>
          <w:tcPr>
            <w:tcW w:w="9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224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(105)</w:t>
            </w:r>
          </w:p>
        </w:tc>
        <w:tc>
          <w:tcPr>
            <w:tcW w:w="204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(243)</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tcPr>
          <w:p>
            <w:pPr>
              <w:ind w:left="200"/>
              <w:spacing w:after="0" w:line="202" w:lineRule="exact"/>
              <w:rPr>
                <w:sz w:val="20"/>
                <w:szCs w:val="20"/>
                <w:color w:val="auto"/>
              </w:rPr>
            </w:pPr>
            <w:r>
              <w:rPr>
                <w:rFonts w:ascii="Arial" w:cs="Arial" w:eastAsia="Arial" w:hAnsi="Arial"/>
                <w:sz w:val="18"/>
                <w:szCs w:val="18"/>
                <w:color w:val="auto"/>
              </w:rPr>
              <w:t>Other discrete tax adjustments, net</w:t>
            </w:r>
          </w:p>
        </w:tc>
        <w:tc>
          <w:tcPr>
            <w:tcW w:w="224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27</w:t>
            </w:r>
          </w:p>
        </w:tc>
        <w:tc>
          <w:tcPr>
            <w:tcW w:w="12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204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62</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Enacted tax legislation</w:t>
            </w:r>
          </w:p>
        </w:tc>
        <w:tc>
          <w:tcPr>
            <w:tcW w:w="22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expense/(benefit)</w:t>
            </w:r>
          </w:p>
        </w:tc>
        <w:tc>
          <w:tcPr>
            <w:tcW w:w="224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$6,082</w:t>
            </w:r>
          </w:p>
        </w:tc>
        <w:tc>
          <w:tcPr>
            <w:tcW w:w="12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($364)</w:t>
            </w:r>
          </w:p>
        </w:tc>
        <w:tc>
          <w:tcPr>
            <w:tcW w:w="20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$13,125</w:t>
            </w: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60" w:firstLine="648"/>
        <w:spacing w:after="0" w:line="246" w:lineRule="auto"/>
        <w:rPr>
          <w:sz w:val="20"/>
          <w:szCs w:val="20"/>
          <w:color w:val="auto"/>
        </w:rPr>
      </w:pPr>
      <w:r>
        <w:rPr>
          <w:rFonts w:ascii="Arial" w:cs="Arial" w:eastAsia="Arial" w:hAnsi="Arial"/>
          <w:sz w:val="18"/>
          <w:szCs w:val="18"/>
          <w:color w:val="auto"/>
        </w:rPr>
        <w:t>The second quarter estimated income tax rate based on continuing operations was 38.7 percent in 2016, compared to 43.5 percent for the same period in 2015.</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65" w:right="239" w:bottom="1440" w:gutter="0" w:footer="0" w:header="0"/>
        </w:sectPr>
      </w:pPr>
    </w:p>
    <w:bookmarkStart w:id="13" w:name="page14"/>
    <w:bookmarkEnd w:id="13"/>
    <w:p>
      <w:pPr>
        <w:ind w:right="80" w:firstLine="648"/>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income tax provision before discrete items includes the residual taxes on these earnings to the extent they cannot be repatriated in a tax-free manner. As of June 30, 2016, the Company has recorded a deferred tax liability on $59.0 million of prior year non-U.S. earnings that have been targeted for future repatriation to the U.S.</w:t>
      </w:r>
    </w:p>
    <w:p>
      <w:pPr>
        <w:spacing w:after="0" w:line="95"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we are subject to examination by taxing authorities throughout the world and we are currently under audit in various jurisdictions, including Canada and Italy. The open tax years range from 2007 to 2015.</w:t>
      </w:r>
    </w:p>
    <w:p>
      <w:pPr>
        <w:spacing w:after="0" w:line="9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$0.0 to a net decrease of $2.3 million, from the reevaluation of uncertain tax positions arising in examinations, in appeals, or in the courts, or from the closure of tax statutes.</w:t>
      </w:r>
    </w:p>
    <w:p>
      <w:pPr>
        <w:spacing w:after="0" w:line="9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the first quarter of 2016, the Company reached a settlement with the German tax authorities over matters that had been outstanding for many years. The German Tax Authority had denied tax positions taken by the Company related to a 1999 reorganization. In 2009, the Company made a payment of $14.5 million in order to appeal the German Tax Authority decision, and we recorded that payment as an income tax receivable. As additional information became available in recent years, we wrote down the receivable by $6.3 million in 2014 and $6.4 million in 2015 ($5.8 million in the third quarter and $0.6 million in the fourth quarter). In April 2016, we received $3.7 million representing the final settlement of this matter, and accordingly, we adjusted our income tax receivable as of March 31, 2016 to that amount, and recorded a discrete tax benefit of $0.5 million for the first quarter of 2016.</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rPr>
          <w:sz w:val="20"/>
          <w:szCs w:val="20"/>
          <w:color w:val="auto"/>
        </w:rPr>
      </w:pPr>
      <w:r>
        <w:rPr>
          <w:rFonts w:ascii="Arial" w:cs="Arial" w:eastAsia="Arial" w:hAnsi="Arial"/>
          <w:sz w:val="18"/>
          <w:szCs w:val="18"/>
          <w:color w:val="auto"/>
        </w:rPr>
        <w:t>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gridSpan w:val="2"/>
          </w:tcPr>
          <w:p>
            <w:pPr>
              <w:jc w:val="right"/>
              <w:ind w:right="970"/>
              <w:spacing w:after="0" w:line="194" w:lineRule="exact"/>
              <w:rPr>
                <w:sz w:val="20"/>
                <w:szCs w:val="20"/>
                <w:color w:val="auto"/>
              </w:rPr>
            </w:pPr>
            <w:r>
              <w:rPr>
                <w:rFonts w:ascii="Arial" w:cs="Arial" w:eastAsia="Arial" w:hAnsi="Arial"/>
                <w:sz w:val="18"/>
                <w:szCs w:val="18"/>
                <w:b w:val="1"/>
                <w:bCs w:val="1"/>
                <w:color w:val="auto"/>
              </w:rPr>
              <w:t>Three months ended</w:t>
            </w:r>
          </w:p>
        </w:tc>
        <w:tc>
          <w:tcPr>
            <w:tcW w:w="300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market price and earnings per</w:t>
            </w:r>
          </w:p>
        </w:tc>
        <w:tc>
          <w:tcPr>
            <w:tcW w:w="204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420" w:type="dxa"/>
            <w:vAlign w:val="bottom"/>
          </w:tcPr>
          <w:p>
            <w:pPr>
              <w:spacing w:after="0"/>
              <w:rPr>
                <w:sz w:val="20"/>
                <w:szCs w:val="20"/>
                <w:color w:val="auto"/>
              </w:rPr>
            </w:pPr>
          </w:p>
        </w:tc>
        <w:tc>
          <w:tcPr>
            <w:tcW w:w="19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96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99"/>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attributable to the Company</w:t>
            </w:r>
          </w:p>
        </w:tc>
        <w:tc>
          <w:tcPr>
            <w:tcW w:w="20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$10,367</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($2,172)</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$23,868</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398"/>
        </w:trPr>
        <w:tc>
          <w:tcPr>
            <w:tcW w:w="496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32,093</w:t>
            </w:r>
          </w:p>
        </w:tc>
        <w:tc>
          <w:tcPr>
            <w:tcW w:w="1420" w:type="dxa"/>
            <w:vAlign w:val="bottom"/>
          </w:tcPr>
          <w:p>
            <w:pPr>
              <w:spacing w:after="0"/>
              <w:rPr>
                <w:sz w:val="17"/>
                <w:szCs w:val="17"/>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32,067</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60" w:type="dxa"/>
            <w:vAlign w:val="bottom"/>
          </w:tcPr>
          <w:p>
            <w:pPr>
              <w:ind w:left="220"/>
              <w:spacing w:after="0"/>
              <w:rPr>
                <w:sz w:val="20"/>
                <w:szCs w:val="20"/>
                <w:color w:val="auto"/>
              </w:rPr>
            </w:pPr>
            <w:r>
              <w:rPr>
                <w:rFonts w:ascii="Arial" w:cs="Arial" w:eastAsia="Arial" w:hAnsi="Arial"/>
                <w:sz w:val="18"/>
                <w:szCs w:val="18"/>
                <w:color w:val="auto"/>
              </w:rPr>
              <w:t>calculating basic net income per share</w:t>
            </w:r>
          </w:p>
        </w:tc>
        <w:tc>
          <w:tcPr>
            <w:tcW w:w="2040" w:type="dxa"/>
            <w:vAlign w:val="bottom"/>
            <w:vMerge w:val="continue"/>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31,999</w:t>
            </w:r>
          </w:p>
        </w:tc>
        <w:tc>
          <w:tcPr>
            <w:tcW w:w="1980" w:type="dxa"/>
            <w:vAlign w:val="bottom"/>
            <w:vMerge w:val="continue"/>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31,941</w:t>
            </w:r>
          </w:p>
        </w:tc>
        <w:tc>
          <w:tcPr>
            <w:tcW w:w="0" w:type="dxa"/>
            <w:vAlign w:val="bottom"/>
          </w:tcPr>
          <w:p>
            <w:pPr>
              <w:spacing w:after="0"/>
              <w:rPr>
                <w:sz w:val="1"/>
                <w:szCs w:val="1"/>
                <w:color w:val="auto"/>
              </w:rPr>
            </w:pPr>
          </w:p>
        </w:tc>
      </w:tr>
      <w:tr>
        <w:trPr>
          <w:trHeight w:val="391"/>
        </w:trPr>
        <w:tc>
          <w:tcPr>
            <w:tcW w:w="4960" w:type="dxa"/>
            <w:vAlign w:val="bottom"/>
          </w:tcPr>
          <w:p>
            <w:pPr>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38</w:t>
            </w:r>
          </w:p>
        </w:tc>
        <w:tc>
          <w:tcPr>
            <w:tcW w:w="1420" w:type="dxa"/>
            <w:vAlign w:val="bottom"/>
          </w:tcPr>
          <w:p>
            <w:pPr>
              <w:spacing w:after="0"/>
              <w:rPr>
                <w:sz w:val="24"/>
                <w:szCs w:val="24"/>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39</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Stock options</w:t>
            </w:r>
          </w:p>
        </w:tc>
        <w:tc>
          <w:tcPr>
            <w:tcW w:w="204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98"/>
        </w:trPr>
        <w:tc>
          <w:tcPr>
            <w:tcW w:w="4960" w:type="dxa"/>
            <w:vAlign w:val="bottom"/>
          </w:tcPr>
          <w:p>
            <w:pPr>
              <w:spacing w:after="0"/>
              <w:rPr>
                <w:sz w:val="20"/>
                <w:szCs w:val="20"/>
                <w:color w:val="auto"/>
              </w:rPr>
            </w:pPr>
            <w:r>
              <w:rPr>
                <w:rFonts w:ascii="Arial" w:cs="Arial" w:eastAsia="Arial" w:hAnsi="Arial"/>
                <w:sz w:val="18"/>
                <w:szCs w:val="18"/>
                <w:color w:val="auto"/>
              </w:rPr>
              <w:t>Weighted average number of shares used in</w:t>
            </w: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32,131</w:t>
            </w:r>
          </w:p>
        </w:tc>
        <w:tc>
          <w:tcPr>
            <w:tcW w:w="1420" w:type="dxa"/>
            <w:vAlign w:val="bottom"/>
          </w:tcPr>
          <w:p>
            <w:pPr>
              <w:spacing w:after="0"/>
              <w:rPr>
                <w:sz w:val="24"/>
                <w:szCs w:val="24"/>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32,106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calculating diluted net income per share</w:t>
            </w:r>
          </w:p>
        </w:tc>
        <w:tc>
          <w:tcPr>
            <w:tcW w:w="204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31,999</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32,015</w:t>
            </w:r>
          </w:p>
        </w:tc>
        <w:tc>
          <w:tcPr>
            <w:tcW w:w="0" w:type="dxa"/>
            <w:vAlign w:val="bottom"/>
          </w:tcPr>
          <w:p>
            <w:pPr>
              <w:spacing w:after="0"/>
              <w:rPr>
                <w:sz w:val="1"/>
                <w:szCs w:val="1"/>
                <w:color w:val="auto"/>
              </w:rPr>
            </w:pPr>
          </w:p>
        </w:tc>
      </w:tr>
      <w:tr>
        <w:trPr>
          <w:trHeight w:val="398"/>
        </w:trPr>
        <w:tc>
          <w:tcPr>
            <w:tcW w:w="4960" w:type="dxa"/>
            <w:vAlign w:val="bottom"/>
          </w:tcPr>
          <w:p>
            <w:pPr>
              <w:spacing w:after="0"/>
              <w:rPr>
                <w:sz w:val="20"/>
                <w:szCs w:val="20"/>
                <w:color w:val="auto"/>
              </w:rPr>
            </w:pPr>
            <w:r>
              <w:rPr>
                <w:rFonts w:ascii="Arial" w:cs="Arial" w:eastAsia="Arial" w:hAnsi="Arial"/>
                <w:sz w:val="18"/>
                <w:szCs w:val="18"/>
                <w:color w:val="auto"/>
              </w:rPr>
              <w:t>Shares related to stock-based compensation plans that</w:t>
            </w: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were not included in the computation of diluted earnings</w:t>
            </w: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spacing w:after="0"/>
              <w:rPr>
                <w:sz w:val="17"/>
                <w:szCs w:val="17"/>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20"/>
                <w:szCs w:val="20"/>
                <w:color w:val="auto"/>
              </w:rPr>
            </w:pPr>
            <w:r>
              <w:rPr>
                <w:rFonts w:ascii="Arial" w:cs="Arial" w:eastAsia="Arial" w:hAnsi="Arial"/>
                <w:sz w:val="18"/>
                <w:szCs w:val="18"/>
                <w:color w:val="auto"/>
              </w:rPr>
              <w:t>per share because to do so would be antidilutive</w:t>
            </w:r>
          </w:p>
        </w:tc>
        <w:tc>
          <w:tcPr>
            <w:tcW w:w="2040" w:type="dxa"/>
            <w:vAlign w:val="bottom"/>
            <w:vMerge w:val="continue"/>
          </w:tcPr>
          <w:p>
            <w:pPr>
              <w:spacing w:after="0"/>
              <w:rPr>
                <w:sz w:val="18"/>
                <w:szCs w:val="18"/>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56</w:t>
            </w:r>
          </w:p>
        </w:tc>
        <w:tc>
          <w:tcPr>
            <w:tcW w:w="1980" w:type="dxa"/>
            <w:vAlign w:val="bottom"/>
            <w:vMerge w:val="continue"/>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1"/>
        </w:trPr>
        <w:tc>
          <w:tcPr>
            <w:tcW w:w="4960" w:type="dxa"/>
            <w:vAlign w:val="bottom"/>
          </w:tcPr>
          <w:p>
            <w:pPr>
              <w:spacing w:after="0"/>
              <w:rPr>
                <w:sz w:val="20"/>
                <w:szCs w:val="20"/>
                <w:color w:val="auto"/>
              </w:rPr>
            </w:pPr>
            <w:r>
              <w:rPr>
                <w:rFonts w:ascii="Arial" w:cs="Arial" w:eastAsia="Arial" w:hAnsi="Arial"/>
                <w:sz w:val="18"/>
                <w:szCs w:val="18"/>
                <w:color w:val="auto"/>
              </w:rPr>
              <w:t>Average market price of common stock used</w:t>
            </w: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$39.47</w:t>
            </w:r>
          </w:p>
        </w:tc>
        <w:tc>
          <w:tcPr>
            <w:tcW w:w="1420" w:type="dxa"/>
            <w:vAlign w:val="bottom"/>
          </w:tcPr>
          <w:p>
            <w:pPr>
              <w:spacing w:after="0"/>
              <w:rPr>
                <w:sz w:val="24"/>
                <w:szCs w:val="24"/>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$37.40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for calculation of dilutive shares</w:t>
            </w:r>
          </w:p>
        </w:tc>
        <w:tc>
          <w:tcPr>
            <w:tcW w:w="204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$40.12</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376"/>
        </w:trPr>
        <w:tc>
          <w:tcPr>
            <w:tcW w:w="4960" w:type="dxa"/>
            <w:vAlign w:val="bottom"/>
          </w:tcPr>
          <w:p>
            <w:pPr>
              <w:spacing w:after="0"/>
              <w:rPr>
                <w:sz w:val="20"/>
                <w:szCs w:val="20"/>
                <w:color w:val="auto"/>
              </w:rPr>
            </w:pPr>
            <w:r>
              <w:rPr>
                <w:rFonts w:ascii="Arial" w:cs="Arial" w:eastAsia="Arial" w:hAnsi="Arial"/>
                <w:sz w:val="18"/>
                <w:szCs w:val="18"/>
                <w:b w:val="1"/>
                <w:bCs w:val="1"/>
                <w:color w:val="auto"/>
              </w:rPr>
              <w:t>Earnings/(loss) per share attributable to Company</w:t>
            </w: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6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204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$0.32</w:t>
            </w:r>
          </w:p>
        </w:tc>
        <w:tc>
          <w:tcPr>
            <w:tcW w:w="1420" w:type="dxa"/>
            <w:vAlign w:val="bottom"/>
          </w:tcPr>
          <w:p>
            <w:pPr>
              <w:spacing w:after="0"/>
              <w:rPr>
                <w:sz w:val="19"/>
                <w:szCs w:val="19"/>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$0.74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960" w:type="dxa"/>
            <w:vAlign w:val="bottom"/>
          </w:tcPr>
          <w:p>
            <w:pPr>
              <w:ind w:left="220"/>
              <w:spacing w:after="0" w:line="181" w:lineRule="exact"/>
              <w:rPr>
                <w:sz w:val="20"/>
                <w:szCs w:val="20"/>
                <w:color w:val="auto"/>
              </w:rPr>
            </w:pPr>
            <w:r>
              <w:rPr>
                <w:rFonts w:ascii="Arial" w:cs="Arial" w:eastAsia="Arial" w:hAnsi="Arial"/>
                <w:sz w:val="18"/>
                <w:szCs w:val="18"/>
                <w:color w:val="auto"/>
              </w:rPr>
              <w:t>Basic</w:t>
            </w:r>
          </w:p>
        </w:tc>
        <w:tc>
          <w:tcPr>
            <w:tcW w:w="2040" w:type="dxa"/>
            <w:vAlign w:val="bottom"/>
            <w:vMerge w:val="continue"/>
          </w:tcPr>
          <w:p>
            <w:pPr>
              <w:spacing w:after="0"/>
              <w:rPr>
                <w:sz w:val="15"/>
                <w:szCs w:val="15"/>
                <w:color w:val="auto"/>
              </w:rPr>
            </w:pPr>
          </w:p>
        </w:tc>
        <w:tc>
          <w:tcPr>
            <w:tcW w:w="142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($0.07)</w:t>
            </w:r>
          </w:p>
        </w:tc>
        <w:tc>
          <w:tcPr>
            <w:tcW w:w="1980" w:type="dxa"/>
            <w:vAlign w:val="bottom"/>
            <w:vMerge w:val="continue"/>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5"/>
        </w:trPr>
        <w:tc>
          <w:tcPr>
            <w:tcW w:w="49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Diluted</w:t>
            </w:r>
          </w:p>
        </w:tc>
        <w:tc>
          <w:tcPr>
            <w:tcW w:w="20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$0.32</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($0.07)</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$0.74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709"/>
        </w:trPr>
        <w:tc>
          <w:tcPr>
            <w:tcW w:w="4960" w:type="dxa"/>
            <w:vAlign w:val="bottom"/>
          </w:tcPr>
          <w:p>
            <w:pPr>
              <w:spacing w:after="0"/>
              <w:rPr>
                <w:sz w:val="24"/>
                <w:szCs w:val="24"/>
                <w:color w:val="auto"/>
              </w:rPr>
            </w:pPr>
          </w:p>
        </w:tc>
        <w:tc>
          <w:tcPr>
            <w:tcW w:w="2040" w:type="dxa"/>
            <w:vAlign w:val="bottom"/>
          </w:tcPr>
          <w:p>
            <w:pPr>
              <w:jc w:val="right"/>
              <w:ind w:right="1090"/>
              <w:spacing w:after="0"/>
              <w:rPr>
                <w:sz w:val="20"/>
                <w:szCs w:val="20"/>
                <w:color w:val="auto"/>
              </w:rPr>
            </w:pPr>
            <w:r>
              <w:rPr>
                <w:rFonts w:ascii="Arial" w:cs="Arial" w:eastAsia="Arial" w:hAnsi="Arial"/>
                <w:sz w:val="18"/>
                <w:szCs w:val="18"/>
                <w:color w:val="auto"/>
              </w:rPr>
              <w:t>14</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9. Noncontrolling Interest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90" w:lineRule="exact"/>
        <w:rPr>
          <w:sz w:val="20"/>
          <w:szCs w:val="20"/>
          <w:color w:val="auto"/>
        </w:rPr>
      </w:pPr>
    </w:p>
    <w:p>
      <w:pPr>
        <w:ind w:left="8060"/>
        <w:spacing w:after="0"/>
        <w:rPr>
          <w:sz w:val="20"/>
          <w:szCs w:val="20"/>
          <w:color w:val="auto"/>
        </w:rPr>
      </w:pPr>
      <w:r>
        <w:rPr>
          <w:rFonts w:ascii="Arial" w:cs="Arial" w:eastAsia="Arial" w:hAnsi="Arial"/>
          <w:sz w:val="20"/>
          <w:szCs w:val="2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70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600" w:type="dxa"/>
            <w:vAlign w:val="bottom"/>
            <w:tcBorders>
              <w:top w:val="single" w:sz="8" w:color="auto"/>
              <w:bottom w:val="single" w:sz="8" w:color="auto"/>
            </w:tcBorders>
          </w:tcPr>
          <w:p>
            <w:pPr>
              <w:jc w:val="right"/>
              <w:ind w:right="1290"/>
              <w:spacing w:after="0" w:line="196" w:lineRule="exact"/>
              <w:rPr>
                <w:sz w:val="20"/>
                <w:szCs w:val="20"/>
                <w:color w:val="auto"/>
              </w:rPr>
            </w:pPr>
            <w:r>
              <w:rPr>
                <w:rFonts w:ascii="Arial" w:cs="Arial" w:eastAsia="Arial" w:hAnsi="Arial"/>
                <w:sz w:val="18"/>
                <w:szCs w:val="18"/>
                <w:b w:val="1"/>
                <w:bCs w:val="1"/>
                <w:color w:val="auto"/>
              </w:rPr>
              <w:t>2016</w:t>
            </w:r>
          </w:p>
        </w:tc>
        <w:tc>
          <w:tcPr>
            <w:tcW w:w="178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2015</w:t>
            </w:r>
          </w:p>
        </w:tc>
      </w:tr>
      <w:tr>
        <w:trPr>
          <w:trHeight w:val="173"/>
        </w:trPr>
        <w:tc>
          <w:tcPr>
            <w:tcW w:w="7040" w:type="dxa"/>
            <w:vAlign w:val="bottom"/>
          </w:tcPr>
          <w:p>
            <w:pPr>
              <w:spacing w:after="0" w:line="173" w:lineRule="exact"/>
              <w:rPr>
                <w:sz w:val="20"/>
                <w:szCs w:val="20"/>
                <w:color w:val="auto"/>
              </w:rPr>
            </w:pPr>
            <w:r>
              <w:rPr>
                <w:rFonts w:ascii="Arial" w:cs="Arial" w:eastAsia="Arial" w:hAnsi="Arial"/>
                <w:sz w:val="18"/>
                <w:szCs w:val="18"/>
                <w:color w:val="auto"/>
              </w:rPr>
              <w:t>Net (loss)/income of Albany Safran Composites (ASC)</w:t>
            </w:r>
          </w:p>
        </w:tc>
        <w:tc>
          <w:tcPr>
            <w:tcW w:w="2600" w:type="dxa"/>
            <w:vAlign w:val="bottom"/>
          </w:tcPr>
          <w:p>
            <w:pPr>
              <w:jc w:val="right"/>
              <w:ind w:right="770"/>
              <w:spacing w:after="0" w:line="173" w:lineRule="exact"/>
              <w:rPr>
                <w:sz w:val="20"/>
                <w:szCs w:val="20"/>
                <w:color w:val="auto"/>
              </w:rPr>
            </w:pPr>
            <w:r>
              <w:rPr>
                <w:rFonts w:ascii="Arial" w:cs="Arial" w:eastAsia="Arial" w:hAnsi="Arial"/>
                <w:sz w:val="18"/>
                <w:szCs w:val="18"/>
                <w:b w:val="1"/>
                <w:bCs w:val="1"/>
                <w:color w:val="auto"/>
              </w:rPr>
              <w:t>($4,033)</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$1,282</w:t>
            </w:r>
          </w:p>
        </w:tc>
      </w:tr>
      <w:tr>
        <w:trPr>
          <w:trHeight w:val="225"/>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26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480</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507</w:t>
            </w:r>
          </w:p>
        </w:tc>
      </w:tr>
      <w:tr>
        <w:trPr>
          <w:trHeight w:val="173"/>
        </w:trPr>
        <w:tc>
          <w:tcPr>
            <w:tcW w:w="7040" w:type="dxa"/>
            <w:vAlign w:val="bottom"/>
          </w:tcPr>
          <w:p>
            <w:pPr>
              <w:spacing w:after="0" w:line="173" w:lineRule="exact"/>
              <w:rPr>
                <w:sz w:val="20"/>
                <w:szCs w:val="20"/>
                <w:color w:val="auto"/>
              </w:rPr>
            </w:pPr>
            <w:r>
              <w:rPr>
                <w:rFonts w:ascii="Arial" w:cs="Arial" w:eastAsia="Arial" w:hAnsi="Arial"/>
                <w:sz w:val="18"/>
                <w:szCs w:val="18"/>
                <w:color w:val="auto"/>
              </w:rPr>
              <w:t>Net (loss)/income of ASC available for common ownership</w:t>
            </w:r>
          </w:p>
        </w:tc>
        <w:tc>
          <w:tcPr>
            <w:tcW w:w="2600" w:type="dxa"/>
            <w:vAlign w:val="bottom"/>
          </w:tcPr>
          <w:p>
            <w:pPr>
              <w:jc w:val="right"/>
              <w:ind w:right="770"/>
              <w:spacing w:after="0" w:line="173" w:lineRule="exact"/>
              <w:rPr>
                <w:sz w:val="20"/>
                <w:szCs w:val="20"/>
                <w:color w:val="auto"/>
              </w:rPr>
            </w:pPr>
            <w:r>
              <w:rPr>
                <w:rFonts w:ascii="Arial" w:cs="Arial" w:eastAsia="Arial" w:hAnsi="Arial"/>
                <w:sz w:val="18"/>
                <w:szCs w:val="18"/>
                <w:b w:val="1"/>
                <w:bCs w:val="1"/>
                <w:color w:val="auto"/>
              </w:rPr>
              <w:t>($4,513)</w:t>
            </w:r>
          </w:p>
        </w:tc>
        <w:tc>
          <w:tcPr>
            <w:tcW w:w="1780" w:type="dxa"/>
            <w:vAlign w:val="bottom"/>
          </w:tcPr>
          <w:p>
            <w:pPr>
              <w:jc w:val="right"/>
              <w:ind w:right="70"/>
              <w:spacing w:after="0" w:line="173" w:lineRule="exact"/>
              <w:rPr>
                <w:sz w:val="20"/>
                <w:szCs w:val="20"/>
                <w:color w:val="auto"/>
              </w:rPr>
            </w:pPr>
            <w:r>
              <w:rPr>
                <w:rFonts w:ascii="Arial" w:cs="Arial" w:eastAsia="Arial" w:hAnsi="Arial"/>
                <w:sz w:val="18"/>
                <w:szCs w:val="18"/>
                <w:color w:val="auto"/>
              </w:rPr>
              <w:t>$775</w:t>
            </w:r>
          </w:p>
        </w:tc>
      </w:tr>
      <w:tr>
        <w:trPr>
          <w:trHeight w:val="225"/>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2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10%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(loss)/income attributable to noncontrolling interest</w:t>
            </w:r>
          </w:p>
        </w:tc>
        <w:tc>
          <w:tcPr>
            <w:tcW w:w="260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($451)</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$78</w:t>
            </w:r>
          </w:p>
        </w:tc>
      </w:tr>
      <w:tr>
        <w:trPr>
          <w:trHeight w:val="376"/>
        </w:trPr>
        <w:tc>
          <w:tcPr>
            <w:tcW w:w="7040" w:type="dxa"/>
            <w:vAlign w:val="bottom"/>
          </w:tcPr>
          <w:p>
            <w:pPr>
              <w:spacing w:after="0"/>
              <w:rPr>
                <w:sz w:val="20"/>
                <w:szCs w:val="20"/>
                <w:color w:val="auto"/>
              </w:rPr>
            </w:pPr>
            <w:r>
              <w:rPr>
                <w:rFonts w:ascii="Arial" w:cs="Arial" w:eastAsia="Arial" w:hAnsi="Arial"/>
                <w:sz w:val="18"/>
                <w:szCs w:val="18"/>
                <w:color w:val="auto"/>
              </w:rPr>
              <w:t>Noncontrolling interest, beginning of year</w:t>
            </w:r>
          </w:p>
        </w:tc>
        <w:tc>
          <w:tcPr>
            <w:tcW w:w="2600" w:type="dxa"/>
            <w:vAlign w:val="bottom"/>
          </w:tcPr>
          <w:p>
            <w:pPr>
              <w:jc w:val="right"/>
              <w:ind w:right="830"/>
              <w:spacing w:after="0"/>
              <w:rPr>
                <w:sz w:val="20"/>
                <w:szCs w:val="20"/>
                <w:color w:val="auto"/>
              </w:rPr>
            </w:pPr>
            <w:r>
              <w:rPr>
                <w:rFonts w:ascii="Arial" w:cs="Arial" w:eastAsia="Arial" w:hAnsi="Arial"/>
                <w:sz w:val="18"/>
                <w:szCs w:val="18"/>
                <w:b w:val="1"/>
                <w:bCs w:val="1"/>
                <w:color w:val="auto"/>
              </w:rPr>
              <w:t>$3,690</w:t>
            </w: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$3,699</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Net (loss)/income attributable to noncontrolling interest</w:t>
            </w:r>
          </w:p>
        </w:tc>
        <w:tc>
          <w:tcPr>
            <w:tcW w:w="2600" w:type="dxa"/>
            <w:vAlign w:val="bottom"/>
          </w:tcPr>
          <w:p>
            <w:pPr>
              <w:jc w:val="right"/>
              <w:ind w:right="770"/>
              <w:spacing w:after="0" w:line="202" w:lineRule="exact"/>
              <w:rPr>
                <w:sz w:val="20"/>
                <w:szCs w:val="20"/>
                <w:color w:val="auto"/>
              </w:rPr>
            </w:pPr>
            <w:r>
              <w:rPr>
                <w:rFonts w:ascii="Arial" w:cs="Arial" w:eastAsia="Arial" w:hAnsi="Arial"/>
                <w:sz w:val="18"/>
                <w:szCs w:val="18"/>
                <w:b w:val="1"/>
                <w:bCs w:val="1"/>
                <w:color w:val="auto"/>
              </w:rPr>
              <w:t>(451)</w:t>
            </w:r>
          </w:p>
        </w:tc>
        <w:tc>
          <w:tcPr>
            <w:tcW w:w="1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78</w:t>
            </w:r>
          </w:p>
        </w:tc>
      </w:tr>
      <w:tr>
        <w:trPr>
          <w:trHeight w:val="225"/>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6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(1)</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r>
      <w:tr>
        <w:trPr>
          <w:trHeight w:val="196"/>
        </w:trPr>
        <w:tc>
          <w:tcPr>
            <w:tcW w:w="70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w:t>
            </w:r>
          </w:p>
        </w:tc>
        <w:tc>
          <w:tcPr>
            <w:tcW w:w="260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$3,238</w:t>
            </w:r>
          </w:p>
        </w:tc>
        <w:tc>
          <w:tcPr>
            <w:tcW w:w="17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$3,778</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Accumulated Other Comprehensive Income (AOCI)</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2015 to June 30, 2016: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6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3"/>
        </w:trPr>
        <w:tc>
          <w:tcPr>
            <w:tcW w:w="4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4800" w:type="dxa"/>
            <w:vAlign w:val="bottom"/>
          </w:tcPr>
          <w:p>
            <w:pPr>
              <w:spacing w:after="0"/>
              <w:rPr>
                <w:sz w:val="17"/>
                <w:szCs w:val="17"/>
                <w:color w:val="auto"/>
              </w:rPr>
            </w:pPr>
          </w:p>
        </w:tc>
        <w:tc>
          <w:tcPr>
            <w:tcW w:w="16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Translation</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valuation</w:t>
            </w:r>
          </w:p>
        </w:tc>
        <w:tc>
          <w:tcPr>
            <w:tcW w:w="154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Income</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2015</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($108,655)</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($48,725)</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($1,464)</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($158,844)</w:t>
            </w:r>
          </w:p>
        </w:tc>
      </w:tr>
      <w:tr>
        <w:trPr>
          <w:trHeight w:val="195"/>
        </w:trPr>
        <w:tc>
          <w:tcPr>
            <w:tcW w:w="480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2,393</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12</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(4,608)</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Pension/postretirement plan remeasurements, net of tax</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105</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Statement of Income, net of tax</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363</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363</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6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8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244</w:t>
            </w:r>
          </w:p>
        </w:tc>
        <w:tc>
          <w:tcPr>
            <w:tcW w:w="16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244</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2,393</w:t>
            </w:r>
          </w:p>
        </w:tc>
        <w:tc>
          <w:tcPr>
            <w:tcW w:w="18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361</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(4,245)</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(1,491)</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June 30, 2016</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($106,262)</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($48,364)</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($5,709)</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($160,335)</w:t>
            </w:r>
          </w:p>
        </w:tc>
      </w:tr>
      <w:tr>
        <w:trPr>
          <w:trHeight w:val="709"/>
        </w:trPr>
        <w:tc>
          <w:tcPr>
            <w:tcW w:w="4800" w:type="dxa"/>
            <w:vAlign w:val="bottom"/>
          </w:tcPr>
          <w:p>
            <w:pPr>
              <w:spacing w:after="0"/>
              <w:rPr>
                <w:sz w:val="24"/>
                <w:szCs w:val="24"/>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15</w:t>
            </w: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42"/>
        </w:trPr>
        <w:tc>
          <w:tcPr>
            <w:tcW w:w="48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70"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2014 to June 30, 2015: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Pension and</w:t>
            </w:r>
          </w:p>
        </w:tc>
        <w:tc>
          <w:tcPr>
            <w:tcW w:w="16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3"/>
        </w:trPr>
        <w:tc>
          <w:tcPr>
            <w:tcW w:w="4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Derivative</w:t>
            </w:r>
          </w:p>
        </w:tc>
        <w:tc>
          <w:tcPr>
            <w:tcW w:w="1540" w:type="dxa"/>
            <w:vAlign w:val="bottom"/>
          </w:tcPr>
          <w:p>
            <w:pPr>
              <w:jc w:val="center"/>
              <w:ind w:left="11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4700" w:type="dxa"/>
            <w:vAlign w:val="bottom"/>
          </w:tcPr>
          <w:p>
            <w:pPr>
              <w:spacing w:after="0"/>
              <w:rPr>
                <w:sz w:val="17"/>
                <w:szCs w:val="17"/>
                <w:color w:val="auto"/>
              </w:rPr>
            </w:pPr>
          </w:p>
        </w:tc>
        <w:tc>
          <w:tcPr>
            <w:tcW w:w="17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Translation</w:t>
            </w: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valuation</w:t>
            </w:r>
          </w:p>
        </w:tc>
        <w:tc>
          <w:tcPr>
            <w:tcW w:w="154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adjustments</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adjustment</w:t>
            </w:r>
          </w:p>
        </w:tc>
        <w:tc>
          <w:tcPr>
            <w:tcW w:w="1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Income</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($55,240)</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($51,666)</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($861)</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($107,767)</w:t>
            </w:r>
          </w:p>
        </w:tc>
      </w:tr>
      <w:tr>
        <w:trPr>
          <w:trHeight w:val="195"/>
        </w:trPr>
        <w:tc>
          <w:tcPr>
            <w:tcW w:w="4700" w:type="dxa"/>
            <w:vAlign w:val="bottom"/>
          </w:tcPr>
          <w:p>
            <w:pPr>
              <w:spacing w:after="0" w:line="195" w:lineRule="exact"/>
              <w:rPr>
                <w:sz w:val="20"/>
                <w:szCs w:val="20"/>
                <w:color w:val="auto"/>
              </w:rPr>
            </w:pPr>
            <w:r>
              <w:rPr>
                <w:rFonts w:ascii="Arial" w:cs="Arial" w:eastAsia="Arial" w:hAnsi="Arial"/>
                <w:sz w:val="18"/>
                <w:szCs w:val="18"/>
                <w:color w:val="auto"/>
              </w:rPr>
              <w:t>Other comprehensive income/(loss) before</w:t>
            </w:r>
          </w:p>
        </w:tc>
        <w:tc>
          <w:tcPr>
            <w:tcW w:w="17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reclassifications</w:t>
            </w:r>
          </w:p>
        </w:tc>
        <w:tc>
          <w:tcPr>
            <w:tcW w:w="17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(26,023)</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1,125</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(744)</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(25,642)</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Statement of Income, net of tax</w:t>
            </w:r>
          </w:p>
        </w:tc>
        <w:tc>
          <w:tcPr>
            <w:tcW w:w="17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8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581</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581</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47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reclassified to Statement of Income, net of tax</w:t>
            </w:r>
          </w:p>
        </w:tc>
        <w:tc>
          <w:tcPr>
            <w:tcW w:w="17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485</w:t>
            </w:r>
          </w:p>
        </w:tc>
        <w:tc>
          <w:tcPr>
            <w:tcW w:w="16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485</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(26,023)</w:t>
            </w:r>
          </w:p>
        </w:tc>
        <w:tc>
          <w:tcPr>
            <w:tcW w:w="18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1,610</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(163)</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(24,576)</w:t>
            </w:r>
          </w:p>
        </w:tc>
      </w:tr>
      <w:tr>
        <w:trPr>
          <w:trHeight w:val="196"/>
        </w:trPr>
        <w:tc>
          <w:tcPr>
            <w:tcW w:w="4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June 30, 2015</w:t>
            </w:r>
          </w:p>
        </w:tc>
        <w:tc>
          <w:tcPr>
            <w:tcW w:w="17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($81,263)</w:t>
            </w:r>
          </w:p>
        </w:tc>
        <w:tc>
          <w:tcPr>
            <w:tcW w:w="18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($50,056)</w:t>
            </w:r>
          </w:p>
        </w:tc>
        <w:tc>
          <w:tcPr>
            <w:tcW w:w="16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($1,024)</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($132,343)</w:t>
            </w:r>
          </w:p>
        </w:tc>
      </w:tr>
    </w:tbl>
    <w:p>
      <w:pPr>
        <w:spacing w:after="0" w:line="3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periods ended June 30, 2016 and 2015.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98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gridSpan w:val="2"/>
          </w:tcPr>
          <w:p>
            <w:pPr>
              <w:jc w:val="right"/>
              <w:ind w:right="970"/>
              <w:spacing w:after="0" w:line="194" w:lineRule="exact"/>
              <w:rPr>
                <w:sz w:val="20"/>
                <w:szCs w:val="20"/>
                <w:color w:val="auto"/>
              </w:rPr>
            </w:pPr>
            <w:r>
              <w:rPr>
                <w:rFonts w:ascii="Arial" w:cs="Arial" w:eastAsia="Arial" w:hAnsi="Arial"/>
                <w:sz w:val="18"/>
                <w:szCs w:val="18"/>
                <w:b w:val="1"/>
                <w:bCs w:val="1"/>
                <w:color w:val="auto"/>
              </w:rPr>
              <w:t>Three months ended</w:t>
            </w:r>
          </w:p>
        </w:tc>
        <w:tc>
          <w:tcPr>
            <w:tcW w:w="300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420" w:type="dxa"/>
            <w:vAlign w:val="bottom"/>
          </w:tcPr>
          <w:p>
            <w:pPr>
              <w:spacing w:after="0"/>
              <w:rPr>
                <w:sz w:val="17"/>
                <w:szCs w:val="17"/>
                <w:color w:val="auto"/>
              </w:rPr>
            </w:pPr>
          </w:p>
        </w:tc>
        <w:tc>
          <w:tcPr>
            <w:tcW w:w="1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500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w:t>
            </w:r>
          </w:p>
        </w:tc>
        <w:tc>
          <w:tcPr>
            <w:tcW w:w="2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Payments made on interest rate swaps included in</w:t>
            </w:r>
          </w:p>
        </w:tc>
        <w:tc>
          <w:tcPr>
            <w:tcW w:w="2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Income</w:t>
            </w: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$305</w:t>
            </w:r>
          </w:p>
        </w:tc>
        <w:tc>
          <w:tcPr>
            <w:tcW w:w="1420" w:type="dxa"/>
            <w:vAlign w:val="bottom"/>
          </w:tcPr>
          <w:p>
            <w:pPr>
              <w:spacing w:after="0"/>
              <w:rPr>
                <w:sz w:val="17"/>
                <w:szCs w:val="17"/>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$586</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200"/>
              <w:spacing w:after="0" w:line="181" w:lineRule="exact"/>
              <w:rPr>
                <w:sz w:val="20"/>
                <w:szCs w:val="20"/>
                <w:color w:val="auto"/>
              </w:rPr>
            </w:pPr>
            <w:r>
              <w:rPr>
                <w:rFonts w:ascii="Arial" w:cs="Arial" w:eastAsia="Arial" w:hAnsi="Arial"/>
                <w:sz w:val="18"/>
                <w:szCs w:val="18"/>
                <w:color w:val="auto"/>
              </w:rPr>
              <w:t>before taxes(a)</w:t>
            </w:r>
          </w:p>
        </w:tc>
        <w:tc>
          <w:tcPr>
            <w:tcW w:w="2000" w:type="dxa"/>
            <w:vAlign w:val="bottom"/>
            <w:vMerge w:val="continue"/>
          </w:tcPr>
          <w:p>
            <w:pPr>
              <w:spacing w:after="0"/>
              <w:rPr>
                <w:sz w:val="15"/>
                <w:szCs w:val="15"/>
                <w:color w:val="auto"/>
              </w:rPr>
            </w:pPr>
          </w:p>
        </w:tc>
        <w:tc>
          <w:tcPr>
            <w:tcW w:w="142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$467</w:t>
            </w:r>
          </w:p>
        </w:tc>
        <w:tc>
          <w:tcPr>
            <w:tcW w:w="1980" w:type="dxa"/>
            <w:vAlign w:val="bottom"/>
            <w:vMerge w:val="continue"/>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Income tax effect</w:t>
            </w:r>
          </w:p>
        </w:tc>
        <w:tc>
          <w:tcPr>
            <w:tcW w:w="20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(116)</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(182)</w:t>
            </w:r>
          </w:p>
        </w:tc>
        <w:tc>
          <w:tcPr>
            <w:tcW w:w="19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Effect on net income due to items reclassified from</w:t>
            </w: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$189</w:t>
            </w:r>
          </w:p>
        </w:tc>
        <w:tc>
          <w:tcPr>
            <w:tcW w:w="1420" w:type="dxa"/>
            <w:vAlign w:val="bottom"/>
          </w:tcPr>
          <w:p>
            <w:pPr>
              <w:spacing w:after="0"/>
              <w:rPr>
                <w:sz w:val="16"/>
                <w:szCs w:val="16"/>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$363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Accumulated Other Comprehensive Income</w:t>
            </w:r>
          </w:p>
        </w:tc>
        <w:tc>
          <w:tcPr>
            <w:tcW w:w="20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$285</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37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w:t>
            </w:r>
          </w:p>
        </w:tc>
        <w:tc>
          <w:tcPr>
            <w:tcW w:w="2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reclassified from Accumulated Other Comprehensive</w:t>
            </w:r>
          </w:p>
        </w:tc>
        <w:tc>
          <w:tcPr>
            <w:tcW w:w="2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20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($1,112)</w:t>
            </w:r>
          </w:p>
        </w:tc>
        <w:tc>
          <w:tcPr>
            <w:tcW w:w="1420" w:type="dxa"/>
            <w:vAlign w:val="bottom"/>
          </w:tcPr>
          <w:p>
            <w:pPr>
              <w:spacing w:after="0"/>
              <w:rPr>
                <w:sz w:val="19"/>
                <w:szCs w:val="19"/>
                <w:color w:val="auto"/>
              </w:rPr>
            </w:pPr>
          </w:p>
        </w:tc>
        <w:tc>
          <w:tcPr>
            <w:tcW w:w="19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($2,225)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200"/>
              <w:spacing w:after="0" w:line="181" w:lineRule="exact"/>
              <w:rPr>
                <w:sz w:val="20"/>
                <w:szCs w:val="20"/>
                <w:color w:val="auto"/>
              </w:rPr>
            </w:pPr>
            <w:r>
              <w:rPr>
                <w:rFonts w:ascii="Arial" w:cs="Arial" w:eastAsia="Arial" w:hAnsi="Arial"/>
                <w:sz w:val="18"/>
                <w:szCs w:val="18"/>
                <w:color w:val="auto"/>
              </w:rPr>
              <w:t>Amortization of prior service credit</w:t>
            </w:r>
          </w:p>
        </w:tc>
        <w:tc>
          <w:tcPr>
            <w:tcW w:w="2000" w:type="dxa"/>
            <w:vAlign w:val="bottom"/>
            <w:vMerge w:val="continue"/>
          </w:tcPr>
          <w:p>
            <w:pPr>
              <w:spacing w:after="0"/>
              <w:rPr>
                <w:sz w:val="15"/>
                <w:szCs w:val="15"/>
                <w:color w:val="auto"/>
              </w:rPr>
            </w:pPr>
          </w:p>
        </w:tc>
        <w:tc>
          <w:tcPr>
            <w:tcW w:w="142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($1,111)</w:t>
            </w:r>
          </w:p>
        </w:tc>
        <w:tc>
          <w:tcPr>
            <w:tcW w:w="1980" w:type="dxa"/>
            <w:vAlign w:val="bottom"/>
            <w:vMerge w:val="continue"/>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 of net actuarial loss</w:t>
            </w:r>
          </w:p>
        </w:tc>
        <w:tc>
          <w:tcPr>
            <w:tcW w:w="2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1,296</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1,461</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2,574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line="173" w:lineRule="exact"/>
              <w:rPr>
                <w:sz w:val="20"/>
                <w:szCs w:val="20"/>
                <w:color w:val="auto"/>
              </w:rPr>
            </w:pPr>
            <w:r>
              <w:rPr>
                <w:rFonts w:ascii="Arial" w:cs="Arial" w:eastAsia="Arial" w:hAnsi="Arial"/>
                <w:sz w:val="18"/>
                <w:szCs w:val="18"/>
                <w:color w:val="auto"/>
              </w:rPr>
              <w:t>Total pretax amount reclassified (b)</w:t>
            </w:r>
          </w:p>
        </w:tc>
        <w:tc>
          <w:tcPr>
            <w:tcW w:w="200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184</w:t>
            </w:r>
          </w:p>
        </w:tc>
        <w:tc>
          <w:tcPr>
            <w:tcW w:w="142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350</w:t>
            </w:r>
          </w:p>
        </w:tc>
        <w:tc>
          <w:tcPr>
            <w:tcW w:w="198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349</w:t>
            </w:r>
          </w:p>
        </w:tc>
        <w:tc>
          <w:tcPr>
            <w:tcW w:w="10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5"/>
        </w:trPr>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20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(56)</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(122)</w:t>
            </w:r>
          </w:p>
        </w:tc>
        <w:tc>
          <w:tcPr>
            <w:tcW w:w="19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(105)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195"/>
        </w:trPr>
        <w:tc>
          <w:tcPr>
            <w:tcW w:w="5000" w:type="dxa"/>
            <w:vAlign w:val="bottom"/>
            <w:gridSpan w:val="2"/>
          </w:tcPr>
          <w:p>
            <w:pPr>
              <w:spacing w:after="0" w:line="195" w:lineRule="exact"/>
              <w:rPr>
                <w:sz w:val="20"/>
                <w:szCs w:val="20"/>
                <w:color w:val="auto"/>
              </w:rPr>
            </w:pPr>
            <w:r>
              <w:rPr>
                <w:rFonts w:ascii="Arial" w:cs="Arial" w:eastAsia="Arial" w:hAnsi="Arial"/>
                <w:sz w:val="18"/>
                <w:szCs w:val="18"/>
                <w:color w:val="auto"/>
              </w:rPr>
              <w:t>Effect on net income due to items reclassified from</w:t>
            </w:r>
          </w:p>
        </w:tc>
        <w:tc>
          <w:tcPr>
            <w:tcW w:w="200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$128</w:t>
            </w:r>
          </w:p>
        </w:tc>
        <w:tc>
          <w:tcPr>
            <w:tcW w:w="1420" w:type="dxa"/>
            <w:vAlign w:val="bottom"/>
          </w:tcPr>
          <w:p>
            <w:pPr>
              <w:spacing w:after="0"/>
              <w:rPr>
                <w:sz w:val="16"/>
                <w:szCs w:val="16"/>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$244</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Accumulated Other Comprehensive Income</w:t>
            </w:r>
          </w:p>
        </w:tc>
        <w:tc>
          <w:tcPr>
            <w:tcW w:w="20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$228</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Included in Interest expense.</w:t>
      </w:r>
    </w:p>
    <w:p>
      <w:pPr>
        <w:ind w:left="980" w:right="200" w:hanging="324"/>
        <w:spacing w:after="0" w:line="246"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These accumulated other comprehensive income/(loss) components are included in the computation of net periodic pension cost (see Note 4).</w:t>
      </w:r>
    </w:p>
    <w:p>
      <w:pPr>
        <w:spacing w:after="0" w:line="147"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126"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AEC segment. The Company maintains allowances for doubtful accounts for estimated losses resulting from the inability of its customers to make required payments. The Company determines allowances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As of June 30, 2016 and December 31, 2015, Accounts receivable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20" w:type="dxa"/>
            <w:vAlign w:val="bottom"/>
            <w:tcBorders>
              <w:top w:val="single" w:sz="8" w:color="auto"/>
            </w:tcBorders>
          </w:tcPr>
          <w:p>
            <w:pPr>
              <w:spacing w:after="0"/>
              <w:rPr>
                <w:sz w:val="16"/>
                <w:szCs w:val="16"/>
                <w:color w:val="auto"/>
              </w:rPr>
            </w:pPr>
          </w:p>
        </w:tc>
        <w:tc>
          <w:tcPr>
            <w:tcW w:w="4040" w:type="dxa"/>
            <w:vAlign w:val="bottom"/>
            <w:tcBorders>
              <w:top w:val="single" w:sz="8" w:color="auto"/>
            </w:tcBorders>
          </w:tcPr>
          <w:p>
            <w:pPr>
              <w:jc w:val="right"/>
              <w:ind w:right="870"/>
              <w:spacing w:after="0" w:line="194" w:lineRule="exact"/>
              <w:rPr>
                <w:sz w:val="20"/>
                <w:szCs w:val="20"/>
                <w:color w:val="auto"/>
              </w:rPr>
            </w:pPr>
            <w:r>
              <w:rPr>
                <w:rFonts w:ascii="Arial" w:cs="Arial" w:eastAsia="Arial" w:hAnsi="Arial"/>
                <w:sz w:val="18"/>
                <w:szCs w:val="18"/>
                <w:b w:val="1"/>
                <w:bCs w:val="1"/>
                <w:color w:val="auto"/>
              </w:rPr>
              <w:t>June 30,</w:t>
            </w:r>
          </w:p>
        </w:tc>
        <w:tc>
          <w:tcPr>
            <w:tcW w:w="19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0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2016</w:t>
            </w: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173"/>
        </w:trPr>
        <w:tc>
          <w:tcPr>
            <w:tcW w:w="5420" w:type="dxa"/>
            <w:vAlign w:val="bottom"/>
          </w:tcPr>
          <w:p>
            <w:pPr>
              <w:spacing w:after="0" w:line="173" w:lineRule="exact"/>
              <w:rPr>
                <w:sz w:val="20"/>
                <w:szCs w:val="20"/>
                <w:color w:val="auto"/>
              </w:rPr>
            </w:pPr>
            <w:r>
              <w:rPr>
                <w:rFonts w:ascii="Arial" w:cs="Arial" w:eastAsia="Arial" w:hAnsi="Arial"/>
                <w:sz w:val="18"/>
                <w:szCs w:val="18"/>
                <w:color w:val="auto"/>
              </w:rPr>
              <w:t>Trade and other accounts receivable</w:t>
            </w:r>
          </w:p>
        </w:tc>
        <w:tc>
          <w:tcPr>
            <w:tcW w:w="404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$150,232</w:t>
            </w:r>
          </w:p>
        </w:tc>
        <w:tc>
          <w:tcPr>
            <w:tcW w:w="19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$123,179</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04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15,017</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15,845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04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19,326</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15,889</w:t>
            </w:r>
          </w:p>
        </w:tc>
      </w:tr>
      <w:tr>
        <w:trPr>
          <w:trHeight w:val="225"/>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(8,239)</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w:t>
            </w: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0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$176,336</w:t>
            </w:r>
          </w:p>
        </w:tc>
        <w:tc>
          <w:tcPr>
            <w:tcW w:w="1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$146,383</w:t>
            </w:r>
          </w:p>
        </w:tc>
      </w:tr>
    </w:tbl>
    <w:p>
      <w:pPr>
        <w:spacing w:after="0" w:line="3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Inventories</w:t>
      </w:r>
    </w:p>
    <w:p>
      <w:pPr>
        <w:spacing w:after="0" w:line="126" w:lineRule="exact"/>
        <w:rPr>
          <w:sz w:val="20"/>
          <w:szCs w:val="20"/>
          <w:color w:val="auto"/>
        </w:rPr>
      </w:pPr>
    </w:p>
    <w:p>
      <w:pPr>
        <w:ind w:right="60" w:firstLine="648"/>
        <w:spacing w:after="0" w:line="237" w:lineRule="auto"/>
        <w:rPr>
          <w:sz w:val="20"/>
          <w:szCs w:val="20"/>
          <w:color w:val="auto"/>
        </w:rPr>
      </w:pPr>
      <w:r>
        <w:rPr>
          <w:rFonts w:ascii="Arial" w:cs="Arial" w:eastAsia="Arial" w:hAnsi="Arial"/>
          <w:sz w:val="18"/>
          <w:szCs w:val="18"/>
          <w:color w:val="auto"/>
        </w:rPr>
        <w:t>Inventories are stated at the lower of cost or market, with cost determined using the first-in-first out method. The Company writes down the inventory for estimated obsolescence and to lower of cost or market value based upon assumptions about future demand and market conditions. If actual market conditions are less favorable than those projected by the Company, additional inventory write-downs may be required. Once established, the original cost of the inventory less the related inventory allowance represents the new cost basis of such inventories. The AEC segment has long-term contracts under which we incur engineering and development costs that are allocable to parts that will be delivered over multiple years. These costs are included in Work in process in the table below.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2016 and December 31, 2015, inventories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auto"/>
            </w:tcBorders>
          </w:tcPr>
          <w:p>
            <w:pPr>
              <w:spacing w:after="0"/>
              <w:rPr>
                <w:sz w:val="16"/>
                <w:szCs w:val="16"/>
                <w:color w:val="auto"/>
              </w:rPr>
            </w:pPr>
          </w:p>
        </w:tc>
        <w:tc>
          <w:tcPr>
            <w:tcW w:w="4880" w:type="dxa"/>
            <w:vAlign w:val="bottom"/>
            <w:tcBorders>
              <w:top w:val="single" w:sz="8" w:color="auto"/>
            </w:tcBorders>
          </w:tcPr>
          <w:p>
            <w:pPr>
              <w:jc w:val="right"/>
              <w:ind w:right="830"/>
              <w:spacing w:after="0" w:line="194" w:lineRule="exact"/>
              <w:rPr>
                <w:sz w:val="20"/>
                <w:szCs w:val="20"/>
                <w:color w:val="auto"/>
              </w:rPr>
            </w:pPr>
            <w:r>
              <w:rPr>
                <w:rFonts w:ascii="Arial" w:cs="Arial" w:eastAsia="Arial" w:hAnsi="Arial"/>
                <w:sz w:val="18"/>
                <w:szCs w:val="18"/>
                <w:b w:val="1"/>
                <w:bCs w:val="1"/>
                <w:color w:val="auto"/>
              </w:rPr>
              <w:t>June 30,</w:t>
            </w:r>
          </w:p>
        </w:tc>
        <w:tc>
          <w:tcPr>
            <w:tcW w:w="200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8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2016</w:t>
            </w:r>
          </w:p>
        </w:tc>
        <w:tc>
          <w:tcPr>
            <w:tcW w:w="2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4540" w:type="dxa"/>
            <w:vAlign w:val="bottom"/>
          </w:tcPr>
          <w:p>
            <w:pPr>
              <w:spacing w:after="0" w:line="173" w:lineRule="exact"/>
              <w:rPr>
                <w:sz w:val="20"/>
                <w:szCs w:val="20"/>
                <w:color w:val="auto"/>
              </w:rPr>
            </w:pPr>
            <w:r>
              <w:rPr>
                <w:rFonts w:ascii="Arial" w:cs="Arial" w:eastAsia="Arial" w:hAnsi="Arial"/>
                <w:sz w:val="18"/>
                <w:szCs w:val="18"/>
                <w:color w:val="auto"/>
              </w:rPr>
              <w:t>Raw materials</w:t>
            </w:r>
          </w:p>
        </w:tc>
        <w:tc>
          <w:tcPr>
            <w:tcW w:w="4880" w:type="dxa"/>
            <w:vAlign w:val="bottom"/>
          </w:tcPr>
          <w:p>
            <w:pPr>
              <w:jc w:val="right"/>
              <w:ind w:right="510"/>
              <w:spacing w:after="0" w:line="173" w:lineRule="exact"/>
              <w:rPr>
                <w:sz w:val="20"/>
                <w:szCs w:val="20"/>
                <w:color w:val="auto"/>
              </w:rPr>
            </w:pPr>
            <w:r>
              <w:rPr>
                <w:rFonts w:ascii="Arial" w:cs="Arial" w:eastAsia="Arial" w:hAnsi="Arial"/>
                <w:sz w:val="18"/>
                <w:szCs w:val="18"/>
                <w:b w:val="1"/>
                <w:bCs w:val="1"/>
                <w:color w:val="auto"/>
              </w:rPr>
              <w:t>$36,612</w:t>
            </w:r>
          </w:p>
        </w:tc>
        <w:tc>
          <w:tcPr>
            <w:tcW w:w="20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$27,636</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88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68,142</w:t>
            </w:r>
          </w:p>
        </w:tc>
        <w:tc>
          <w:tcPr>
            <w:tcW w:w="2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41,823</w:t>
            </w: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48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40,617</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36,947</w:t>
            </w:r>
          </w:p>
        </w:tc>
      </w:tr>
      <w:tr>
        <w:trPr>
          <w:trHeight w:val="196"/>
        </w:trPr>
        <w:tc>
          <w:tcPr>
            <w:tcW w:w="4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48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$145,371</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$106,406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Goodwill and Other Intangible Assets</w:t>
      </w:r>
    </w:p>
    <w:p>
      <w:pPr>
        <w:spacing w:after="0" w:line="126" w:lineRule="exact"/>
        <w:rPr>
          <w:sz w:val="20"/>
          <w:szCs w:val="20"/>
          <w:color w:val="auto"/>
        </w:rPr>
      </w:pPr>
    </w:p>
    <w:p>
      <w:pPr>
        <w:jc w:val="both"/>
        <w:ind w:right="180" w:firstLine="648"/>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ind w:right="40" w:firstLine="648"/>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Management is in the process of determining the fair value of assets and liabilities acquired. Our preliminary estimate is that we acquired amortizable intangible assets of $59.4 million and goodwill of $31.3 million. The amounts are subject to change as management completes its review of assets and liabilities acquired.</w:t>
      </w:r>
    </w:p>
    <w:p>
      <w:pPr>
        <w:spacing w:after="0" w:line="9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Prior to the acquisition, the entire balance of goodwill on our books was attributable to the Machine Clothing business. In the second quarter of 2016, the Company applied the qualitative assessment approach in performing its annual evaluation of Machine Clothing goodwill and concluded that no impairment provision was required. There were no amounts at risk due to the large spread between the fair and carrying values.</w:t>
      </w:r>
    </w:p>
    <w:p>
      <w:pPr>
        <w:spacing w:after="0" w:line="94" w:lineRule="exact"/>
        <w:rPr>
          <w:sz w:val="20"/>
          <w:szCs w:val="20"/>
          <w:color w:val="auto"/>
        </w:rPr>
      </w:pPr>
    </w:p>
    <w:p>
      <w:pPr>
        <w:ind w:right="420" w:firstLine="648"/>
        <w:spacing w:after="0" w:line="246" w:lineRule="auto"/>
        <w:rPr>
          <w:sz w:val="20"/>
          <w:szCs w:val="20"/>
          <w:color w:val="auto"/>
        </w:rPr>
      </w:pPr>
      <w:r>
        <w:rPr>
          <w:rFonts w:ascii="Arial" w:cs="Arial" w:eastAsia="Arial" w:hAnsi="Arial"/>
          <w:sz w:val="18"/>
          <w:szCs w:val="18"/>
          <w:color w:val="auto"/>
        </w:rPr>
        <w:t>We are continuing to amortize certain patents, trade names and technology assets that have finite lives. The changes in intangible assets and goodwill from December 31, 2015 to June 30, 2016,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8"/>
              </w:rPr>
              <w:t>Assets</w:t>
            </w:r>
          </w:p>
        </w:tc>
        <w:tc>
          <w:tcPr>
            <w:tcW w:w="15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December 31,</w:t>
            </w:r>
          </w:p>
        </w:tc>
        <w:tc>
          <w:tcPr>
            <w:tcW w:w="1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acquired April</w:t>
            </w:r>
          </w:p>
        </w:tc>
        <w:tc>
          <w:tcPr>
            <w:tcW w:w="1520" w:type="dxa"/>
            <w:vAlign w:val="bottom"/>
          </w:tcPr>
          <w:p>
            <w:pPr>
              <w:spacing w:after="0"/>
              <w:rPr>
                <w:sz w:val="17"/>
                <w:szCs w:val="17"/>
                <w:color w:val="auto"/>
              </w:rPr>
            </w:pP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Currency</w:t>
            </w:r>
          </w:p>
        </w:tc>
        <w:tc>
          <w:tcPr>
            <w:tcW w:w="128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5"/>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8, 2016</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Translation</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398"/>
        </w:trPr>
        <w:tc>
          <w:tcPr>
            <w:tcW w:w="35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1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60" w:type="dxa"/>
            <w:vAlign w:val="bottom"/>
          </w:tcPr>
          <w:p>
            <w:pPr>
              <w:ind w:left="200"/>
              <w:spacing w:after="0" w:line="181" w:lineRule="exact"/>
              <w:rPr>
                <w:sz w:val="20"/>
                <w:szCs w:val="20"/>
                <w:color w:val="auto"/>
              </w:rPr>
            </w:pPr>
            <w:r>
              <w:rPr>
                <w:rFonts w:ascii="Arial" w:cs="Arial" w:eastAsia="Arial" w:hAnsi="Arial"/>
                <w:sz w:val="18"/>
                <w:szCs w:val="18"/>
                <w:color w:val="auto"/>
              </w:rPr>
              <w:t>AEC trade names</w:t>
            </w:r>
          </w:p>
        </w:tc>
        <w:tc>
          <w:tcPr>
            <w:tcW w:w="1960" w:type="dxa"/>
            <w:vAlign w:val="bottom"/>
          </w:tcPr>
          <w:p>
            <w:pPr>
              <w:jc w:val="right"/>
              <w:ind w:right="70"/>
              <w:spacing w:after="0" w:line="181" w:lineRule="exact"/>
              <w:rPr>
                <w:sz w:val="20"/>
                <w:szCs w:val="20"/>
                <w:color w:val="auto"/>
              </w:rPr>
            </w:pPr>
            <w:r>
              <w:rPr>
                <w:rFonts w:ascii="Arial" w:cs="Arial" w:eastAsia="Arial" w:hAnsi="Arial"/>
                <w:sz w:val="18"/>
                <w:szCs w:val="18"/>
                <w:color w:val="auto"/>
              </w:rPr>
              <w:t>$25</w:t>
            </w:r>
          </w:p>
        </w:tc>
        <w:tc>
          <w:tcPr>
            <w:tcW w:w="160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line="181" w:lineRule="exact"/>
              <w:rPr>
                <w:sz w:val="20"/>
                <w:szCs w:val="20"/>
                <w:color w:val="auto"/>
              </w:rPr>
            </w:pPr>
            <w:r>
              <w:rPr>
                <w:rFonts w:ascii="Arial" w:cs="Arial" w:eastAsia="Arial" w:hAnsi="Arial"/>
                <w:sz w:val="18"/>
                <w:szCs w:val="18"/>
                <w:color w:val="auto"/>
              </w:rPr>
              <w:t>$(2)</w:t>
            </w:r>
          </w:p>
        </w:tc>
        <w:tc>
          <w:tcPr>
            <w:tcW w:w="14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AEC technology</w:t>
            </w:r>
          </w:p>
        </w:tc>
        <w:tc>
          <w:tcPr>
            <w:tcW w:w="1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129</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Customer relationships</w:t>
            </w:r>
          </w:p>
        </w:tc>
        <w:tc>
          <w:tcPr>
            <w:tcW w:w="1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40,740</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(495)</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40,245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200"/>
              <w:spacing w:after="0" w:line="202" w:lineRule="exact"/>
              <w:rPr>
                <w:sz w:val="20"/>
                <w:szCs w:val="20"/>
                <w:color w:val="auto"/>
              </w:rPr>
            </w:pPr>
            <w:r>
              <w:rPr>
                <w:rFonts w:ascii="Arial" w:cs="Arial" w:eastAsia="Arial" w:hAnsi="Arial"/>
                <w:sz w:val="18"/>
                <w:szCs w:val="18"/>
                <w:color w:val="auto"/>
              </w:rPr>
              <w:t>Customer contracts</w:t>
            </w:r>
          </w:p>
        </w:tc>
        <w:tc>
          <w:tcPr>
            <w:tcW w:w="19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16,900</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(650)</w:t>
            </w:r>
          </w:p>
        </w:tc>
        <w:tc>
          <w:tcPr>
            <w:tcW w:w="14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16,250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intangibles</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1,720</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1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$154</w:t>
            </w:r>
          </w:p>
        </w:tc>
        <w:tc>
          <w:tcPr>
            <w:tcW w:w="16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$59,360</w:t>
            </w:r>
          </w:p>
        </w:tc>
        <w:tc>
          <w:tcPr>
            <w:tcW w:w="15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($1,189)</w:t>
            </w: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$58,325</w:t>
            </w:r>
          </w:p>
        </w:tc>
        <w:tc>
          <w:tcPr>
            <w:tcW w:w="0" w:type="dxa"/>
            <w:vAlign w:val="bottom"/>
          </w:tcPr>
          <w:p>
            <w:pPr>
              <w:spacing w:after="0"/>
              <w:rPr>
                <w:sz w:val="1"/>
                <w:szCs w:val="1"/>
                <w:color w:val="auto"/>
              </w:rPr>
            </w:pPr>
          </w:p>
        </w:tc>
      </w:tr>
      <w:tr>
        <w:trPr>
          <w:trHeight w:val="398"/>
        </w:trPr>
        <w:tc>
          <w:tcPr>
            <w:tcW w:w="35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1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$67,239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60" w:type="dxa"/>
            <w:vAlign w:val="bottom"/>
          </w:tcPr>
          <w:p>
            <w:pPr>
              <w:ind w:left="200"/>
              <w:spacing w:after="0" w:line="181" w:lineRule="exact"/>
              <w:rPr>
                <w:sz w:val="20"/>
                <w:szCs w:val="20"/>
                <w:color w:val="auto"/>
              </w:rPr>
            </w:pPr>
            <w:r>
              <w:rPr>
                <w:rFonts w:ascii="Arial" w:cs="Arial" w:eastAsia="Arial" w:hAnsi="Arial"/>
                <w:sz w:val="18"/>
                <w:szCs w:val="18"/>
                <w:color w:val="auto"/>
              </w:rPr>
              <w:t>MC Goodwill</w:t>
            </w:r>
          </w:p>
        </w:tc>
        <w:tc>
          <w:tcPr>
            <w:tcW w:w="1960" w:type="dxa"/>
            <w:vAlign w:val="bottom"/>
          </w:tcPr>
          <w:p>
            <w:pPr>
              <w:jc w:val="right"/>
              <w:ind w:right="70"/>
              <w:spacing w:after="0" w:line="181" w:lineRule="exact"/>
              <w:rPr>
                <w:sz w:val="20"/>
                <w:szCs w:val="20"/>
                <w:color w:val="auto"/>
              </w:rPr>
            </w:pPr>
            <w:r>
              <w:rPr>
                <w:rFonts w:ascii="Arial" w:cs="Arial" w:eastAsia="Arial" w:hAnsi="Arial"/>
                <w:sz w:val="18"/>
                <w:szCs w:val="18"/>
                <w:color w:val="auto"/>
              </w:rPr>
              <w:t>$66,373</w:t>
            </w:r>
          </w:p>
        </w:tc>
        <w:tc>
          <w:tcPr>
            <w:tcW w:w="1600" w:type="dxa"/>
            <w:vAlign w:val="bottom"/>
          </w:tcPr>
          <w:p>
            <w:pPr>
              <w:jc w:val="right"/>
              <w:ind w:right="170"/>
              <w:spacing w:after="0" w:line="181"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90"/>
              <w:spacing w:after="0" w:line="181" w:lineRule="exact"/>
              <w:rPr>
                <w:sz w:val="20"/>
                <w:szCs w:val="20"/>
                <w:color w:val="auto"/>
              </w:rPr>
            </w:pPr>
            <w:r>
              <w:rPr>
                <w:rFonts w:ascii="Arial" w:cs="Arial" w:eastAsia="Arial" w:hAnsi="Arial"/>
                <w:sz w:val="18"/>
                <w:szCs w:val="18"/>
                <w:color w:val="auto"/>
              </w:rPr>
              <w:t>$866</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AEC Goodwill</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31,327</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31,327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19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$66,373</w:t>
            </w:r>
          </w:p>
        </w:tc>
        <w:tc>
          <w:tcPr>
            <w:tcW w:w="16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$31,327</w:t>
            </w:r>
          </w:p>
        </w:tc>
        <w:tc>
          <w:tcPr>
            <w:tcW w:w="15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$866</w:t>
            </w:r>
          </w:p>
        </w:tc>
        <w:tc>
          <w:tcPr>
            <w:tcW w:w="12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$98,566</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00" w:type="dxa"/>
            <w:vAlign w:val="bottom"/>
          </w:tcPr>
          <w:p>
            <w:pPr>
              <w:jc w:val="right"/>
              <w:ind w:right="1230"/>
              <w:spacing w:after="0"/>
              <w:rPr>
                <w:sz w:val="20"/>
                <w:szCs w:val="20"/>
                <w:color w:val="auto"/>
              </w:rPr>
            </w:pPr>
            <w:r>
              <w:rPr>
                <w:rFonts w:ascii="Arial" w:cs="Arial" w:eastAsia="Arial" w:hAnsi="Arial"/>
                <w:sz w:val="18"/>
                <w:szCs w:val="18"/>
                <w:color w:val="auto"/>
              </w:rPr>
              <w:t>18</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8" w:name="page19"/>
    <w:bookmarkEnd w:id="18"/>
    <w:p>
      <w:pPr>
        <w:ind w:right="60" w:firstLine="648"/>
        <w:spacing w:after="0" w:line="238" w:lineRule="auto"/>
        <w:rPr>
          <w:sz w:val="20"/>
          <w:szCs w:val="20"/>
          <w:color w:val="auto"/>
        </w:rPr>
      </w:pPr>
      <w:r>
        <w:rPr>
          <w:rFonts w:ascii="Arial" w:cs="Arial" w:eastAsia="Arial" w:hAnsi="Arial"/>
          <w:sz w:val="18"/>
          <w:szCs w:val="18"/>
          <w:color w:val="auto"/>
        </w:rPr>
        <w:t>The estimated useful lives for intangibles acquired during the second quarter of 2016 are 19 years for customer relationships, 6 years for customer contracts, and 7 to 22 years for other intangibles. The estimate of intangible amortization expense for 2016 and beyond is significantly influenced by the preliminary valuation of intangibles acquired in the second quarter of 2016 and is subject to adjustment when the valuation work is completed. Based on the preliminary valuation, estimated amortization expense of intangibles for the years ending December 31, 2016 through 2020, is as follows:</w:t>
      </w:r>
    </w:p>
    <w:p>
      <w:pPr>
        <w:spacing w:after="0" w:line="75" w:lineRule="exact"/>
        <w:rPr>
          <w:sz w:val="20"/>
          <w:szCs w:val="20"/>
          <w:color w:val="auto"/>
        </w:rPr>
      </w:pPr>
    </w:p>
    <w:tbl>
      <w:tblPr>
        <w:tblLayout w:type="fixed"/>
        <w:tblInd w:w="2880" w:type="dxa"/>
        <w:tblCellMar>
          <w:top w:w="0" w:type="dxa"/>
          <w:left w:w="0" w:type="dxa"/>
          <w:bottom w:w="0" w:type="dxa"/>
          <w:right w:w="0" w:type="dxa"/>
        </w:tblCellMar>
      </w:tblPr>
      <w:tr>
        <w:trPr>
          <w:trHeight w:val="193"/>
        </w:trPr>
        <w:tc>
          <w:tcPr>
            <w:tcW w:w="222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w:t>
            </w: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2220" w:type="dxa"/>
            <w:vAlign w:val="bottom"/>
          </w:tcPr>
          <w:p>
            <w:pPr>
              <w:ind w:left="60"/>
              <w:spacing w:after="0" w:line="195" w:lineRule="exact"/>
              <w:rPr>
                <w:sz w:val="20"/>
                <w:szCs w:val="20"/>
                <w:color w:val="auto"/>
              </w:rPr>
            </w:pPr>
            <w:r>
              <w:rPr>
                <w:rFonts w:ascii="Arial" w:cs="Arial" w:eastAsia="Arial" w:hAnsi="Arial"/>
                <w:sz w:val="18"/>
                <w:szCs w:val="18"/>
                <w:color w:val="auto"/>
              </w:rPr>
              <w:t>2016</w:t>
            </w:r>
          </w:p>
        </w:tc>
        <w:tc>
          <w:tcPr>
            <w:tcW w:w="3480" w:type="dxa"/>
            <w:vAlign w:val="bottom"/>
          </w:tcPr>
          <w:p>
            <w:pPr>
              <w:jc w:val="right"/>
              <w:spacing w:after="0" w:line="195" w:lineRule="exact"/>
              <w:rPr>
                <w:sz w:val="20"/>
                <w:szCs w:val="20"/>
                <w:color w:val="auto"/>
              </w:rPr>
            </w:pPr>
            <w:r>
              <w:rPr>
                <w:rFonts w:ascii="Arial" w:cs="Arial" w:eastAsia="Arial" w:hAnsi="Arial"/>
                <w:sz w:val="18"/>
                <w:szCs w:val="18"/>
                <w:color w:val="auto"/>
              </w:rPr>
              <w:t>$3,850</w:t>
            </w:r>
          </w:p>
        </w:tc>
      </w:tr>
      <w:tr>
        <w:trPr>
          <w:trHeight w:val="203"/>
        </w:trPr>
        <w:tc>
          <w:tcPr>
            <w:tcW w:w="2220" w:type="dxa"/>
            <w:vAlign w:val="bottom"/>
          </w:tcPr>
          <w:p>
            <w:pPr>
              <w:ind w:left="60"/>
              <w:spacing w:after="0" w:line="202" w:lineRule="exact"/>
              <w:rPr>
                <w:sz w:val="20"/>
                <w:szCs w:val="20"/>
                <w:color w:val="auto"/>
              </w:rPr>
            </w:pPr>
            <w:r>
              <w:rPr>
                <w:rFonts w:ascii="Arial" w:cs="Arial" w:eastAsia="Arial" w:hAnsi="Arial"/>
                <w:sz w:val="18"/>
                <w:szCs w:val="18"/>
                <w:color w:val="auto"/>
              </w:rPr>
              <w:t>2017</w:t>
            </w: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r>
      <w:tr>
        <w:trPr>
          <w:trHeight w:val="203"/>
        </w:trPr>
        <w:tc>
          <w:tcPr>
            <w:tcW w:w="2220" w:type="dxa"/>
            <w:vAlign w:val="bottom"/>
          </w:tcPr>
          <w:p>
            <w:pPr>
              <w:ind w:left="60"/>
              <w:spacing w:after="0" w:line="202" w:lineRule="exact"/>
              <w:rPr>
                <w:sz w:val="20"/>
                <w:szCs w:val="20"/>
                <w:color w:val="auto"/>
              </w:rPr>
            </w:pPr>
            <w:r>
              <w:rPr>
                <w:rFonts w:ascii="Arial" w:cs="Arial" w:eastAsia="Arial" w:hAnsi="Arial"/>
                <w:sz w:val="18"/>
                <w:szCs w:val="18"/>
                <w:color w:val="auto"/>
              </w:rPr>
              <w:t>2018</w:t>
            </w: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r>
      <w:tr>
        <w:trPr>
          <w:trHeight w:val="203"/>
        </w:trPr>
        <w:tc>
          <w:tcPr>
            <w:tcW w:w="2220" w:type="dxa"/>
            <w:vAlign w:val="bottom"/>
          </w:tcPr>
          <w:p>
            <w:pPr>
              <w:ind w:left="60"/>
              <w:spacing w:after="0" w:line="202" w:lineRule="exact"/>
              <w:rPr>
                <w:sz w:val="20"/>
                <w:szCs w:val="20"/>
                <w:color w:val="auto"/>
              </w:rPr>
            </w:pPr>
            <w:r>
              <w:rPr>
                <w:rFonts w:ascii="Arial" w:cs="Arial" w:eastAsia="Arial" w:hAnsi="Arial"/>
                <w:sz w:val="18"/>
                <w:szCs w:val="18"/>
                <w:color w:val="auto"/>
              </w:rPr>
              <w:t>2019</w:t>
            </w:r>
          </w:p>
        </w:tc>
        <w:tc>
          <w:tcPr>
            <w:tcW w:w="3480" w:type="dxa"/>
            <w:vAlign w:val="bottom"/>
          </w:tcPr>
          <w:p>
            <w:pPr>
              <w:jc w:val="right"/>
              <w:spacing w:after="0" w:line="202" w:lineRule="exact"/>
              <w:rPr>
                <w:sz w:val="20"/>
                <w:szCs w:val="20"/>
                <w:color w:val="auto"/>
              </w:rPr>
            </w:pPr>
            <w:r>
              <w:rPr>
                <w:rFonts w:ascii="Arial" w:cs="Arial" w:eastAsia="Arial" w:hAnsi="Arial"/>
                <w:sz w:val="18"/>
                <w:szCs w:val="18"/>
                <w:color w:val="auto"/>
              </w:rPr>
              <w:t>5,100</w:t>
            </w:r>
          </w:p>
        </w:tc>
      </w:tr>
      <w:tr>
        <w:trPr>
          <w:trHeight w:val="203"/>
        </w:trPr>
        <w:tc>
          <w:tcPr>
            <w:tcW w:w="22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2020</w:t>
            </w:r>
          </w:p>
        </w:tc>
        <w:tc>
          <w:tcPr>
            <w:tcW w:w="3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5,100</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Financial Instruments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9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right"/>
              <w:ind w:right="110"/>
              <w:spacing w:after="0" w:line="194"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June 30, 2016</w:t>
            </w:r>
          </w:p>
        </w:tc>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12"/>
        </w:trPr>
        <w:tc>
          <w:tcPr>
            <w:tcW w:w="698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2017</w:t>
            </w:r>
          </w:p>
        </w:tc>
        <w:tc>
          <w:tcPr>
            <w:tcW w:w="2480" w:type="dxa"/>
            <w:vAlign w:val="bottom"/>
          </w:tcPr>
          <w:p>
            <w:pPr>
              <w:jc w:val="right"/>
              <w:ind w:right="550"/>
              <w:spacing w:after="0"/>
              <w:rPr>
                <w:sz w:val="20"/>
                <w:szCs w:val="20"/>
                <w:color w:val="auto"/>
              </w:rPr>
            </w:pPr>
            <w:r>
              <w:rPr>
                <w:rFonts w:ascii="Arial" w:cs="Arial" w:eastAsia="Arial" w:hAnsi="Arial"/>
                <w:sz w:val="18"/>
                <w:szCs w:val="18"/>
                <w:b w:val="1"/>
                <w:bCs w:val="1"/>
                <w:color w:val="auto"/>
              </w:rPr>
              <w:t>$50,000</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91"/>
        </w:trPr>
        <w:tc>
          <w:tcPr>
            <w:tcW w:w="698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w:t>
            </w: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of 2.53% in 2016 and 2.27% in 2015 (including the effect of interest rate hedging</w:t>
            </w:r>
          </w:p>
        </w:tc>
        <w:tc>
          <w:tcPr>
            <w:tcW w:w="24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412,000</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transactions, as described below)</w:t>
            </w:r>
          </w:p>
        </w:tc>
        <w:tc>
          <w:tcPr>
            <w:tcW w:w="2480" w:type="dxa"/>
            <w:vAlign w:val="bottom"/>
            <w:vMerge w:val="continue"/>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391"/>
        </w:trPr>
        <w:tc>
          <w:tcPr>
            <w:tcW w:w="698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United States, at an average end of period rate of 5.50% in 2016 and 2015, due</w:t>
            </w:r>
          </w:p>
        </w:tc>
        <w:tc>
          <w:tcPr>
            <w:tcW w:w="24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88</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80" w:type="dxa"/>
            <w:vAlign w:val="bottom"/>
          </w:tcPr>
          <w:p>
            <w:pPr>
              <w:spacing w:after="0"/>
              <w:rPr>
                <w:sz w:val="20"/>
                <w:szCs w:val="20"/>
                <w:color w:val="auto"/>
              </w:rPr>
            </w:pPr>
            <w:r>
              <w:rPr>
                <w:rFonts w:ascii="Arial" w:cs="Arial" w:eastAsia="Arial" w:hAnsi="Arial"/>
                <w:sz w:val="18"/>
                <w:szCs w:val="18"/>
                <w:color w:val="auto"/>
              </w:rPr>
              <w:t>in varying amounts through 2021</w:t>
            </w:r>
          </w:p>
        </w:tc>
        <w:tc>
          <w:tcPr>
            <w:tcW w:w="2480" w:type="dxa"/>
            <w:vAlign w:val="bottom"/>
            <w:vMerge w:val="continue"/>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9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Obligation under capital lease, matures 2027</w:t>
            </w:r>
          </w:p>
        </w:tc>
        <w:tc>
          <w:tcPr>
            <w:tcW w:w="2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23,693</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2"/>
        </w:trPr>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2480" w:type="dxa"/>
            <w:vAlign w:val="bottom"/>
          </w:tcPr>
          <w:p>
            <w:pPr>
              <w:jc w:val="right"/>
              <w:ind w:right="550"/>
              <w:spacing w:after="0"/>
              <w:rPr>
                <w:sz w:val="20"/>
                <w:szCs w:val="20"/>
                <w:color w:val="auto"/>
              </w:rPr>
            </w:pPr>
            <w:r>
              <w:rPr>
                <w:rFonts w:ascii="Arial" w:cs="Arial" w:eastAsia="Arial" w:hAnsi="Arial"/>
                <w:sz w:val="18"/>
                <w:szCs w:val="18"/>
                <w:b w:val="1"/>
                <w:bCs w:val="1"/>
                <w:color w:val="auto"/>
              </w:rPr>
              <w:t>485,781</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265,096</w:t>
            </w:r>
          </w:p>
        </w:tc>
        <w:tc>
          <w:tcPr>
            <w:tcW w:w="0" w:type="dxa"/>
            <w:vAlign w:val="bottom"/>
          </w:tcPr>
          <w:p>
            <w:pPr>
              <w:spacing w:after="0"/>
              <w:rPr>
                <w:sz w:val="1"/>
                <w:szCs w:val="1"/>
                <w:color w:val="auto"/>
              </w:rPr>
            </w:pPr>
          </w:p>
        </w:tc>
      </w:tr>
      <w:tr>
        <w:trPr>
          <w:trHeight w:val="392"/>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(566)</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99"/>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$485,215</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$265,080</w:t>
            </w:r>
          </w:p>
        </w:tc>
        <w:tc>
          <w:tcPr>
            <w:tcW w:w="0" w:type="dxa"/>
            <w:vAlign w:val="bottom"/>
          </w:tcPr>
          <w:p>
            <w:pPr>
              <w:spacing w:after="0"/>
              <w:rPr>
                <w:sz w:val="1"/>
                <w:szCs w:val="1"/>
                <w:color w:val="auto"/>
              </w:rPr>
            </w:pPr>
          </w:p>
        </w:tc>
      </w:tr>
      <w:tr>
        <w:trPr>
          <w:trHeight w:val="696"/>
        </w:trPr>
        <w:tc>
          <w:tcPr>
            <w:tcW w:w="6980" w:type="dxa"/>
            <w:vAlign w:val="bottom"/>
          </w:tcPr>
          <w:p>
            <w:pPr>
              <w:ind w:left="5640"/>
              <w:spacing w:after="0"/>
              <w:rPr>
                <w:sz w:val="20"/>
                <w:szCs w:val="20"/>
                <w:color w:val="auto"/>
              </w:rPr>
            </w:pPr>
            <w:r>
              <w:rPr>
                <w:rFonts w:ascii="Arial" w:cs="Arial" w:eastAsia="Arial" w:hAnsi="Arial"/>
                <w:sz w:val="18"/>
                <w:szCs w:val="18"/>
                <w:color w:val="auto"/>
              </w:rPr>
              <w:t>19</w:t>
            </w: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9" w:name="page20"/>
    <w:bookmarkEnd w:id="19"/>
    <w:p>
      <w:pPr>
        <w:ind w:firstLine="648"/>
        <w:spacing w:after="0" w:line="236"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and a maturity date of October 25, 2017. The remaining principal under the Prudential Agreement is $50 million, and is due on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agreement (as described below). The Prudential Agreement has been amended a number of times, most recently in April 2016, in order to maintain terms comparable to our current principal credit facility. For disclosure purposes, we are required to measure the fair value of outstanding debt on a recurring basis. As of June 30, 2016, the fair value of this debt was approximately $54.1 million, and was measured using active market interest rates, which would be considered Level 2 for fair value measurement purposes.</w:t>
      </w:r>
    </w:p>
    <w:p>
      <w:pPr>
        <w:spacing w:after="0" w:line="98" w:lineRule="exact"/>
        <w:rPr>
          <w:sz w:val="20"/>
          <w:szCs w:val="20"/>
          <w:color w:val="auto"/>
        </w:rPr>
      </w:pPr>
    </w:p>
    <w:p>
      <w:pPr>
        <w:ind w:right="160" w:firstLine="648"/>
        <w:spacing w:after="0" w:line="237" w:lineRule="auto"/>
        <w:rPr>
          <w:sz w:val="20"/>
          <w:szCs w:val="20"/>
          <w:color w:val="auto"/>
        </w:rPr>
      </w:pPr>
      <w:r>
        <w:rPr>
          <w:rFonts w:ascii="Arial" w:cs="Arial" w:eastAsia="Arial" w:hAnsi="Arial"/>
          <w:sz w:val="18"/>
          <w:szCs w:val="18"/>
          <w:color w:val="auto"/>
        </w:rPr>
        <w:t>On April 8, 2016, we entered into a $550 million unsecured Five-Year Revolving Credit Facility Agreement (the “Credit Agreement”) which amends and restates the prior $400 million Agreement, entered into on June 18, 2015 (the “Prior Agreement”). Under the Credit Agreement, $412 million of borrowings were outstanding as of June 30, 2016. The applicable interest rate for borrowings was LIBOR plus a spread, based on our leverage ratio at the time of borrowing. At the time of the last borrowing on June 16, 2016, the spread was 1.50%. The spread was based on a pricing grid, which ranged from 1.25% to 1.75%, based on our leverage ratio. Based on our maximum leverage ratio and our Consolidated EBITDA, and without modification to any other credit agreements, as of June 30, 2016, we would have been able to borrow an additional $138 million under the Agreement.</w:t>
      </w:r>
    </w:p>
    <w:p>
      <w:pPr>
        <w:spacing w:after="0" w:line="95" w:lineRule="exact"/>
        <w:rPr>
          <w:sz w:val="20"/>
          <w:szCs w:val="20"/>
          <w:color w:val="auto"/>
        </w:rPr>
      </w:pPr>
    </w:p>
    <w:p>
      <w:pPr>
        <w:ind w:right="760" w:firstLine="648"/>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comparable to those in the Prior Agreement. The Borrowings are guaranteed by certain of the Company's subsidiaries.</w:t>
      </w:r>
    </w:p>
    <w:p>
      <w:pPr>
        <w:spacing w:after="0" w:line="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89" w:lineRule="exact"/>
        <w:rPr>
          <w:sz w:val="20"/>
          <w:szCs w:val="20"/>
          <w:color w:val="auto"/>
        </w:rPr>
      </w:pPr>
    </w:p>
    <w:p>
      <w:pPr>
        <w:ind w:right="340" w:firstLine="648"/>
        <w:spacing w:after="0" w:line="246" w:lineRule="auto"/>
        <w:rPr>
          <w:sz w:val="20"/>
          <w:szCs w:val="20"/>
          <w:color w:val="auto"/>
        </w:rPr>
      </w:pPr>
      <w:r>
        <w:rPr>
          <w:rFonts w:ascii="Arial" w:cs="Arial" w:eastAsia="Arial" w:hAnsi="Arial"/>
          <w:sz w:val="18"/>
          <w:szCs w:val="18"/>
          <w:color w:val="auto"/>
        </w:rPr>
        <w:t>In connection with the acquisition of AAC, the Company has a long-term capital lease obligation for real property in Salt Lake City, Utah. The lease has an implied interest rate of 8% and matures in 2027.</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20" w:name="page21"/>
    <w:bookmarkEnd w:id="20"/>
    <w:p>
      <w:pPr>
        <w:ind w:firstLine="648"/>
        <w:spacing w:after="0" w:line="246" w:lineRule="auto"/>
        <w:rPr>
          <w:sz w:val="20"/>
          <w:szCs w:val="20"/>
          <w:color w:val="auto"/>
        </w:rPr>
      </w:pPr>
      <w:r>
        <w:rPr>
          <w:rFonts w:ascii="Arial" w:cs="Arial" w:eastAsia="Arial" w:hAnsi="Arial"/>
          <w:sz w:val="18"/>
          <w:szCs w:val="18"/>
          <w:color w:val="auto"/>
        </w:rPr>
        <w:t>The following schedule presents future minimum annual lease payments under the capital lease obligation and the present value of the minimum lease payments, as of June 30, 2016.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4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r>
      <w:tr>
        <w:trPr>
          <w:trHeight w:val="376"/>
        </w:trPr>
        <w:tc>
          <w:tcPr>
            <w:tcW w:w="6780" w:type="dxa"/>
            <w:vAlign w:val="bottom"/>
          </w:tcPr>
          <w:p>
            <w:pPr>
              <w:spacing w:after="0"/>
              <w:rPr>
                <w:sz w:val="20"/>
                <w:szCs w:val="20"/>
                <w:color w:val="auto"/>
              </w:rPr>
            </w:pPr>
            <w:r>
              <w:rPr>
                <w:rFonts w:ascii="Arial" w:cs="Arial" w:eastAsia="Arial" w:hAnsi="Arial"/>
                <w:sz w:val="18"/>
                <w:szCs w:val="18"/>
                <w:color w:val="auto"/>
              </w:rPr>
              <w:t>2016</w:t>
            </w:r>
          </w:p>
        </w:tc>
        <w:tc>
          <w:tcPr>
            <w:tcW w:w="4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$1,213</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2017</w:t>
            </w:r>
          </w:p>
        </w:tc>
        <w:tc>
          <w:tcPr>
            <w:tcW w:w="4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2,425</w:t>
            </w:r>
          </w:p>
        </w:tc>
        <w:tc>
          <w:tcPr>
            <w:tcW w:w="20" w:type="dxa"/>
            <w:vAlign w:val="bottom"/>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4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2,473</w:t>
            </w:r>
          </w:p>
        </w:tc>
        <w:tc>
          <w:tcPr>
            <w:tcW w:w="20" w:type="dxa"/>
            <w:vAlign w:val="bottom"/>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4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2,473</w:t>
            </w:r>
          </w:p>
        </w:tc>
        <w:tc>
          <w:tcPr>
            <w:tcW w:w="20" w:type="dxa"/>
            <w:vAlign w:val="bottom"/>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46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2,520</w:t>
            </w:r>
          </w:p>
        </w:tc>
        <w:tc>
          <w:tcPr>
            <w:tcW w:w="20" w:type="dxa"/>
            <w:vAlign w:val="bottom"/>
          </w:tcPr>
          <w:p>
            <w:pPr>
              <w:spacing w:after="0"/>
              <w:rPr>
                <w:sz w:val="17"/>
                <w:szCs w:val="17"/>
                <w:color w:val="auto"/>
              </w:rPr>
            </w:pPr>
          </w:p>
        </w:tc>
      </w:tr>
      <w:tr>
        <w:trPr>
          <w:trHeight w:val="225"/>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4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18,754</w:t>
            </w:r>
          </w:p>
        </w:tc>
      </w:tr>
      <w:tr>
        <w:trPr>
          <w:trHeight w:val="173"/>
        </w:trPr>
        <w:tc>
          <w:tcPr>
            <w:tcW w:w="6780" w:type="dxa"/>
            <w:vAlign w:val="bottom"/>
          </w:tcPr>
          <w:p>
            <w:pPr>
              <w:spacing w:after="0" w:line="173" w:lineRule="exact"/>
              <w:rPr>
                <w:sz w:val="20"/>
                <w:szCs w:val="20"/>
                <w:color w:val="auto"/>
              </w:rPr>
            </w:pPr>
            <w:r>
              <w:rPr>
                <w:rFonts w:ascii="Arial" w:cs="Arial" w:eastAsia="Arial" w:hAnsi="Arial"/>
                <w:sz w:val="18"/>
                <w:szCs w:val="18"/>
                <w:color w:val="auto"/>
              </w:rPr>
              <w:t>Total minimum lease payments</w:t>
            </w:r>
          </w:p>
        </w:tc>
        <w:tc>
          <w:tcPr>
            <w:tcW w:w="4660" w:type="dxa"/>
            <w:vAlign w:val="bottom"/>
            <w:gridSpan w:val="2"/>
          </w:tcPr>
          <w:p>
            <w:pPr>
              <w:jc w:val="right"/>
              <w:ind w:right="20"/>
              <w:spacing w:after="0" w:line="173" w:lineRule="exact"/>
              <w:rPr>
                <w:sz w:val="20"/>
                <w:szCs w:val="20"/>
                <w:color w:val="auto"/>
              </w:rPr>
            </w:pPr>
            <w:r>
              <w:rPr>
                <w:rFonts w:ascii="Arial" w:cs="Arial" w:eastAsia="Arial" w:hAnsi="Arial"/>
                <w:sz w:val="18"/>
                <w:szCs w:val="18"/>
                <w:b w:val="1"/>
                <w:bCs w:val="1"/>
                <w:color w:val="auto"/>
              </w:rPr>
              <w:t>29,858</w:t>
            </w:r>
          </w:p>
        </w:tc>
      </w:tr>
      <w:tr>
        <w:trPr>
          <w:trHeight w:val="225"/>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 representing interest</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6,165</w:t>
            </w:r>
          </w:p>
        </w:tc>
        <w:tc>
          <w:tcPr>
            <w:tcW w:w="20" w:type="dxa"/>
            <w:vAlign w:val="bottom"/>
          </w:tcPr>
          <w:p>
            <w:pPr>
              <w:spacing w:after="0"/>
              <w:rPr>
                <w:sz w:val="19"/>
                <w:szCs w:val="19"/>
                <w:color w:val="auto"/>
              </w:rPr>
            </w:pPr>
          </w:p>
        </w:tc>
      </w:tr>
      <w:tr>
        <w:trPr>
          <w:trHeight w:val="399"/>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Present value of minimum lease payments</w:t>
            </w:r>
          </w:p>
        </w:tc>
        <w:tc>
          <w:tcPr>
            <w:tcW w:w="4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$23,693</w:t>
            </w:r>
          </w:p>
        </w:tc>
        <w:tc>
          <w:tcPr>
            <w:tcW w:w="20" w:type="dxa"/>
            <w:vAlign w:val="bottom"/>
          </w:tcPr>
          <w:p>
            <w:pPr>
              <w:spacing w:after="0"/>
              <w:rPr>
                <w:sz w:val="24"/>
                <w:szCs w:val="24"/>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our interest rate swap agreements that had effectively fixed the interest rate on up to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95" w:lineRule="exact"/>
        <w:rPr>
          <w:sz w:val="20"/>
          <w:szCs w:val="20"/>
          <w:color w:val="auto"/>
        </w:rPr>
      </w:pPr>
    </w:p>
    <w:p>
      <w:pPr>
        <w:jc w:val="both"/>
        <w:ind w:right="80" w:firstLine="648"/>
        <w:spacing w:after="0" w:line="237" w:lineRule="auto"/>
        <w:rPr>
          <w:sz w:val="20"/>
          <w:szCs w:val="20"/>
          <w:color w:val="auto"/>
        </w:rPr>
      </w:pPr>
      <w:r>
        <w:rPr>
          <w:rFonts w:ascii="Arial" w:cs="Arial" w:eastAsia="Arial" w:hAnsi="Arial"/>
          <w:sz w:val="18"/>
          <w:szCs w:val="18"/>
          <w:color w:val="auto"/>
        </w:rPr>
        <w:t>On May 9, 2016, we entered into interest rate hedging for the period May 16, 2016 through March 16, 2021. These transactions have the effect of fixing the LIBOR portion of the effective interest rate (before addition of the spread) on $300 million of indebtedness drawn under the Credit Agreement at the rate of 1.245% during the period. Under the terms of these transactions, we pay the fixed rate of 1.245% and the counterparties pay a floating rate based on the one-month LIBOR rate at each monthly calculation date, which on June 16, 2016 was 0.450%. The net effect is to fix the effective interest rate on $300 million of indebtedness at 1.245%, plus the applicable spread, during the swap period. On June 16, 2016, the all-in-rate on the $300 million of debt was 2.745%.</w:t>
      </w:r>
    </w:p>
    <w:p>
      <w:pPr>
        <w:spacing w:after="0" w:line="97" w:lineRule="exact"/>
        <w:rPr>
          <w:sz w:val="20"/>
          <w:szCs w:val="20"/>
          <w:color w:val="auto"/>
        </w:rPr>
      </w:pPr>
    </w:p>
    <w:p>
      <w:pPr>
        <w:ind w:right="920" w:firstLine="648"/>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15 of the Notes to Consolidated Financial Statements. No cash collateral was received or pledged in relation to the swap agreements.</w:t>
      </w:r>
    </w:p>
    <w:p>
      <w:pPr>
        <w:spacing w:after="0" w:line="89" w:lineRule="exact"/>
        <w:rPr>
          <w:sz w:val="20"/>
          <w:szCs w:val="20"/>
          <w:color w:val="auto"/>
        </w:rPr>
      </w:pPr>
    </w:p>
    <w:p>
      <w:pPr>
        <w:ind w:right="620" w:firstLine="648"/>
        <w:spacing w:after="0" w:line="24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89" w:lineRule="exact"/>
        <w:rPr>
          <w:sz w:val="20"/>
          <w:szCs w:val="20"/>
          <w:color w:val="auto"/>
        </w:rPr>
      </w:pPr>
    </w:p>
    <w:p>
      <w:pPr>
        <w:ind w:right="320" w:firstLine="648"/>
        <w:spacing w:after="0" w:line="239" w:lineRule="auto"/>
        <w:rPr>
          <w:sz w:val="20"/>
          <w:szCs w:val="20"/>
          <w:color w:val="auto"/>
        </w:rPr>
      </w:pPr>
      <w:r>
        <w:rPr>
          <w:rFonts w:ascii="Arial" w:cs="Arial" w:eastAsia="Arial" w:hAnsi="Arial"/>
          <w:sz w:val="18"/>
          <w:szCs w:val="18"/>
          <w:color w:val="auto"/>
        </w:rPr>
        <w:t>As of June 30, 2016, our leverage ratio, including the pro-forma effect of the acquisition, was 2.31 to 1.00 and our interest coverage ratio was 14.18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94"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June 30, 2016.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15. Fair-Value Measurements</w:t>
      </w:r>
    </w:p>
    <w:p>
      <w:pPr>
        <w:spacing w:after="0" w:line="126"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In 2015 we reclassified land and building related to the former manufacturing facility in Germany as Asset held for sale in the accompanying Consolidated Balance Sheets. As of June 30, 2016 and December 31, 2015, we have Level 3 financial assets of $5.2 million and $5.0 million, respectively. The value as of June 30, 2016 was determined based on preliminary offers from active market participants.</w:t>
      </w:r>
    </w:p>
    <w:p>
      <w:pPr>
        <w:spacing w:after="0" w:line="100" w:lineRule="exact"/>
        <w:rPr>
          <w:sz w:val="20"/>
          <w:szCs w:val="20"/>
          <w:color w:val="auto"/>
        </w:rPr>
      </w:pPr>
    </w:p>
    <w:p>
      <w:pPr>
        <w:ind w:right="120" w:firstLine="648"/>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 and Level 3 non-financial measured at fair value: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June 30, 2016</w:t>
            </w:r>
          </w:p>
        </w:tc>
        <w:tc>
          <w:tcPr>
            <w:tcW w:w="1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2"/>
          </w:tcPr>
          <w:p>
            <w:pPr>
              <w:jc w:val="right"/>
              <w:ind w:right="910"/>
              <w:spacing w:after="0" w:line="194" w:lineRule="exact"/>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2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Quoted</w:t>
            </w:r>
          </w:p>
        </w:tc>
        <w:tc>
          <w:tcPr>
            <w:tcW w:w="144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Quoted</w:t>
            </w:r>
          </w:p>
        </w:tc>
        <w:tc>
          <w:tcPr>
            <w:tcW w:w="14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8"/>
              </w:rPr>
              <w:t>Significant</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2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prices in</w:t>
            </w:r>
          </w:p>
        </w:tc>
        <w:tc>
          <w:tcPr>
            <w:tcW w:w="14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rPr>
              <w:t>other</w:t>
            </w:r>
          </w:p>
        </w:tc>
        <w:tc>
          <w:tcPr>
            <w:tcW w:w="138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prices in</w:t>
            </w:r>
          </w:p>
        </w:tc>
        <w:tc>
          <w:tcPr>
            <w:tcW w:w="1420" w:type="dxa"/>
            <w:vAlign w:val="bottom"/>
          </w:tcPr>
          <w:p>
            <w:pPr>
              <w:jc w:val="center"/>
              <w:ind w:right="110"/>
              <w:spacing w:after="0" w:line="202" w:lineRule="exact"/>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2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active</w:t>
            </w:r>
          </w:p>
        </w:tc>
        <w:tc>
          <w:tcPr>
            <w:tcW w:w="14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8"/>
              </w:rPr>
              <w:t>observable</w:t>
            </w:r>
          </w:p>
        </w:tc>
        <w:tc>
          <w:tcPr>
            <w:tcW w:w="138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Unobservable</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active</w:t>
            </w:r>
          </w:p>
        </w:tc>
        <w:tc>
          <w:tcPr>
            <w:tcW w:w="14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observable</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9"/>
              </w:rPr>
              <w:t>Unobservable</w:t>
            </w:r>
          </w:p>
        </w:tc>
        <w:tc>
          <w:tcPr>
            <w:tcW w:w="0" w:type="dxa"/>
            <w:vAlign w:val="bottom"/>
          </w:tcPr>
          <w:p>
            <w:pPr>
              <w:spacing w:after="0"/>
              <w:rPr>
                <w:sz w:val="1"/>
                <w:szCs w:val="1"/>
                <w:color w:val="auto"/>
              </w:rPr>
            </w:pPr>
          </w:p>
        </w:tc>
      </w:tr>
      <w:tr>
        <w:trPr>
          <w:trHeight w:val="239"/>
        </w:trPr>
        <w:tc>
          <w:tcPr>
            <w:tcW w:w="358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rPr>
              <w:t>markets</w:t>
            </w:r>
          </w:p>
        </w:tc>
        <w:tc>
          <w:tcPr>
            <w:tcW w:w="14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inputs</w:t>
            </w: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inputs</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markets</w:t>
            </w:r>
          </w:p>
        </w:tc>
        <w:tc>
          <w:tcPr>
            <w:tcW w:w="1420" w:type="dxa"/>
            <w:vAlign w:val="bottom"/>
          </w:tcPr>
          <w:p>
            <w:pPr>
              <w:jc w:val="center"/>
              <w:ind w:right="130"/>
              <w:spacing w:after="0"/>
              <w:rPr>
                <w:sz w:val="20"/>
                <w:szCs w:val="20"/>
                <w:color w:val="auto"/>
              </w:rPr>
            </w:pPr>
            <w:r>
              <w:rPr>
                <w:rFonts w:ascii="Arial" w:cs="Arial" w:eastAsia="Arial" w:hAnsi="Arial"/>
                <w:sz w:val="18"/>
                <w:szCs w:val="18"/>
                <w:color w:val="auto"/>
                <w:w w:val="99"/>
              </w:rPr>
              <w:t>inputs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392"/>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(Level 1)</w:t>
            </w:r>
          </w:p>
        </w:tc>
        <w:tc>
          <w:tcPr>
            <w:tcW w:w="14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(Level 2)</w:t>
            </w:r>
          </w:p>
        </w:tc>
        <w:tc>
          <w:tcPr>
            <w:tcW w:w="1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(Level 3)</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(Level 1)</w:t>
            </w:r>
          </w:p>
        </w:tc>
        <w:tc>
          <w:tcPr>
            <w:tcW w:w="14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(Level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177"/>
        </w:trPr>
        <w:tc>
          <w:tcPr>
            <w:tcW w:w="3580" w:type="dxa"/>
            <w:vAlign w:val="bottom"/>
          </w:tcPr>
          <w:p>
            <w:pPr>
              <w:spacing w:after="0" w:line="177" w:lineRule="exact"/>
              <w:rPr>
                <w:sz w:val="20"/>
                <w:szCs w:val="20"/>
                <w:color w:val="auto"/>
              </w:rPr>
            </w:pPr>
            <w:r>
              <w:rPr>
                <w:rFonts w:ascii="Arial" w:cs="Arial" w:eastAsia="Arial" w:hAnsi="Arial"/>
                <w:sz w:val="18"/>
                <w:szCs w:val="18"/>
                <w:b w:val="1"/>
                <w:bCs w:val="1"/>
                <w:color w:val="auto"/>
              </w:rPr>
              <w:t>Fair Value</w:t>
            </w: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2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$16,366</w:t>
            </w:r>
          </w:p>
        </w:tc>
        <w:tc>
          <w:tcPr>
            <w:tcW w:w="14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580" w:type="dxa"/>
            <w:vAlign w:val="bottom"/>
          </w:tcPr>
          <w:p>
            <w:pPr>
              <w:ind w:left="220"/>
              <w:spacing w:after="0" w:line="181" w:lineRule="exact"/>
              <w:rPr>
                <w:sz w:val="20"/>
                <w:szCs w:val="20"/>
                <w:color w:val="auto"/>
              </w:rPr>
            </w:pPr>
            <w:r>
              <w:rPr>
                <w:rFonts w:ascii="Arial" w:cs="Arial" w:eastAsia="Arial" w:hAnsi="Arial"/>
                <w:sz w:val="18"/>
                <w:szCs w:val="18"/>
                <w:color w:val="auto"/>
              </w:rPr>
              <w:t>Cash equivalents</w:t>
            </w:r>
          </w:p>
        </w:tc>
        <w:tc>
          <w:tcPr>
            <w:tcW w:w="12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0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$5,189</w:t>
            </w:r>
          </w:p>
        </w:tc>
        <w:tc>
          <w:tcPr>
            <w:tcW w:w="1420" w:type="dxa"/>
            <w:vAlign w:val="bottom"/>
          </w:tcPr>
          <w:p>
            <w:pPr>
              <w:jc w:val="right"/>
              <w:ind w:right="270"/>
              <w:spacing w:after="0" w:line="181"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220"/>
              <w:spacing w:after="0"/>
              <w:rPr>
                <w:sz w:val="20"/>
                <w:szCs w:val="20"/>
                <w:color w:val="auto"/>
              </w:rPr>
            </w:pPr>
            <w:r>
              <w:rPr>
                <w:rFonts w:ascii="Arial" w:cs="Arial" w:eastAsia="Arial" w:hAnsi="Arial"/>
                <w:sz w:val="18"/>
                <w:szCs w:val="18"/>
                <w:color w:val="auto"/>
              </w:rPr>
              <w:t>Asset held for sale</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rPr>
              <w:t>5,078</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w:t>
            </w: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assets:</w:t>
            </w:r>
          </w:p>
        </w:tc>
        <w:tc>
          <w:tcPr>
            <w:tcW w:w="12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366</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80" w:type="dxa"/>
            <w:vAlign w:val="bottom"/>
          </w:tcPr>
          <w:p>
            <w:pPr>
              <w:ind w:left="440"/>
              <w:spacing w:after="0" w:line="185" w:lineRule="exact"/>
              <w:rPr>
                <w:sz w:val="20"/>
                <w:szCs w:val="20"/>
                <w:color w:val="auto"/>
              </w:rPr>
            </w:pPr>
            <w:r>
              <w:rPr>
                <w:rFonts w:ascii="Arial" w:cs="Arial" w:eastAsia="Arial" w:hAnsi="Arial"/>
                <w:sz w:val="18"/>
                <w:szCs w:val="18"/>
                <w:color w:val="auto"/>
              </w:rPr>
              <w:t>Foreign currency options</w:t>
            </w:r>
          </w:p>
        </w:tc>
        <w:tc>
          <w:tcPr>
            <w:tcW w:w="12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0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270"/>
              <w:spacing w:after="0" w:line="18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tcPr>
          <w:p>
            <w:pPr>
              <w:ind w:left="220"/>
              <w:spacing w:after="0"/>
              <w:rPr>
                <w:sz w:val="20"/>
                <w:szCs w:val="20"/>
                <w:color w:val="auto"/>
              </w:rPr>
            </w:pPr>
            <w:r>
              <w:rPr>
                <w:rFonts w:ascii="Arial" w:cs="Arial" w:eastAsia="Arial" w:hAnsi="Arial"/>
                <w:sz w:val="18"/>
                <w:szCs w:val="18"/>
                <w:i w:val="1"/>
                <w:iCs w:val="1"/>
                <w:color w:val="auto"/>
              </w:rPr>
              <w:t>Other Assets:</w:t>
            </w: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40"/>
              <w:spacing w:after="0" w:line="202" w:lineRule="exact"/>
              <w:rPr>
                <w:sz w:val="20"/>
                <w:szCs w:val="20"/>
                <w:color w:val="auto"/>
              </w:rPr>
            </w:pPr>
            <w:r>
              <w:rPr>
                <w:rFonts w:ascii="Arial" w:cs="Arial" w:eastAsia="Arial" w:hAnsi="Arial"/>
                <w:sz w:val="18"/>
                <w:szCs w:val="18"/>
                <w:color w:val="auto"/>
              </w:rPr>
              <w:t>Common stock of unaffiliated foreign</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744(a)</w:t>
            </w:r>
          </w:p>
        </w:tc>
        <w:tc>
          <w:tcPr>
            <w:tcW w:w="14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w:t>
            </w:r>
          </w:p>
        </w:tc>
        <w:tc>
          <w:tcPr>
            <w:tcW w:w="1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80" w:type="dxa"/>
            <w:vAlign w:val="bottom"/>
          </w:tcPr>
          <w:p>
            <w:pPr>
              <w:ind w:left="440"/>
              <w:spacing w:after="0" w:line="185" w:lineRule="exact"/>
              <w:rPr>
                <w:sz w:val="20"/>
                <w:szCs w:val="20"/>
                <w:color w:val="auto"/>
              </w:rPr>
            </w:pPr>
            <w:r>
              <w:rPr>
                <w:rFonts w:ascii="Arial" w:cs="Arial" w:eastAsia="Arial" w:hAnsi="Arial"/>
                <w:sz w:val="18"/>
                <w:szCs w:val="18"/>
                <w:color w:val="auto"/>
              </w:rPr>
              <w:t>public company</w:t>
            </w:r>
          </w:p>
        </w:tc>
        <w:tc>
          <w:tcPr>
            <w:tcW w:w="12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000" w:type="dxa"/>
            <w:vAlign w:val="bottom"/>
          </w:tcPr>
          <w:p>
            <w:pPr>
              <w:jc w:val="right"/>
              <w:ind w:right="10"/>
              <w:spacing w:after="0" w:line="185" w:lineRule="exact"/>
              <w:rPr>
                <w:sz w:val="20"/>
                <w:szCs w:val="20"/>
                <w:color w:val="auto"/>
              </w:rPr>
            </w:pPr>
            <w:r>
              <w:rPr>
                <w:rFonts w:ascii="Arial" w:cs="Arial" w:eastAsia="Arial" w:hAnsi="Arial"/>
                <w:sz w:val="18"/>
                <w:szCs w:val="18"/>
                <w:color w:val="auto"/>
              </w:rPr>
              <w:t>819</w:t>
            </w:r>
          </w:p>
        </w:tc>
        <w:tc>
          <w:tcPr>
            <w:tcW w:w="1420" w:type="dxa"/>
            <w:vAlign w:val="bottom"/>
          </w:tcPr>
          <w:p>
            <w:pPr>
              <w:jc w:val="right"/>
              <w:ind w:right="270"/>
              <w:spacing w:after="0" w:line="185"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i w:val="1"/>
                <w:iCs w:val="1"/>
                <w:color w:val="auto"/>
              </w:rPr>
              <w:t>Liabilities:</w:t>
            </w:r>
          </w:p>
        </w:tc>
        <w:tc>
          <w:tcPr>
            <w:tcW w:w="1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color w:val="auto"/>
              </w:rPr>
              <w:t xml:space="preserve">(2,400) </w:t>
            </w:r>
            <w:r>
              <w:rPr>
                <w:rFonts w:ascii="Arial" w:cs="Arial" w:eastAsia="Arial" w:hAnsi="Arial"/>
                <w:sz w:val="30"/>
                <w:szCs w:val="30"/>
                <w:color w:val="auto"/>
                <w:vertAlign w:val="superscript"/>
              </w:rPr>
              <w:t>(c)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358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rPr>
              <w:t>4,336(b)</w:t>
            </w:r>
          </w:p>
        </w:tc>
        <w:tc>
          <w:tcPr>
            <w:tcW w:w="13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5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Original cost basis $0.5 million</w:t>
      </w:r>
    </w:p>
    <w:p>
      <w:pPr>
        <w:spacing w:after="0" w:line="190" w:lineRule="exact"/>
        <w:rPr>
          <w:rFonts w:ascii="Arial" w:cs="Arial" w:eastAsia="Arial" w:hAnsi="Arial"/>
          <w:sz w:val="14"/>
          <w:szCs w:val="14"/>
          <w:color w:val="auto"/>
        </w:rPr>
      </w:pPr>
    </w:p>
    <w:p>
      <w:pPr>
        <w:ind w:left="1300" w:hanging="320"/>
        <w:spacing w:after="0"/>
        <w:tabs>
          <w:tab w:leader="none" w:pos="1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$13.4 million receivable floating leg and $17.8 million liability fixed leg</w:t>
      </w:r>
    </w:p>
    <w:p>
      <w:pPr>
        <w:spacing w:after="0" w:line="176" w:lineRule="exact"/>
        <w:rPr>
          <w:rFonts w:ascii="Arial" w:cs="Arial" w:eastAsia="Arial" w:hAnsi="Arial"/>
          <w:sz w:val="14"/>
          <w:szCs w:val="14"/>
          <w:color w:val="auto"/>
        </w:rPr>
      </w:pPr>
    </w:p>
    <w:p>
      <w:pPr>
        <w:ind w:left="1300" w:hanging="320"/>
        <w:spacing w:after="0"/>
        <w:tabs>
          <w:tab w:leader="none" w:pos="13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$7.4 million receivable floating leg and $9.8 million liability fixed leg</w:t>
      </w:r>
    </w:p>
    <w:p>
      <w:pPr>
        <w:spacing w:after="0" w:line="200" w:lineRule="exact"/>
        <w:rPr>
          <w:sz w:val="20"/>
          <w:szCs w:val="20"/>
          <w:color w:val="auto"/>
        </w:rPr>
      </w:pPr>
    </w:p>
    <w:p>
      <w:pPr>
        <w:spacing w:after="0" w:line="322"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2" w:name="page23"/>
    <w:bookmarkEnd w:id="22"/>
    <w:p>
      <w:pPr>
        <w:ind w:right="140" w:firstLine="648"/>
        <w:spacing w:after="0" w:line="237"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97" w:lineRule="exact"/>
        <w:rPr>
          <w:sz w:val="20"/>
          <w:szCs w:val="20"/>
          <w:color w:val="auto"/>
        </w:rPr>
      </w:pPr>
    </w:p>
    <w:p>
      <w:pPr>
        <w:ind w:right="180" w:firstLine="648"/>
        <w:spacing w:after="0" w:line="239"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94"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04"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94"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June 30, 2016, these interest rate swaps were determined to be highly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and amortization related to the swap buyouts, affect earnings. Interest expense related to the current swaps totaled $0.6 million for the six month period ended June 30, 2016 and $1.0 million for the six month period ended June 30, 2015. Interest expense related to the swap buyouts totaled $0.1 million for the six month period ended June 30, 2016 and $0.0 million for the six month period ended June 30, 2015.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(income)/expenses,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4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gridSpan w:val="2"/>
          </w:tcPr>
          <w:p>
            <w:pPr>
              <w:jc w:val="center"/>
              <w:ind w:left="490"/>
              <w:spacing w:after="0" w:line="194" w:lineRule="exact"/>
              <w:rPr>
                <w:sz w:val="20"/>
                <w:szCs w:val="20"/>
                <w:color w:val="auto"/>
              </w:rPr>
            </w:pPr>
            <w:r>
              <w:rPr>
                <w:rFonts w:ascii="Arial" w:cs="Arial" w:eastAsia="Arial" w:hAnsi="Arial"/>
                <w:sz w:val="18"/>
                <w:szCs w:val="18"/>
                <w:b w:val="1"/>
                <w:bCs w:val="1"/>
                <w:color w:val="auto"/>
              </w:rPr>
              <w:t>Three months ended</w:t>
            </w:r>
          </w:p>
        </w:tc>
        <w:tc>
          <w:tcPr>
            <w:tcW w:w="2280" w:type="dxa"/>
            <w:vAlign w:val="bottom"/>
            <w:tcBorders>
              <w:top w:val="single" w:sz="8" w:color="auto"/>
            </w:tcBorders>
            <w:gridSpan w:val="2"/>
          </w:tcPr>
          <w:p>
            <w:pPr>
              <w:ind w:left="240"/>
              <w:spacing w:after="0" w:line="194"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660" w:type="dxa"/>
            <w:vAlign w:val="bottom"/>
          </w:tcPr>
          <w:p>
            <w:pPr>
              <w:jc w:val="center"/>
              <w:ind w:left="1690"/>
              <w:spacing w:after="0" w:line="202" w:lineRule="exact"/>
              <w:rPr>
                <w:sz w:val="20"/>
                <w:szCs w:val="20"/>
                <w:color w:val="auto"/>
              </w:rPr>
            </w:pPr>
            <w:r>
              <w:rPr>
                <w:rFonts w:ascii="Arial" w:cs="Arial" w:eastAsia="Arial" w:hAnsi="Arial"/>
                <w:sz w:val="18"/>
                <w:szCs w:val="18"/>
                <w:b w:val="1"/>
                <w:bCs w:val="1"/>
                <w:color w:val="auto"/>
                <w:w w:val="99"/>
              </w:rPr>
              <w:t>June 30,</w:t>
            </w:r>
          </w:p>
        </w:tc>
        <w:tc>
          <w:tcPr>
            <w:tcW w:w="1140" w:type="dxa"/>
            <w:vAlign w:val="bottom"/>
          </w:tcPr>
          <w:p>
            <w:pPr>
              <w:spacing w:after="0"/>
              <w:rPr>
                <w:sz w:val="17"/>
                <w:szCs w:val="17"/>
                <w:color w:val="auto"/>
              </w:rPr>
            </w:pPr>
          </w:p>
        </w:tc>
        <w:tc>
          <w:tcPr>
            <w:tcW w:w="1420" w:type="dxa"/>
            <w:vAlign w:val="bottom"/>
          </w:tcPr>
          <w:p>
            <w:pPr>
              <w:ind w:left="680"/>
              <w:spacing w:after="0" w:line="202" w:lineRule="exact"/>
              <w:rPr>
                <w:sz w:val="20"/>
                <w:szCs w:val="20"/>
                <w:color w:val="auto"/>
              </w:rPr>
            </w:pPr>
            <w:r>
              <w:rPr>
                <w:rFonts w:ascii="Arial" w:cs="Arial" w:eastAsia="Arial" w:hAnsi="Arial"/>
                <w:sz w:val="18"/>
                <w:szCs w:val="18"/>
                <w:b w:val="1"/>
                <w:bCs w:val="1"/>
                <w:color w:val="auto"/>
                <w:w w:val="99"/>
              </w:rPr>
              <w:t>June 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2016</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3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6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$250</w:t>
            </w:r>
          </w:p>
        </w:tc>
        <w:tc>
          <w:tcPr>
            <w:tcW w:w="1140" w:type="dxa"/>
            <w:vAlign w:val="bottom"/>
          </w:tcPr>
          <w:p>
            <w:pPr>
              <w:spacing w:after="0"/>
              <w:rPr>
                <w:sz w:val="24"/>
                <w:szCs w:val="24"/>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$455</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Foreign currency options</w:t>
            </w:r>
          </w:p>
        </w:tc>
        <w:tc>
          <w:tcPr>
            <w:tcW w:w="26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($92)</w:t>
            </w:r>
          </w:p>
        </w:tc>
        <w:tc>
          <w:tcPr>
            <w:tcW w:w="14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9740" w:firstLine="8"/>
        <w:spacing w:after="0" w:line="372" w:lineRule="auto"/>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2"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3,814 claims as of June 30, 2016.</w:t>
      </w:r>
    </w:p>
    <w:p>
      <w:pPr>
        <w:spacing w:after="0" w:line="104"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960" w:type="dxa"/>
            <w:vAlign w:val="bottom"/>
            <w:tcBorders>
              <w:top w:val="single" w:sz="8" w:color="auto"/>
              <w:left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76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296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Opening</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Closing</w:t>
            </w:r>
          </w:p>
        </w:tc>
        <w:tc>
          <w:tcPr>
            <w:tcW w:w="1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2960" w:type="dxa"/>
            <w:vAlign w:val="bottom"/>
            <w:tcBorders>
              <w:left w:val="single" w:sz="8" w:color="auto"/>
              <w:right w:val="single" w:sz="8" w:color="auto"/>
            </w:tcBorders>
          </w:tcPr>
          <w:p>
            <w:pPr>
              <w:ind w:left="980"/>
              <w:spacing w:after="0" w:line="202" w:lineRule="exact"/>
              <w:rPr>
                <w:sz w:val="20"/>
                <w:szCs w:val="20"/>
                <w:color w:val="auto"/>
              </w:rPr>
            </w:pPr>
            <w:r>
              <w:rPr>
                <w:rFonts w:ascii="Arial" w:cs="Arial" w:eastAsia="Arial" w:hAnsi="Arial"/>
                <w:sz w:val="18"/>
                <w:szCs w:val="18"/>
                <w:b w:val="1"/>
                <w:bCs w:val="1"/>
                <w:color w:val="auto"/>
              </w:rPr>
              <w:t>Year ended</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Settled,</w:t>
            </w:r>
          </w:p>
        </w:tc>
        <w:tc>
          <w:tcPr>
            <w:tcW w:w="170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Number</w:t>
            </w:r>
          </w:p>
        </w:tc>
        <w:tc>
          <w:tcPr>
            <w:tcW w:w="17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25"/>
        </w:trPr>
        <w:tc>
          <w:tcPr>
            <w:tcW w:w="2960" w:type="dxa"/>
            <w:vAlign w:val="bottom"/>
            <w:tcBorders>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 Resolved</w:t>
            </w:r>
          </w:p>
        </w:tc>
        <w:tc>
          <w:tcPr>
            <w:tcW w:w="17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 Claims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 Settle or Resolve</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29,411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1,297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24,451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1,806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19,416</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18,798</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2009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18,385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8,945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5,170</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4,446</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4,463</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147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437</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2015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3,821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3,791</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196"/>
        </w:trPr>
        <w:tc>
          <w:tcPr>
            <w:tcW w:w="2960" w:type="dxa"/>
            <w:vAlign w:val="bottom"/>
            <w:tcBorders>
              <w:left w:val="single" w:sz="8" w:color="auto"/>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b w:val="1"/>
                <w:bCs w:val="1"/>
                <w:color w:val="auto"/>
              </w:rPr>
              <w:t>As of June 30, 2016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3,791</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3,814</w:t>
            </w:r>
          </w:p>
        </w:tc>
        <w:tc>
          <w:tcPr>
            <w:tcW w:w="17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w:t>
            </w:r>
          </w:p>
        </w:tc>
      </w:tr>
    </w:tbl>
    <w:p>
      <w:pPr>
        <w:spacing w:after="0" w:line="377"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89"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4" w:name="page25"/>
    <w:bookmarkEnd w:id="24"/>
    <w:p>
      <w:pPr>
        <w:ind w:right="20" w:firstLine="648"/>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June 30, 2016 we had resolved, by means of settlement or dismissal, 37,386 claims. The total cost of resolving all claims was $9.45 million. Of this amount, almost 100% was paid by our insurance carrier. The Company’s insurer has confirmed that although the coverage limits under two (of approximately 23) primary insurance policies have been exhausted, there still remains approximately $ 3 million in coverage limits under other applicable primary policies, and $140 million in coverage under excess umbrella coverage policies that should be available with respect to current and future asbestos claims.</w:t>
      </w:r>
    </w:p>
    <w:p>
      <w:pPr>
        <w:spacing w:after="0" w:line="95"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7,707 claims as of June 30, 2016.</w:t>
      </w:r>
    </w:p>
    <w:p>
      <w:pPr>
        <w:spacing w:after="0" w:line="95" w:lineRule="exact"/>
        <w:rPr>
          <w:sz w:val="20"/>
          <w:szCs w:val="20"/>
          <w:color w:val="auto"/>
        </w:rPr>
      </w:pPr>
    </w:p>
    <w:p>
      <w:pPr>
        <w:ind w:right="660" w:firstLine="648"/>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3000" w:type="dxa"/>
            <w:vAlign w:val="bottom"/>
            <w:tcBorders>
              <w:top w:val="single" w:sz="8" w:color="auto"/>
              <w:left w:val="single" w:sz="8" w:color="auto"/>
              <w:right w:val="single" w:sz="8" w:color="auto"/>
            </w:tcBorders>
          </w:tcPr>
          <w:p>
            <w:pPr>
              <w:spacing w:after="0"/>
              <w:rPr>
                <w:sz w:val="16"/>
                <w:szCs w:val="16"/>
                <w:color w:val="auto"/>
              </w:rPr>
            </w:pPr>
          </w:p>
        </w:tc>
        <w:tc>
          <w:tcPr>
            <w:tcW w:w="172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Claims</w:t>
            </w:r>
          </w:p>
        </w:tc>
        <w:tc>
          <w:tcPr>
            <w:tcW w:w="1360" w:type="dxa"/>
            <w:vAlign w:val="bottom"/>
            <w:tcBorders>
              <w:top w:val="single" w:sz="8" w:color="auto"/>
            </w:tcBorders>
          </w:tcPr>
          <w:p>
            <w:pPr>
              <w:spacing w:after="0"/>
              <w:rPr>
                <w:sz w:val="16"/>
                <w:szCs w:val="16"/>
                <w:color w:val="auto"/>
              </w:rPr>
            </w:pPr>
          </w:p>
        </w:tc>
        <w:tc>
          <w:tcPr>
            <w:tcW w:w="34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30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Opening</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3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Closing</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3000" w:type="dxa"/>
            <w:vAlign w:val="bottom"/>
            <w:tcBorders>
              <w:left w:val="single" w:sz="8" w:color="auto"/>
              <w:right w:val="single" w:sz="8" w:color="auto"/>
            </w:tcBorders>
          </w:tcPr>
          <w:p>
            <w:pPr>
              <w:ind w:left="1000"/>
              <w:spacing w:after="0" w:line="202" w:lineRule="exact"/>
              <w:rPr>
                <w:sz w:val="20"/>
                <w:szCs w:val="20"/>
                <w:color w:val="auto"/>
              </w:rPr>
            </w:pPr>
            <w:r>
              <w:rPr>
                <w:rFonts w:ascii="Arial" w:cs="Arial" w:eastAsia="Arial" w:hAnsi="Arial"/>
                <w:sz w:val="18"/>
                <w:szCs w:val="18"/>
                <w:b w:val="1"/>
                <w:bCs w:val="1"/>
                <w:color w:val="auto"/>
              </w:rPr>
              <w:t>Year ended</w:t>
            </w:r>
          </w:p>
        </w:tc>
        <w:tc>
          <w:tcPr>
            <w:tcW w:w="172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Number of</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3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25"/>
        </w:trPr>
        <w:tc>
          <w:tcPr>
            <w:tcW w:w="3000" w:type="dxa"/>
            <w:vAlign w:val="bottom"/>
            <w:tcBorders>
              <w:left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8"/>
              </w:rPr>
              <w:t>New Claims</w:t>
            </w:r>
          </w:p>
        </w:tc>
        <w:tc>
          <w:tcPr>
            <w:tcW w:w="3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 Settle or Resolve</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9,985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642</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223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9,566</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1,182</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2007</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9,114</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462</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2008</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8,740</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2009</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8,664</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2010</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7,907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2011</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7,869</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2012</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7,877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2013</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7,867</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2014</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7,815</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87</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2015</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7,730</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7,713</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3000" w:type="dxa"/>
            <w:vAlign w:val="bottom"/>
            <w:tcBorders>
              <w:left w:val="single" w:sz="8" w:color="auto"/>
              <w:bottom w:val="single" w:sz="8" w:color="auto"/>
              <w:right w:val="single" w:sz="8" w:color="auto"/>
            </w:tcBorders>
          </w:tcPr>
          <w:p>
            <w:pPr>
              <w:ind w:left="20"/>
              <w:spacing w:after="0" w:line="196" w:lineRule="exact"/>
              <w:rPr>
                <w:sz w:val="20"/>
                <w:szCs w:val="20"/>
                <w:color w:val="auto"/>
              </w:rPr>
            </w:pPr>
            <w:r>
              <w:rPr>
                <w:rFonts w:ascii="Arial" w:cs="Arial" w:eastAsia="Arial" w:hAnsi="Arial"/>
                <w:sz w:val="18"/>
                <w:szCs w:val="18"/>
                <w:b w:val="1"/>
                <w:bCs w:val="1"/>
                <w:color w:val="auto"/>
              </w:rPr>
              <w:t>As of June 30, 2016</w:t>
            </w:r>
          </w:p>
        </w:tc>
        <w:tc>
          <w:tcPr>
            <w:tcW w:w="17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7,713</w:t>
            </w:r>
          </w:p>
        </w:tc>
        <w:tc>
          <w:tcPr>
            <w:tcW w:w="16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7,707</w:t>
            </w:r>
          </w:p>
        </w:tc>
        <w:tc>
          <w:tcPr>
            <w:tcW w:w="17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377"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June 30, 2016, Brandon has resolved, by means of settlement or dismissal, 9,899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97" w:lineRule="exact"/>
        <w:rPr>
          <w:sz w:val="20"/>
          <w:szCs w:val="20"/>
          <w:color w:val="auto"/>
        </w:rPr>
      </w:pPr>
    </w:p>
    <w:p>
      <w:pPr>
        <w:ind w:right="300" w:firstLine="648"/>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ind w:right="80" w:firstLine="648"/>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97"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w:t>
      </w:r>
    </w:p>
    <w:p>
      <w:pPr>
        <w:spacing w:after="0" w:line="9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 Changes in Shareholders’ Equity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rPr>
              <w:t>Accumulated</w:t>
            </w:r>
          </w:p>
        </w:tc>
        <w:tc>
          <w:tcPr>
            <w:tcW w:w="10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203"/>
        </w:trPr>
        <w:tc>
          <w:tcPr>
            <w:tcW w:w="3080" w:type="dxa"/>
            <w:vAlign w:val="bottom"/>
          </w:tcPr>
          <w:p>
            <w:pPr>
              <w:spacing w:after="0"/>
              <w:rPr>
                <w:sz w:val="17"/>
                <w:szCs w:val="17"/>
                <w:color w:val="auto"/>
              </w:rPr>
            </w:pP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Common</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w:t>
            </w:r>
          </w:p>
        </w:tc>
        <w:tc>
          <w:tcPr>
            <w:tcW w:w="100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items of other</w:t>
            </w: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0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Stock Class</w:t>
            </w: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paid in</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Retained</w:t>
            </w:r>
          </w:p>
        </w:tc>
        <w:tc>
          <w:tcPr>
            <w:tcW w:w="15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comprehensive</w:t>
            </w:r>
          </w:p>
        </w:tc>
        <w:tc>
          <w:tcPr>
            <w:tcW w:w="10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Treasury</w:t>
            </w:r>
          </w:p>
        </w:tc>
        <w:tc>
          <w:tcPr>
            <w:tcW w:w="1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Noncontrolling</w:t>
            </w:r>
          </w:p>
        </w:tc>
        <w:tc>
          <w:tcPr>
            <w:tcW w:w="9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Total</w:t>
            </w:r>
          </w:p>
        </w:tc>
      </w:tr>
      <w:tr>
        <w:trPr>
          <w:trHeight w:val="225"/>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 and B</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earnings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income/(loss)</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stock</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Interest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Equity</w:t>
            </w:r>
          </w:p>
        </w:tc>
      </w:tr>
      <w:tr>
        <w:trPr>
          <w:trHeight w:val="196"/>
        </w:trPr>
        <w:tc>
          <w:tcPr>
            <w:tcW w:w="3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2015</w:t>
            </w:r>
          </w:p>
        </w:tc>
        <w:tc>
          <w:tcPr>
            <w:tcW w:w="13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$40</w:t>
            </w:r>
          </w:p>
        </w:tc>
        <w:tc>
          <w:tcPr>
            <w:tcW w:w="1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$423,108</w:t>
            </w: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$491,950</w:t>
            </w:r>
          </w:p>
        </w:tc>
        <w:tc>
          <w:tcPr>
            <w:tcW w:w="15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($158,844)</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($257,391)</w:t>
            </w:r>
          </w:p>
        </w:tc>
        <w:tc>
          <w:tcPr>
            <w:tcW w:w="1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$3,690</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$502,553</w:t>
            </w:r>
          </w:p>
        </w:tc>
      </w:tr>
      <w:tr>
        <w:trPr>
          <w:trHeight w:val="195"/>
        </w:trPr>
        <w:tc>
          <w:tcPr>
            <w:tcW w:w="3080" w:type="dxa"/>
            <w:vAlign w:val="bottom"/>
          </w:tcPr>
          <w:p>
            <w:pPr>
              <w:spacing w:after="0" w:line="195" w:lineRule="exact"/>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23,868</w:t>
            </w:r>
          </w:p>
        </w:tc>
        <w:tc>
          <w:tcPr>
            <w:tcW w:w="15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(451)</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23,417</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Compensation and benefits paid or</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payable in shares</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1,152</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495</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495</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Shares issued to Directors'</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166</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214</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380</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Dividends declared</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(10,911)</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(10,911)</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Cumulative translation adjustments</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2,393</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2,392</w:t>
            </w: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w:t>
            </w: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30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3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361</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361</w:t>
            </w:r>
          </w:p>
        </w:tc>
      </w:tr>
      <w:tr>
        <w:trPr>
          <w:trHeight w:val="203"/>
        </w:trPr>
        <w:tc>
          <w:tcPr>
            <w:tcW w:w="3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Derivative valuation adjustment</w:t>
            </w:r>
          </w:p>
        </w:tc>
        <w:tc>
          <w:tcPr>
            <w:tcW w:w="136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(4,245)</w:t>
            </w:r>
          </w:p>
        </w:tc>
        <w:tc>
          <w:tcPr>
            <w:tcW w:w="10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(4,245)</w:t>
            </w:r>
          </w:p>
        </w:tc>
      </w:tr>
      <w:tr>
        <w:trPr>
          <w:trHeight w:val="196"/>
        </w:trPr>
        <w:tc>
          <w:tcPr>
            <w:tcW w:w="3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June 30, 2016</w:t>
            </w:r>
          </w:p>
        </w:tc>
        <w:tc>
          <w:tcPr>
            <w:tcW w:w="13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$40</w:t>
            </w:r>
          </w:p>
        </w:tc>
        <w:tc>
          <w:tcPr>
            <w:tcW w:w="104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$424,921</w:t>
            </w: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$504,907</w:t>
            </w:r>
          </w:p>
        </w:tc>
        <w:tc>
          <w:tcPr>
            <w:tcW w:w="15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($160,335)</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($257,177)</w:t>
            </w:r>
          </w:p>
        </w:tc>
        <w:tc>
          <w:tcPr>
            <w:tcW w:w="1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$3,238</w:t>
            </w:r>
          </w:p>
        </w:tc>
        <w:tc>
          <w:tcPr>
            <w:tcW w:w="9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$515,594</w:t>
            </w:r>
          </w:p>
        </w:tc>
      </w:tr>
      <w:tr>
        <w:trPr>
          <w:trHeight w:val="318"/>
        </w:trPr>
        <w:tc>
          <w:tcPr>
            <w:tcW w:w="3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Arial" w:cs="Arial" w:eastAsia="Arial" w:hAnsi="Arial"/>
                <w:sz w:val="18"/>
                <w:szCs w:val="18"/>
                <w:color w:val="auto"/>
              </w:rPr>
              <w:t>26</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2"/>
        </w:trPr>
        <w:tc>
          <w:tcPr>
            <w:tcW w:w="30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328"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There have been several revisions to the update, the latest occurring in May 2016. This accounting update is effective for reporting periods beginning after December 31, 2017. Early adoption is permitted but not before the original effective date, which is for reporting periods beginning after December 31, 2016. We have not determined the impact of this update on our financial statements.</w:t>
      </w:r>
    </w:p>
    <w:p>
      <w:pPr>
        <w:spacing w:after="0" w:line="94"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regarding whether they should consolidate limited partnerships and similar entities, or whether fees are paid to a decision maker or service provider, or whether they are held by related parties. We adopted this provision as of January 1, 2016 and it did not affect our financial statements.</w:t>
      </w:r>
    </w:p>
    <w:p>
      <w:pPr>
        <w:spacing w:after="0" w:line="95" w:lineRule="exact"/>
        <w:rPr>
          <w:sz w:val="20"/>
          <w:szCs w:val="20"/>
          <w:color w:val="auto"/>
        </w:rPr>
      </w:pPr>
    </w:p>
    <w:p>
      <w:pPr>
        <w:jc w:val="both"/>
        <w:ind w:right="440" w:firstLine="648"/>
        <w:spacing w:after="0"/>
        <w:rPr>
          <w:sz w:val="20"/>
          <w:szCs w:val="20"/>
          <w:color w:val="auto"/>
        </w:rPr>
      </w:pPr>
      <w:r>
        <w:rPr>
          <w:rFonts w:ascii="Arial" w:cs="Arial" w:eastAsia="Arial" w:hAnsi="Arial"/>
          <w:sz w:val="18"/>
          <w:szCs w:val="18"/>
          <w:color w:val="auto"/>
        </w:rPr>
        <w:t>In April 2015 and August 2015, accounting updates were issued which require that debt issuance costs related to certain types of recognized debt liability be presented in the balance sheet as a direct deduction of that debt, which could result in a minor netting down of assets and liabilities. We adopted this provision as of January 1, 2016 and it did not affect our financial statements.</w:t>
      </w:r>
    </w:p>
    <w:p>
      <w:pPr>
        <w:spacing w:after="0" w:line="9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In May 2015, an accounting update was issued which eliminates the requirement to categorize investments in the fair value hierarchy if their fair value is measured at net asset value (NAV) per share. We adopted this provision as of January 1, 2016 and it did not affect our financial statements.</w:t>
      </w:r>
    </w:p>
    <w:p>
      <w:pPr>
        <w:spacing w:after="0" w:line="95" w:lineRule="exact"/>
        <w:rPr>
          <w:sz w:val="20"/>
          <w:szCs w:val="20"/>
          <w:color w:val="auto"/>
        </w:rPr>
      </w:pPr>
    </w:p>
    <w:p>
      <w:pPr>
        <w:ind w:right="160" w:firstLine="648"/>
        <w:spacing w:after="0" w:line="239" w:lineRule="auto"/>
        <w:rPr>
          <w:sz w:val="20"/>
          <w:szCs w:val="20"/>
          <w:color w:val="auto"/>
        </w:rPr>
      </w:pPr>
      <w:r>
        <w:rPr>
          <w:rFonts w:ascii="Arial" w:cs="Arial" w:eastAsia="Arial" w:hAnsi="Arial"/>
          <w:sz w:val="18"/>
          <w:szCs w:val="18"/>
          <w:color w:val="auto"/>
        </w:rPr>
        <w:t>In July 2015, an accounting update was issued simplifying the measurement of inventory from the lower of cost or market to lower of cost or net realizable value. This accounting update eliminates the requirement for consideration of replacement cost or net realizable value less normal profit margin measurements. This accounting update is effective for reporting periods beginning after December 15, 2016. We do not expect the adoption of this update to have a significant effect on our financial statements.</w:t>
      </w:r>
    </w:p>
    <w:p>
      <w:pPr>
        <w:spacing w:after="0" w:line="9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September 2015, an accounting update was issued which eliminates the requirement for an acquirer to retrospectively adjust the financial statements for measurement-period adjustments that occur in periods after a business combination is consummated. This accounting update was adopted January 1, 2016. The Company’s acquisition in the second quarter of 2016 could give rise to adjustments that would be accounted for in accordance with this update.</w:t>
      </w:r>
    </w:p>
    <w:p>
      <w:pPr>
        <w:spacing w:after="0" w:line="94"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January 2016, an accounting update was issued which requires entities to present separately in Other comprehensive income the portion of the total change in the fair value of a liability resulting from a change in the instrument-specific credit risk if the entity has elected to measure the liability at fair value in accordance with the fair value option for financial instruments. This accounting update is effective for reporting periods beginning after December 15, 2017. We have not determined the impact of this update on our financial statements.</w:t>
      </w:r>
    </w:p>
    <w:p>
      <w:pPr>
        <w:spacing w:after="0" w:line="94" w:lineRule="exact"/>
        <w:rPr>
          <w:sz w:val="20"/>
          <w:szCs w:val="20"/>
          <w:color w:val="auto"/>
        </w:rPr>
      </w:pPr>
    </w:p>
    <w:p>
      <w:pPr>
        <w:jc w:val="both"/>
        <w:ind w:right="540" w:firstLine="648"/>
        <w:spacing w:after="0"/>
        <w:rPr>
          <w:sz w:val="20"/>
          <w:szCs w:val="20"/>
          <w:color w:val="auto"/>
        </w:rPr>
      </w:pPr>
      <w:r>
        <w:rPr>
          <w:rFonts w:ascii="Arial" w:cs="Arial" w:eastAsia="Arial" w:hAnsi="Arial"/>
          <w:sz w:val="18"/>
          <w:szCs w:val="18"/>
          <w:color w:val="auto"/>
        </w:rPr>
        <w:t>In February 2016, an accounting update was issued which requires lessees to recognize most leases on the balance sheet. The update may significantly increase reported assets and liabilities. This accounting update is effective for reporting periods beginning after December 15, 2018. We have not determined the impact of this update on our financial statements.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70" w:right="279" w:bottom="1440" w:gutter="0" w:footer="0" w:header="0"/>
        </w:sectPr>
      </w:pPr>
    </w:p>
    <w:bookmarkStart w:id="27" w:name="page28"/>
    <w:bookmarkEnd w:id="27"/>
    <w:p>
      <w:pPr>
        <w:ind w:firstLine="648"/>
        <w:spacing w:after="0" w:line="239" w:lineRule="auto"/>
        <w:rPr>
          <w:sz w:val="20"/>
          <w:szCs w:val="20"/>
          <w:color w:val="auto"/>
        </w:rPr>
      </w:pPr>
      <w:r>
        <w:rPr>
          <w:rFonts w:ascii="Arial" w:cs="Arial" w:eastAsia="Arial" w:hAnsi="Arial"/>
          <w:sz w:val="18"/>
          <w:szCs w:val="18"/>
          <w:color w:val="auto"/>
        </w:rPr>
        <w:t>In March 2016, an accounting update was issued which clarifies that a change in counterparty to a derivative contract, through novation, that is part of a hedge accounting relationship does not, by itself, require de-designation of that relationship, as long as all other hedge accounting criteria continue to be met. This accounting update is effective for reporting periods beginning after December 15, 2016. We do not expect the adoption of this update to have a significant effect on our financial statements.</w:t>
      </w:r>
    </w:p>
    <w:p>
      <w:pPr>
        <w:spacing w:after="0" w:line="94"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In March 2016, an accounting update was issued which simplifies the transition to the equity method of accounting by eliminating the requirement for an investor to retroactively apply the equity method when its increase in ownership interest, or degree of influence, triggers equity method accounting. This accounting update is effective for reporting periods beginning after December 15, 2016. We do not expect the adoption of this update to have a significant effect on our financial statements.</w:t>
      </w:r>
    </w:p>
    <w:p>
      <w:pPr>
        <w:spacing w:after="0" w:line="94"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In March 2016, an accounting update was issued which simplifies several aspects related to the accounting for share-based payment transactions, including the income tax consequences, statutory tax withholding requirements, and classification of excess tax benefits on the statements of cash flows. This accounting update is effective for reporting periods beginning after December 15, 2016. Early adoption is permitted. Adoption of this accounting update could increase the volatility of income tax expense. We have not determined the effect of this update on our financial statements.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692"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ind w:right="400" w:firstLine="648"/>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”may,” “plan,” “project,”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95"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89" w:lineRule="exact"/>
        <w:rPr>
          <w:sz w:val="20"/>
          <w:szCs w:val="20"/>
          <w:color w:val="auto"/>
        </w:rPr>
      </w:pPr>
    </w:p>
    <w:p>
      <w:pPr>
        <w:ind w:left="980" w:right="380" w:hanging="324"/>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macroeconomic conditions;</w:t>
      </w:r>
    </w:p>
    <w:p>
      <w:pPr>
        <w:spacing w:after="0" w:line="88" w:lineRule="exact"/>
        <w:rPr>
          <w:rFonts w:ascii="Arial" w:cs="Arial" w:eastAsia="Arial" w:hAnsi="Arial"/>
          <w:sz w:val="18"/>
          <w:szCs w:val="18"/>
          <w:color w:val="auto"/>
        </w:rPr>
      </w:pPr>
    </w:p>
    <w:p>
      <w:pPr>
        <w:ind w:left="980" w:right="200" w:hanging="324"/>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demand for paper in certain regions and market segments that continue at a rate that is greater than anticipated, and growth in demand in other segments or regions that is lower or slower than anticipated;</w:t>
      </w:r>
    </w:p>
    <w:p>
      <w:pPr>
        <w:spacing w:after="0" w:line="8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the “Risk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29" w:name="page30"/>
    <w:bookmarkEnd w:id="29"/>
    <w:p>
      <w:pPr>
        <w:ind w:right="80" w:firstLine="648"/>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proprietary, product-based advantage that is grounded in those core capabilities.</w:t>
      </w:r>
    </w:p>
    <w:p>
      <w:pPr>
        <w:spacing w:after="0" w:line="400"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the paper and paperboard industry in our traditional geographic markets has suffered from well-documented declines in publication grades, the industry is still expected to grow slightly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Because of pricing pressures and industry overcapacity, the machine clothing and paper industries will continue to face top line pressure. Nonetheless the business has potential for flat earnings in the future. It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98" w:lineRule="exact"/>
        <w:rPr>
          <w:sz w:val="20"/>
          <w:szCs w:val="20"/>
          <w:color w:val="auto"/>
        </w:rPr>
      </w:pPr>
    </w:p>
    <w:p>
      <w:pPr>
        <w:ind w:right="60" w:firstLine="648"/>
        <w:spacing w:after="0" w:line="236" w:lineRule="auto"/>
        <w:rPr>
          <w:sz w:val="20"/>
          <w:szCs w:val="20"/>
          <w:color w:val="auto"/>
        </w:rPr>
      </w:pPr>
      <w:r>
        <w:rPr>
          <w:rFonts w:ascii="Arial" w:cs="Arial" w:eastAsia="Arial" w:hAnsi="Arial"/>
          <w:sz w:val="18"/>
          <w:szCs w:val="18"/>
          <w:color w:val="auto"/>
        </w:rPr>
        <w:t>The AEC segment, including the Company’s second quarter acquisition of Harris Corporation’s composite aerostructures business, provides significant growth potential for our Company both near and long term. Our strategy is to grow by focusing our proprietary technology and manufacturing capabilities on high-value aerospace and defense applications that cannot be served effectively by conventional composites.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fan cases for the LEAP engine. AEC (through ASC and otherwise) is also developing other new and potentially significant composite products for aerospace (engine and airframe) applications. Other growth programs of note are the fan case for the GE9X engine, airframe components and LiftFan ® parts for the Joint Strike Fighter (JSF) for Rolls Royce, and Boeing Forward Fuselage Frames. AEC is actively engaged in research to develop new applications in the aircraft engine, airframes, and automotive markets.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6" w:lineRule="exact"/>
        <w:rPr>
          <w:sz w:val="20"/>
          <w:szCs w:val="20"/>
          <w:color w:val="auto"/>
        </w:rPr>
      </w:pPr>
    </w:p>
    <w:p>
      <w:pPr>
        <w:ind w:right="280" w:firstLine="648"/>
        <w:spacing w:after="0" w:line="239" w:lineRule="auto"/>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$187 million in cash, plus the assumption of certain liabilities. The acquired entity has been renamed Albany Aerostructures Composites LLC (“AAC”), and is part of the AEC segment. Management believes that the acquisition broadens and deepens AEC’s products, experience and manufacturing capabilities, and significantly increases opportunities for future growth.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following table presents operational results of AAC that are included in the Consolidated Statements of Income: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April 8 to June 30, 2016</w:t>
            </w:r>
          </w:p>
        </w:tc>
        <w:tc>
          <w:tcPr>
            <w:tcW w:w="20" w:type="dxa"/>
            <w:vAlign w:val="bottom"/>
          </w:tcPr>
          <w:p>
            <w:pPr>
              <w:spacing w:after="0"/>
              <w:rPr>
                <w:sz w:val="18"/>
                <w:szCs w:val="18"/>
                <w:color w:val="auto"/>
              </w:rPr>
            </w:pPr>
          </w:p>
        </w:tc>
      </w:tr>
      <w:tr>
        <w:trPr>
          <w:trHeight w:val="173"/>
        </w:trPr>
        <w:tc>
          <w:tcPr>
            <w:tcW w:w="448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1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$25,636</w:t>
            </w:r>
          </w:p>
        </w:tc>
        <w:tc>
          <w:tcPr>
            <w:tcW w:w="20" w:type="dxa"/>
            <w:vAlign w:val="bottom"/>
          </w:tcPr>
          <w:p>
            <w:pPr>
              <w:spacing w:after="0"/>
              <w:rPr>
                <w:sz w:val="15"/>
                <w:szCs w:val="15"/>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4,972</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Selling, technical, general and research expenses</w:t>
            </w: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3,263</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1,709</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443</w:t>
            </w:r>
          </w:p>
        </w:tc>
      </w:tr>
      <w:tr>
        <w:trPr>
          <w:trHeight w:val="239"/>
        </w:trPr>
        <w:tc>
          <w:tcPr>
            <w:tcW w:w="448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1,266</w:t>
            </w:r>
          </w:p>
        </w:tc>
      </w:tr>
      <w:tr>
        <w:trPr>
          <w:trHeight w:val="203"/>
        </w:trPr>
        <w:tc>
          <w:tcPr>
            <w:tcW w:w="4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4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632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4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4480" w:type="dxa"/>
            <w:vAlign w:val="bottom"/>
          </w:tcPr>
          <w:p>
            <w:pPr>
              <w:spacing w:after="0"/>
              <w:rPr>
                <w:sz w:val="15"/>
                <w:szCs w:val="15"/>
                <w:color w:val="auto"/>
              </w:rPr>
            </w:pPr>
          </w:p>
        </w:tc>
        <w:tc>
          <w:tcPr>
            <w:tcW w:w="2780" w:type="dxa"/>
            <w:vAlign w:val="bottom"/>
            <w:gridSpan w:val="2"/>
          </w:tcPr>
          <w:p>
            <w:pPr>
              <w:jc w:val="right"/>
              <w:ind w:right="410"/>
              <w:spacing w:after="0" w:line="173" w:lineRule="exact"/>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15"/>
                <w:szCs w:val="15"/>
                <w:color w:val="auto"/>
              </w:rPr>
            </w:pPr>
          </w:p>
        </w:tc>
        <w:tc>
          <w:tcPr>
            <w:tcW w:w="2120" w:type="dxa"/>
            <w:vAlign w:val="bottom"/>
            <w:gridSpan w:val="2"/>
          </w:tcPr>
          <w:p>
            <w:pPr>
              <w:jc w:val="right"/>
              <w:ind w:right="310"/>
              <w:spacing w:after="0" w:line="173" w:lineRule="exact"/>
              <w:rPr>
                <w:sz w:val="20"/>
                <w:szCs w:val="20"/>
                <w:color w:val="auto"/>
              </w:rPr>
            </w:pPr>
            <w:r>
              <w:rPr>
                <w:rFonts w:ascii="Arial" w:cs="Arial" w:eastAsia="Arial" w:hAnsi="Arial"/>
                <w:sz w:val="18"/>
                <w:szCs w:val="18"/>
                <w:b w:val="1"/>
                <w:bCs w:val="1"/>
                <w:color w:val="auto"/>
              </w:rPr>
              <w:t>Six months ended</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7"/>
                <w:szCs w:val="17"/>
                <w:color w:val="auto"/>
              </w:rPr>
            </w:pPr>
          </w:p>
        </w:tc>
        <w:tc>
          <w:tcPr>
            <w:tcW w:w="11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 Change</w:t>
            </w:r>
          </w:p>
        </w:tc>
        <w:tc>
          <w:tcPr>
            <w:tcW w:w="1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 Change</w:t>
            </w:r>
          </w:p>
        </w:tc>
      </w:tr>
      <w:tr>
        <w:trPr>
          <w:trHeight w:val="225"/>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8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2015</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3"/>
        </w:trPr>
        <w:tc>
          <w:tcPr>
            <w:tcW w:w="44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184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$148,934</w:t>
            </w: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$150,561</w:t>
            </w:r>
          </w:p>
        </w:tc>
        <w:tc>
          <w:tcPr>
            <w:tcW w:w="1160" w:type="dxa"/>
            <w:vAlign w:val="bottom"/>
          </w:tcPr>
          <w:p>
            <w:pPr>
              <w:jc w:val="right"/>
              <w:ind w:right="90"/>
              <w:spacing w:after="0" w:line="173" w:lineRule="exact"/>
              <w:rPr>
                <w:sz w:val="20"/>
                <w:szCs w:val="20"/>
                <w:color w:val="auto"/>
              </w:rPr>
            </w:pPr>
            <w:r>
              <w:rPr>
                <w:rFonts w:ascii="Arial" w:cs="Arial" w:eastAsia="Arial" w:hAnsi="Arial"/>
                <w:sz w:val="18"/>
                <w:szCs w:val="18"/>
                <w:color w:val="auto"/>
              </w:rPr>
              <w:t>-1.1%</w:t>
            </w:r>
          </w:p>
        </w:tc>
        <w:tc>
          <w:tcPr>
            <w:tcW w:w="132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$294,197</w:t>
            </w:r>
          </w:p>
        </w:tc>
        <w:tc>
          <w:tcPr>
            <w:tcW w:w="800" w:type="dxa"/>
            <w:vAlign w:val="bottom"/>
          </w:tcPr>
          <w:p>
            <w:pPr>
              <w:jc w:val="right"/>
              <w:spacing w:after="0" w:line="173" w:lineRule="exact"/>
              <w:rPr>
                <w:sz w:val="20"/>
                <w:szCs w:val="20"/>
                <w:color w:val="auto"/>
              </w:rPr>
            </w:pPr>
            <w:r>
              <w:rPr>
                <w:rFonts w:ascii="Arial" w:cs="Arial" w:eastAsia="Arial" w:hAnsi="Arial"/>
                <w:sz w:val="18"/>
                <w:szCs w:val="18"/>
                <w:color w:val="auto"/>
              </w:rPr>
              <w:t>$309,055</w:t>
            </w:r>
          </w:p>
        </w:tc>
        <w:tc>
          <w:tcPr>
            <w:tcW w:w="880" w:type="dxa"/>
            <w:vAlign w:val="bottom"/>
          </w:tcPr>
          <w:p>
            <w:pPr>
              <w:jc w:val="right"/>
              <w:spacing w:after="0" w:line="173"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r>
      <w:tr>
        <w:trPr>
          <w:trHeight w:val="225"/>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54,256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21,728</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149.7%</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81,324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44,558</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82.5%</w:t>
            </w:r>
          </w:p>
        </w:tc>
      </w:tr>
      <w:tr>
        <w:trPr>
          <w:trHeight w:val="196"/>
        </w:trPr>
        <w:tc>
          <w:tcPr>
            <w:tcW w:w="4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$203,190</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$172,289</w:t>
            </w:r>
          </w:p>
        </w:tc>
        <w:tc>
          <w:tcPr>
            <w:tcW w:w="11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17.9%</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$375,521</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$353,613</w:t>
            </w:r>
          </w:p>
        </w:tc>
        <w:tc>
          <w:tcPr>
            <w:tcW w:w="9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1300" w:right="140" w:hanging="320"/>
        <w:spacing w:after="0" w:line="23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$0.2 million during the second quarter of 2016 as compared to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increased 18.0% compared to the same period in 2015.</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MC decreased 0.9%.</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sales in AEC increased 149.3%.</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Compared to the second quarter of 2015, Machine Clothing sales were stable in every major region and grade.</w:t>
      </w:r>
    </w:p>
    <w:p>
      <w:pPr>
        <w:spacing w:after="0" w:line="9" w:lineRule="exact"/>
        <w:rPr>
          <w:rFonts w:ascii="Arial" w:cs="Arial" w:eastAsia="Arial" w:hAnsi="Arial"/>
          <w:sz w:val="18"/>
          <w:szCs w:val="18"/>
          <w:color w:val="auto"/>
        </w:rPr>
      </w:pPr>
    </w:p>
    <w:p>
      <w:pPr>
        <w:ind w:left="1300" w:right="360" w:hanging="320"/>
        <w:spacing w:after="0" w:line="24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AEC sales increased $32.5 million, $25.6 million of which was due to the AAC. AEC Q2 2016 sales includes approximately $7.0 for development tooling expense reimbursable from customers, principally from the acquired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 month comparison</w:t>
      </w:r>
    </w:p>
    <w:p>
      <w:pPr>
        <w:spacing w:after="0" w:line="18" w:lineRule="exact"/>
        <w:rPr>
          <w:sz w:val="20"/>
          <w:szCs w:val="20"/>
          <w:color w:val="auto"/>
        </w:rPr>
      </w:pPr>
    </w:p>
    <w:p>
      <w:pPr>
        <w:ind w:left="1300" w:right="140" w:hanging="320"/>
        <w:spacing w:after="0" w:line="23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$2.1 million during the first six months of 2016 as compared to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increased 6.8% compared to the same period in 2015.</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 MC decreased 4.1%.</w:t>
      </w:r>
    </w:p>
    <w:p>
      <w:pPr>
        <w:spacing w:after="0" w:line="117" w:lineRule="exact"/>
        <w:rPr>
          <w:rFonts w:ascii="Arial" w:cs="Arial" w:eastAsia="Arial" w:hAnsi="Arial"/>
          <w:sz w:val="18"/>
          <w:szCs w:val="18"/>
          <w:color w:val="auto"/>
        </w:rPr>
      </w:pPr>
    </w:p>
    <w:p>
      <w:pPr>
        <w:ind w:left="1620" w:hanging="315"/>
        <w:spacing w:after="0"/>
        <w:tabs>
          <w:tab w:leader="none" w:pos="1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 AEC increased 82.4%.</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ind w:left="1300" w:right="80" w:hanging="320"/>
        <w:spacing w:after="0" w:line="23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the decline in the first six months of 2016 MC segment sales was principally due to the continuing effect of the significant drop in publication grade sales that occurred in the first half of 2015.</w:t>
      </w:r>
    </w:p>
    <w:p>
      <w:pPr>
        <w:spacing w:after="0" w:line="1" w:lineRule="exact"/>
        <w:rPr>
          <w:rFonts w:ascii="Arial" w:cs="Arial" w:eastAsia="Arial" w:hAnsi="Arial"/>
          <w:sz w:val="18"/>
          <w:szCs w:val="18"/>
          <w:color w:val="auto"/>
        </w:rPr>
      </w:pPr>
    </w:p>
    <w:p>
      <w:pPr>
        <w:ind w:left="1300" w:right="20" w:hanging="320"/>
        <w:spacing w:after="0" w:line="246"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AEC sales increased $25.6 million due to the acquisition of AAC, the remainder of the increase was principally due to growth in the LEAP program.</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Gross Profit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summarizes gross profit/(loss)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990"/>
              <w:spacing w:after="0" w:line="194" w:lineRule="exact"/>
              <w:rPr>
                <w:sz w:val="20"/>
                <w:szCs w:val="20"/>
                <w:color w:val="auto"/>
              </w:rPr>
            </w:pPr>
            <w:r>
              <w:rPr>
                <w:rFonts w:ascii="Arial" w:cs="Arial" w:eastAsia="Arial" w:hAnsi="Arial"/>
                <w:sz w:val="18"/>
                <w:szCs w:val="18"/>
                <w:b w:val="1"/>
                <w:bCs w:val="1"/>
                <w:color w:val="auto"/>
              </w:rPr>
              <w:t>Three months ended</w:t>
            </w:r>
          </w:p>
        </w:tc>
        <w:tc>
          <w:tcPr>
            <w:tcW w:w="3080" w:type="dxa"/>
            <w:vAlign w:val="bottom"/>
            <w:tcBorders>
              <w:top w:val="single" w:sz="8" w:color="auto"/>
            </w:tcBorders>
            <w:gridSpan w:val="2"/>
          </w:tcPr>
          <w:p>
            <w:pPr>
              <w:jc w:val="right"/>
              <w:ind w:right="710"/>
              <w:spacing w:after="0" w:line="194"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180" w:type="dxa"/>
            <w:vAlign w:val="bottom"/>
          </w:tcPr>
          <w:p>
            <w:pPr>
              <w:spacing w:after="0"/>
              <w:rPr>
                <w:sz w:val="17"/>
                <w:szCs w:val="17"/>
                <w:color w:val="auto"/>
              </w:rPr>
            </w:pPr>
          </w:p>
        </w:tc>
        <w:tc>
          <w:tcPr>
            <w:tcW w:w="27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460" w:type="dxa"/>
            <w:vAlign w:val="bottom"/>
          </w:tcPr>
          <w:p>
            <w:pPr>
              <w:spacing w:after="0"/>
              <w:rPr>
                <w:sz w:val="17"/>
                <w:szCs w:val="17"/>
                <w:color w:val="auto"/>
              </w:rPr>
            </w:pPr>
          </w:p>
        </w:tc>
        <w:tc>
          <w:tcPr>
            <w:tcW w:w="2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17"/>
                <w:szCs w:val="17"/>
                <w:color w:val="auto"/>
              </w:rPr>
            </w:pPr>
          </w:p>
        </w:tc>
      </w:tr>
      <w:tr>
        <w:trPr>
          <w:trHeight w:val="225"/>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2016</w:t>
            </w:r>
          </w:p>
        </w:tc>
        <w:tc>
          <w:tcPr>
            <w:tcW w:w="14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20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73"/>
        </w:trPr>
        <w:tc>
          <w:tcPr>
            <w:tcW w:w="41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0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$70,902</w:t>
            </w:r>
          </w:p>
        </w:tc>
        <w:tc>
          <w:tcPr>
            <w:tcW w:w="146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$68,103</w:t>
            </w:r>
          </w:p>
        </w:tc>
        <w:tc>
          <w:tcPr>
            <w:tcW w:w="202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$140,523</w:t>
            </w:r>
          </w:p>
        </w:tc>
        <w:tc>
          <w:tcPr>
            <w:tcW w:w="10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143,364</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7,652</w:t>
            </w:r>
          </w:p>
        </w:tc>
        <w:tc>
          <w:tcPr>
            <w:tcW w:w="14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(13,145)</w:t>
            </w:r>
          </w:p>
        </w:tc>
        <w:tc>
          <w:tcPr>
            <w:tcW w:w="20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10,773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(11,330)</w:t>
            </w:r>
          </w:p>
        </w:tc>
      </w:tr>
      <w:tr>
        <w:trPr>
          <w:trHeight w:val="225"/>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(239)</w:t>
            </w:r>
          </w:p>
        </w:tc>
        <w:tc>
          <w:tcPr>
            <w:tcW w:w="14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(366)</w:t>
            </w:r>
          </w:p>
        </w:tc>
        <w:tc>
          <w:tcPr>
            <w:tcW w:w="20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(480)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r>
      <w:tr>
        <w:trPr>
          <w:trHeight w:val="196"/>
        </w:trPr>
        <w:tc>
          <w:tcPr>
            <w:tcW w:w="4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$78,315</w:t>
            </w:r>
          </w:p>
        </w:tc>
        <w:tc>
          <w:tcPr>
            <w:tcW w:w="14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$54,592</w:t>
            </w:r>
          </w:p>
        </w:tc>
        <w:tc>
          <w:tcPr>
            <w:tcW w:w="202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$150,816</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$131,276</w:t>
            </w:r>
          </w:p>
        </w:tc>
      </w:tr>
      <w:tr>
        <w:trPr>
          <w:trHeight w:val="196"/>
        </w:trPr>
        <w:tc>
          <w:tcPr>
            <w:tcW w:w="4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38.5%</w:t>
            </w:r>
          </w:p>
        </w:tc>
        <w:tc>
          <w:tcPr>
            <w:tcW w:w="14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31.7%</w:t>
            </w:r>
          </w:p>
        </w:tc>
        <w:tc>
          <w:tcPr>
            <w:tcW w:w="20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40.2%</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660" w:right="100" w:firstLine="324"/>
        <w:spacing w:after="0" w:line="246" w:lineRule="auto"/>
        <w:rPr>
          <w:sz w:val="20"/>
          <w:szCs w:val="20"/>
          <w:color w:val="auto"/>
        </w:rPr>
      </w:pPr>
      <w:r>
        <w:rPr>
          <w:rFonts w:ascii="Arial" w:cs="Arial" w:eastAsia="Arial" w:hAnsi="Arial"/>
          <w:sz w:val="18"/>
          <w:szCs w:val="18"/>
          <w:color w:val="auto"/>
        </w:rPr>
        <w:t>The increase in gross profit, compared to the same period in 2015, was principally due to the net effect of the following individually significant items:</w:t>
      </w:r>
    </w:p>
    <w:p>
      <w:pPr>
        <w:spacing w:after="0" w:line="183" w:lineRule="exact"/>
        <w:rPr>
          <w:sz w:val="20"/>
          <w:szCs w:val="20"/>
          <w:color w:val="auto"/>
        </w:rPr>
      </w:pPr>
    </w:p>
    <w:p>
      <w:pPr>
        <w:ind w:left="1300" w:right="240" w:hanging="320"/>
        <w:spacing w:after="0" w:line="23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AEC gross profit to $7.7 million in the second quarter of 2016, compared to a loss of $13.1 million in the second quarter of 2015, was principally due to a $14.0 million charge for a revision in the contract profitability of its BR 725 program in the second quarter of 2015, and the acquisition of AAC in April 2016 which increased gross profit by $5.0 million.</w:t>
      </w:r>
    </w:p>
    <w:p>
      <w:pPr>
        <w:spacing w:after="0" w:line="2" w:lineRule="exact"/>
        <w:rPr>
          <w:rFonts w:ascii="Arial" w:cs="Arial" w:eastAsia="Arial" w:hAnsi="Arial"/>
          <w:sz w:val="18"/>
          <w:szCs w:val="18"/>
          <w:color w:val="auto"/>
        </w:rPr>
      </w:pPr>
    </w:p>
    <w:p>
      <w:pPr>
        <w:ind w:left="1300" w:right="200" w:hanging="320"/>
        <w:spacing w:after="0" w:line="24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$2.8 million increase in MC, principally due to better capacity utilization. MC gross profit margin improved to 47.6% in 2016 from 45.2% in 2015</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 month comparison</w:t>
      </w:r>
    </w:p>
    <w:p>
      <w:pPr>
        <w:spacing w:after="0" w:line="18" w:lineRule="exact"/>
        <w:rPr>
          <w:sz w:val="20"/>
          <w:szCs w:val="20"/>
          <w:color w:val="auto"/>
        </w:rPr>
      </w:pPr>
    </w:p>
    <w:p>
      <w:pPr>
        <w:ind w:left="660" w:right="100" w:firstLine="324"/>
        <w:spacing w:after="0" w:line="246" w:lineRule="auto"/>
        <w:rPr>
          <w:sz w:val="20"/>
          <w:szCs w:val="20"/>
          <w:color w:val="auto"/>
        </w:rPr>
      </w:pPr>
      <w:r>
        <w:rPr>
          <w:rFonts w:ascii="Arial" w:cs="Arial" w:eastAsia="Arial" w:hAnsi="Arial"/>
          <w:sz w:val="18"/>
          <w:szCs w:val="18"/>
          <w:color w:val="auto"/>
        </w:rPr>
        <w:t>The increase in gross profit, compared to the same period in 2015, was principally due to the net effect of the following individually significant items:</w:t>
      </w:r>
    </w:p>
    <w:p>
      <w:pPr>
        <w:spacing w:after="0" w:line="183" w:lineRule="exact"/>
        <w:rPr>
          <w:sz w:val="20"/>
          <w:szCs w:val="20"/>
          <w:color w:val="auto"/>
        </w:rPr>
      </w:pPr>
    </w:p>
    <w:p>
      <w:pPr>
        <w:ind w:left="1300" w:right="320" w:hanging="320"/>
        <w:spacing w:after="0" w:line="23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AEC gross profit was principally due to the $14.0 million 2015 BR 725 charge and the acquisition of AAC in 2016, which added $5.0 million to gross profit in 2016.</w:t>
      </w:r>
    </w:p>
    <w:p>
      <w:pPr>
        <w:spacing w:after="0" w:line="1" w:lineRule="exact"/>
        <w:rPr>
          <w:rFonts w:ascii="Arial" w:cs="Arial" w:eastAsia="Arial" w:hAnsi="Arial"/>
          <w:sz w:val="18"/>
          <w:szCs w:val="18"/>
          <w:color w:val="auto"/>
        </w:rPr>
      </w:pPr>
    </w:p>
    <w:p>
      <w:pPr>
        <w:ind w:left="1300" w:right="12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decrease in gross profit of $6.9 million. MC gross profit margin improved to 47.8% in 2016 from 46.4% in 2015. The margin improvement was principally due to better capacity utilization and offset most of the gross profit decline resulting from lower sales.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1010"/>
              <w:spacing w:after="0" w:line="194" w:lineRule="exact"/>
              <w:rPr>
                <w:sz w:val="20"/>
                <w:szCs w:val="20"/>
                <w:color w:val="auto"/>
              </w:rPr>
            </w:pPr>
            <w:r>
              <w:rPr>
                <w:rFonts w:ascii="Arial" w:cs="Arial" w:eastAsia="Arial" w:hAnsi="Arial"/>
                <w:sz w:val="18"/>
                <w:szCs w:val="18"/>
                <w:b w:val="1"/>
                <w:bCs w:val="1"/>
                <w:color w:val="auto"/>
              </w:rPr>
              <w:t>Three months ended</w:t>
            </w:r>
          </w:p>
        </w:tc>
        <w:tc>
          <w:tcPr>
            <w:tcW w:w="3080" w:type="dxa"/>
            <w:vAlign w:val="bottom"/>
            <w:tcBorders>
              <w:top w:val="single" w:sz="8" w:color="auto"/>
            </w:tcBorders>
            <w:gridSpan w:val="2"/>
          </w:tcPr>
          <w:p>
            <w:pPr>
              <w:jc w:val="right"/>
              <w:ind w:right="730"/>
              <w:spacing w:after="0" w:line="194"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180" w:type="dxa"/>
            <w:vAlign w:val="bottom"/>
          </w:tcPr>
          <w:p>
            <w:pPr>
              <w:spacing w:after="0"/>
              <w:rPr>
                <w:sz w:val="17"/>
                <w:szCs w:val="17"/>
                <w:color w:val="auto"/>
              </w:rPr>
            </w:pPr>
          </w:p>
        </w:tc>
        <w:tc>
          <w:tcPr>
            <w:tcW w:w="27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460" w:type="dxa"/>
            <w:vAlign w:val="bottom"/>
          </w:tcPr>
          <w:p>
            <w:pPr>
              <w:spacing w:after="0"/>
              <w:rPr>
                <w:sz w:val="17"/>
                <w:szCs w:val="17"/>
                <w:color w:val="auto"/>
              </w:rPr>
            </w:pPr>
          </w:p>
        </w:tc>
        <w:tc>
          <w:tcPr>
            <w:tcW w:w="202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17"/>
                <w:szCs w:val="17"/>
                <w:color w:val="auto"/>
              </w:rPr>
            </w:pPr>
          </w:p>
        </w:tc>
      </w:tr>
      <w:tr>
        <w:trPr>
          <w:trHeight w:val="225"/>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2016</w:t>
            </w:r>
          </w:p>
        </w:tc>
        <w:tc>
          <w:tcPr>
            <w:tcW w:w="14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2015</w:t>
            </w:r>
          </w:p>
        </w:tc>
        <w:tc>
          <w:tcPr>
            <w:tcW w:w="20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73"/>
        </w:trPr>
        <w:tc>
          <w:tcPr>
            <w:tcW w:w="41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0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$30,063</w:t>
            </w:r>
          </w:p>
        </w:tc>
        <w:tc>
          <w:tcPr>
            <w:tcW w:w="146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$33,569</w:t>
            </w:r>
          </w:p>
        </w:tc>
        <w:tc>
          <w:tcPr>
            <w:tcW w:w="2020" w:type="dxa"/>
            <w:vAlign w:val="bottom"/>
          </w:tcPr>
          <w:p>
            <w:pPr>
              <w:jc w:val="right"/>
              <w:ind w:right="750"/>
              <w:spacing w:after="0" w:line="173" w:lineRule="exact"/>
              <w:rPr>
                <w:sz w:val="20"/>
                <w:szCs w:val="20"/>
                <w:color w:val="auto"/>
              </w:rPr>
            </w:pPr>
            <w:r>
              <w:rPr>
                <w:rFonts w:ascii="Arial" w:cs="Arial" w:eastAsia="Arial" w:hAnsi="Arial"/>
                <w:sz w:val="18"/>
                <w:szCs w:val="18"/>
                <w:b w:val="1"/>
                <w:bCs w:val="1"/>
                <w:color w:val="auto"/>
              </w:rPr>
              <w:t>$61,848</w:t>
            </w:r>
          </w:p>
        </w:tc>
        <w:tc>
          <w:tcPr>
            <w:tcW w:w="10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$64,139</w:t>
            </w: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0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12,353</w:t>
            </w:r>
          </w:p>
        </w:tc>
        <w:tc>
          <w:tcPr>
            <w:tcW w:w="14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5,488</w:t>
            </w:r>
          </w:p>
        </w:tc>
        <w:tc>
          <w:tcPr>
            <w:tcW w:w="20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19,179</w:t>
            </w:r>
          </w:p>
        </w:tc>
        <w:tc>
          <w:tcPr>
            <w:tcW w:w="10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11,114</w:t>
            </w:r>
          </w:p>
        </w:tc>
      </w:tr>
      <w:tr>
        <w:trPr>
          <w:trHeight w:val="225"/>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11,394</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11,286</w:t>
            </w:r>
          </w:p>
        </w:tc>
        <w:tc>
          <w:tcPr>
            <w:tcW w:w="20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22,336</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22,624</w:t>
            </w:r>
          </w:p>
        </w:tc>
      </w:tr>
      <w:tr>
        <w:trPr>
          <w:trHeight w:val="196"/>
        </w:trPr>
        <w:tc>
          <w:tcPr>
            <w:tcW w:w="4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$53,810</w:t>
            </w:r>
          </w:p>
        </w:tc>
        <w:tc>
          <w:tcPr>
            <w:tcW w:w="14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$50,343</w:t>
            </w:r>
          </w:p>
        </w:tc>
        <w:tc>
          <w:tcPr>
            <w:tcW w:w="202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b w:val="1"/>
                <w:bCs w:val="1"/>
                <w:color w:val="auto"/>
              </w:rPr>
              <w:t>$103,363</w:t>
            </w:r>
          </w:p>
        </w:tc>
        <w:tc>
          <w:tcPr>
            <w:tcW w:w="10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$97,877</w:t>
            </w:r>
          </w:p>
        </w:tc>
      </w:tr>
      <w:tr>
        <w:trPr>
          <w:trHeight w:val="196"/>
        </w:trPr>
        <w:tc>
          <w:tcPr>
            <w:tcW w:w="4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26.5%</w:t>
            </w:r>
          </w:p>
        </w:tc>
        <w:tc>
          <w:tcPr>
            <w:tcW w:w="14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29.2%</w:t>
            </w:r>
          </w:p>
        </w:tc>
        <w:tc>
          <w:tcPr>
            <w:tcW w:w="202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27.5%</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660" w:right="60" w:firstLine="324"/>
        <w:spacing w:after="0" w:line="246" w:lineRule="auto"/>
        <w:rPr>
          <w:sz w:val="20"/>
          <w:szCs w:val="20"/>
          <w:color w:val="auto"/>
        </w:rPr>
      </w:pPr>
      <w:r>
        <w:rPr>
          <w:rFonts w:ascii="Arial" w:cs="Arial" w:eastAsia="Arial" w:hAnsi="Arial"/>
          <w:sz w:val="18"/>
          <w:szCs w:val="18"/>
          <w:color w:val="auto"/>
        </w:rPr>
        <w:t>The increase in STG&amp;R expenses of $3.5 million, compared to the same period in 2015, was principally due to the net effect of the following individually significant items:</w:t>
      </w:r>
    </w:p>
    <w:p>
      <w:pPr>
        <w:spacing w:after="0" w:line="183"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Machine Clothing restructuring actions taken in 2015 reduced 2016 STG&amp;R expenses by approximately $2 million.</w:t>
      </w:r>
    </w:p>
    <w:p>
      <w:pPr>
        <w:spacing w:after="0" w:line="9" w:lineRule="exact"/>
        <w:rPr>
          <w:rFonts w:ascii="Arial" w:cs="Arial" w:eastAsia="Arial" w:hAnsi="Arial"/>
          <w:sz w:val="18"/>
          <w:szCs w:val="18"/>
          <w:color w:val="auto"/>
        </w:rPr>
      </w:pPr>
    </w:p>
    <w:p>
      <w:pPr>
        <w:ind w:left="1300" w:right="120" w:hanging="320"/>
        <w:spacing w:after="0" w:line="23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second-quarter gains of $0.3 million in 2016 and losses of $0.4 million in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second quarter of 2016, AEC incurred $3.8 million of expense related for the acquisition of AAC.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AAC STG&amp;R expenses were $3.3 million in the second quarter of 2016.</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 month comparison</w:t>
      </w:r>
    </w:p>
    <w:p>
      <w:pPr>
        <w:spacing w:after="0" w:line="220" w:lineRule="exact"/>
        <w:rPr>
          <w:sz w:val="20"/>
          <w:szCs w:val="20"/>
          <w:color w:val="auto"/>
        </w:rPr>
      </w:pPr>
    </w:p>
    <w:p>
      <w:pPr>
        <w:ind w:left="660" w:right="60" w:firstLine="324"/>
        <w:spacing w:after="0" w:line="246" w:lineRule="auto"/>
        <w:rPr>
          <w:sz w:val="20"/>
          <w:szCs w:val="20"/>
          <w:color w:val="auto"/>
        </w:rPr>
      </w:pPr>
      <w:r>
        <w:rPr>
          <w:rFonts w:ascii="Arial" w:cs="Arial" w:eastAsia="Arial" w:hAnsi="Arial"/>
          <w:sz w:val="18"/>
          <w:szCs w:val="18"/>
          <w:color w:val="auto"/>
        </w:rPr>
        <w:t>The increase in STG&amp;R expenses of $5.5 million, compared to the same period in 2015, was principally due to the net effect of the following individually significant items:</w:t>
      </w:r>
    </w:p>
    <w:p>
      <w:pPr>
        <w:spacing w:after="0" w:line="183"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Machine Clothing restructuring actions taken in 2015 reduced 2016 STG&amp;R expenses by approximately $4 million.</w:t>
      </w:r>
    </w:p>
    <w:p>
      <w:pPr>
        <w:spacing w:after="0" w:line="9" w:lineRule="exact"/>
        <w:rPr>
          <w:rFonts w:ascii="Arial" w:cs="Arial" w:eastAsia="Arial" w:hAnsi="Arial"/>
          <w:sz w:val="18"/>
          <w:szCs w:val="18"/>
          <w:color w:val="auto"/>
        </w:rPr>
      </w:pPr>
    </w:p>
    <w:p>
      <w:pPr>
        <w:ind w:left="1300" w:right="40" w:hanging="320"/>
        <w:spacing w:after="0" w:line="23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for the first six months of $1.6 million in 2016 and gains of $2.5 million in 2015.</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currency translation rates reduced MC STG&amp;R by $1.8 million, compared to the first six months of 2015.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first six months of 2016, AEC recorded expenses of $5.4 million related to the acquisition of AAC.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AAC STG&amp;R expenses were $3.3 million in the second quarter of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Research and Development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gridSpan w:val="2"/>
          </w:tcPr>
          <w:p>
            <w:pPr>
              <w:jc w:val="right"/>
              <w:ind w:right="230"/>
              <w:spacing w:after="0" w:line="194" w:lineRule="exact"/>
              <w:rPr>
                <w:sz w:val="20"/>
                <w:szCs w:val="20"/>
                <w:color w:val="auto"/>
              </w:rPr>
            </w:pPr>
            <w:r>
              <w:rPr>
                <w:rFonts w:ascii="Arial" w:cs="Arial" w:eastAsia="Arial" w:hAnsi="Arial"/>
                <w:sz w:val="18"/>
                <w:szCs w:val="18"/>
                <w:b w:val="1"/>
                <w:bCs w:val="1"/>
                <w:color w:val="auto"/>
              </w:rPr>
              <w:t>Three months ended</w:t>
            </w:r>
          </w:p>
        </w:tc>
        <w:tc>
          <w:tcPr>
            <w:tcW w:w="8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6"/>
                <w:szCs w:val="16"/>
                <w:color w:val="auto"/>
              </w:rPr>
            </w:pPr>
          </w:p>
        </w:tc>
      </w:tr>
      <w:tr>
        <w:trPr>
          <w:trHeight w:val="203"/>
        </w:trPr>
        <w:tc>
          <w:tcPr>
            <w:tcW w:w="4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40" w:type="dxa"/>
            <w:vAlign w:val="bottom"/>
          </w:tcPr>
          <w:p>
            <w:pPr>
              <w:jc w:val="right"/>
              <w:ind w:right="730"/>
              <w:spacing w:after="0" w:line="202" w:lineRule="exact"/>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173"/>
        </w:trPr>
        <w:tc>
          <w:tcPr>
            <w:tcW w:w="42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160" w:type="dxa"/>
            <w:vAlign w:val="bottom"/>
          </w:tcPr>
          <w:p>
            <w:pPr>
              <w:spacing w:after="0"/>
              <w:rPr>
                <w:sz w:val="15"/>
                <w:szCs w:val="15"/>
                <w:color w:val="auto"/>
              </w:rPr>
            </w:pPr>
          </w:p>
        </w:tc>
        <w:tc>
          <w:tcPr>
            <w:tcW w:w="1740" w:type="dxa"/>
            <w:vAlign w:val="bottom"/>
          </w:tcPr>
          <w:p>
            <w:pPr>
              <w:jc w:val="right"/>
              <w:ind w:right="1010"/>
              <w:spacing w:after="0" w:line="173" w:lineRule="exact"/>
              <w:rPr>
                <w:sz w:val="20"/>
                <w:szCs w:val="20"/>
                <w:color w:val="auto"/>
              </w:rPr>
            </w:pPr>
            <w:r>
              <w:rPr>
                <w:rFonts w:ascii="Arial" w:cs="Arial" w:eastAsia="Arial" w:hAnsi="Arial"/>
                <w:sz w:val="18"/>
                <w:szCs w:val="18"/>
                <w:b w:val="1"/>
                <w:bCs w:val="1"/>
                <w:color w:val="auto"/>
              </w:rPr>
              <w:t>$4,420</w:t>
            </w:r>
          </w:p>
        </w:tc>
        <w:tc>
          <w:tcPr>
            <w:tcW w:w="84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$4,779</w:t>
            </w:r>
          </w:p>
        </w:tc>
        <w:tc>
          <w:tcPr>
            <w:tcW w:w="154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$8,757</w:t>
            </w: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$9,575</w:t>
            </w:r>
          </w:p>
        </w:tc>
        <w:tc>
          <w:tcPr>
            <w:tcW w:w="20" w:type="dxa"/>
            <w:vAlign w:val="bottom"/>
          </w:tcPr>
          <w:p>
            <w:pPr>
              <w:spacing w:after="0"/>
              <w:rPr>
                <w:sz w:val="15"/>
                <w:szCs w:val="15"/>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160" w:type="dxa"/>
            <w:vAlign w:val="bottom"/>
          </w:tcPr>
          <w:p>
            <w:pPr>
              <w:spacing w:after="0"/>
              <w:rPr>
                <w:sz w:val="17"/>
                <w:szCs w:val="17"/>
                <w:color w:val="auto"/>
              </w:rPr>
            </w:pPr>
          </w:p>
        </w:tc>
        <w:tc>
          <w:tcPr>
            <w:tcW w:w="1740" w:type="dxa"/>
            <w:vAlign w:val="bottom"/>
          </w:tcPr>
          <w:p>
            <w:pPr>
              <w:jc w:val="right"/>
              <w:ind w:right="1010"/>
              <w:spacing w:after="0" w:line="202" w:lineRule="exact"/>
              <w:rPr>
                <w:sz w:val="20"/>
                <w:szCs w:val="20"/>
                <w:color w:val="auto"/>
              </w:rPr>
            </w:pPr>
            <w:r>
              <w:rPr>
                <w:rFonts w:ascii="Arial" w:cs="Arial" w:eastAsia="Arial" w:hAnsi="Arial"/>
                <w:sz w:val="18"/>
                <w:szCs w:val="18"/>
                <w:b w:val="1"/>
                <w:bCs w:val="1"/>
                <w:color w:val="auto"/>
              </w:rPr>
              <w:t>2,911</w:t>
            </w: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2,905</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5,591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5,779</w:t>
            </w:r>
          </w:p>
        </w:tc>
        <w:tc>
          <w:tcPr>
            <w:tcW w:w="20" w:type="dxa"/>
            <w:vAlign w:val="bottom"/>
          </w:tcPr>
          <w:p>
            <w:pPr>
              <w:spacing w:after="0"/>
              <w:rPr>
                <w:sz w:val="17"/>
                <w:szCs w:val="17"/>
                <w:color w:val="auto"/>
              </w:rPr>
            </w:pPr>
          </w:p>
        </w:tc>
      </w:tr>
      <w:tr>
        <w:trPr>
          <w:trHeight w:val="239"/>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190</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20" w:type="dxa"/>
            <w:vAlign w:val="bottom"/>
            <w:tcBorders>
              <w:bottom w:val="single" w:sz="8" w:color="auto"/>
            </w:tcBorders>
          </w:tcPr>
          <w:p>
            <w:pPr>
              <w:spacing w:after="0"/>
              <w:rPr>
                <w:sz w:val="20"/>
                <w:szCs w:val="20"/>
                <w:color w:val="auto"/>
              </w:rPr>
            </w:pPr>
          </w:p>
        </w:tc>
      </w:tr>
      <w:tr>
        <w:trPr>
          <w:trHeight w:val="196"/>
        </w:trPr>
        <w:tc>
          <w:tcPr>
            <w:tcW w:w="4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010"/>
              <w:spacing w:after="0" w:line="196" w:lineRule="exact"/>
              <w:rPr>
                <w:sz w:val="20"/>
                <w:szCs w:val="20"/>
                <w:color w:val="auto"/>
              </w:rPr>
            </w:pPr>
            <w:r>
              <w:rPr>
                <w:rFonts w:ascii="Arial" w:cs="Arial" w:eastAsia="Arial" w:hAnsi="Arial"/>
                <w:sz w:val="18"/>
                <w:szCs w:val="18"/>
                <w:b w:val="1"/>
                <w:bCs w:val="1"/>
                <w:color w:val="auto"/>
              </w:rPr>
              <w:t>$7,331</w:t>
            </w:r>
          </w:p>
        </w:tc>
        <w:tc>
          <w:tcPr>
            <w:tcW w:w="8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$7,874</w:t>
            </w:r>
          </w:p>
        </w:tc>
        <w:tc>
          <w:tcPr>
            <w:tcW w:w="1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$14,348</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$15,838</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328" w:lineRule="exact"/>
        <w:rPr>
          <w:sz w:val="20"/>
          <w:szCs w:val="20"/>
          <w:color w:val="auto"/>
        </w:rPr>
      </w:pPr>
    </w:p>
    <w:p>
      <w:pPr>
        <w:ind w:right="380" w:firstLine="648"/>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$7.3 million in the first six months of 2016 and $10.2 million in the comparable period of 2015.</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Borders>
              <w:top w:val="single" w:sz="8" w:color="auto"/>
            </w:tcBorders>
          </w:tcPr>
          <w:p>
            <w:pPr>
              <w:spacing w:after="0"/>
              <w:rPr>
                <w:sz w:val="16"/>
                <w:szCs w:val="16"/>
                <w:color w:val="auto"/>
              </w:rPr>
            </w:pPr>
          </w:p>
        </w:tc>
        <w:tc>
          <w:tcPr>
            <w:tcW w:w="4660" w:type="dxa"/>
            <w:vAlign w:val="bottom"/>
            <w:tcBorders>
              <w:top w:val="single" w:sz="8" w:color="auto"/>
            </w:tcBorders>
            <w:gridSpan w:val="2"/>
          </w:tcPr>
          <w:p>
            <w:pPr>
              <w:jc w:val="right"/>
              <w:ind w:right="570"/>
              <w:spacing w:after="0" w:line="194" w:lineRule="exact"/>
              <w:rPr>
                <w:sz w:val="20"/>
                <w:szCs w:val="20"/>
                <w:color w:val="auto"/>
              </w:rPr>
            </w:pPr>
            <w:r>
              <w:rPr>
                <w:rFonts w:ascii="Arial" w:cs="Arial" w:eastAsia="Arial" w:hAnsi="Arial"/>
                <w:sz w:val="18"/>
                <w:szCs w:val="18"/>
                <w:b w:val="1"/>
                <w:bCs w:val="1"/>
                <w:color w:val="auto"/>
              </w:rPr>
              <w:t>Three months ended June 30,</w:t>
            </w:r>
          </w:p>
        </w:tc>
        <w:tc>
          <w:tcPr>
            <w:tcW w:w="2780" w:type="dxa"/>
            <w:vAlign w:val="bottom"/>
            <w:tcBorders>
              <w:top w:val="single" w:sz="8" w:color="auto"/>
            </w:tcBorders>
            <w:gridSpan w:val="2"/>
          </w:tcPr>
          <w:p>
            <w:pPr>
              <w:jc w:val="right"/>
              <w:ind w:right="230"/>
              <w:spacing w:after="0" w:line="194" w:lineRule="exact"/>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16"/>
                <w:szCs w:val="16"/>
                <w:color w:val="auto"/>
              </w:rPr>
            </w:pPr>
          </w:p>
        </w:tc>
      </w:tr>
      <w:tr>
        <w:trPr>
          <w:trHeight w:val="225"/>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2016</w:t>
            </w: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173"/>
        </w:trPr>
        <w:tc>
          <w:tcPr>
            <w:tcW w:w="398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100" w:type="dxa"/>
            <w:vAlign w:val="bottom"/>
          </w:tcPr>
          <w:p>
            <w:pPr>
              <w:jc w:val="right"/>
              <w:ind w:right="230"/>
              <w:spacing w:after="0" w:line="173" w:lineRule="exact"/>
              <w:rPr>
                <w:sz w:val="20"/>
                <w:szCs w:val="20"/>
                <w:color w:val="auto"/>
              </w:rPr>
            </w:pPr>
            <w:r>
              <w:rPr>
                <w:rFonts w:ascii="Arial" w:cs="Arial" w:eastAsia="Arial" w:hAnsi="Arial"/>
                <w:sz w:val="18"/>
                <w:szCs w:val="18"/>
                <w:b w:val="1"/>
                <w:bCs w:val="1"/>
                <w:color w:val="auto"/>
              </w:rPr>
              <w:t>$5,434</w:t>
            </w:r>
          </w:p>
        </w:tc>
        <w:tc>
          <w:tcPr>
            <w:tcW w:w="1560" w:type="dxa"/>
            <w:vAlign w:val="bottom"/>
          </w:tcPr>
          <w:p>
            <w:pPr>
              <w:jc w:val="right"/>
              <w:ind w:right="70"/>
              <w:spacing w:after="0" w:line="173" w:lineRule="exact"/>
              <w:rPr>
                <w:sz w:val="20"/>
                <w:szCs w:val="20"/>
                <w:color w:val="auto"/>
              </w:rPr>
            </w:pPr>
            <w:r>
              <w:rPr>
                <w:rFonts w:ascii="Arial" w:cs="Arial" w:eastAsia="Arial" w:hAnsi="Arial"/>
                <w:sz w:val="18"/>
                <w:szCs w:val="18"/>
                <w:color w:val="auto"/>
              </w:rPr>
              <w:t>$1,211</w:t>
            </w:r>
          </w:p>
        </w:tc>
        <w:tc>
          <w:tcPr>
            <w:tcW w:w="158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rPr>
              <w:t>$6,132</w:t>
            </w: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$10,212</w:t>
            </w:r>
          </w:p>
        </w:tc>
        <w:tc>
          <w:tcPr>
            <w:tcW w:w="20" w:type="dxa"/>
            <w:vAlign w:val="bottom"/>
          </w:tcPr>
          <w:p>
            <w:pPr>
              <w:spacing w:after="0"/>
              <w:rPr>
                <w:sz w:val="15"/>
                <w:szCs w:val="15"/>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10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1,147</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1,147</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9"/>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67</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48</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1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$6,648</w:t>
            </w:r>
          </w:p>
        </w:tc>
        <w:tc>
          <w:tcPr>
            <w:tcW w:w="15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$1,211</w:t>
            </w:r>
          </w:p>
        </w:tc>
        <w:tc>
          <w:tcPr>
            <w:tcW w:w="1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$7,327</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$10,212</w:t>
            </w:r>
          </w:p>
        </w:tc>
      </w:tr>
    </w:tbl>
    <w:p>
      <w:pPr>
        <w:spacing w:after="0" w:line="202"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During the first quarter of 2016 the Company announced the initiation of discussions with the relevant employee Works Council regarding a proposal to discontinue R&amp;D activities at its Machine Clothing production facility in Sélestat, France. In May 2016, we reached agreement with the Works Council on the restructuring plan, and R&amp;D activities are expected to discontinue during the third quarter of 2016. Approximately 25 positions will be terminated under this plan, and we recorded $2.4 million of restructuring expense in the second quarter 2016 as our estimate of the cost for severance, outplacement, and the write-off of equipment. Cost savings associated with this action will reduce research and development expenses in future periods.</w:t>
      </w:r>
    </w:p>
    <w:p>
      <w:pPr>
        <w:spacing w:after="0" w:line="97"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Machine Clothing restructuring charges for the second quarter of 2016 also include $1.8 million for the relocation of equipment from our former manufacturing facility in Germany.</w:t>
      </w:r>
    </w:p>
    <w:p>
      <w:pPr>
        <w:spacing w:after="0" w:line="89" w:lineRule="exact"/>
        <w:rPr>
          <w:sz w:val="20"/>
          <w:szCs w:val="20"/>
          <w:color w:val="auto"/>
        </w:rPr>
      </w:pPr>
    </w:p>
    <w:p>
      <w:pPr>
        <w:ind w:right="220" w:firstLine="648"/>
        <w:spacing w:after="0" w:line="246" w:lineRule="auto"/>
        <w:rPr>
          <w:sz w:val="20"/>
          <w:szCs w:val="20"/>
          <w:color w:val="auto"/>
        </w:rPr>
      </w:pPr>
      <w:r>
        <w:rPr>
          <w:rFonts w:ascii="Arial" w:cs="Arial" w:eastAsia="Arial" w:hAnsi="Arial"/>
          <w:sz w:val="18"/>
          <w:szCs w:val="18"/>
          <w:color w:val="auto"/>
        </w:rPr>
        <w:t>Albany Engineered Composites restructuring expenses in 2016 were principally related to the consolidation of the Company’s legacy programs into Boerne, Texas.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Machine Clothing restructuring costs in 2015 were principally related to plant closure costs in Göppingen, Germany.</w:t>
      </w:r>
    </w:p>
    <w:p>
      <w:pPr>
        <w:spacing w:after="0" w:line="104" w:lineRule="exact"/>
        <w:rPr>
          <w:sz w:val="20"/>
          <w:szCs w:val="20"/>
          <w:color w:val="auto"/>
        </w:rPr>
      </w:pPr>
    </w:p>
    <w:p>
      <w:pPr>
        <w:ind w:right="1000" w:firstLine="648"/>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gridSpan w:val="2"/>
          </w:tcPr>
          <w:p>
            <w:pPr>
              <w:jc w:val="center"/>
              <w:ind w:right="70"/>
              <w:spacing w:after="0" w:line="194" w:lineRule="exact"/>
              <w:rPr>
                <w:sz w:val="20"/>
                <w:szCs w:val="20"/>
                <w:color w:val="auto"/>
              </w:rPr>
            </w:pPr>
            <w:r>
              <w:rPr>
                <w:rFonts w:ascii="Arial" w:cs="Arial" w:eastAsia="Arial" w:hAnsi="Arial"/>
                <w:sz w:val="18"/>
                <w:szCs w:val="18"/>
                <w:b w:val="1"/>
                <w:bCs w:val="1"/>
                <w:color w:val="auto"/>
              </w:rPr>
              <w:t>Three months ended</w:t>
            </w:r>
          </w:p>
        </w:tc>
        <w:tc>
          <w:tcPr>
            <w:tcW w:w="300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280" w:type="dxa"/>
            <w:vAlign w:val="bottom"/>
          </w:tcPr>
          <w:p>
            <w:pPr>
              <w:jc w:val="center"/>
              <w:ind w:left="1190"/>
              <w:spacing w:after="0" w:line="202" w:lineRule="exact"/>
              <w:rPr>
                <w:sz w:val="20"/>
                <w:szCs w:val="20"/>
                <w:color w:val="auto"/>
              </w:rPr>
            </w:pPr>
            <w:r>
              <w:rPr>
                <w:rFonts w:ascii="Arial" w:cs="Arial" w:eastAsia="Arial" w:hAnsi="Arial"/>
                <w:sz w:val="18"/>
                <w:szCs w:val="18"/>
                <w:b w:val="1"/>
                <w:bCs w:val="1"/>
                <w:color w:val="auto"/>
                <w:w w:val="99"/>
              </w:rPr>
              <w:t>June 30,</w:t>
            </w:r>
          </w:p>
        </w:tc>
        <w:tc>
          <w:tcPr>
            <w:tcW w:w="1420" w:type="dxa"/>
            <w:vAlign w:val="bottom"/>
          </w:tcPr>
          <w:p>
            <w:pPr>
              <w:spacing w:after="0"/>
              <w:rPr>
                <w:sz w:val="17"/>
                <w:szCs w:val="17"/>
                <w:color w:val="auto"/>
              </w:rPr>
            </w:pPr>
          </w:p>
        </w:tc>
        <w:tc>
          <w:tcPr>
            <w:tcW w:w="1980" w:type="dxa"/>
            <w:vAlign w:val="bottom"/>
          </w:tcPr>
          <w:p>
            <w:pPr>
              <w:jc w:val="center"/>
              <w:ind w:left="890"/>
              <w:spacing w:after="0" w:line="202" w:lineRule="exact"/>
              <w:rPr>
                <w:sz w:val="20"/>
                <w:szCs w:val="20"/>
                <w:color w:val="auto"/>
              </w:rPr>
            </w:pPr>
            <w:r>
              <w:rPr>
                <w:rFonts w:ascii="Arial" w:cs="Arial" w:eastAsia="Arial" w:hAnsi="Arial"/>
                <w:sz w:val="18"/>
                <w:szCs w:val="18"/>
                <w:b w:val="1"/>
                <w:bCs w:val="1"/>
                <w:color w:val="auto"/>
                <w:w w:val="99"/>
              </w:rPr>
              <w:t>June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28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$35,405</w:t>
            </w:r>
          </w:p>
        </w:tc>
        <w:tc>
          <w:tcPr>
            <w:tcW w:w="142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$33,323</w:t>
            </w:r>
          </w:p>
        </w:tc>
        <w:tc>
          <w:tcPr>
            <w:tcW w:w="198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$72,543</w:t>
            </w:r>
          </w:p>
        </w:tc>
        <w:tc>
          <w:tcPr>
            <w:tcW w:w="10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$69,013</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28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(5,848)</w:t>
            </w:r>
          </w:p>
        </w:tc>
        <w:tc>
          <w:tcPr>
            <w:tcW w:w="142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(18,633)</w:t>
            </w:r>
          </w:p>
        </w:tc>
        <w:tc>
          <w:tcPr>
            <w:tcW w:w="198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(9,553)</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(22,444)</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(11,700)</w:t>
            </w: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(11,652)</w:t>
            </w:r>
          </w:p>
        </w:tc>
        <w:tc>
          <w:tcPr>
            <w:tcW w:w="19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(22,864)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w:t>
            </w:r>
          </w:p>
        </w:tc>
        <w:tc>
          <w:tcPr>
            <w:tcW w:w="0" w:type="dxa"/>
            <w:vAlign w:val="bottom"/>
          </w:tcPr>
          <w:p>
            <w:pPr>
              <w:spacing w:after="0"/>
              <w:rPr>
                <w:sz w:val="1"/>
                <w:szCs w:val="1"/>
                <w:color w:val="auto"/>
              </w:rPr>
            </w:pPr>
          </w:p>
        </w:tc>
      </w:tr>
      <w:tr>
        <w:trPr>
          <w:trHeight w:val="196"/>
        </w:trPr>
        <w:tc>
          <w:tcPr>
            <w:tcW w:w="4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$17,857</w:t>
            </w:r>
          </w:p>
        </w:tc>
        <w:tc>
          <w:tcPr>
            <w:tcW w:w="14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$3,038</w:t>
            </w:r>
          </w:p>
        </w:tc>
        <w:tc>
          <w:tcPr>
            <w:tcW w:w="198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$40,126</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$23,187</w:t>
            </w:r>
          </w:p>
        </w:tc>
        <w:tc>
          <w:tcPr>
            <w:tcW w:w="0" w:type="dxa"/>
            <w:vAlign w:val="bottom"/>
          </w:tcPr>
          <w:p>
            <w:pPr>
              <w:spacing w:after="0"/>
              <w:rPr>
                <w:sz w:val="1"/>
                <w:szCs w:val="1"/>
                <w:color w:val="auto"/>
              </w:rPr>
            </w:pPr>
          </w:p>
        </w:tc>
      </w:tr>
      <w:tr>
        <w:trPr>
          <w:trHeight w:val="588"/>
        </w:trPr>
        <w:tc>
          <w:tcPr>
            <w:tcW w:w="47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spacing w:after="0"/>
              <w:rPr>
                <w:sz w:val="24"/>
                <w:szCs w:val="24"/>
                <w:color w:val="auto"/>
              </w:rPr>
            </w:pPr>
          </w:p>
        </w:tc>
        <w:tc>
          <w:tcPr>
            <w:tcW w:w="30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3700" w:type="dxa"/>
            <w:vAlign w:val="bottom"/>
            <w:gridSpan w:val="2"/>
          </w:tcPr>
          <w:p>
            <w:pPr>
              <w:jc w:val="center"/>
              <w:ind w:right="110"/>
              <w:spacing w:after="0" w:line="173" w:lineRule="exact"/>
              <w:rPr>
                <w:sz w:val="20"/>
                <w:szCs w:val="20"/>
                <w:color w:val="auto"/>
              </w:rPr>
            </w:pPr>
            <w:r>
              <w:rPr>
                <w:rFonts w:ascii="Arial" w:cs="Arial" w:eastAsia="Arial" w:hAnsi="Arial"/>
                <w:sz w:val="18"/>
                <w:szCs w:val="18"/>
                <w:b w:val="1"/>
                <w:bCs w:val="1"/>
                <w:color w:val="auto"/>
              </w:rPr>
              <w:t>Three months ended</w:t>
            </w:r>
          </w:p>
        </w:tc>
        <w:tc>
          <w:tcPr>
            <w:tcW w:w="3000" w:type="dxa"/>
            <w:vAlign w:val="bottom"/>
            <w:gridSpan w:val="2"/>
          </w:tcPr>
          <w:p>
            <w:pPr>
              <w:jc w:val="center"/>
              <w:spacing w:after="0" w:line="173"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280" w:type="dxa"/>
            <w:vAlign w:val="bottom"/>
          </w:tcPr>
          <w:p>
            <w:pPr>
              <w:jc w:val="center"/>
              <w:ind w:left="1190"/>
              <w:spacing w:after="0" w:line="202" w:lineRule="exact"/>
              <w:rPr>
                <w:sz w:val="20"/>
                <w:szCs w:val="20"/>
                <w:color w:val="auto"/>
              </w:rPr>
            </w:pPr>
            <w:r>
              <w:rPr>
                <w:rFonts w:ascii="Arial" w:cs="Arial" w:eastAsia="Arial" w:hAnsi="Arial"/>
                <w:sz w:val="18"/>
                <w:szCs w:val="18"/>
                <w:b w:val="1"/>
                <w:bCs w:val="1"/>
                <w:color w:val="auto"/>
                <w:w w:val="99"/>
              </w:rPr>
              <w:t>June 30,</w:t>
            </w:r>
          </w:p>
        </w:tc>
        <w:tc>
          <w:tcPr>
            <w:tcW w:w="1420" w:type="dxa"/>
            <w:vAlign w:val="bottom"/>
          </w:tcPr>
          <w:p>
            <w:pPr>
              <w:spacing w:after="0"/>
              <w:rPr>
                <w:sz w:val="17"/>
                <w:szCs w:val="17"/>
                <w:color w:val="auto"/>
              </w:rPr>
            </w:pPr>
          </w:p>
        </w:tc>
        <w:tc>
          <w:tcPr>
            <w:tcW w:w="1980" w:type="dxa"/>
            <w:vAlign w:val="bottom"/>
          </w:tcPr>
          <w:p>
            <w:pPr>
              <w:jc w:val="center"/>
              <w:ind w:left="890"/>
              <w:spacing w:after="0" w:line="202" w:lineRule="exact"/>
              <w:rPr>
                <w:sz w:val="20"/>
                <w:szCs w:val="20"/>
                <w:color w:val="auto"/>
              </w:rPr>
            </w:pPr>
            <w:r>
              <w:rPr>
                <w:rFonts w:ascii="Arial" w:cs="Arial" w:eastAsia="Arial" w:hAnsi="Arial"/>
                <w:sz w:val="18"/>
                <w:szCs w:val="18"/>
                <w:b w:val="1"/>
                <w:bCs w:val="1"/>
                <w:color w:val="auto"/>
                <w:w w:val="99"/>
              </w:rPr>
              <w:t>June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73"/>
        </w:trPr>
        <w:tc>
          <w:tcPr>
            <w:tcW w:w="4720" w:type="dxa"/>
            <w:vAlign w:val="bottom"/>
          </w:tcPr>
          <w:p>
            <w:pPr>
              <w:spacing w:after="0" w:line="173" w:lineRule="exact"/>
              <w:rPr>
                <w:sz w:val="20"/>
                <w:szCs w:val="20"/>
                <w:color w:val="auto"/>
              </w:rPr>
            </w:pPr>
            <w:r>
              <w:rPr>
                <w:rFonts w:ascii="Arial" w:cs="Arial" w:eastAsia="Arial" w:hAnsi="Arial"/>
                <w:sz w:val="18"/>
                <w:szCs w:val="18"/>
                <w:color w:val="auto"/>
              </w:rPr>
              <w:t>Interest expense, net</w:t>
            </w:r>
          </w:p>
        </w:tc>
        <w:tc>
          <w:tcPr>
            <w:tcW w:w="2280" w:type="dxa"/>
            <w:vAlign w:val="bottom"/>
          </w:tcPr>
          <w:p>
            <w:pPr>
              <w:jc w:val="right"/>
              <w:ind w:right="710"/>
              <w:spacing w:after="0" w:line="173" w:lineRule="exact"/>
              <w:rPr>
                <w:sz w:val="20"/>
                <w:szCs w:val="20"/>
                <w:color w:val="auto"/>
              </w:rPr>
            </w:pPr>
            <w:r>
              <w:rPr>
                <w:rFonts w:ascii="Arial" w:cs="Arial" w:eastAsia="Arial" w:hAnsi="Arial"/>
                <w:sz w:val="18"/>
                <w:szCs w:val="18"/>
                <w:b w:val="1"/>
                <w:bCs w:val="1"/>
                <w:color w:val="auto"/>
              </w:rPr>
              <w:t>$3,691</w:t>
            </w:r>
          </w:p>
        </w:tc>
        <w:tc>
          <w:tcPr>
            <w:tcW w:w="142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$2,702</w:t>
            </w:r>
          </w:p>
        </w:tc>
        <w:tc>
          <w:tcPr>
            <w:tcW w:w="1980" w:type="dxa"/>
            <w:vAlign w:val="bottom"/>
          </w:tcPr>
          <w:p>
            <w:pPr>
              <w:jc w:val="right"/>
              <w:ind w:right="690"/>
              <w:spacing w:after="0" w:line="173" w:lineRule="exact"/>
              <w:rPr>
                <w:sz w:val="20"/>
                <w:szCs w:val="20"/>
                <w:color w:val="auto"/>
              </w:rPr>
            </w:pPr>
            <w:r>
              <w:rPr>
                <w:rFonts w:ascii="Arial" w:cs="Arial" w:eastAsia="Arial" w:hAnsi="Arial"/>
                <w:sz w:val="18"/>
                <w:szCs w:val="18"/>
                <w:b w:val="1"/>
                <w:bCs w:val="1"/>
                <w:color w:val="auto"/>
              </w:rPr>
              <w:t>$5,929</w:t>
            </w:r>
          </w:p>
        </w:tc>
        <w:tc>
          <w:tcPr>
            <w:tcW w:w="10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228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(2,017)</w:t>
            </w: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2,820</w:t>
            </w:r>
          </w:p>
        </w:tc>
        <w:tc>
          <w:tcPr>
            <w:tcW w:w="198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(2,345)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5"/>
        </w:trPr>
        <w:tc>
          <w:tcPr>
            <w:tcW w:w="4720" w:type="dxa"/>
            <w:vAlign w:val="bottom"/>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tcPr>
          <w:p>
            <w:pPr>
              <w:jc w:val="right"/>
              <w:ind w:right="710"/>
              <w:spacing w:after="0"/>
              <w:rPr>
                <w:sz w:val="20"/>
                <w:szCs w:val="20"/>
                <w:color w:val="auto"/>
              </w:rPr>
            </w:pPr>
            <w:r>
              <w:rPr>
                <w:rFonts w:ascii="Arial" w:cs="Arial" w:eastAsia="Arial" w:hAnsi="Arial"/>
                <w:sz w:val="18"/>
                <w:szCs w:val="18"/>
                <w:b w:val="1"/>
                <w:bCs w:val="1"/>
                <w:color w:val="auto"/>
              </w:rPr>
              <w:t>6,082</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(364)</w:t>
            </w:r>
          </w:p>
        </w:tc>
        <w:tc>
          <w:tcPr>
            <w:tcW w:w="1980" w:type="dxa"/>
            <w:vAlign w:val="bottom"/>
          </w:tcPr>
          <w:p>
            <w:pPr>
              <w:jc w:val="right"/>
              <w:ind w:right="690"/>
              <w:spacing w:after="0"/>
              <w:rPr>
                <w:sz w:val="20"/>
                <w:szCs w:val="20"/>
                <w:color w:val="auto"/>
              </w:rPr>
            </w:pPr>
            <w:r>
              <w:rPr>
                <w:rFonts w:ascii="Arial" w:cs="Arial" w:eastAsia="Arial" w:hAnsi="Arial"/>
                <w:sz w:val="18"/>
                <w:szCs w:val="18"/>
                <w:b w:val="1"/>
                <w:bCs w:val="1"/>
                <w:color w:val="auto"/>
              </w:rPr>
              <w:t>13,125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Net (loss)/income attributable to the noncontrolling</w:t>
            </w:r>
          </w:p>
        </w:tc>
        <w:tc>
          <w:tcPr>
            <w:tcW w:w="228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(266)</w:t>
            </w:r>
          </w:p>
        </w:tc>
        <w:tc>
          <w:tcPr>
            <w:tcW w:w="1420" w:type="dxa"/>
            <w:vAlign w:val="bottom"/>
          </w:tcPr>
          <w:p>
            <w:pPr>
              <w:spacing w:after="0"/>
              <w:rPr>
                <w:sz w:val="17"/>
                <w:szCs w:val="17"/>
                <w:color w:val="auto"/>
              </w:rPr>
            </w:pPr>
          </w:p>
        </w:tc>
        <w:tc>
          <w:tcPr>
            <w:tcW w:w="19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(451)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interest</w:t>
            </w:r>
          </w:p>
        </w:tc>
        <w:tc>
          <w:tcPr>
            <w:tcW w:w="228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52</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28" w:lineRule="exact"/>
        <w:rPr>
          <w:sz w:val="20"/>
          <w:szCs w:val="20"/>
          <w:color w:val="auto"/>
        </w:rPr>
      </w:pPr>
    </w:p>
    <w:p>
      <w:pPr>
        <w:jc w:val="both"/>
        <w:ind w:right="700" w:firstLine="648"/>
        <w:spacing w:after="0"/>
        <w:rPr>
          <w:sz w:val="20"/>
          <w:szCs w:val="20"/>
          <w:color w:val="auto"/>
        </w:rPr>
      </w:pPr>
      <w:r>
        <w:rPr>
          <w:rFonts w:ascii="Arial" w:cs="Arial" w:eastAsia="Arial" w:hAnsi="Arial"/>
          <w:sz w:val="18"/>
          <w:szCs w:val="18"/>
          <w:color w:val="auto"/>
        </w:rPr>
        <w:t>Compared to 2015, Interest expense, net, increased principally due to borrowings to fund the AAC acquisition, and the interest associated with AAC’s capital lease obligation. For more information on borrowings and interest rates, see Note 14 to the Consolidated Financial Statements in Item 1, which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included the following individually significant items: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28" w:lineRule="exact"/>
        <w:rPr>
          <w:sz w:val="20"/>
          <w:szCs w:val="20"/>
          <w:color w:val="auto"/>
        </w:rPr>
      </w:pPr>
    </w:p>
    <w:p>
      <w:pPr>
        <w:ind w:left="1300" w:right="100" w:hanging="320"/>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second-quarter gains of $1.6 million in 2016 and losses of $1.9 million in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left="1300" w:right="320" w:hanging="320"/>
        <w:spacing w:after="0" w:line="23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resulted in gains for the first six months of $2.0 million in 2016 and $0.5 million in 2015.</w:t>
      </w:r>
    </w:p>
    <w:p>
      <w:pPr>
        <w:spacing w:after="0" w:line="1" w:lineRule="exact"/>
        <w:rPr>
          <w:rFonts w:ascii="Arial" w:cs="Arial" w:eastAsia="Arial" w:hAnsi="Arial"/>
          <w:sz w:val="18"/>
          <w:szCs w:val="18"/>
          <w:color w:val="auto"/>
        </w:rPr>
      </w:pPr>
    </w:p>
    <w:p>
      <w:pPr>
        <w:ind w:left="1300" w:hanging="320"/>
        <w:spacing w:after="0" w:line="246"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gain of $0.9 million was recorded in the first quarter of 2015 related to the sale of the Company’s investment in an unaffiliated company.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Income Tax</w:t>
      </w:r>
    </w:p>
    <w:p>
      <w:pPr>
        <w:spacing w:after="0" w:line="328" w:lineRule="exact"/>
        <w:rPr>
          <w:sz w:val="20"/>
          <w:szCs w:val="20"/>
          <w:color w:val="auto"/>
        </w:rPr>
      </w:pPr>
    </w:p>
    <w:p>
      <w:pPr>
        <w:jc w:val="both"/>
        <w:ind w:right="480" w:firstLine="648"/>
        <w:spacing w:after="0"/>
        <w:rPr>
          <w:sz w:val="20"/>
          <w:szCs w:val="20"/>
          <w:color w:val="auto"/>
        </w:rPr>
      </w:pPr>
      <w:r>
        <w:rPr>
          <w:rFonts w:ascii="Arial" w:cs="Arial" w:eastAsia="Arial" w:hAnsi="Arial"/>
          <w:sz w:val="18"/>
          <w:szCs w:val="18"/>
          <w:color w:val="auto"/>
        </w:rPr>
        <w:t>The Company has operations which constitute a taxable presence in 18 countries outside of the United States, all of which have income tax rates that were at or below the United States’ federal tax rate of 35% during the periods reported. The jurisdictional location of earnings is a significant component of our effective tax rate each year and therefore on our overall income tax expense.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28"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The Company’s effective tax rates for the second quarter of 2016 and 2015 were 37.6% and 14.7%, respectively. The tax rate is affected by recurring items, such as the income tax rate in the U.S. and in non-U.S. jurisdictions and the mix of income earned in those jurisdictions. The rate is also affected by U.S. tax costs on foreign earnings that have been or will be repatriated to the U.S., and by discrete items that may occur in any given year but are not consistent from year to year.</w:t>
      </w:r>
    </w:p>
    <w:p>
      <w:pPr>
        <w:spacing w:after="0" w:line="94" w:lineRule="exact"/>
        <w:rPr>
          <w:sz w:val="20"/>
          <w:szCs w:val="20"/>
          <w:color w:val="auto"/>
        </w:rPr>
      </w:pPr>
    </w:p>
    <w:p>
      <w:pPr>
        <w:ind w:right="40" w:firstLine="648"/>
        <w:spacing w:after="0" w:line="246" w:lineRule="auto"/>
        <w:rPr>
          <w:sz w:val="20"/>
          <w:szCs w:val="20"/>
          <w:color w:val="auto"/>
        </w:rPr>
      </w:pPr>
      <w:r>
        <w:rPr>
          <w:rFonts w:ascii="Arial" w:cs="Arial" w:eastAsia="Arial" w:hAnsi="Arial"/>
          <w:sz w:val="18"/>
          <w:szCs w:val="18"/>
          <w:color w:val="auto"/>
        </w:rPr>
        <w:t>Significant items that impacted the tax rates in the second quarter of 2016 included the following (percentages reflect the effect of each item as a percentage of Income before income taxes):</w:t>
      </w:r>
    </w:p>
    <w:p>
      <w:pPr>
        <w:spacing w:after="0" w:line="89" w:lineRule="exact"/>
        <w:rPr>
          <w:sz w:val="20"/>
          <w:szCs w:val="20"/>
          <w:color w:val="auto"/>
        </w:rPr>
      </w:pPr>
    </w:p>
    <w:p>
      <w:pPr>
        <w:ind w:left="1620" w:hanging="315"/>
        <w:spacing w:after="0" w:line="234"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($0.2) million [-1.1%] net tax benefit related to discrete items and the effect of a change in the estimated tax rates for the year.</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income tax rate, excluding the items noted, was 38.7%.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2015 tax rate included the following:</w:t>
      </w:r>
    </w:p>
    <w:p>
      <w:pPr>
        <w:spacing w:after="0" w:line="104" w:lineRule="exact"/>
        <w:rPr>
          <w:sz w:val="20"/>
          <w:szCs w:val="20"/>
          <w:color w:val="auto"/>
        </w:rPr>
      </w:pPr>
    </w:p>
    <w:p>
      <w:pPr>
        <w:ind w:left="1620" w:right="240" w:hanging="315"/>
        <w:spacing w:after="0" w:line="234"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$0.7 million [-28.8%] net tax expense related to discrete items and the effect of a change in the estimated tax rates for the year.</w:t>
      </w:r>
    </w:p>
    <w:p>
      <w:pPr>
        <w:spacing w:after="0" w:line="1" w:lineRule="exact"/>
        <w:rPr>
          <w:rFonts w:ascii="Arial" w:cs="Arial" w:eastAsia="Arial" w:hAnsi="Arial"/>
          <w:sz w:val="18"/>
          <w:szCs w:val="18"/>
          <w:color w:val="auto"/>
        </w:rPr>
      </w:pPr>
    </w:p>
    <w:p>
      <w:pPr>
        <w:ind w:left="1620" w:hanging="315"/>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income tax rate, excluding the items noted, was 43.5%.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effective tax rates for the first six-month periods of 2016 and 2015 were 35.9% and 44.6%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discrete items that may occur in any year but are not consistent from year to year.</w:t>
      </w:r>
    </w:p>
    <w:p>
      <w:pPr>
        <w:spacing w:after="0" w:line="94"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Significant items that impacted the 2016 tax rate included the following (percentages reflect the effect of each item as a percentage of income before income taxes):</w:t>
      </w:r>
    </w:p>
    <w:p>
      <w:pPr>
        <w:spacing w:after="0" w:line="89" w:lineRule="exact"/>
        <w:rPr>
          <w:sz w:val="20"/>
          <w:szCs w:val="20"/>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($0.8) million [-2.2%] discrete income tax benefit related to provisions for and settlements of income tax audits.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($0.2) million [-0.6%] net tax benefit due to changes in/establishment of uncertain tax positions.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income tax rate, excluding the items noted, was 38.7%.</w:t>
      </w:r>
    </w:p>
    <w:p>
      <w:pPr>
        <w:spacing w:after="0" w:line="185" w:lineRule="exact"/>
        <w:rPr>
          <w:sz w:val="20"/>
          <w:szCs w:val="20"/>
          <w:color w:val="auto"/>
        </w:rPr>
      </w:pPr>
    </w:p>
    <w:p>
      <w:pPr>
        <w:ind w:right="140" w:firstLine="648"/>
        <w:spacing w:after="0" w:line="246" w:lineRule="auto"/>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 income excluding the building insurance gain and before income taxes):</w:t>
      </w:r>
    </w:p>
    <w:p>
      <w:pPr>
        <w:spacing w:after="0" w:line="89" w:lineRule="exact"/>
        <w:rPr>
          <w:sz w:val="20"/>
          <w:szCs w:val="20"/>
          <w:color w:val="auto"/>
        </w:rPr>
      </w:pPr>
    </w:p>
    <w:p>
      <w:pPr>
        <w:ind w:left="1620" w:hanging="31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$0.2 million [1.1%] net tax expense related to discrete items.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income tax rate, excluding the items noted, was 43.5%.</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04" w:lineRule="exact"/>
        <w:rPr>
          <w:sz w:val="20"/>
          <w:szCs w:val="20"/>
          <w:color w:val="auto"/>
        </w:rPr>
      </w:pPr>
    </w:p>
    <w:p>
      <w:pPr>
        <w:ind w:right="440" w:firstLine="648"/>
        <w:spacing w:after="0" w:line="246" w:lineRule="auto"/>
        <w:rPr>
          <w:sz w:val="20"/>
          <w:szCs w:val="20"/>
          <w:color w:val="auto"/>
        </w:rPr>
      </w:pPr>
      <w:r>
        <w:rPr>
          <w:rFonts w:ascii="Arial" w:cs="Arial" w:eastAsia="Arial" w:hAnsi="Arial"/>
          <w:sz w:val="18"/>
          <w:szCs w:val="18"/>
          <w:color w:val="auto"/>
        </w:rPr>
        <w:t>MC is our primary business segment and accounted for 78% of our consolidated revenues during the first six months of 2016. MC products are purchased primarily by manufacturers of paper and paperboard.</w:t>
      </w:r>
    </w:p>
    <w:p>
      <w:pPr>
        <w:spacing w:after="0" w:line="89"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9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97" w:lineRule="exact"/>
        <w:rPr>
          <w:sz w:val="20"/>
          <w:szCs w:val="20"/>
          <w:color w:val="auto"/>
        </w:rPr>
      </w:pPr>
    </w:p>
    <w:p>
      <w:pPr>
        <w:ind w:right="60" w:firstLine="648"/>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ind w:right="260" w:firstLine="648"/>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in the United States, Germany, France, Canada, and Sweden.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gridSpan w:val="2"/>
          </w:tcPr>
          <w:p>
            <w:pPr>
              <w:jc w:val="right"/>
              <w:ind w:right="950"/>
              <w:spacing w:after="0" w:line="194" w:lineRule="exact"/>
              <w:rPr>
                <w:sz w:val="20"/>
                <w:szCs w:val="20"/>
                <w:color w:val="auto"/>
              </w:rPr>
            </w:pPr>
            <w:r>
              <w:rPr>
                <w:rFonts w:ascii="Arial" w:cs="Arial" w:eastAsia="Arial" w:hAnsi="Arial"/>
                <w:sz w:val="18"/>
                <w:szCs w:val="18"/>
                <w:b w:val="1"/>
                <w:bCs w:val="1"/>
                <w:color w:val="auto"/>
              </w:rPr>
              <w:t>Three months ended</w:t>
            </w:r>
          </w:p>
        </w:tc>
        <w:tc>
          <w:tcPr>
            <w:tcW w:w="2480" w:type="dxa"/>
            <w:vAlign w:val="bottom"/>
            <w:tcBorders>
              <w:top w:val="single" w:sz="8" w:color="auto"/>
            </w:tcBorders>
            <w:gridSpan w:val="2"/>
          </w:tcPr>
          <w:p>
            <w:pPr>
              <w:jc w:val="right"/>
              <w:ind w:right="530"/>
              <w:spacing w:after="0" w:line="194"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6"/>
                <w:szCs w:val="16"/>
                <w:color w:val="auto"/>
              </w:rPr>
            </w:pPr>
          </w:p>
        </w:tc>
      </w:tr>
      <w:tr>
        <w:trPr>
          <w:trHeight w:val="203"/>
        </w:trPr>
        <w:tc>
          <w:tcPr>
            <w:tcW w:w="4540" w:type="dxa"/>
            <w:vAlign w:val="bottom"/>
          </w:tcPr>
          <w:p>
            <w:pPr>
              <w:spacing w:after="0"/>
              <w:rPr>
                <w:sz w:val="17"/>
                <w:szCs w:val="17"/>
                <w:color w:val="auto"/>
              </w:rPr>
            </w:pPr>
          </w:p>
        </w:tc>
        <w:tc>
          <w:tcPr>
            <w:tcW w:w="3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4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30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2016</w:t>
            </w:r>
          </w:p>
        </w:tc>
        <w:tc>
          <w:tcPr>
            <w:tcW w:w="1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c>
          <w:tcPr>
            <w:tcW w:w="15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173"/>
        </w:trPr>
        <w:tc>
          <w:tcPr>
            <w:tcW w:w="454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300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$148,934</w:t>
            </w:r>
          </w:p>
        </w:tc>
        <w:tc>
          <w:tcPr>
            <w:tcW w:w="140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$150,561</w:t>
            </w:r>
          </w:p>
        </w:tc>
        <w:tc>
          <w:tcPr>
            <w:tcW w:w="154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$294,197</w:t>
            </w: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309,055</w:t>
            </w:r>
          </w:p>
        </w:tc>
        <w:tc>
          <w:tcPr>
            <w:tcW w:w="20" w:type="dxa"/>
            <w:vAlign w:val="bottom"/>
          </w:tcPr>
          <w:p>
            <w:pPr>
              <w:spacing w:after="0"/>
              <w:rPr>
                <w:sz w:val="15"/>
                <w:szCs w:val="15"/>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30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70,902</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68,103</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140,523</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143,364</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30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47.6%</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45.2%</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47.8%</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46.4%</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30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30,063</w:t>
            </w:r>
          </w:p>
        </w:tc>
        <w:tc>
          <w:tcPr>
            <w:tcW w:w="14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33,569</w:t>
            </w:r>
          </w:p>
        </w:tc>
        <w:tc>
          <w:tcPr>
            <w:tcW w:w="15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61,848</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64,139</w:t>
            </w:r>
          </w:p>
        </w:tc>
      </w:tr>
      <w:tr>
        <w:trPr>
          <w:trHeight w:val="225"/>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3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35,405</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33,323</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72,543</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69,013</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18"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2016 sales by $0.2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Compared to the second quarter of 2015, MC sales were stable in every major region and grade.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Six month comparison</w:t>
      </w:r>
    </w:p>
    <w:p>
      <w:pPr>
        <w:spacing w:after="0" w:line="18" w:lineRule="exact"/>
        <w:rPr>
          <w:sz w:val="20"/>
          <w:szCs w:val="20"/>
          <w:color w:val="auto"/>
        </w:rPr>
      </w:pPr>
    </w:p>
    <w:p>
      <w:pPr>
        <w:ind w:left="640" w:hanging="32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2016 sales by $2.1 million.</w:t>
      </w:r>
    </w:p>
    <w:p>
      <w:pPr>
        <w:spacing w:after="0" w:line="9" w:lineRule="exact"/>
        <w:rPr>
          <w:rFonts w:ascii="Arial" w:cs="Arial" w:eastAsia="Arial" w:hAnsi="Arial"/>
          <w:sz w:val="18"/>
          <w:szCs w:val="18"/>
          <w:color w:val="auto"/>
        </w:rPr>
      </w:pPr>
    </w:p>
    <w:p>
      <w:pPr>
        <w:ind w:left="640" w:right="60" w:hanging="320"/>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MC sales declined 4.1% in the first half of 2016 principally due to the continuing effect of the significant drop in publication grade sales that occurred in the first half of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ind w:left="640" w:right="280" w:hanging="320"/>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increased $2.8 million principally due to better capacity utilization. MC gross profit margin improved to 47.6% in 2016 from 45.2% in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220" w:lineRule="exact"/>
        <w:rPr>
          <w:sz w:val="20"/>
          <w:szCs w:val="20"/>
          <w:color w:val="auto"/>
        </w:rPr>
      </w:pPr>
    </w:p>
    <w:p>
      <w:pPr>
        <w:ind w:left="640" w:right="80" w:hanging="32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in MC sales described above resulted in a decrease in gross profit of $6.9 million. MC gross profit margin improved to 47.8% in 2016 from 46.4% in 2015. The margin improvement was principally due to better capacity utilization and offset most of the decrease in gross profit that resulted from lower sales.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640" w:hanging="32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Gross profit increased $2.8 million as described above.</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actions taken in 2015 reduced 2016 STG&amp;R expenses by approximately $2 million.</w:t>
      </w:r>
    </w:p>
    <w:p>
      <w:pPr>
        <w:spacing w:after="0" w:line="211" w:lineRule="exact"/>
        <w:rPr>
          <w:rFonts w:ascii="Arial" w:cs="Arial" w:eastAsia="Arial" w:hAnsi="Arial"/>
          <w:sz w:val="18"/>
          <w:szCs w:val="18"/>
          <w:color w:val="auto"/>
        </w:rPr>
      </w:pPr>
    </w:p>
    <w:p>
      <w:pPr>
        <w:ind w:left="640" w:hanging="320"/>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Restructuring charges of $5.4 million in the second quarter of 2016, compared to $1.2 million in 2015.</w:t>
      </w:r>
    </w:p>
    <w:p>
      <w:pPr>
        <w:spacing w:after="0" w:line="9" w:lineRule="exact"/>
        <w:rPr>
          <w:rFonts w:ascii="Arial" w:cs="Arial" w:eastAsia="Arial" w:hAnsi="Arial"/>
          <w:sz w:val="18"/>
          <w:szCs w:val="18"/>
          <w:color w:val="auto"/>
        </w:rPr>
      </w:pPr>
    </w:p>
    <w:p>
      <w:pPr>
        <w:ind w:left="640" w:right="80" w:hanging="320"/>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second quarter gains of $0.3 million in 2016 and losses of $0.4 million in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220" w:lineRule="exact"/>
        <w:rPr>
          <w:sz w:val="20"/>
          <w:szCs w:val="20"/>
          <w:color w:val="auto"/>
        </w:rPr>
      </w:pPr>
    </w:p>
    <w:p>
      <w:pPr>
        <w:ind w:left="640" w:hanging="320"/>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profit decreased $2.8 million as described above.</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charges of $6.1 million in the first six months of 2016, compared to $10.2 million in 2015.</w:t>
      </w:r>
    </w:p>
    <w:p>
      <w:pPr>
        <w:spacing w:after="0" w:line="9" w:lineRule="exact"/>
        <w:rPr>
          <w:rFonts w:ascii="Arial" w:cs="Arial" w:eastAsia="Arial" w:hAnsi="Arial"/>
          <w:sz w:val="18"/>
          <w:szCs w:val="18"/>
          <w:color w:val="auto"/>
        </w:rPr>
      </w:pPr>
    </w:p>
    <w:p>
      <w:pPr>
        <w:ind w:left="640" w:hanging="320"/>
        <w:spacing w:after="0" w:line="23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losses of $1.6 million for the first six months of 2016 and gains of $2.5 million in 2015.</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actions taken in 2015 reduced 2016 STG&amp;R expenses by approximately $4 million.</w:t>
      </w:r>
    </w:p>
    <w:p>
      <w:pPr>
        <w:spacing w:after="0" w:line="10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83185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20"/>
          </w:cols>
          <w:pgMar w:left="900" w:top="684"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04"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based on proprietary technology to customers primarily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 In 2015, approximately 15 percent of this segment’s sales were related to U.S. government contracts or programs.</w:t>
      </w:r>
    </w:p>
    <w:p>
      <w:pPr>
        <w:spacing w:after="0" w:line="200" w:lineRule="exact"/>
        <w:rPr>
          <w:sz w:val="20"/>
          <w:szCs w:val="20"/>
          <w:color w:val="auto"/>
        </w:rPr>
      </w:pPr>
    </w:p>
    <w:p>
      <w:pPr>
        <w:spacing w:after="0" w:line="208" w:lineRule="exact"/>
        <w:rPr>
          <w:sz w:val="20"/>
          <w:szCs w:val="20"/>
          <w:color w:val="auto"/>
        </w:rPr>
      </w:pPr>
    </w:p>
    <w:p>
      <w:pPr>
        <w:jc w:val="both"/>
        <w:ind w:right="120" w:firstLine="648"/>
        <w:spacing w:after="0"/>
        <w:rPr>
          <w:sz w:val="20"/>
          <w:szCs w:val="20"/>
          <w:color w:val="auto"/>
        </w:rPr>
      </w:pPr>
      <w:r>
        <w:rPr>
          <w:rFonts w:ascii="Arial" w:cs="Arial" w:eastAsia="Arial" w:hAnsi="Arial"/>
          <w:sz w:val="18"/>
          <w:szCs w:val="18"/>
          <w:color w:val="auto"/>
        </w:rPr>
        <w:t>On April 8, 2016, the Company acquired the outstanding shares of Harris Corporation’s composite aerostructures business for cash of $187 million, plus the assumption of certain liabilities. The acquired entity has been renamed Albany Aerostructures Composites LLC (“AAC”), and is part of Albany Engineered Composites (“AEC”)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gridSpan w:val="2"/>
          </w:tcPr>
          <w:p>
            <w:pPr>
              <w:jc w:val="right"/>
              <w:ind w:right="590"/>
              <w:spacing w:after="0" w:line="194" w:lineRule="exact"/>
              <w:rPr>
                <w:sz w:val="20"/>
                <w:szCs w:val="20"/>
                <w:color w:val="auto"/>
              </w:rPr>
            </w:pPr>
            <w:r>
              <w:rPr>
                <w:rFonts w:ascii="Arial" w:cs="Arial" w:eastAsia="Arial" w:hAnsi="Arial"/>
                <w:sz w:val="18"/>
                <w:szCs w:val="18"/>
                <w:b w:val="1"/>
                <w:bCs w:val="1"/>
                <w:color w:val="auto"/>
              </w:rPr>
              <w:t>Three months ended June 30,</w:t>
            </w:r>
          </w:p>
        </w:tc>
        <w:tc>
          <w:tcPr>
            <w:tcW w:w="3100" w:type="dxa"/>
            <w:vAlign w:val="bottom"/>
            <w:tcBorders>
              <w:top w:val="single" w:sz="8" w:color="auto"/>
            </w:tcBorders>
            <w:gridSpan w:val="2"/>
          </w:tcPr>
          <w:p>
            <w:pPr>
              <w:jc w:val="right"/>
              <w:ind w:right="330"/>
              <w:spacing w:after="0" w:line="194" w:lineRule="exact"/>
              <w:rPr>
                <w:sz w:val="20"/>
                <w:szCs w:val="20"/>
                <w:color w:val="auto"/>
              </w:rPr>
            </w:pPr>
            <w:r>
              <w:rPr>
                <w:rFonts w:ascii="Arial" w:cs="Arial" w:eastAsia="Arial" w:hAnsi="Arial"/>
                <w:sz w:val="18"/>
                <w:szCs w:val="18"/>
                <w:b w:val="1"/>
                <w:bCs w:val="1"/>
                <w:color w:val="auto"/>
              </w:rPr>
              <w:t>Six months ended June 30,</w:t>
            </w: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5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2016</w:t>
            </w:r>
          </w:p>
        </w:tc>
        <w:tc>
          <w:tcPr>
            <w:tcW w:w="17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7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2016</w:t>
            </w: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173"/>
        </w:trPr>
        <w:tc>
          <w:tcPr>
            <w:tcW w:w="4060" w:type="dxa"/>
            <w:vAlign w:val="bottom"/>
          </w:tcPr>
          <w:p>
            <w:pPr>
              <w:spacing w:after="0" w:line="173" w:lineRule="exact"/>
              <w:rPr>
                <w:sz w:val="20"/>
                <w:szCs w:val="20"/>
                <w:color w:val="auto"/>
              </w:rPr>
            </w:pPr>
            <w:r>
              <w:rPr>
                <w:rFonts w:ascii="Arial" w:cs="Arial" w:eastAsia="Arial" w:hAnsi="Arial"/>
                <w:sz w:val="18"/>
                <w:szCs w:val="18"/>
                <w:color w:val="auto"/>
              </w:rPr>
              <w:t>Net sales</w:t>
            </w:r>
          </w:p>
        </w:tc>
        <w:tc>
          <w:tcPr>
            <w:tcW w:w="256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$54,256</w:t>
            </w:r>
          </w:p>
        </w:tc>
        <w:tc>
          <w:tcPr>
            <w:tcW w:w="1700" w:type="dxa"/>
            <w:vAlign w:val="bottom"/>
          </w:tcPr>
          <w:p>
            <w:pPr>
              <w:jc w:val="right"/>
              <w:ind w:right="450"/>
              <w:spacing w:after="0" w:line="173" w:lineRule="exact"/>
              <w:rPr>
                <w:sz w:val="20"/>
                <w:szCs w:val="20"/>
                <w:color w:val="auto"/>
              </w:rPr>
            </w:pPr>
            <w:r>
              <w:rPr>
                <w:rFonts w:ascii="Arial" w:cs="Arial" w:eastAsia="Arial" w:hAnsi="Arial"/>
                <w:sz w:val="18"/>
                <w:szCs w:val="18"/>
                <w:color w:val="auto"/>
              </w:rPr>
              <w:t>$21,728</w:t>
            </w:r>
          </w:p>
        </w:tc>
        <w:tc>
          <w:tcPr>
            <w:tcW w:w="1780" w:type="dxa"/>
            <w:vAlign w:val="bottom"/>
          </w:tcPr>
          <w:p>
            <w:pPr>
              <w:jc w:val="right"/>
              <w:ind w:right="490"/>
              <w:spacing w:after="0" w:line="173" w:lineRule="exact"/>
              <w:rPr>
                <w:sz w:val="20"/>
                <w:szCs w:val="20"/>
                <w:color w:val="auto"/>
              </w:rPr>
            </w:pPr>
            <w:r>
              <w:rPr>
                <w:rFonts w:ascii="Arial" w:cs="Arial" w:eastAsia="Arial" w:hAnsi="Arial"/>
                <w:sz w:val="18"/>
                <w:szCs w:val="18"/>
                <w:b w:val="1"/>
                <w:bCs w:val="1"/>
                <w:color w:val="auto"/>
              </w:rPr>
              <w:t>$81,324</w:t>
            </w:r>
          </w:p>
        </w:tc>
        <w:tc>
          <w:tcPr>
            <w:tcW w:w="13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$44,558</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5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7,652</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(13,145)</w:t>
            </w:r>
          </w:p>
        </w:tc>
        <w:tc>
          <w:tcPr>
            <w:tcW w:w="17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10,773</w:t>
            </w:r>
          </w:p>
        </w:tc>
        <w:tc>
          <w:tcPr>
            <w:tcW w:w="1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(11,330)</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5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14.1%</w:t>
            </w:r>
          </w:p>
        </w:tc>
        <w:tc>
          <w:tcPr>
            <w:tcW w:w="17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-60.5%</w:t>
            </w:r>
          </w:p>
        </w:tc>
        <w:tc>
          <w:tcPr>
            <w:tcW w:w="17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13.2%</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r>
      <w:tr>
        <w:trPr>
          <w:trHeight w:val="203"/>
        </w:trPr>
        <w:tc>
          <w:tcPr>
            <w:tcW w:w="406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25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12,353</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5,488</w:t>
            </w:r>
          </w:p>
        </w:tc>
        <w:tc>
          <w:tcPr>
            <w:tcW w:w="178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19,179</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11,114</w:t>
            </w:r>
          </w:p>
        </w:tc>
      </w:tr>
      <w:tr>
        <w:trPr>
          <w:trHeight w:val="22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loss</w:t>
            </w:r>
          </w:p>
        </w:tc>
        <w:tc>
          <w:tcPr>
            <w:tcW w:w="2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(5,848)</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(18,633)</w:t>
            </w:r>
          </w:p>
        </w:tc>
        <w:tc>
          <w:tcPr>
            <w:tcW w:w="17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(9,553)</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(22,444)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1300" w:right="460" w:hanging="320"/>
        <w:spacing w:after="0" w:line="275"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AEC sales increased $32.5 million, $25.6 million of which was due to the acquired business. AEC Q2 2016 sales includes approximately $7.0 for development tooling reimbursable from customers, principally from the acquired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left="1300" w:right="440" w:hanging="320"/>
        <w:spacing w:after="0" w:line="246"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AEC sales increased $25.6 million due to the acquisition of AAC, and the remainder of the increase was principally due to growth in the LEAP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1300" w:right="240" w:hanging="320"/>
        <w:spacing w:after="0" w:line="23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improvement in AEC gross profit to $7.7 million in the second quarter of 2016, compared to a loss of $13.1 million in the second quarter of 2015, was principally due to a $14.0 million charge for a revision in the contract profitability of its BR 725 program in the second quarter of 2015, and the acquisition of AAC in April 2016.</w:t>
      </w:r>
    </w:p>
    <w:p>
      <w:pPr>
        <w:spacing w:after="0" w:line="2"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sales in the LEAP program increased gross profit in 2016 by $1.0 million.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in AEC gross profit was principally due to the 2015 BR 725 charge and the acquisition of AAC in April 2016.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sales in the LEAP program increased gross profit in 2016 by $2.3 million.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26"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45 percent and 50 percent of AEC revenue for the first six months of 2016 and 2015, respectively.</w:t>
      </w:r>
    </w:p>
    <w:p>
      <w:pPr>
        <w:spacing w:after="0" w:line="95"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In addition, AEC has long-term contracts in which the total contract price is fixed.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As noted above, we recorded a charge of $14.0 million in the second quarter of 2015 for revisions to estimated costs of our BR 725 contract. Excluding that charge, changes in contract estimates increased gross profit $0.4 million in the first six months of 2016, and by $0.3 million in the same period of 2015.</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period.</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5780" w:type="dxa"/>
            <w:vAlign w:val="bottom"/>
            <w:tcBorders>
              <w:top w:val="single" w:sz="8" w:color="auto"/>
              <w:left w:val="single" w:sz="8" w:color="auto"/>
            </w:tcBorders>
          </w:tcPr>
          <w:p>
            <w:pPr>
              <w:spacing w:after="0"/>
              <w:rPr>
                <w:sz w:val="16"/>
                <w:szCs w:val="16"/>
                <w:color w:val="auto"/>
              </w:rPr>
            </w:pPr>
          </w:p>
        </w:tc>
        <w:tc>
          <w:tcPr>
            <w:tcW w:w="43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Six months ended</w:t>
            </w:r>
          </w:p>
        </w:tc>
        <w:tc>
          <w:tcPr>
            <w:tcW w:w="1300" w:type="dxa"/>
            <w:vAlign w:val="bottom"/>
            <w:tcBorders>
              <w:top w:val="single" w:sz="8" w:color="auto"/>
              <w:right w:val="single" w:sz="8" w:color="auto"/>
            </w:tcBorders>
          </w:tcPr>
          <w:p>
            <w:pPr>
              <w:spacing w:after="0"/>
              <w:rPr>
                <w:sz w:val="16"/>
                <w:szCs w:val="16"/>
                <w:color w:val="auto"/>
              </w:rPr>
            </w:pPr>
          </w:p>
        </w:tc>
      </w:tr>
      <w:tr>
        <w:trPr>
          <w:trHeight w:val="203"/>
        </w:trPr>
        <w:tc>
          <w:tcPr>
            <w:tcW w:w="5780" w:type="dxa"/>
            <w:vAlign w:val="bottom"/>
            <w:tcBorders>
              <w:left w:val="single" w:sz="8" w:color="auto"/>
            </w:tcBorders>
          </w:tcPr>
          <w:p>
            <w:pPr>
              <w:spacing w:after="0"/>
              <w:rPr>
                <w:sz w:val="17"/>
                <w:szCs w:val="17"/>
                <w:color w:val="auto"/>
              </w:rPr>
            </w:pPr>
          </w:p>
        </w:tc>
        <w:tc>
          <w:tcPr>
            <w:tcW w:w="43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June 30,</w:t>
            </w:r>
          </w:p>
        </w:tc>
        <w:tc>
          <w:tcPr>
            <w:tcW w:w="1300" w:type="dxa"/>
            <w:vAlign w:val="bottom"/>
            <w:tcBorders>
              <w:right w:val="single" w:sz="8" w:color="auto"/>
            </w:tcBorders>
          </w:tcPr>
          <w:p>
            <w:pPr>
              <w:spacing w:after="0"/>
              <w:rPr>
                <w:sz w:val="17"/>
                <w:szCs w:val="17"/>
                <w:color w:val="auto"/>
              </w:rPr>
            </w:pPr>
          </w:p>
        </w:tc>
      </w:tr>
      <w:tr>
        <w:trPr>
          <w:trHeight w:val="225"/>
        </w:trPr>
        <w:tc>
          <w:tcPr>
            <w:tcW w:w="5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34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2016</w:t>
            </w:r>
          </w:p>
        </w:tc>
        <w:tc>
          <w:tcPr>
            <w:tcW w:w="130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2015</w:t>
            </w:r>
          </w:p>
        </w:tc>
      </w:tr>
      <w:tr>
        <w:trPr>
          <w:trHeight w:val="173"/>
        </w:trPr>
        <w:tc>
          <w:tcPr>
            <w:tcW w:w="5780" w:type="dxa"/>
            <w:vAlign w:val="bottom"/>
            <w:tcBorders>
              <w:left w:val="single" w:sz="8" w:color="auto"/>
            </w:tcBorders>
          </w:tcPr>
          <w:p>
            <w:pPr>
              <w:ind w:left="20"/>
              <w:spacing w:after="0" w:line="173" w:lineRule="exact"/>
              <w:rPr>
                <w:sz w:val="20"/>
                <w:szCs w:val="20"/>
                <w:color w:val="auto"/>
              </w:rPr>
            </w:pPr>
            <w:r>
              <w:rPr>
                <w:rFonts w:ascii="Arial" w:cs="Arial" w:eastAsia="Arial" w:hAnsi="Arial"/>
                <w:sz w:val="18"/>
                <w:szCs w:val="18"/>
                <w:color w:val="auto"/>
              </w:rPr>
              <w:t>Revenue earned during period</w:t>
            </w:r>
          </w:p>
        </w:tc>
        <w:tc>
          <w:tcPr>
            <w:tcW w:w="4340" w:type="dxa"/>
            <w:vAlign w:val="bottom"/>
          </w:tcPr>
          <w:p>
            <w:pPr>
              <w:jc w:val="right"/>
              <w:ind w:right="670"/>
              <w:spacing w:after="0" w:line="173" w:lineRule="exact"/>
              <w:rPr>
                <w:sz w:val="20"/>
                <w:szCs w:val="20"/>
                <w:color w:val="auto"/>
              </w:rPr>
            </w:pPr>
            <w:r>
              <w:rPr>
                <w:rFonts w:ascii="Arial" w:cs="Arial" w:eastAsia="Arial" w:hAnsi="Arial"/>
                <w:sz w:val="18"/>
                <w:szCs w:val="18"/>
                <w:b w:val="1"/>
                <w:bCs w:val="1"/>
                <w:color w:val="auto"/>
              </w:rPr>
              <w:t>$7,971</w:t>
            </w:r>
          </w:p>
        </w:tc>
        <w:tc>
          <w:tcPr>
            <w:tcW w:w="130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$9,025</w:t>
            </w:r>
          </w:p>
        </w:tc>
      </w:tr>
      <w:tr>
        <w:trPr>
          <w:trHeight w:val="203"/>
        </w:trPr>
        <w:tc>
          <w:tcPr>
            <w:tcW w:w="57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Total value of contracts in process</w:t>
            </w:r>
          </w:p>
        </w:tc>
        <w:tc>
          <w:tcPr>
            <w:tcW w:w="434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15,147</w:t>
            </w:r>
          </w:p>
        </w:tc>
        <w:tc>
          <w:tcPr>
            <w:tcW w:w="13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29,778</w:t>
            </w:r>
          </w:p>
        </w:tc>
      </w:tr>
      <w:tr>
        <w:trPr>
          <w:trHeight w:val="203"/>
        </w:trPr>
        <w:tc>
          <w:tcPr>
            <w:tcW w:w="578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Revenue recognized to date</w:t>
            </w:r>
          </w:p>
        </w:tc>
        <w:tc>
          <w:tcPr>
            <w:tcW w:w="434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auto"/>
              </w:rPr>
              <w:t>7,946</w:t>
            </w:r>
          </w:p>
        </w:tc>
        <w:tc>
          <w:tcPr>
            <w:tcW w:w="130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24,046</w:t>
            </w:r>
          </w:p>
        </w:tc>
      </w:tr>
      <w:tr>
        <w:trPr>
          <w:trHeight w:val="225"/>
        </w:trPr>
        <w:tc>
          <w:tcPr>
            <w:tcW w:w="5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Revenue to be recognized in future periods</w:t>
            </w:r>
          </w:p>
        </w:tc>
        <w:tc>
          <w:tcPr>
            <w:tcW w:w="43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7,201</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5,732</w:t>
            </w:r>
          </w:p>
        </w:tc>
      </w:tr>
    </w:tbl>
    <w:p>
      <w:pPr>
        <w:spacing w:after="0" w:line="2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8"/>
          <w:szCs w:val="18"/>
          <w:color w:val="auto"/>
        </w:rPr>
        <w:t>In February 2016, our customer on a long-term contract for the manufacture of composite components for the Rolls-Royce BR 725 engine notified us that they disagreed with our calculation of pricing for the parts to be sold in 2016, which could, potentially, have an adverse effect on the profitability of this contract in the future. While the Company believes that its position is supported by the prior course of dealing between the parties, if the customer’s position were to prevail it could have a material effect on operating results in future periods.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Operating income in 2015 was reduced by the $14 million BR 725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sales in the LEAP program increased gross profit in 2016 by $1.0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2016 STG&amp;R expenses included $3.8 million related to the acquisition of AAC.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business acquired during the second quarter of 2016 had $1.7 million of operating income.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income in 2015 was reduced by the $14 million BR 725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sales in the LEAP program increased gross profit in 2016 by $2.3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business acquired during the second quarter of 2016 had $1.7 million of operating income.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2016 STG&amp;R expenses included $5.4 million related to the acquisition of AAC.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6340" w:type="dxa"/>
            <w:vAlign w:val="bottom"/>
            <w:tcBorders>
              <w:top w:val="single" w:sz="8" w:color="auto"/>
            </w:tcBorders>
          </w:tcPr>
          <w:p>
            <w:pPr>
              <w:spacing w:after="0"/>
              <w:rPr>
                <w:sz w:val="16"/>
                <w:szCs w:val="16"/>
                <w:color w:val="auto"/>
              </w:rPr>
            </w:pPr>
          </w:p>
        </w:tc>
        <w:tc>
          <w:tcPr>
            <w:tcW w:w="3920" w:type="dxa"/>
            <w:vAlign w:val="bottom"/>
            <w:tcBorders>
              <w:top w:val="single" w:sz="8" w:color="auto"/>
            </w:tcBorders>
          </w:tcPr>
          <w:p>
            <w:pPr>
              <w:jc w:val="right"/>
              <w:ind w:right="70"/>
              <w:spacing w:after="0" w:line="194" w:lineRule="exact"/>
              <w:rPr>
                <w:sz w:val="20"/>
                <w:szCs w:val="20"/>
                <w:color w:val="auto"/>
              </w:rPr>
            </w:pPr>
            <w:r>
              <w:rPr>
                <w:rFonts w:ascii="Arial" w:cs="Arial" w:eastAsia="Arial" w:hAnsi="Arial"/>
                <w:sz w:val="18"/>
                <w:szCs w:val="18"/>
                <w:b w:val="1"/>
                <w:bCs w:val="1"/>
                <w:color w:val="auto"/>
              </w:rPr>
              <w:t>Six months ended</w:t>
            </w:r>
          </w:p>
        </w:tc>
        <w:tc>
          <w:tcPr>
            <w:tcW w:w="114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92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17"/>
                <w:szCs w:val="17"/>
                <w:color w:val="auto"/>
              </w:rPr>
            </w:pP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9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73"/>
        </w:trPr>
        <w:tc>
          <w:tcPr>
            <w:tcW w:w="636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3920" w:type="dxa"/>
            <w:vAlign w:val="bottom"/>
          </w:tcPr>
          <w:p>
            <w:pPr>
              <w:jc w:val="right"/>
              <w:ind w:right="1370"/>
              <w:spacing w:after="0" w:line="173" w:lineRule="exact"/>
              <w:rPr>
                <w:sz w:val="20"/>
                <w:szCs w:val="20"/>
                <w:color w:val="auto"/>
              </w:rPr>
            </w:pPr>
            <w:r>
              <w:rPr>
                <w:rFonts w:ascii="Arial" w:cs="Arial" w:eastAsia="Arial" w:hAnsi="Arial"/>
                <w:sz w:val="18"/>
                <w:szCs w:val="18"/>
                <w:b w:val="1"/>
                <w:bCs w:val="1"/>
                <w:color w:val="auto"/>
              </w:rPr>
              <w:t>$23,417</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$10,119</w:t>
            </w: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92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32,779</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30,538</w:t>
            </w: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Changes in working capital</w:t>
            </w:r>
          </w:p>
        </w:tc>
        <w:tc>
          <w:tcPr>
            <w:tcW w:w="3920" w:type="dxa"/>
            <w:vAlign w:val="bottom"/>
          </w:tcPr>
          <w:p>
            <w:pPr>
              <w:jc w:val="right"/>
              <w:ind w:right="1310"/>
              <w:spacing w:after="0" w:line="202" w:lineRule="exact"/>
              <w:rPr>
                <w:sz w:val="20"/>
                <w:szCs w:val="20"/>
                <w:color w:val="auto"/>
              </w:rPr>
            </w:pPr>
            <w:r>
              <w:rPr>
                <w:rFonts w:ascii="Arial" w:cs="Arial" w:eastAsia="Arial" w:hAnsi="Arial"/>
                <w:sz w:val="18"/>
                <w:szCs w:val="18"/>
                <w:b w:val="1"/>
                <w:bCs w:val="1"/>
                <w:color w:val="auto"/>
              </w:rPr>
              <w:t>(31,111)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(16,859)</w:t>
            </w: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Gain on disposition of assets</w:t>
            </w:r>
          </w:p>
        </w:tc>
        <w:tc>
          <w:tcPr>
            <w:tcW w:w="392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r>
      <w:tr>
        <w:trPr>
          <w:trHeight w:val="203"/>
        </w:trPr>
        <w:tc>
          <w:tcPr>
            <w:tcW w:w="20" w:type="dxa"/>
            <w:vAlign w:val="bottom"/>
          </w:tcPr>
          <w:p>
            <w:pPr>
              <w:spacing w:after="0"/>
              <w:rPr>
                <w:sz w:val="17"/>
                <w:szCs w:val="17"/>
                <w:color w:val="auto"/>
              </w:rPr>
            </w:pPr>
          </w:p>
        </w:tc>
        <w:tc>
          <w:tcPr>
            <w:tcW w:w="6340" w:type="dxa"/>
            <w:vAlign w:val="bottom"/>
          </w:tcPr>
          <w:p>
            <w:pPr>
              <w:ind w:left="200"/>
              <w:spacing w:after="0" w:line="202" w:lineRule="exact"/>
              <w:rPr>
                <w:sz w:val="20"/>
                <w:szCs w:val="20"/>
                <w:color w:val="auto"/>
              </w:rPr>
            </w:pPr>
            <w:r>
              <w:rPr>
                <w:rFonts w:ascii="Arial" w:cs="Arial" w:eastAsia="Arial" w:hAnsi="Arial"/>
                <w:sz w:val="18"/>
                <w:szCs w:val="18"/>
                <w:color w:val="auto"/>
              </w:rPr>
              <w:t>Changes in other noncurrent liabilities and deferred taxes</w:t>
            </w:r>
          </w:p>
        </w:tc>
        <w:tc>
          <w:tcPr>
            <w:tcW w:w="3920" w:type="dxa"/>
            <w:vAlign w:val="bottom"/>
          </w:tcPr>
          <w:p>
            <w:pPr>
              <w:jc w:val="right"/>
              <w:ind w:right="1310"/>
              <w:spacing w:after="0" w:line="202" w:lineRule="exact"/>
              <w:rPr>
                <w:sz w:val="20"/>
                <w:szCs w:val="20"/>
                <w:color w:val="auto"/>
              </w:rPr>
            </w:pPr>
            <w:r>
              <w:rPr>
                <w:rFonts w:ascii="Arial" w:cs="Arial" w:eastAsia="Arial" w:hAnsi="Arial"/>
                <w:sz w:val="18"/>
                <w:szCs w:val="18"/>
                <w:b w:val="1"/>
                <w:bCs w:val="1"/>
                <w:color w:val="auto"/>
              </w:rPr>
              <w:t>(4,935)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(6,197)</w:t>
            </w:r>
          </w:p>
        </w:tc>
      </w:tr>
      <w:tr>
        <w:trPr>
          <w:trHeight w:val="225"/>
        </w:trPr>
        <w:tc>
          <w:tcPr>
            <w:tcW w:w="20" w:type="dxa"/>
            <w:vAlign w:val="bottom"/>
          </w:tcPr>
          <w:p>
            <w:pPr>
              <w:spacing w:after="0"/>
              <w:rPr>
                <w:sz w:val="19"/>
                <w:szCs w:val="19"/>
                <w:color w:val="auto"/>
              </w:rPr>
            </w:pPr>
          </w:p>
        </w:tc>
        <w:tc>
          <w:tcPr>
            <w:tcW w:w="6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operating items</w:t>
            </w:r>
          </w:p>
        </w:tc>
        <w:tc>
          <w:tcPr>
            <w:tcW w:w="392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2,503</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w:t>
            </w:r>
          </w:p>
        </w:tc>
      </w:tr>
      <w:tr>
        <w:trPr>
          <w:trHeight w:val="173"/>
        </w:trPr>
        <w:tc>
          <w:tcPr>
            <w:tcW w:w="20" w:type="dxa"/>
            <w:vAlign w:val="bottom"/>
          </w:tcPr>
          <w:p>
            <w:pPr>
              <w:spacing w:after="0"/>
              <w:rPr>
                <w:sz w:val="15"/>
                <w:szCs w:val="15"/>
                <w:color w:val="auto"/>
              </w:rPr>
            </w:pPr>
          </w:p>
        </w:tc>
        <w:tc>
          <w:tcPr>
            <w:tcW w:w="6340" w:type="dxa"/>
            <w:vAlign w:val="bottom"/>
          </w:tcPr>
          <w:p>
            <w:pPr>
              <w:spacing w:after="0" w:line="173" w:lineRule="exact"/>
              <w:rPr>
                <w:sz w:val="20"/>
                <w:szCs w:val="20"/>
                <w:color w:val="auto"/>
              </w:rPr>
            </w:pPr>
            <w:r>
              <w:rPr>
                <w:rFonts w:ascii="Arial" w:cs="Arial" w:eastAsia="Arial" w:hAnsi="Arial"/>
                <w:sz w:val="18"/>
                <w:szCs w:val="18"/>
                <w:color w:val="auto"/>
              </w:rPr>
              <w:t>Net cash provided by operating activities</w:t>
            </w:r>
          </w:p>
        </w:tc>
        <w:tc>
          <w:tcPr>
            <w:tcW w:w="3920" w:type="dxa"/>
            <w:vAlign w:val="bottom"/>
          </w:tcPr>
          <w:p>
            <w:pPr>
              <w:jc w:val="right"/>
              <w:ind w:right="1370"/>
              <w:spacing w:after="0" w:line="173" w:lineRule="exact"/>
              <w:rPr>
                <w:sz w:val="20"/>
                <w:szCs w:val="20"/>
                <w:color w:val="auto"/>
              </w:rPr>
            </w:pPr>
            <w:r>
              <w:rPr>
                <w:rFonts w:ascii="Arial" w:cs="Arial" w:eastAsia="Arial" w:hAnsi="Arial"/>
                <w:sz w:val="18"/>
                <w:szCs w:val="18"/>
                <w:b w:val="1"/>
                <w:bCs w:val="1"/>
                <w:color w:val="auto"/>
              </w:rPr>
              <w:t>22,653</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17,352</w:t>
            </w: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920" w:type="dxa"/>
            <w:vAlign w:val="bottom"/>
          </w:tcPr>
          <w:p>
            <w:pPr>
              <w:jc w:val="right"/>
              <w:ind w:right="1310"/>
              <w:spacing w:after="0" w:line="202" w:lineRule="exact"/>
              <w:rPr>
                <w:sz w:val="20"/>
                <w:szCs w:val="20"/>
                <w:color w:val="auto"/>
              </w:rPr>
            </w:pPr>
            <w:r>
              <w:rPr>
                <w:rFonts w:ascii="Arial" w:cs="Arial" w:eastAsia="Arial" w:hAnsi="Arial"/>
                <w:sz w:val="18"/>
                <w:szCs w:val="18"/>
                <w:b w:val="1"/>
                <w:bCs w:val="1"/>
                <w:color w:val="auto"/>
              </w:rPr>
              <w:t>(214,040)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(28,206)</w:t>
            </w:r>
          </w:p>
        </w:tc>
      </w:tr>
      <w:tr>
        <w:trPr>
          <w:trHeight w:val="203"/>
        </w:trPr>
        <w:tc>
          <w:tcPr>
            <w:tcW w:w="636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920" w:type="dxa"/>
            <w:vAlign w:val="bottom"/>
          </w:tcPr>
          <w:p>
            <w:pPr>
              <w:jc w:val="right"/>
              <w:ind w:right="1370"/>
              <w:spacing w:after="0" w:line="202" w:lineRule="exact"/>
              <w:rPr>
                <w:sz w:val="20"/>
                <w:szCs w:val="20"/>
                <w:color w:val="auto"/>
              </w:rPr>
            </w:pPr>
            <w:r>
              <w:rPr>
                <w:rFonts w:ascii="Arial" w:cs="Arial" w:eastAsia="Arial" w:hAnsi="Arial"/>
                <w:sz w:val="18"/>
                <w:szCs w:val="18"/>
                <w:b w:val="1"/>
                <w:bCs w:val="1"/>
                <w:color w:val="auto"/>
              </w:rPr>
              <w:t>179,358</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20,366</w:t>
            </w: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392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2,941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r>
      <w:tr>
        <w:trPr>
          <w:trHeight w:val="173"/>
        </w:trPr>
        <w:tc>
          <w:tcPr>
            <w:tcW w:w="6360" w:type="dxa"/>
            <w:vAlign w:val="bottom"/>
            <w:gridSpan w:val="2"/>
          </w:tcPr>
          <w:p>
            <w:pPr>
              <w:spacing w:after="0" w:line="173" w:lineRule="exact"/>
              <w:rPr>
                <w:sz w:val="20"/>
                <w:szCs w:val="20"/>
                <w:color w:val="auto"/>
              </w:rPr>
            </w:pPr>
            <w:r>
              <w:rPr>
                <w:rFonts w:ascii="Arial" w:cs="Arial" w:eastAsia="Arial" w:hAnsi="Arial"/>
                <w:sz w:val="18"/>
                <w:szCs w:val="18"/>
                <w:color w:val="auto"/>
              </w:rPr>
              <w:t>Increase/(decrease) in cash and cash equivalents</w:t>
            </w:r>
          </w:p>
        </w:tc>
        <w:tc>
          <w:tcPr>
            <w:tcW w:w="3920" w:type="dxa"/>
            <w:vAlign w:val="bottom"/>
          </w:tcPr>
          <w:p>
            <w:pPr>
              <w:jc w:val="right"/>
              <w:ind w:right="1310"/>
              <w:spacing w:after="0" w:line="173" w:lineRule="exact"/>
              <w:rPr>
                <w:sz w:val="20"/>
                <w:szCs w:val="20"/>
                <w:color w:val="auto"/>
              </w:rPr>
            </w:pPr>
            <w:r>
              <w:rPr>
                <w:rFonts w:ascii="Arial" w:cs="Arial" w:eastAsia="Arial" w:hAnsi="Arial"/>
                <w:sz w:val="18"/>
                <w:szCs w:val="18"/>
                <w:b w:val="1"/>
                <w:bCs w:val="1"/>
                <w:color w:val="auto"/>
              </w:rPr>
              <w:t>(9,088)</w:t>
            </w:r>
          </w:p>
        </w:tc>
        <w:tc>
          <w:tcPr>
            <w:tcW w:w="11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2,672</w:t>
            </w:r>
          </w:p>
        </w:tc>
      </w:tr>
      <w:tr>
        <w:trPr>
          <w:trHeight w:val="225"/>
        </w:trPr>
        <w:tc>
          <w:tcPr>
            <w:tcW w:w="6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92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185,113</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179,802</w:t>
            </w:r>
          </w:p>
        </w:tc>
      </w:tr>
      <w:tr>
        <w:trPr>
          <w:trHeight w:val="196"/>
        </w:trPr>
        <w:tc>
          <w:tcPr>
            <w:tcW w:w="6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920" w:type="dxa"/>
            <w:vAlign w:val="bottom"/>
            <w:tcBorders>
              <w:bottom w:val="single" w:sz="8" w:color="auto"/>
            </w:tcBorders>
          </w:tcPr>
          <w:p>
            <w:pPr>
              <w:jc w:val="right"/>
              <w:ind w:right="1370"/>
              <w:spacing w:after="0" w:line="196" w:lineRule="exact"/>
              <w:rPr>
                <w:sz w:val="20"/>
                <w:szCs w:val="20"/>
                <w:color w:val="auto"/>
              </w:rPr>
            </w:pPr>
            <w:r>
              <w:rPr>
                <w:rFonts w:ascii="Arial" w:cs="Arial" w:eastAsia="Arial" w:hAnsi="Arial"/>
                <w:sz w:val="18"/>
                <w:szCs w:val="18"/>
                <w:b w:val="1"/>
                <w:bCs w:val="1"/>
                <w:color w:val="auto"/>
              </w:rPr>
              <w:t>$176,025</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$182,474</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jc w:val="both"/>
        <w:ind w:right="40" w:firstLine="648"/>
        <w:spacing w:after="0" w:line="234" w:lineRule="auto"/>
        <w:rPr>
          <w:sz w:val="20"/>
          <w:szCs w:val="20"/>
          <w:color w:val="auto"/>
        </w:rPr>
      </w:pPr>
      <w:r>
        <w:rPr>
          <w:rFonts w:ascii="Arial" w:cs="Arial" w:eastAsia="Arial" w:hAnsi="Arial"/>
          <w:sz w:val="18"/>
          <w:szCs w:val="18"/>
          <w:color w:val="auto"/>
        </w:rPr>
        <w:t>Cash provided by operating activities was $22.7 million for the first six months of 2016, compared to $17.4 million in the same period of 2015. Changes in working capital for the first six months of 2016 resulted in a use of cash totaling $31.1 million compared to $16.9 million in</w:t>
      </w:r>
    </w:p>
    <w:p>
      <w:pPr>
        <w:spacing w:after="0" w:line="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2015. Included in Changes in working capital is Other, net cash flows which used $5.3 million of cash in 2016 compared to providing $4.6 million in 2015, reflecting the write off of the BR 725 program in 2015. Cash paid for income taxes was $14.1 million and $12.0 million for the first six months of 2016 and 2015, respectively.</w:t>
      </w:r>
    </w:p>
    <w:p>
      <w:pPr>
        <w:spacing w:after="0" w:line="95"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At June 30, 2016, we had $ 176.0 million of cash and cash equivalents, of which $153.4 million was held by subsidiaries outside of the United States. As disclosed in Note 7 contained in Item 1, “Notes to Consolidated Financial Statements”, we determined that all but $59.0 million of this amount (which represents the amount of prior year earnings to be repatriated to the United States at some point in the future) is intended to be utilized by these non-U.S. operations for an indefinite period of time. Our current plans do not anticipate that we will need additional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ind w:right="460" w:firstLine="648"/>
        <w:spacing w:after="0" w:line="239" w:lineRule="auto"/>
        <w:rPr>
          <w:sz w:val="20"/>
          <w:szCs w:val="20"/>
          <w:color w:val="auto"/>
        </w:rPr>
      </w:pPr>
      <w:r>
        <w:rPr>
          <w:rFonts w:ascii="Arial" w:cs="Arial" w:eastAsia="Arial" w:hAnsi="Arial"/>
          <w:sz w:val="18"/>
          <w:szCs w:val="18"/>
          <w:color w:val="auto"/>
        </w:rPr>
        <w:t>Total capital expenditures for the second quarter of 2016 were $30.9 million, including amounts that were included in Accounts payable. In the Consolidated Statements of Cash Flows, capital expenditures and accounts payable were each adjusted by $2.1 million to reflect the non-cash nature of that amount. The Company estimates full-year capital expenditure spending of $75 million to $85 million, including capital expenditures for the acquired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ind w:right="220" w:firstLine="648"/>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June 30, 2016 was held by non-U.S. subsidiaries. Based on cash on hand and credit facilities, we anticipate that the Company has sufficient capital resources to operate for the foreseeable future. We were in compliance with all debt covenants as of June 30, 2016.</w:t>
      </w:r>
    </w:p>
    <w:p>
      <w:pPr>
        <w:spacing w:after="0" w:line="95" w:lineRule="exact"/>
        <w:rPr>
          <w:sz w:val="20"/>
          <w:szCs w:val="20"/>
          <w:color w:val="auto"/>
        </w:rPr>
      </w:pPr>
    </w:p>
    <w:p>
      <w:pPr>
        <w:ind w:right="280" w:firstLine="648"/>
        <w:spacing w:after="0" w:line="237" w:lineRule="auto"/>
        <w:rPr>
          <w:sz w:val="20"/>
          <w:szCs w:val="20"/>
          <w:color w:val="auto"/>
        </w:rPr>
      </w:pPr>
      <w:r>
        <w:rPr>
          <w:rFonts w:ascii="Arial" w:cs="Arial" w:eastAsia="Arial" w:hAnsi="Arial"/>
          <w:sz w:val="18"/>
          <w:szCs w:val="18"/>
          <w:color w:val="auto"/>
        </w:rPr>
        <w:t>On April 8, 2016, we entered into a $550 million unsecured Five-Year Revolving Credit Facility Agreement (the “Credit Agreement”) which amends and restates the Prior $ 400 million Agreement, entered into on June 18, 2015 (the “Prior Agreement”). Under the Credit Agreement, $412 million of borrowings were outstanding as of June 30, 2016. The applicable interest rate for borrowings was LIBOR plus a spread, based on our leverage ratio at the time of borrowing. At the time of the last borrowing on June 16, 2016, the spread was 1.50%. The spread was based on a pricing grid, which ranged from 1.25% to 1.75%, based on our leverage ratio. Based on our maximum leverage ratio and our Consolidated EBITDA, and without modification to any other credit agreements, as of June 30, 2016, we would have been able to borrow an additional $138 million under the Agreement.</w:t>
      </w:r>
    </w:p>
    <w:p>
      <w:pPr>
        <w:spacing w:after="0" w:line="95"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On May 6, 2016, we terminated our interest rate swap agreements that had effectively fixed the interest rate on up to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95" w:lineRule="exact"/>
        <w:rPr>
          <w:sz w:val="20"/>
          <w:szCs w:val="20"/>
          <w:color w:val="auto"/>
        </w:rPr>
      </w:pPr>
    </w:p>
    <w:p>
      <w:pPr>
        <w:jc w:val="both"/>
        <w:ind w:right="80" w:firstLine="648"/>
        <w:spacing w:after="0" w:line="237" w:lineRule="auto"/>
        <w:rPr>
          <w:sz w:val="20"/>
          <w:szCs w:val="20"/>
          <w:color w:val="auto"/>
        </w:rPr>
      </w:pPr>
      <w:r>
        <w:rPr>
          <w:rFonts w:ascii="Arial" w:cs="Arial" w:eastAsia="Arial" w:hAnsi="Arial"/>
          <w:sz w:val="18"/>
          <w:szCs w:val="18"/>
          <w:color w:val="auto"/>
        </w:rPr>
        <w:t>On May 9, 2016, we entered into interest rate hedging for the period May 16, 2016 through March 16, 2021. These transactions have the effect of fixing the LIBOR portion of the effective interest rate (before addition of the spread) on $300 million of indebtedness drawn under the Credit Agreement at the rate of 1.245% during the period. Under the terms of these transactions, we pay the fixed rate of 1.245% and the counterparties pay a floating rate based on the one-month LIBOR rate at each monthly calculation date, which on June 16, 2016 was 0.450%. The net effect is to fix the effective interest rate on $300 million of indebtedness at 1.245%, plus the applicable spread, during the swap period. On June 16, 2016, the all-in-rate on the $300 million of debt was 2.745%.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42" w:name="page43"/>
    <w:bookmarkEnd w:id="42"/>
    <w:p>
      <w:pPr>
        <w:ind w:right="300" w:firstLine="648"/>
        <w:spacing w:after="0" w:line="239" w:lineRule="auto"/>
        <w:rPr>
          <w:sz w:val="20"/>
          <w:szCs w:val="20"/>
          <w:color w:val="auto"/>
        </w:rPr>
      </w:pPr>
      <w:r>
        <w:rPr>
          <w:rFonts w:ascii="Arial" w:cs="Arial" w:eastAsia="Arial" w:hAnsi="Arial"/>
          <w:sz w:val="18"/>
          <w:szCs w:val="18"/>
          <w:color w:val="auto"/>
        </w:rPr>
        <w:t>As of June 30, 2016, our leverage ratio, including the pro-forma effect of the acquisition, was 2.31 to 1.00 and our interest coverage ratio was 14.18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14 to the Consolidated Financial Statements in Item 1, which is incorporated herein by reference.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2016, we have no off-balance sheet arrangements required to be disclosed pursuant to Item 303(a)(4) of Regulation S-</w:t>
      </w:r>
    </w:p>
    <w:p>
      <w:pPr>
        <w:spacing w:after="0"/>
        <w:rPr>
          <w:sz w:val="20"/>
          <w:szCs w:val="20"/>
          <w:color w:val="auto"/>
        </w:rPr>
      </w:pPr>
      <w:r>
        <w:rPr>
          <w:rFonts w:ascii="Arial" w:cs="Arial" w:eastAsia="Arial" w:hAnsi="Arial"/>
          <w:sz w:val="18"/>
          <w:szCs w:val="18"/>
          <w:color w:val="auto"/>
        </w:rPr>
        <w:t>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28" w:lineRule="exact"/>
        <w:rPr>
          <w:sz w:val="20"/>
          <w:szCs w:val="20"/>
          <w:color w:val="auto"/>
        </w:rPr>
      </w:pPr>
    </w:p>
    <w:p>
      <w:pPr>
        <w:ind w:right="520" w:firstLine="648"/>
        <w:spacing w:after="0" w:line="246" w:lineRule="auto"/>
        <w:rPr>
          <w:sz w:val="20"/>
          <w:szCs w:val="20"/>
          <w:color w:val="auto"/>
        </w:rPr>
      </w:pPr>
      <w:r>
        <w:rPr>
          <w:rFonts w:ascii="Arial" w:cs="Arial" w:eastAsia="Arial" w:hAnsi="Arial"/>
          <w:sz w:val="18"/>
          <w:szCs w:val="18"/>
          <w:color w:val="auto"/>
        </w:rPr>
        <w:t>The information set forth under Note 18 contained in Item 1, “Notes to Consolidated Financial Statements”, which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328" w:lineRule="exact"/>
        <w:rPr>
          <w:sz w:val="20"/>
          <w:szCs w:val="20"/>
          <w:color w:val="auto"/>
        </w:rPr>
      </w:pPr>
    </w:p>
    <w:p>
      <w:pPr>
        <w:ind w:right="280" w:firstLine="648"/>
        <w:spacing w:after="0" w:line="238" w:lineRule="auto"/>
        <w:rPr>
          <w:sz w:val="20"/>
          <w:szCs w:val="20"/>
          <w:color w:val="auto"/>
        </w:rPr>
      </w:pPr>
      <w:r>
        <w:rPr>
          <w:rFonts w:ascii="Arial" w:cs="Arial" w:eastAsia="Arial" w:hAnsi="Arial"/>
          <w:sz w:val="18"/>
          <w:szCs w:val="18"/>
          <w:color w:val="auto"/>
        </w:rPr>
        <w:t>This Form 10-Q contains certain non-GAAP metrics, including: percent change in net sales excluding currency rate effects (for each segment and the Company as a whole); EBITDA and Adjusted EBITDA (for each segment and the Company as a whole); net debt; and net income per share attributable to the Company, excluding adjustments. Such items are provided because management believes that, when reconciled from the GAAP items to which they relate, they provide additional useful information to investors regarding the Company’s operational performance.</w:t>
      </w:r>
    </w:p>
    <w:p>
      <w:pPr>
        <w:spacing w:after="0" w:line="200" w:lineRule="exact"/>
        <w:rPr>
          <w:sz w:val="20"/>
          <w:szCs w:val="20"/>
          <w:color w:val="auto"/>
        </w:rPr>
      </w:pPr>
    </w:p>
    <w:p>
      <w:pPr>
        <w:spacing w:after="0" w:line="205" w:lineRule="exact"/>
        <w:rPr>
          <w:sz w:val="20"/>
          <w:szCs w:val="20"/>
          <w:color w:val="auto"/>
        </w:rPr>
      </w:pPr>
    </w:p>
    <w:p>
      <w:pPr>
        <w:ind w:right="240" w:firstLine="648"/>
        <w:spacing w:after="0" w:line="236" w:lineRule="auto"/>
        <w:rPr>
          <w:sz w:val="20"/>
          <w:szCs w:val="20"/>
          <w:color w:val="auto"/>
        </w:rPr>
      </w:pPr>
      <w:r>
        <w:rPr>
          <w:rFonts w:ascii="Arial" w:cs="Arial" w:eastAsia="Arial" w:hAnsi="Arial"/>
          <w:sz w:val="18"/>
          <w:szCs w:val="18"/>
          <w:color w:val="auto"/>
        </w:rPr>
        <w:t>Presenting increases or decreases in sales, after currency effects are excluded, can give management and investors insight into underlying sales trends.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acquisition expenses, currency revaluation,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Net debt is, in the opinion of the Company, helpful to investors wishing to understand what the Company’s debt position would be if all available cash were applied to pay down indebtedness. EBITDA, Adjusted EBITDA and net income per share, excluding adjustments, are performance measures that relate to the Company’s continuing operations.</w:t>
      </w:r>
    </w:p>
    <w:p>
      <w:pPr>
        <w:spacing w:after="0" w:line="200" w:lineRule="exact"/>
        <w:rPr>
          <w:sz w:val="20"/>
          <w:szCs w:val="20"/>
          <w:color w:val="auto"/>
        </w:rPr>
      </w:pPr>
    </w:p>
    <w:p>
      <w:pPr>
        <w:spacing w:after="0" w:line="20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Percent changes in net sales, excluding currency rate effects, is calculated by converting amounts reported in local currencies into U.S. dollars at the exchange rate of a prior period. That amount is then compared to the U.S. dollar amount reported in the current period. The Company calculates EBITDA by removing the following from Net income: Interest expense net, Income tax expense, and Depreciation and amortization. Adjusted EBITDA is calculated by: adding to EBITDA costs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3" w:name="page44"/>
    <w:bookmarkEnd w:id="43"/>
    <w:p>
      <w:pPr>
        <w:ind w:right="60"/>
        <w:spacing w:after="0" w:line="237" w:lineRule="auto"/>
        <w:rPr>
          <w:sz w:val="20"/>
          <w:szCs w:val="20"/>
          <w:color w:val="auto"/>
        </w:rPr>
      </w:pPr>
      <w:r>
        <w:rPr>
          <w:rFonts w:ascii="Arial" w:cs="Arial" w:eastAsia="Arial" w:hAnsi="Arial"/>
          <w:sz w:val="18"/>
          <w:szCs w:val="18"/>
          <w:color w:val="auto"/>
        </w:rPr>
        <w:t>associated with restructuring and pension settlement charges; adding (or subtracting) revaluation losses (or gains); subtracting (or adding) gains (or losses) from the sale of buildings or investments; subtracting insurance recovery gains; subtracting (or adding) Income (or loss) attributable to the non-controlling interest in Albany Safran Composites (ASC); and adding expenses related to the Company’s acquisition of Harris Corporation’s composite aerostructures division. Net income per share, excluding adjustments, is calculated by adding to (or subtracting from) net income attributable to the Company per share, on an after-tax basis: restructuring charges; discrete tax charges (or gains) and the effect of changes in the income tax rate; foreign currency revaluation losses (or gains); acquisition expenses; and losses (or gains) from the sale of investments.</w:t>
      </w:r>
    </w:p>
    <w:p>
      <w:pPr>
        <w:spacing w:after="0" w:line="298" w:lineRule="exact"/>
        <w:rPr>
          <w:sz w:val="20"/>
          <w:szCs w:val="20"/>
          <w:color w:val="auto"/>
        </w:rPr>
      </w:pPr>
    </w:p>
    <w:p>
      <w:pPr>
        <w:ind w:right="140" w:firstLine="648"/>
        <w:spacing w:after="0"/>
        <w:rPr>
          <w:sz w:val="20"/>
          <w:szCs w:val="20"/>
          <w:color w:val="auto"/>
        </w:rPr>
      </w:pPr>
      <w:r>
        <w:rPr>
          <w:rFonts w:ascii="Arial" w:cs="Arial" w:eastAsia="Arial" w:hAnsi="Arial"/>
          <w:sz w:val="18"/>
          <w:szCs w:val="18"/>
          <w:color w:val="auto"/>
        </w:rPr>
        <w:t>EBITDA, Adjusted EBITDA, and net income per share, excluding adjustments, as defined by the Company, may not be similar to EBITDA measures of other companies. Such measures are not considered measurements under GAAP, and should be considered in addition to, but not as substitutes for, the information contained in the Company’s statements of income.</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June 30, 2016</w:t>
            </w:r>
          </w:p>
        </w:tc>
        <w:tc>
          <w:tcPr>
            <w:tcW w:w="18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Machine</w:t>
            </w:r>
          </w:p>
        </w:tc>
        <w:tc>
          <w:tcPr>
            <w:tcW w:w="152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Clothing</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AEC</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73"/>
        </w:trPr>
        <w:tc>
          <w:tcPr>
            <w:tcW w:w="484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$35,405</w:t>
            </w:r>
          </w:p>
        </w:tc>
        <w:tc>
          <w:tcPr>
            <w:tcW w:w="1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($5,848)</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($19,456)</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$10,101</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3,691</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3,691</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6,082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6,082</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9,496</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6,354</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2,109</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17,959</w:t>
            </w:r>
          </w:p>
        </w:tc>
        <w:tc>
          <w:tcPr>
            <w:tcW w:w="0" w:type="dxa"/>
            <w:vAlign w:val="bottom"/>
          </w:tcPr>
          <w:p>
            <w:pPr>
              <w:spacing w:after="0"/>
              <w:rPr>
                <w:sz w:val="1"/>
                <w:szCs w:val="1"/>
                <w:color w:val="auto"/>
              </w:rPr>
            </w:pPr>
          </w:p>
        </w:tc>
      </w:tr>
      <w:tr>
        <w:trPr>
          <w:trHeight w:val="173"/>
        </w:trPr>
        <w:tc>
          <w:tcPr>
            <w:tcW w:w="484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44,901</w:t>
            </w:r>
          </w:p>
        </w:tc>
        <w:tc>
          <w:tcPr>
            <w:tcW w:w="152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506</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(7,574)</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37,833</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5,434</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1,147</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67</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6,648</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(330)</w:t>
            </w:r>
          </w:p>
        </w:tc>
        <w:tc>
          <w:tcPr>
            <w:tcW w:w="15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(1,571)</w:t>
            </w: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(1,902)</w:t>
            </w:r>
          </w:p>
        </w:tc>
        <w:tc>
          <w:tcPr>
            <w:tcW w:w="0" w:type="dxa"/>
            <w:vAlign w:val="bottom"/>
          </w:tcPr>
          <w:p>
            <w:pPr>
              <w:spacing w:after="0"/>
              <w:rPr>
                <w:sz w:val="1"/>
                <w:szCs w:val="1"/>
                <w:color w:val="auto"/>
              </w:rPr>
            </w:pPr>
          </w:p>
        </w:tc>
      </w:tr>
      <w:tr>
        <w:trPr>
          <w:trHeight w:val="225"/>
        </w:trPr>
        <w:tc>
          <w:tcPr>
            <w:tcW w:w="4840" w:type="dxa"/>
            <w:vAlign w:val="bottom"/>
            <w:gridSpan w:val="2"/>
          </w:tcPr>
          <w:p>
            <w:pPr>
              <w:spacing w:after="0"/>
              <w:rPr>
                <w:sz w:val="20"/>
                <w:szCs w:val="20"/>
                <w:color w:val="auto"/>
              </w:rPr>
            </w:pPr>
            <w:r>
              <w:rPr>
                <w:rFonts w:ascii="Arial" w:cs="Arial" w:eastAsia="Arial" w:hAnsi="Arial"/>
                <w:sz w:val="18"/>
                <w:szCs w:val="18"/>
                <w:color w:val="auto"/>
              </w:rPr>
              <w:t>Acquisition expenses</w:t>
            </w: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3,771</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3,771</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Pretax loss attributable to the noncontrolling interest in</w:t>
            </w:r>
          </w:p>
        </w:tc>
        <w:tc>
          <w:tcPr>
            <w:tcW w:w="1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ASC</w:t>
            </w:r>
          </w:p>
        </w:tc>
        <w:tc>
          <w:tcPr>
            <w:tcW w:w="18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276</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18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$50,005</w:t>
            </w:r>
          </w:p>
        </w:tc>
        <w:tc>
          <w:tcPr>
            <w:tcW w:w="1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$5,699</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($9,078)</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$46,626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Three months ended June 30, 2015</w:t>
            </w:r>
          </w:p>
        </w:tc>
        <w:tc>
          <w:tcPr>
            <w:tcW w:w="1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Machine</w:t>
            </w:r>
          </w:p>
        </w:tc>
        <w:tc>
          <w:tcPr>
            <w:tcW w:w="152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Clothing</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AEC</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95"/>
        </w:trPr>
        <w:tc>
          <w:tcPr>
            <w:tcW w:w="4840" w:type="dxa"/>
            <w:vAlign w:val="bottom"/>
            <w:gridSpan w:val="2"/>
          </w:tcPr>
          <w:p>
            <w:pPr>
              <w:spacing w:after="0" w:line="195" w:lineRule="exact"/>
              <w:rPr>
                <w:sz w:val="20"/>
                <w:szCs w:val="20"/>
                <w:color w:val="auto"/>
              </w:rPr>
            </w:pPr>
            <w:r>
              <w:rPr>
                <w:rFonts w:ascii="Arial" w:cs="Arial" w:eastAsia="Arial" w:hAnsi="Arial"/>
                <w:sz w:val="18"/>
                <w:szCs w:val="18"/>
                <w:color w:val="auto"/>
              </w:rPr>
              <w:t>Net income/(loss) (GAAP)</w:t>
            </w:r>
          </w:p>
        </w:tc>
        <w:tc>
          <w:tcPr>
            <w:tcW w:w="18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$33,323</w:t>
            </w:r>
          </w:p>
        </w:tc>
        <w:tc>
          <w:tcPr>
            <w:tcW w:w="15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($18,633)</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($16,810)</w:t>
            </w: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2,702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(364)</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10,212</w:t>
            </w:r>
          </w:p>
        </w:tc>
        <w:tc>
          <w:tcPr>
            <w:tcW w:w="15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2,869</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2,103</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15,184</w:t>
            </w:r>
          </w:p>
        </w:tc>
        <w:tc>
          <w:tcPr>
            <w:tcW w:w="0" w:type="dxa"/>
            <w:vAlign w:val="bottom"/>
          </w:tcPr>
          <w:p>
            <w:pPr>
              <w:spacing w:after="0"/>
              <w:rPr>
                <w:sz w:val="1"/>
                <w:szCs w:val="1"/>
                <w:color w:val="auto"/>
              </w:rPr>
            </w:pPr>
          </w:p>
        </w:tc>
      </w:tr>
      <w:tr>
        <w:trPr>
          <w:trHeight w:val="195"/>
        </w:trPr>
        <w:tc>
          <w:tcPr>
            <w:tcW w:w="4840" w:type="dxa"/>
            <w:vAlign w:val="bottom"/>
            <w:gridSpan w:val="2"/>
          </w:tcPr>
          <w:p>
            <w:pPr>
              <w:spacing w:after="0" w:line="195" w:lineRule="exact"/>
              <w:rPr>
                <w:sz w:val="20"/>
                <w:szCs w:val="20"/>
                <w:color w:val="auto"/>
              </w:rPr>
            </w:pPr>
            <w:r>
              <w:rPr>
                <w:rFonts w:ascii="Arial" w:cs="Arial" w:eastAsia="Arial" w:hAnsi="Arial"/>
                <w:sz w:val="18"/>
                <w:szCs w:val="18"/>
                <w:color w:val="auto"/>
              </w:rPr>
              <w:t>EBITDA (non-GAAP)</w:t>
            </w:r>
          </w:p>
        </w:tc>
        <w:tc>
          <w:tcPr>
            <w:tcW w:w="186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43,535</w:t>
            </w:r>
          </w:p>
        </w:tc>
        <w:tc>
          <w:tcPr>
            <w:tcW w:w="15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(15,764)</w:t>
            </w:r>
          </w:p>
        </w:tc>
        <w:tc>
          <w:tcPr>
            <w:tcW w:w="1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(12,369)</w:t>
            </w:r>
          </w:p>
        </w:tc>
        <w:tc>
          <w:tcPr>
            <w:tcW w:w="15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1,211</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394</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1,880</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Pretax income attributable to the noncontrolling interest</w:t>
            </w:r>
          </w:p>
        </w:tc>
        <w:tc>
          <w:tcPr>
            <w:tcW w:w="1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ASC</w:t>
            </w:r>
          </w:p>
        </w:tc>
        <w:tc>
          <w:tcPr>
            <w:tcW w:w="18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(64)</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186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$45,140</w:t>
            </w:r>
          </w:p>
        </w:tc>
        <w:tc>
          <w:tcPr>
            <w:tcW w:w="15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($15,827)</w:t>
            </w:r>
          </w:p>
        </w:tc>
        <w:tc>
          <w:tcPr>
            <w:tcW w:w="16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($10,489)</w:t>
            </w:r>
          </w:p>
        </w:tc>
        <w:tc>
          <w:tcPr>
            <w:tcW w:w="15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$18,824</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482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44</w:t>
            </w:r>
          </w:p>
        </w:tc>
        <w:tc>
          <w:tcPr>
            <w:tcW w:w="15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Six months ended June 30, 2016</w:t>
            </w:r>
          </w:p>
        </w:tc>
        <w:tc>
          <w:tcPr>
            <w:tcW w:w="18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Machine</w:t>
            </w:r>
          </w:p>
        </w:tc>
        <w:tc>
          <w:tcPr>
            <w:tcW w:w="152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Clothing</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AEC</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73"/>
        </w:trPr>
        <w:tc>
          <w:tcPr>
            <w:tcW w:w="484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$72,543</w:t>
            </w:r>
          </w:p>
        </w:tc>
        <w:tc>
          <w:tcPr>
            <w:tcW w:w="1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($9,553)</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($39,573)</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$23,417</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5,929</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5,929</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13,125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13,125</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18,813</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9,750</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4,216</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32,779</w:t>
            </w:r>
          </w:p>
        </w:tc>
        <w:tc>
          <w:tcPr>
            <w:tcW w:w="0" w:type="dxa"/>
            <w:vAlign w:val="bottom"/>
          </w:tcPr>
          <w:p>
            <w:pPr>
              <w:spacing w:after="0"/>
              <w:rPr>
                <w:sz w:val="1"/>
                <w:szCs w:val="1"/>
                <w:color w:val="auto"/>
              </w:rPr>
            </w:pPr>
          </w:p>
        </w:tc>
      </w:tr>
      <w:tr>
        <w:trPr>
          <w:trHeight w:val="173"/>
        </w:trPr>
        <w:tc>
          <w:tcPr>
            <w:tcW w:w="484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91,356</w:t>
            </w:r>
          </w:p>
        </w:tc>
        <w:tc>
          <w:tcPr>
            <w:tcW w:w="152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197</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(16,303)</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75,250</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6,132</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1,147</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7,327</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1,560</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(2,047)</w:t>
            </w: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(483)</w:t>
            </w:r>
          </w:p>
        </w:tc>
        <w:tc>
          <w:tcPr>
            <w:tcW w:w="0" w:type="dxa"/>
            <w:vAlign w:val="bottom"/>
          </w:tcPr>
          <w:p>
            <w:pPr>
              <w:spacing w:after="0"/>
              <w:rPr>
                <w:sz w:val="1"/>
                <w:szCs w:val="1"/>
                <w:color w:val="auto"/>
              </w:rPr>
            </w:pPr>
          </w:p>
        </w:tc>
      </w:tr>
      <w:tr>
        <w:trPr>
          <w:trHeight w:val="225"/>
        </w:trPr>
        <w:tc>
          <w:tcPr>
            <w:tcW w:w="4840" w:type="dxa"/>
            <w:vAlign w:val="bottom"/>
            <w:gridSpan w:val="2"/>
          </w:tcPr>
          <w:p>
            <w:pPr>
              <w:spacing w:after="0"/>
              <w:rPr>
                <w:sz w:val="20"/>
                <w:szCs w:val="20"/>
                <w:color w:val="auto"/>
              </w:rPr>
            </w:pPr>
            <w:r>
              <w:rPr>
                <w:rFonts w:ascii="Arial" w:cs="Arial" w:eastAsia="Arial" w:hAnsi="Arial"/>
                <w:sz w:val="18"/>
                <w:szCs w:val="18"/>
                <w:color w:val="auto"/>
              </w:rPr>
              <w:t>Acquisition expenses</w:t>
            </w: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5,367</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5,367</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Pretax loss attributable to the noncontrolling interest in</w:t>
            </w:r>
          </w:p>
        </w:tc>
        <w:tc>
          <w:tcPr>
            <w:tcW w:w="1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463</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ASC</w:t>
            </w:r>
          </w:p>
        </w:tc>
        <w:tc>
          <w:tcPr>
            <w:tcW w:w="18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463</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18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$99,048</w:t>
            </w:r>
          </w:p>
        </w:tc>
        <w:tc>
          <w:tcPr>
            <w:tcW w:w="15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$7,178</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($18,302)</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$87,924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Six months ended June 30, 2015</w:t>
            </w:r>
          </w:p>
        </w:tc>
        <w:tc>
          <w:tcPr>
            <w:tcW w:w="1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Machine</w:t>
            </w:r>
          </w:p>
        </w:tc>
        <w:tc>
          <w:tcPr>
            <w:tcW w:w="1520" w:type="dxa"/>
            <w:vAlign w:val="bottom"/>
          </w:tcPr>
          <w:p>
            <w:pPr>
              <w:spacing w:after="0"/>
              <w:rPr>
                <w:sz w:val="17"/>
                <w:szCs w:val="17"/>
                <w:color w:val="auto"/>
              </w:rPr>
            </w:pPr>
          </w:p>
        </w:tc>
        <w:tc>
          <w:tcPr>
            <w:tcW w:w="1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expenses and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Clothing</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AEC</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other</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173"/>
        </w:trPr>
        <w:tc>
          <w:tcPr>
            <w:tcW w:w="4840" w:type="dxa"/>
            <w:vAlign w:val="bottom"/>
            <w:gridSpan w:val="2"/>
          </w:tcPr>
          <w:p>
            <w:pPr>
              <w:spacing w:after="0" w:line="173" w:lineRule="exact"/>
              <w:rPr>
                <w:sz w:val="20"/>
                <w:szCs w:val="20"/>
                <w:color w:val="auto"/>
              </w:rPr>
            </w:pPr>
            <w:r>
              <w:rPr>
                <w:rFonts w:ascii="Arial" w:cs="Arial" w:eastAsia="Arial" w:hAnsi="Arial"/>
                <w:sz w:val="18"/>
                <w:szCs w:val="18"/>
                <w:color w:val="auto"/>
              </w:rPr>
              <w:t>Net income (GAAP)</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$69,013</w:t>
            </w:r>
          </w:p>
        </w:tc>
        <w:tc>
          <w:tcPr>
            <w:tcW w:w="1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($22,444)</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($36,450)</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$10,119</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5,378</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5,378</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8,155</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8,155</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20,416</w:t>
            </w: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5,865</w:t>
            </w: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4,257</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30,538</w:t>
            </w:r>
          </w:p>
        </w:tc>
        <w:tc>
          <w:tcPr>
            <w:tcW w:w="0" w:type="dxa"/>
            <w:vAlign w:val="bottom"/>
          </w:tcPr>
          <w:p>
            <w:pPr>
              <w:spacing w:after="0"/>
              <w:rPr>
                <w:sz w:val="1"/>
                <w:szCs w:val="1"/>
                <w:color w:val="auto"/>
              </w:rPr>
            </w:pPr>
          </w:p>
        </w:tc>
      </w:tr>
      <w:tr>
        <w:trPr>
          <w:trHeight w:val="173"/>
        </w:trPr>
        <w:tc>
          <w:tcPr>
            <w:tcW w:w="4840" w:type="dxa"/>
            <w:vAlign w:val="bottom"/>
            <w:gridSpan w:val="2"/>
          </w:tcPr>
          <w:p>
            <w:pPr>
              <w:spacing w:after="0" w:line="173" w:lineRule="exact"/>
              <w:rPr>
                <w:sz w:val="20"/>
                <w:szCs w:val="20"/>
                <w:color w:val="auto"/>
              </w:rPr>
            </w:pPr>
            <w:r>
              <w:rPr>
                <w:rFonts w:ascii="Arial" w:cs="Arial" w:eastAsia="Arial" w:hAnsi="Arial"/>
                <w:sz w:val="18"/>
                <w:szCs w:val="18"/>
                <w:color w:val="auto"/>
              </w:rPr>
              <w:t>EBITDA (non-GAAP)</w:t>
            </w:r>
          </w:p>
        </w:tc>
        <w:tc>
          <w:tcPr>
            <w:tcW w:w="1860" w:type="dxa"/>
            <w:vAlign w:val="bottom"/>
          </w:tcPr>
          <w:p>
            <w:pPr>
              <w:jc w:val="right"/>
              <w:ind w:right="410"/>
              <w:spacing w:after="0" w:line="173" w:lineRule="exact"/>
              <w:rPr>
                <w:sz w:val="20"/>
                <w:szCs w:val="20"/>
                <w:color w:val="auto"/>
              </w:rPr>
            </w:pPr>
            <w:r>
              <w:rPr>
                <w:rFonts w:ascii="Arial" w:cs="Arial" w:eastAsia="Arial" w:hAnsi="Arial"/>
                <w:sz w:val="18"/>
                <w:szCs w:val="18"/>
                <w:color w:val="auto"/>
              </w:rPr>
              <w:t>89,429</w:t>
            </w:r>
          </w:p>
        </w:tc>
        <w:tc>
          <w:tcPr>
            <w:tcW w:w="1520" w:type="dxa"/>
            <w:vAlign w:val="bottom"/>
          </w:tcPr>
          <w:p>
            <w:pPr>
              <w:jc w:val="right"/>
              <w:ind w:right="150"/>
              <w:spacing w:after="0" w:line="173" w:lineRule="exact"/>
              <w:rPr>
                <w:sz w:val="20"/>
                <w:szCs w:val="20"/>
                <w:color w:val="auto"/>
              </w:rPr>
            </w:pPr>
            <w:r>
              <w:rPr>
                <w:rFonts w:ascii="Arial" w:cs="Arial" w:eastAsia="Arial" w:hAnsi="Arial"/>
                <w:sz w:val="18"/>
                <w:szCs w:val="18"/>
                <w:color w:val="auto"/>
              </w:rPr>
              <w:t>(16,579)</w:t>
            </w:r>
          </w:p>
        </w:tc>
        <w:tc>
          <w:tcPr>
            <w:tcW w:w="1680" w:type="dxa"/>
            <w:vAlign w:val="bottom"/>
          </w:tcPr>
          <w:p>
            <w:pPr>
              <w:jc w:val="right"/>
              <w:ind w:right="130"/>
              <w:spacing w:after="0" w:line="173" w:lineRule="exact"/>
              <w:rPr>
                <w:sz w:val="20"/>
                <w:szCs w:val="20"/>
                <w:color w:val="auto"/>
              </w:rPr>
            </w:pPr>
            <w:r>
              <w:rPr>
                <w:rFonts w:ascii="Arial" w:cs="Arial" w:eastAsia="Arial" w:hAnsi="Arial"/>
                <w:sz w:val="18"/>
                <w:szCs w:val="18"/>
                <w:color w:val="auto"/>
              </w:rPr>
              <w:t>(18,660)</w:t>
            </w:r>
          </w:p>
        </w:tc>
        <w:tc>
          <w:tcPr>
            <w:tcW w:w="15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54,190</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8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10,212</w:t>
            </w:r>
          </w:p>
        </w:tc>
        <w:tc>
          <w:tcPr>
            <w:tcW w:w="15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10,212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18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(2,529)</w:t>
            </w:r>
          </w:p>
        </w:tc>
        <w:tc>
          <w:tcPr>
            <w:tcW w:w="15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(551)</w:t>
            </w: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(3,097)</w:t>
            </w:r>
          </w:p>
        </w:tc>
        <w:tc>
          <w:tcPr>
            <w:tcW w:w="0" w:type="dxa"/>
            <w:vAlign w:val="bottom"/>
          </w:tcPr>
          <w:p>
            <w:pPr>
              <w:spacing w:after="0"/>
              <w:rPr>
                <w:sz w:val="1"/>
                <w:szCs w:val="1"/>
                <w:color w:val="auto"/>
              </w:rPr>
            </w:pPr>
          </w:p>
        </w:tc>
      </w:tr>
      <w:tr>
        <w:trPr>
          <w:trHeight w:val="225"/>
        </w:trPr>
        <w:tc>
          <w:tcPr>
            <w:tcW w:w="4840" w:type="dxa"/>
            <w:vAlign w:val="bottom"/>
            <w:gridSpan w:val="2"/>
          </w:tcPr>
          <w:p>
            <w:pPr>
              <w:spacing w:after="0"/>
              <w:rPr>
                <w:sz w:val="20"/>
                <w:szCs w:val="20"/>
                <w:color w:val="auto"/>
              </w:rPr>
            </w:pPr>
            <w:r>
              <w:rPr>
                <w:rFonts w:ascii="Arial" w:cs="Arial" w:eastAsia="Arial" w:hAnsi="Arial"/>
                <w:sz w:val="18"/>
                <w:szCs w:val="18"/>
                <w:color w:val="auto"/>
              </w:rPr>
              <w:t>Gain on sale of investment</w:t>
            </w: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(872)</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Pretax income attributable to the noncontrolling interest</w:t>
            </w:r>
          </w:p>
        </w:tc>
        <w:tc>
          <w:tcPr>
            <w:tcW w:w="1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in ASC</w:t>
            </w:r>
          </w:p>
        </w:tc>
        <w:tc>
          <w:tcPr>
            <w:tcW w:w="186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(90)</w:t>
            </w: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 (non-GAAP)</w:t>
            </w:r>
          </w:p>
        </w:tc>
        <w:tc>
          <w:tcPr>
            <w:tcW w:w="18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$97,112</w:t>
            </w:r>
          </w:p>
        </w:tc>
        <w:tc>
          <w:tcPr>
            <w:tcW w:w="15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($16,686)</w:t>
            </w:r>
          </w:p>
        </w:tc>
        <w:tc>
          <w:tcPr>
            <w:tcW w:w="16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($20,083)</w:t>
            </w:r>
          </w:p>
        </w:tc>
        <w:tc>
          <w:tcPr>
            <w:tcW w:w="15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$60,343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3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June 30, 2016</w:t>
            </w:r>
          </w:p>
        </w:tc>
        <w:tc>
          <w:tcPr>
            <w:tcW w:w="2680" w:type="dxa"/>
            <w:vAlign w:val="bottom"/>
            <w:tcBorders>
              <w:top w:val="single" w:sz="8" w:color="auto"/>
            </w:tcBorders>
          </w:tcPr>
          <w:p>
            <w:pPr>
              <w:jc w:val="right"/>
              <w:ind w:right="410"/>
              <w:spacing w:after="0" w:line="194" w:lineRule="exact"/>
              <w:rPr>
                <w:sz w:val="20"/>
                <w:szCs w:val="20"/>
                <w:color w:val="auto"/>
              </w:rPr>
            </w:pPr>
            <w:r>
              <w:rPr>
                <w:rFonts w:ascii="Arial" w:cs="Arial" w:eastAsia="Arial" w:hAnsi="Arial"/>
                <w:sz w:val="18"/>
                <w:szCs w:val="18"/>
                <w:b w:val="1"/>
                <w:bCs w:val="1"/>
                <w:color w:val="auto"/>
              </w:rPr>
              <w:t>Pre tax</w:t>
            </w:r>
          </w:p>
        </w:tc>
        <w:tc>
          <w:tcPr>
            <w:tcW w:w="1000" w:type="dxa"/>
            <w:vAlign w:val="bottom"/>
            <w:tcBorders>
              <w:top w:val="single" w:sz="8" w:color="auto"/>
            </w:tcBorders>
          </w:tcPr>
          <w:p>
            <w:pPr>
              <w:jc w:val="right"/>
              <w:ind w:right="39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370"/>
              <w:spacing w:after="0" w:line="194" w:lineRule="exact"/>
              <w:rPr>
                <w:sz w:val="20"/>
                <w:szCs w:val="20"/>
                <w:color w:val="auto"/>
              </w:rPr>
            </w:pPr>
            <w:r>
              <w:rPr>
                <w:rFonts w:ascii="Arial" w:cs="Arial" w:eastAsia="Arial" w:hAnsi="Arial"/>
                <w:sz w:val="18"/>
                <w:szCs w:val="18"/>
                <w:b w:val="1"/>
                <w:bCs w:val="1"/>
                <w:color w:val="auto"/>
              </w:rPr>
              <w:t>After tax</w:t>
            </w:r>
          </w:p>
        </w:tc>
        <w:tc>
          <w:tcPr>
            <w:tcW w:w="1340" w:type="dxa"/>
            <w:vAlign w:val="bottom"/>
            <w:tcBorders>
              <w:top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6"/>
                <w:szCs w:val="16"/>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68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Amounts</w:t>
            </w: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Effect</w:t>
            </w: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Effect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expenses, net</w:t>
            </w:r>
          </w:p>
        </w:tc>
        <w:tc>
          <w:tcPr>
            <w:tcW w:w="26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$6,648</w:t>
            </w:r>
          </w:p>
        </w:tc>
        <w:tc>
          <w:tcPr>
            <w:tcW w:w="100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$2,573</w:t>
            </w:r>
          </w:p>
        </w:tc>
        <w:tc>
          <w:tcPr>
            <w:tcW w:w="13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$4,075</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6"/>
                <w:szCs w:val="16"/>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1,902</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736</w:t>
            </w:r>
          </w:p>
        </w:tc>
        <w:tc>
          <w:tcPr>
            <w:tcW w:w="13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1,166</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26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3,771</w:t>
            </w: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1,358</w:t>
            </w:r>
          </w:p>
        </w:tc>
        <w:tc>
          <w:tcPr>
            <w:tcW w:w="13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2,413</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0.08</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Favorable effect of change in income tax rate</w:t>
            </w:r>
          </w:p>
        </w:tc>
        <w:tc>
          <w:tcPr>
            <w:tcW w:w="268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203</w:t>
            </w:r>
          </w:p>
        </w:tc>
        <w:tc>
          <w:tcPr>
            <w:tcW w:w="13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203</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charge</w:t>
            </w:r>
          </w:p>
        </w:tc>
        <w:tc>
          <w:tcPr>
            <w:tcW w:w="268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27</w:t>
            </w:r>
          </w:p>
        </w:tc>
        <w:tc>
          <w:tcPr>
            <w:tcW w:w="13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27</w:t>
            </w:r>
          </w:p>
        </w:tc>
        <w:tc>
          <w:tcPr>
            <w:tcW w:w="13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0.00</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Three months ended June 30, 2015</w:t>
            </w:r>
          </w:p>
        </w:tc>
        <w:tc>
          <w:tcPr>
            <w:tcW w:w="234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Pre tax</w:t>
            </w:r>
          </w:p>
        </w:tc>
        <w:tc>
          <w:tcPr>
            <w:tcW w:w="1320" w:type="dxa"/>
            <w:vAlign w:val="bottom"/>
            <w:tcBorders>
              <w:top w:val="single" w:sz="8" w:color="auto"/>
            </w:tcBorders>
          </w:tcPr>
          <w:p>
            <w:pPr>
              <w:jc w:val="right"/>
              <w:ind w:right="61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350"/>
              <w:spacing w:after="0" w:line="194"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6"/>
                <w:szCs w:val="16"/>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34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Amounts</w:t>
            </w: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Effect</w:t>
            </w: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Effect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expenses, net</w:t>
            </w:r>
          </w:p>
        </w:tc>
        <w:tc>
          <w:tcPr>
            <w:tcW w:w="23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$1,211</w:t>
            </w:r>
          </w:p>
        </w:tc>
        <w:tc>
          <w:tcPr>
            <w:tcW w:w="13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$448</w:t>
            </w:r>
          </w:p>
        </w:tc>
        <w:tc>
          <w:tcPr>
            <w:tcW w:w="13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$763</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$0.02</w:t>
            </w:r>
          </w:p>
        </w:tc>
        <w:tc>
          <w:tcPr>
            <w:tcW w:w="20" w:type="dxa"/>
            <w:vAlign w:val="bottom"/>
          </w:tcPr>
          <w:p>
            <w:pPr>
              <w:spacing w:after="0"/>
              <w:rPr>
                <w:sz w:val="16"/>
                <w:szCs w:val="16"/>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2,275</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842</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1,433</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Net discrete income tax benefit</w:t>
            </w:r>
          </w:p>
        </w:tc>
        <w:tc>
          <w:tcPr>
            <w:tcW w:w="2340" w:type="dxa"/>
            <w:vAlign w:val="bottom"/>
          </w:tcPr>
          <w:p>
            <w:pPr>
              <w:spacing w:after="0"/>
              <w:rPr>
                <w:sz w:val="17"/>
                <w:szCs w:val="17"/>
                <w:color w:val="auto"/>
              </w:rPr>
            </w:pP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Unfavorable effect of change in income tax rate</w:t>
            </w: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736</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736</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Charge for revision in estimated contract profitability</w:t>
            </w:r>
          </w:p>
        </w:tc>
        <w:tc>
          <w:tcPr>
            <w:tcW w:w="2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14,000</w:t>
            </w:r>
          </w:p>
        </w:tc>
        <w:tc>
          <w:tcPr>
            <w:tcW w:w="13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5,180</w:t>
            </w:r>
          </w:p>
        </w:tc>
        <w:tc>
          <w:tcPr>
            <w:tcW w:w="13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8,820</w:t>
            </w:r>
          </w:p>
        </w:tc>
        <w:tc>
          <w:tcPr>
            <w:tcW w:w="12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0.28</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Six months ended June 30, 2016</w:t>
            </w:r>
          </w:p>
        </w:tc>
        <w:tc>
          <w:tcPr>
            <w:tcW w:w="2640" w:type="dxa"/>
            <w:vAlign w:val="bottom"/>
            <w:tcBorders>
              <w:top w:val="single" w:sz="8" w:color="auto"/>
            </w:tcBorders>
          </w:tcPr>
          <w:p>
            <w:pPr>
              <w:jc w:val="right"/>
              <w:ind w:right="610"/>
              <w:spacing w:after="0" w:line="194" w:lineRule="exact"/>
              <w:rPr>
                <w:sz w:val="20"/>
                <w:szCs w:val="20"/>
                <w:color w:val="auto"/>
              </w:rPr>
            </w:pPr>
            <w:r>
              <w:rPr>
                <w:rFonts w:ascii="Arial" w:cs="Arial" w:eastAsia="Arial" w:hAnsi="Arial"/>
                <w:sz w:val="18"/>
                <w:szCs w:val="18"/>
                <w:b w:val="1"/>
                <w:bCs w:val="1"/>
                <w:color w:val="auto"/>
              </w:rPr>
              <w:t>Pre tax</w:t>
            </w:r>
          </w:p>
        </w:tc>
        <w:tc>
          <w:tcPr>
            <w:tcW w:w="1360" w:type="dxa"/>
            <w:vAlign w:val="bottom"/>
            <w:tcBorders>
              <w:top w:val="single" w:sz="8" w:color="auto"/>
            </w:tcBorders>
          </w:tcPr>
          <w:p>
            <w:pPr>
              <w:jc w:val="right"/>
              <w:ind w:right="630"/>
              <w:spacing w:after="0" w:line="194" w:lineRule="exact"/>
              <w:rPr>
                <w:sz w:val="20"/>
                <w:szCs w:val="20"/>
                <w:color w:val="auto"/>
              </w:rPr>
            </w:pPr>
            <w:r>
              <w:rPr>
                <w:rFonts w:ascii="Arial" w:cs="Arial" w:eastAsia="Arial" w:hAnsi="Arial"/>
                <w:sz w:val="18"/>
                <w:szCs w:val="18"/>
                <w:b w:val="1"/>
                <w:bCs w:val="1"/>
                <w:color w:val="auto"/>
              </w:rPr>
              <w:t>Tax</w:t>
            </w:r>
          </w:p>
        </w:tc>
        <w:tc>
          <w:tcPr>
            <w:tcW w:w="1280" w:type="dxa"/>
            <w:vAlign w:val="bottom"/>
            <w:tcBorders>
              <w:top w:val="single" w:sz="8" w:color="auto"/>
            </w:tcBorders>
          </w:tcPr>
          <w:p>
            <w:pPr>
              <w:jc w:val="right"/>
              <w:ind w:right="330"/>
              <w:spacing w:after="0" w:line="194" w:lineRule="exact"/>
              <w:rPr>
                <w:sz w:val="20"/>
                <w:szCs w:val="20"/>
                <w:color w:val="auto"/>
              </w:rPr>
            </w:pPr>
            <w:r>
              <w:rPr>
                <w:rFonts w:ascii="Arial" w:cs="Arial" w:eastAsia="Arial" w:hAnsi="Arial"/>
                <w:sz w:val="18"/>
                <w:szCs w:val="18"/>
                <w:b w:val="1"/>
                <w:bCs w:val="1"/>
                <w:color w:val="auto"/>
              </w:rPr>
              <w:t>After tax</w:t>
            </w:r>
          </w:p>
        </w:tc>
        <w:tc>
          <w:tcPr>
            <w:tcW w:w="1320" w:type="dxa"/>
            <w:vAlign w:val="bottom"/>
            <w:tcBorders>
              <w:top w:val="single" w:sz="8" w:color="auto"/>
            </w:tcBorders>
          </w:tcPr>
          <w:p>
            <w:pPr>
              <w:jc w:val="right"/>
              <w:ind w:right="230"/>
              <w:spacing w:after="0" w:line="194" w:lineRule="exact"/>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6"/>
                <w:szCs w:val="16"/>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64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Effect</w:t>
            </w: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Effect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Effect</w:t>
            </w:r>
          </w:p>
        </w:tc>
      </w:tr>
      <w:tr>
        <w:trPr>
          <w:trHeight w:val="195"/>
        </w:trPr>
        <w:tc>
          <w:tcPr>
            <w:tcW w:w="4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expenses, net</w:t>
            </w:r>
          </w:p>
        </w:tc>
        <w:tc>
          <w:tcPr>
            <w:tcW w:w="264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$7,327</w:t>
            </w:r>
          </w:p>
        </w:tc>
        <w:tc>
          <w:tcPr>
            <w:tcW w:w="13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$2,843</w:t>
            </w:r>
          </w:p>
        </w:tc>
        <w:tc>
          <w:tcPr>
            <w:tcW w:w="12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$4,484</w:t>
            </w:r>
          </w:p>
        </w:tc>
        <w:tc>
          <w:tcPr>
            <w:tcW w:w="1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6"/>
                <w:szCs w:val="16"/>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483</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173</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310</w:t>
            </w: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2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5,367</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1,933</w:t>
            </w:r>
          </w:p>
        </w:tc>
        <w:tc>
          <w:tcPr>
            <w:tcW w:w="12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3,434</w:t>
            </w: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48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Net discrete income tax benefit</w:t>
            </w:r>
          </w:p>
        </w:tc>
        <w:tc>
          <w:tcPr>
            <w:tcW w:w="26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1,006</w:t>
            </w:r>
          </w:p>
        </w:tc>
        <w:tc>
          <w:tcPr>
            <w:tcW w:w="1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1,006</w:t>
            </w:r>
          </w:p>
        </w:tc>
        <w:tc>
          <w:tcPr>
            <w:tcW w:w="13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0.03</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Six months ended June 30, 2015</w:t>
            </w:r>
          </w:p>
        </w:tc>
        <w:tc>
          <w:tcPr>
            <w:tcW w:w="2340" w:type="dxa"/>
            <w:vAlign w:val="bottom"/>
            <w:tcBorders>
              <w:top w:val="single" w:sz="8" w:color="auto"/>
            </w:tcBorders>
          </w:tcPr>
          <w:p>
            <w:pPr>
              <w:jc w:val="right"/>
              <w:ind w:right="510"/>
              <w:spacing w:after="0" w:line="194" w:lineRule="exact"/>
              <w:rPr>
                <w:sz w:val="20"/>
                <w:szCs w:val="20"/>
                <w:color w:val="auto"/>
              </w:rPr>
            </w:pPr>
            <w:r>
              <w:rPr>
                <w:rFonts w:ascii="Arial" w:cs="Arial" w:eastAsia="Arial" w:hAnsi="Arial"/>
                <w:sz w:val="18"/>
                <w:szCs w:val="18"/>
                <w:b w:val="1"/>
                <w:bCs w:val="1"/>
                <w:color w:val="auto"/>
              </w:rPr>
              <w:t>Pre tax</w:t>
            </w:r>
          </w:p>
        </w:tc>
        <w:tc>
          <w:tcPr>
            <w:tcW w:w="1320" w:type="dxa"/>
            <w:vAlign w:val="bottom"/>
            <w:tcBorders>
              <w:top w:val="single" w:sz="8" w:color="auto"/>
            </w:tcBorders>
          </w:tcPr>
          <w:p>
            <w:pPr>
              <w:jc w:val="right"/>
              <w:ind w:right="610"/>
              <w:spacing w:after="0" w:line="194"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350"/>
              <w:spacing w:after="0" w:line="194" w:lineRule="exact"/>
              <w:rPr>
                <w:sz w:val="20"/>
                <w:szCs w:val="20"/>
                <w:color w:val="auto"/>
              </w:rPr>
            </w:pPr>
            <w:r>
              <w:rPr>
                <w:rFonts w:ascii="Arial" w:cs="Arial" w:eastAsia="Arial" w:hAnsi="Arial"/>
                <w:sz w:val="18"/>
                <w:szCs w:val="18"/>
                <w:b w:val="1"/>
                <w:bCs w:val="1"/>
                <w:color w:val="auto"/>
              </w:rPr>
              <w:t>After tax</w:t>
            </w:r>
          </w:p>
        </w:tc>
        <w:tc>
          <w:tcPr>
            <w:tcW w:w="1240" w:type="dxa"/>
            <w:vAlign w:val="bottom"/>
            <w:tcBorders>
              <w:top w:val="single" w:sz="8" w:color="auto"/>
            </w:tcBorders>
          </w:tcPr>
          <w:p>
            <w:pPr>
              <w:jc w:val="right"/>
              <w:ind w:right="170"/>
              <w:spacing w:after="0" w:line="194" w:lineRule="exact"/>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6"/>
                <w:szCs w:val="16"/>
                <w:color w:val="auto"/>
              </w:rPr>
            </w:pPr>
          </w:p>
        </w:tc>
      </w:tr>
      <w:tr>
        <w:trPr>
          <w:trHeight w:val="225"/>
        </w:trPr>
        <w:tc>
          <w:tcPr>
            <w:tcW w:w="520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34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Amounts</w:t>
            </w: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Effect</w:t>
            </w: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Effect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Effect</w:t>
            </w:r>
          </w:p>
        </w:tc>
      </w:tr>
      <w:tr>
        <w:trPr>
          <w:trHeight w:val="195"/>
        </w:trPr>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Restructuring expenses, net</w:t>
            </w:r>
          </w:p>
        </w:tc>
        <w:tc>
          <w:tcPr>
            <w:tcW w:w="234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$10,212</w:t>
            </w:r>
          </w:p>
        </w:tc>
        <w:tc>
          <w:tcPr>
            <w:tcW w:w="13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$3,868</w:t>
            </w:r>
          </w:p>
        </w:tc>
        <w:tc>
          <w:tcPr>
            <w:tcW w:w="13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$6,344</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$0.20</w:t>
            </w:r>
          </w:p>
        </w:tc>
        <w:tc>
          <w:tcPr>
            <w:tcW w:w="20" w:type="dxa"/>
            <w:vAlign w:val="bottom"/>
          </w:tcPr>
          <w:p>
            <w:pPr>
              <w:spacing w:after="0"/>
              <w:rPr>
                <w:sz w:val="16"/>
                <w:szCs w:val="16"/>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3,097</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1,199</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1,898</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872</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331</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541</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199</w:t>
            </w:r>
          </w:p>
        </w:tc>
        <w:tc>
          <w:tcPr>
            <w:tcW w:w="1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199</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Charge for revision in estimated contract profitability</w:t>
            </w:r>
          </w:p>
        </w:tc>
        <w:tc>
          <w:tcPr>
            <w:tcW w:w="2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14,000</w:t>
            </w:r>
          </w:p>
        </w:tc>
        <w:tc>
          <w:tcPr>
            <w:tcW w:w="13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5,180</w:t>
            </w:r>
          </w:p>
        </w:tc>
        <w:tc>
          <w:tcPr>
            <w:tcW w:w="13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8,820</w:t>
            </w:r>
          </w:p>
        </w:tc>
        <w:tc>
          <w:tcPr>
            <w:tcW w:w="126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0.28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20" w:type="dxa"/>
            <w:vAlign w:val="bottom"/>
            <w:tcBorders>
              <w:top w:val="single" w:sz="8" w:color="auto"/>
            </w:tcBorders>
          </w:tcPr>
          <w:p>
            <w:pPr>
              <w:spacing w:after="0"/>
              <w:rPr>
                <w:sz w:val="16"/>
                <w:szCs w:val="16"/>
                <w:color w:val="auto"/>
              </w:rPr>
            </w:pPr>
          </w:p>
        </w:tc>
        <w:tc>
          <w:tcPr>
            <w:tcW w:w="3700" w:type="dxa"/>
            <w:vAlign w:val="bottom"/>
            <w:tcBorders>
              <w:top w:val="single" w:sz="8" w:color="auto"/>
            </w:tcBorders>
            <w:gridSpan w:val="2"/>
          </w:tcPr>
          <w:p>
            <w:pPr>
              <w:jc w:val="right"/>
              <w:ind w:right="970"/>
              <w:spacing w:after="0" w:line="194" w:lineRule="exact"/>
              <w:rPr>
                <w:sz w:val="20"/>
                <w:szCs w:val="20"/>
                <w:color w:val="auto"/>
              </w:rPr>
            </w:pPr>
            <w:r>
              <w:rPr>
                <w:rFonts w:ascii="Arial" w:cs="Arial" w:eastAsia="Arial" w:hAnsi="Arial"/>
                <w:sz w:val="18"/>
                <w:szCs w:val="18"/>
                <w:b w:val="1"/>
                <w:bCs w:val="1"/>
                <w:color w:val="auto"/>
              </w:rPr>
              <w:t>Three months ended</w:t>
            </w:r>
          </w:p>
        </w:tc>
        <w:tc>
          <w:tcPr>
            <w:tcW w:w="3000" w:type="dxa"/>
            <w:vAlign w:val="bottom"/>
            <w:tcBorders>
              <w:top w:val="single" w:sz="8" w:color="auto"/>
            </w:tcBorders>
            <w:gridSpan w:val="2"/>
          </w:tcPr>
          <w:p>
            <w:pPr>
              <w:jc w:val="right"/>
              <w:ind w:right="670"/>
              <w:spacing w:after="0" w:line="19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22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420" w:type="dxa"/>
            <w:vAlign w:val="bottom"/>
          </w:tcPr>
          <w:p>
            <w:pPr>
              <w:spacing w:after="0"/>
              <w:rPr>
                <w:sz w:val="17"/>
                <w:szCs w:val="17"/>
                <w:color w:val="auto"/>
              </w:rPr>
            </w:pPr>
          </w:p>
        </w:tc>
        <w:tc>
          <w:tcPr>
            <w:tcW w:w="19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2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2016</w:t>
            </w:r>
          </w:p>
        </w:tc>
        <w:tc>
          <w:tcPr>
            <w:tcW w:w="14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9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5"/>
        </w:trPr>
        <w:tc>
          <w:tcPr>
            <w:tcW w:w="472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 (GAAP)</w:t>
            </w:r>
          </w:p>
        </w:tc>
        <w:tc>
          <w:tcPr>
            <w:tcW w:w="2280" w:type="dxa"/>
            <w:vAlign w:val="bottom"/>
          </w:tcPr>
          <w:p>
            <w:pPr>
              <w:jc w:val="right"/>
              <w:ind w:right="710"/>
              <w:spacing w:after="0" w:line="195" w:lineRule="exact"/>
              <w:rPr>
                <w:sz w:val="20"/>
                <w:szCs w:val="20"/>
                <w:color w:val="auto"/>
              </w:rPr>
            </w:pPr>
            <w:r>
              <w:rPr>
                <w:rFonts w:ascii="Arial" w:cs="Arial" w:eastAsia="Arial" w:hAnsi="Arial"/>
                <w:sz w:val="18"/>
                <w:szCs w:val="18"/>
                <w:b w:val="1"/>
                <w:bCs w:val="1"/>
                <w:color w:val="auto"/>
              </w:rPr>
              <w:t>$0.32</w:t>
            </w:r>
          </w:p>
        </w:tc>
        <w:tc>
          <w:tcPr>
            <w:tcW w:w="1420" w:type="dxa"/>
            <w:vAlign w:val="bottom"/>
          </w:tcPr>
          <w:p>
            <w:pPr>
              <w:jc w:val="right"/>
              <w:ind w:right="350"/>
              <w:spacing w:after="0" w:line="195" w:lineRule="exact"/>
              <w:rPr>
                <w:sz w:val="20"/>
                <w:szCs w:val="20"/>
                <w:color w:val="auto"/>
              </w:rPr>
            </w:pPr>
            <w:r>
              <w:rPr>
                <w:rFonts w:ascii="Arial" w:cs="Arial" w:eastAsia="Arial" w:hAnsi="Arial"/>
                <w:sz w:val="18"/>
                <w:szCs w:val="18"/>
                <w:color w:val="auto"/>
              </w:rPr>
              <w:t>($0.07)</w:t>
            </w:r>
          </w:p>
        </w:tc>
        <w:tc>
          <w:tcPr>
            <w:tcW w:w="1980" w:type="dxa"/>
            <w:vAlign w:val="bottom"/>
          </w:tcPr>
          <w:p>
            <w:pPr>
              <w:jc w:val="right"/>
              <w:ind w:right="690"/>
              <w:spacing w:after="0" w:line="195" w:lineRule="exact"/>
              <w:rPr>
                <w:sz w:val="20"/>
                <w:szCs w:val="20"/>
                <w:color w:val="auto"/>
              </w:rPr>
            </w:pPr>
            <w:r>
              <w:rPr>
                <w:rFonts w:ascii="Arial" w:cs="Arial" w:eastAsia="Arial" w:hAnsi="Arial"/>
                <w:sz w:val="18"/>
                <w:szCs w:val="18"/>
                <w:b w:val="1"/>
                <w:bCs w:val="1"/>
                <w:color w:val="auto"/>
              </w:rPr>
              <w:t>$0.74</w:t>
            </w:r>
          </w:p>
        </w:tc>
        <w:tc>
          <w:tcPr>
            <w:tcW w:w="10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228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0.13</w:t>
            </w:r>
          </w:p>
        </w:tc>
        <w:tc>
          <w:tcPr>
            <w:tcW w:w="1420" w:type="dxa"/>
            <w:vAlign w:val="bottom"/>
          </w:tcPr>
          <w:p>
            <w:pPr>
              <w:spacing w:after="0"/>
              <w:rPr>
                <w:sz w:val="17"/>
                <w:szCs w:val="17"/>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0.14</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line="181" w:lineRule="exact"/>
              <w:rPr>
                <w:sz w:val="20"/>
                <w:szCs w:val="20"/>
                <w:color w:val="auto"/>
              </w:rPr>
            </w:pPr>
            <w:r>
              <w:rPr>
                <w:rFonts w:ascii="Arial" w:cs="Arial" w:eastAsia="Arial" w:hAnsi="Arial"/>
                <w:sz w:val="18"/>
                <w:szCs w:val="18"/>
                <w:color w:val="auto"/>
              </w:rPr>
              <w:t>Restructuring expenses, net</w:t>
            </w:r>
          </w:p>
        </w:tc>
        <w:tc>
          <w:tcPr>
            <w:tcW w:w="2280" w:type="dxa"/>
            <w:vAlign w:val="bottom"/>
            <w:vMerge w:val="continue"/>
          </w:tcPr>
          <w:p>
            <w:pPr>
              <w:spacing w:after="0"/>
              <w:rPr>
                <w:sz w:val="15"/>
                <w:szCs w:val="15"/>
                <w:color w:val="auto"/>
              </w:rPr>
            </w:pPr>
          </w:p>
        </w:tc>
        <w:tc>
          <w:tcPr>
            <w:tcW w:w="1420" w:type="dxa"/>
            <w:vAlign w:val="bottom"/>
          </w:tcPr>
          <w:p>
            <w:pPr>
              <w:jc w:val="right"/>
              <w:ind w:right="410"/>
              <w:spacing w:after="0" w:line="181" w:lineRule="exact"/>
              <w:rPr>
                <w:sz w:val="20"/>
                <w:szCs w:val="20"/>
                <w:color w:val="auto"/>
              </w:rPr>
            </w:pPr>
            <w:r>
              <w:rPr>
                <w:rFonts w:ascii="Arial" w:cs="Arial" w:eastAsia="Arial" w:hAnsi="Arial"/>
                <w:sz w:val="18"/>
                <w:szCs w:val="18"/>
                <w:color w:val="auto"/>
              </w:rPr>
              <w:t>0.02</w:t>
            </w:r>
          </w:p>
        </w:tc>
        <w:tc>
          <w:tcPr>
            <w:tcW w:w="1980" w:type="dxa"/>
            <w:vAlign w:val="bottom"/>
            <w:vMerge w:val="continue"/>
          </w:tcPr>
          <w:p>
            <w:pPr>
              <w:spacing w:after="0"/>
              <w:rPr>
                <w:sz w:val="15"/>
                <w:szCs w:val="15"/>
                <w:color w:val="auto"/>
              </w:rPr>
            </w:pPr>
          </w:p>
        </w:tc>
        <w:tc>
          <w:tcPr>
            <w:tcW w:w="1020" w:type="dxa"/>
            <w:vAlign w:val="bottom"/>
          </w:tcPr>
          <w:p>
            <w:pPr>
              <w:jc w:val="right"/>
              <w:ind w:right="10"/>
              <w:spacing w:after="0" w:line="18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Discrete tax charges/(benefit)</w:t>
            </w:r>
          </w:p>
        </w:tc>
        <w:tc>
          <w:tcPr>
            <w:tcW w:w="228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(0.01)</w:t>
            </w: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0.02</w:t>
            </w:r>
          </w:p>
        </w:tc>
        <w:tc>
          <w:tcPr>
            <w:tcW w:w="198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(0.03)</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losses/(gains)</w:t>
            </w:r>
          </w:p>
        </w:tc>
        <w:tc>
          <w:tcPr>
            <w:tcW w:w="228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(0.04)</w:t>
            </w: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0.04</w:t>
            </w:r>
          </w:p>
        </w:tc>
        <w:tc>
          <w:tcPr>
            <w:tcW w:w="198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(0.01)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Acquisition expenses</w:t>
            </w:r>
          </w:p>
        </w:tc>
        <w:tc>
          <w:tcPr>
            <w:tcW w:w="228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0.08</w:t>
            </w:r>
          </w:p>
        </w:tc>
        <w:tc>
          <w:tcPr>
            <w:tcW w:w="142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98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0.11</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investment</w:t>
            </w:r>
          </w:p>
        </w:tc>
        <w:tc>
          <w:tcPr>
            <w:tcW w:w="2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5"/>
        </w:trPr>
        <w:tc>
          <w:tcPr>
            <w:tcW w:w="4720" w:type="dxa"/>
            <w:vAlign w:val="bottom"/>
          </w:tcPr>
          <w:p>
            <w:pPr>
              <w:spacing w:after="0" w:line="195" w:lineRule="exact"/>
              <w:rPr>
                <w:sz w:val="20"/>
                <w:szCs w:val="20"/>
                <w:color w:val="auto"/>
              </w:rPr>
            </w:pPr>
            <w:r>
              <w:rPr>
                <w:rFonts w:ascii="Arial" w:cs="Arial" w:eastAsia="Arial" w:hAnsi="Arial"/>
                <w:sz w:val="18"/>
                <w:szCs w:val="18"/>
                <w:color w:val="auto"/>
              </w:rPr>
              <w:t>Net income attributable to the Company, excluding</w:t>
            </w:r>
          </w:p>
        </w:tc>
        <w:tc>
          <w:tcPr>
            <w:tcW w:w="228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rPr>
              <w:t>$0.48</w:t>
            </w:r>
          </w:p>
        </w:tc>
        <w:tc>
          <w:tcPr>
            <w:tcW w:w="1420" w:type="dxa"/>
            <w:vAlign w:val="bottom"/>
          </w:tcPr>
          <w:p>
            <w:pPr>
              <w:spacing w:after="0"/>
              <w:rPr>
                <w:sz w:val="16"/>
                <w:szCs w:val="16"/>
                <w:color w:val="auto"/>
              </w:rPr>
            </w:pPr>
          </w:p>
        </w:tc>
        <w:tc>
          <w:tcPr>
            <w:tcW w:w="198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$0.95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adjustments (non-GAAP)</w:t>
            </w:r>
          </w:p>
        </w:tc>
        <w:tc>
          <w:tcPr>
            <w:tcW w:w="228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$0.01</w:t>
            </w:r>
          </w:p>
        </w:tc>
        <w:tc>
          <w:tcPr>
            <w:tcW w:w="19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318"/>
        </w:trPr>
        <w:tc>
          <w:tcPr>
            <w:tcW w:w="4720" w:type="dxa"/>
            <w:vAlign w:val="bottom"/>
          </w:tcPr>
          <w:p>
            <w:pPr>
              <w:spacing w:after="0"/>
              <w:rPr>
                <w:sz w:val="24"/>
                <w:szCs w:val="24"/>
                <w:color w:val="auto"/>
              </w:rPr>
            </w:pPr>
          </w:p>
        </w:tc>
        <w:tc>
          <w:tcPr>
            <w:tcW w:w="2280" w:type="dxa"/>
            <w:vAlign w:val="bottom"/>
          </w:tcPr>
          <w:p>
            <w:pPr>
              <w:jc w:val="right"/>
              <w:ind w:right="1090"/>
              <w:spacing w:after="0"/>
              <w:rPr>
                <w:sz w:val="20"/>
                <w:szCs w:val="20"/>
                <w:color w:val="auto"/>
              </w:rPr>
            </w:pPr>
            <w:r>
              <w:rPr>
                <w:rFonts w:ascii="Arial" w:cs="Arial" w:eastAsia="Arial" w:hAnsi="Arial"/>
                <w:sz w:val="18"/>
                <w:szCs w:val="18"/>
                <w:color w:val="auto"/>
              </w:rPr>
              <w:t>46</w:t>
            </w:r>
          </w:p>
        </w:tc>
        <w:tc>
          <w:tcPr>
            <w:tcW w:w="1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6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right"/>
              <w:ind w:right="970"/>
              <w:spacing w:after="0" w:line="194" w:lineRule="exact"/>
              <w:rPr>
                <w:sz w:val="20"/>
                <w:szCs w:val="20"/>
                <w:color w:val="auto"/>
              </w:rPr>
            </w:pPr>
            <w:r>
              <w:rPr>
                <w:rFonts w:ascii="Arial" w:cs="Arial" w:eastAsia="Arial" w:hAnsi="Arial"/>
                <w:sz w:val="18"/>
                <w:szCs w:val="18"/>
                <w:b w:val="1"/>
                <w:bCs w:val="1"/>
                <w:color w:val="auto"/>
              </w:rPr>
              <w:t>June 30,</w:t>
            </w:r>
          </w:p>
        </w:tc>
        <w:tc>
          <w:tcPr>
            <w:tcW w:w="2060" w:type="dxa"/>
            <w:vAlign w:val="bottom"/>
            <w:tcBorders>
              <w:top w:val="single" w:sz="8" w:color="auto"/>
            </w:tcBorders>
          </w:tcPr>
          <w:p>
            <w:pPr>
              <w:jc w:val="right"/>
              <w:ind w:right="810"/>
              <w:spacing w:after="0" w:line="194" w:lineRule="exact"/>
              <w:rPr>
                <w:sz w:val="20"/>
                <w:szCs w:val="20"/>
                <w:color w:val="auto"/>
              </w:rPr>
            </w:pPr>
            <w:r>
              <w:rPr>
                <w:rFonts w:ascii="Arial" w:cs="Arial" w:eastAsia="Arial" w:hAnsi="Arial"/>
                <w:sz w:val="18"/>
                <w:szCs w:val="18"/>
                <w:b w:val="1"/>
                <w:bCs w:val="1"/>
                <w:color w:val="auto"/>
              </w:rPr>
              <w:t>March 31,</w:t>
            </w:r>
          </w:p>
        </w:tc>
        <w:tc>
          <w:tcPr>
            <w:tcW w:w="1920" w:type="dxa"/>
            <w:vAlign w:val="bottom"/>
            <w:tcBorders>
              <w:top w:val="single" w:sz="8" w:color="auto"/>
            </w:tcBorders>
          </w:tcPr>
          <w:p>
            <w:pPr>
              <w:jc w:val="right"/>
              <w:ind w:right="410"/>
              <w:spacing w:after="0" w:line="194"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25"/>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18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2016</w:t>
            </w:r>
          </w:p>
        </w:tc>
        <w:tc>
          <w:tcPr>
            <w:tcW w:w="20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2016</w:t>
            </w:r>
          </w:p>
        </w:tc>
        <w:tc>
          <w:tcPr>
            <w:tcW w:w="1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195"/>
        </w:trPr>
        <w:tc>
          <w:tcPr>
            <w:tcW w:w="4260" w:type="dxa"/>
            <w:vAlign w:val="bottom"/>
          </w:tcPr>
          <w:p>
            <w:pPr>
              <w:spacing w:after="0" w:line="195" w:lineRule="exact"/>
              <w:rPr>
                <w:sz w:val="20"/>
                <w:szCs w:val="20"/>
                <w:color w:val="auto"/>
              </w:rPr>
            </w:pPr>
            <w:r>
              <w:rPr>
                <w:rFonts w:ascii="Arial" w:cs="Arial" w:eastAsia="Arial" w:hAnsi="Arial"/>
                <w:sz w:val="18"/>
                <w:szCs w:val="18"/>
                <w:color w:val="auto"/>
              </w:rPr>
              <w:t>Notes and loans payable</w:t>
            </w:r>
          </w:p>
        </w:tc>
        <w:tc>
          <w:tcPr>
            <w:tcW w:w="318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$531</w:t>
            </w:r>
          </w:p>
        </w:tc>
        <w:tc>
          <w:tcPr>
            <w:tcW w:w="206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$590</w:t>
            </w:r>
          </w:p>
        </w:tc>
        <w:tc>
          <w:tcPr>
            <w:tcW w:w="1920" w:type="dxa"/>
            <w:vAlign w:val="bottom"/>
          </w:tcPr>
          <w:p>
            <w:pPr>
              <w:jc w:val="right"/>
              <w:spacing w:after="0" w:line="195" w:lineRule="exact"/>
              <w:rPr>
                <w:sz w:val="20"/>
                <w:szCs w:val="20"/>
                <w:color w:val="auto"/>
              </w:rPr>
            </w:pPr>
            <w:r>
              <w:rPr>
                <w:rFonts w:ascii="Arial" w:cs="Arial" w:eastAsia="Arial" w:hAnsi="Arial"/>
                <w:sz w:val="18"/>
                <w:szCs w:val="18"/>
                <w:color w:val="auto"/>
              </w:rPr>
              <w:t>$587</w:t>
            </w:r>
          </w:p>
        </w:tc>
        <w:tc>
          <w:tcPr>
            <w:tcW w:w="20" w:type="dxa"/>
            <w:vAlign w:val="bottom"/>
          </w:tcPr>
          <w:p>
            <w:pPr>
              <w:spacing w:after="0"/>
              <w:rPr>
                <w:sz w:val="16"/>
                <w:szCs w:val="16"/>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31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566</w:t>
            </w:r>
          </w:p>
        </w:tc>
        <w:tc>
          <w:tcPr>
            <w:tcW w:w="20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16</w:t>
            </w:r>
          </w:p>
        </w:tc>
        <w:tc>
          <w:tcPr>
            <w:tcW w:w="1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2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Long-term debt</w:t>
            </w:r>
          </w:p>
        </w:tc>
        <w:tc>
          <w:tcPr>
            <w:tcW w:w="318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485,215</w:t>
            </w:r>
          </w:p>
        </w:tc>
        <w:tc>
          <w:tcPr>
            <w:tcW w:w="20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255,076</w:t>
            </w:r>
          </w:p>
        </w:tc>
        <w:tc>
          <w:tcPr>
            <w:tcW w:w="1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265,080</w:t>
            </w:r>
          </w:p>
        </w:tc>
        <w:tc>
          <w:tcPr>
            <w:tcW w:w="20" w:type="dxa"/>
            <w:vAlign w:val="bottom"/>
            <w:tcBorders>
              <w:bottom w:val="single" w:sz="8" w:color="auto"/>
            </w:tcBorders>
          </w:tcPr>
          <w:p>
            <w:pPr>
              <w:spacing w:after="0"/>
              <w:rPr>
                <w:sz w:val="17"/>
                <w:szCs w:val="17"/>
                <w:color w:val="auto"/>
              </w:rPr>
            </w:pPr>
          </w:p>
        </w:tc>
      </w:tr>
      <w:tr>
        <w:trPr>
          <w:trHeight w:val="196"/>
        </w:trPr>
        <w:tc>
          <w:tcPr>
            <w:tcW w:w="4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31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486,312</w:t>
            </w:r>
          </w:p>
        </w:tc>
        <w:tc>
          <w:tcPr>
            <w:tcW w:w="2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255,682</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265,683</w:t>
            </w:r>
          </w:p>
        </w:tc>
        <w:tc>
          <w:tcPr>
            <w:tcW w:w="20" w:type="dxa"/>
            <w:vAlign w:val="bottom"/>
            <w:tcBorders>
              <w:bottom w:val="single" w:sz="8" w:color="auto"/>
            </w:tcBorders>
          </w:tcPr>
          <w:p>
            <w:pPr>
              <w:spacing w:after="0"/>
              <w:rPr>
                <w:sz w:val="17"/>
                <w:szCs w:val="17"/>
                <w:color w:val="auto"/>
              </w:rPr>
            </w:pPr>
          </w:p>
        </w:tc>
      </w:tr>
      <w:tr>
        <w:trPr>
          <w:trHeight w:val="196"/>
        </w:trPr>
        <w:tc>
          <w:tcPr>
            <w:tcW w:w="4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31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176,025</w:t>
            </w:r>
          </w:p>
        </w:tc>
        <w:tc>
          <w:tcPr>
            <w:tcW w:w="2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169,615</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185,113</w:t>
            </w:r>
          </w:p>
        </w:tc>
        <w:tc>
          <w:tcPr>
            <w:tcW w:w="20" w:type="dxa"/>
            <w:vAlign w:val="bottom"/>
            <w:tcBorders>
              <w:bottom w:val="single" w:sz="8" w:color="auto"/>
            </w:tcBorders>
          </w:tcPr>
          <w:p>
            <w:pPr>
              <w:spacing w:after="0"/>
              <w:rPr>
                <w:sz w:val="17"/>
                <w:szCs w:val="17"/>
                <w:color w:val="auto"/>
              </w:rPr>
            </w:pPr>
          </w:p>
        </w:tc>
      </w:tr>
      <w:tr>
        <w:trPr>
          <w:trHeight w:val="196"/>
        </w:trPr>
        <w:tc>
          <w:tcPr>
            <w:tcW w:w="4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31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$310,287</w:t>
            </w:r>
          </w:p>
        </w:tc>
        <w:tc>
          <w:tcPr>
            <w:tcW w:w="2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$86,067</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$80,570</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28"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 The scope of the Company’s assessment of the effectiveness of its disclosure controls and procedures does not include any disclosure controls and procedures of Albany Aerostructures Composites LLC (AAC) which was acquired in April 2016. This exclusion is in accordance with the SEC's general guidance that a recently acquired business may be omitted from the scope of the assessment in the year of acquisition.</w:t>
      </w:r>
    </w:p>
    <w:p>
      <w:pPr>
        <w:spacing w:after="0" w:line="30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04"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 The Company is currently evaluating AAC’s processes, information technology systems, and other components of internal controls over financial reporting as a part of the Company's integration activities, which may result in control changes. Such changes will be disclosed as required by applicable SEC guidance.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right="560" w:firstLine="648"/>
        <w:spacing w:after="0" w:line="246" w:lineRule="auto"/>
        <w:rPr>
          <w:sz w:val="20"/>
          <w:szCs w:val="20"/>
          <w:color w:val="auto"/>
        </w:rPr>
      </w:pPr>
      <w:r>
        <w:rPr>
          <w:rFonts w:ascii="Arial" w:cs="Arial" w:eastAsia="Arial" w:hAnsi="Arial"/>
          <w:sz w:val="18"/>
          <w:szCs w:val="18"/>
          <w:color w:val="auto"/>
        </w:rPr>
        <w:t>The information set forth above under Note 16 in Item 1, “Notes to Consolidated Financial Statements”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For discussion of risk factors, refer to Item 1A of our Annual Report on Form 10-K for the year ended December 31, 2015. As a result of the Company’s business acquisition in the second quarter of 2016, we have modified one of the risk factors in that filing, as noted below:</w:t>
      </w:r>
    </w:p>
    <w:p>
      <w:pPr>
        <w:spacing w:after="0" w:line="38" w:lineRule="exact"/>
        <w:rPr>
          <w:sz w:val="20"/>
          <w:szCs w:val="20"/>
          <w:color w:val="auto"/>
        </w:rPr>
      </w:pPr>
    </w:p>
    <w:p>
      <w:pPr>
        <w:ind w:right="800" w:firstLine="648"/>
        <w:spacing w:after="0" w:line="258" w:lineRule="auto"/>
        <w:rPr>
          <w:sz w:val="20"/>
          <w:szCs w:val="20"/>
          <w:color w:val="auto"/>
        </w:rPr>
      </w:pPr>
      <w:r>
        <w:rPr>
          <w:rFonts w:ascii="Arial" w:cs="Arial" w:eastAsia="Arial" w:hAnsi="Arial"/>
          <w:sz w:val="20"/>
          <w:szCs w:val="20"/>
          <w:b w:val="1"/>
          <w:bCs w:val="1"/>
          <w:i w:val="1"/>
          <w:iCs w:val="1"/>
          <w:color w:val="auto"/>
        </w:rPr>
        <w:t>AEC is subject to significant short- and medium-term risks related to execution in the LEAP program, and integration of the composite aerostructures business acquired from Harris Corporation</w:t>
      </w:r>
    </w:p>
    <w:p>
      <w:pPr>
        <w:spacing w:after="0" w:line="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The expected size and steep growth rate of the market for LEAP engines continues to put significant pressure on AEC to execute in the short- and medium-term. In the short term, AEC must continue to fulfill critical program schedule and production-readiness milestones at its LEAP facilities in Rochester, New Hampshire and Commercy, France, as well as at the third LEAP facility in Queretaro, Mexico, which recently broke ground and is targeted to come on line in 2017. In the medium-term, AEC will be required to continue to ramp up all three LEAP plants to full production. AEC’s ability to realize the full growth potential of the LEAP program will depend on how effectively it accomplishes these goals. The Company’s recent acquisition of the composite aerostructures business of Harris Corporation also poses a number of risks. Such risks include, but are not limited to, those associated with the assimilation and integration of operations, business systems and business methods, and the diversion of management attention from other business concerns. Failure by AEC to accomplish these LEAP execution goals, or to successfully manage these integration risks, could have a material adverse impact on the amount and timing of anticipated AEC sales and profitability, which could in turn have a material adverse impact on our consolidated financial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right="80" w:firstLine="648"/>
        <w:spacing w:after="0" w:line="246" w:lineRule="auto"/>
        <w:rPr>
          <w:sz w:val="20"/>
          <w:szCs w:val="20"/>
          <w:color w:val="auto"/>
        </w:rPr>
      </w:pPr>
      <w:r>
        <w:rPr>
          <w:rFonts w:ascii="Arial" w:cs="Arial" w:eastAsia="Arial" w:hAnsi="Arial"/>
          <w:sz w:val="18"/>
          <w:szCs w:val="18"/>
          <w:color w:val="auto"/>
        </w:rPr>
        <w:t>We made no share purchases during the second quarter of 2016.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1062"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Exhibits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Exhibit No.</w:t>
            </w:r>
          </w:p>
        </w:tc>
        <w:tc>
          <w:tcPr>
            <w:tcW w:w="10280" w:type="dxa"/>
            <w:vAlign w:val="bottom"/>
          </w:tcPr>
          <w:p>
            <w:pPr>
              <w:ind w:left="100"/>
              <w:spacing w:after="0"/>
              <w:rPr>
                <w:sz w:val="20"/>
                <w:szCs w:val="20"/>
                <w:color w:val="auto"/>
              </w:rPr>
            </w:pPr>
            <w:r>
              <w:rPr>
                <w:rFonts w:ascii="Arial" w:cs="Arial" w:eastAsia="Arial" w:hAnsi="Arial"/>
                <w:sz w:val="18"/>
                <w:szCs w:val="18"/>
                <w:color w:val="auto"/>
              </w:rPr>
              <w:t>Description</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28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028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29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280" w:type="dxa"/>
            <w:vAlign w:val="bottom"/>
          </w:tcPr>
          <w:p>
            <w:pPr>
              <w:ind w:left="100"/>
              <w:spacing w:after="0"/>
              <w:rPr>
                <w:sz w:val="20"/>
                <w:szCs w:val="20"/>
                <w:color w:val="auto"/>
              </w:rPr>
            </w:pPr>
            <w:r>
              <w:rPr>
                <w:rFonts w:ascii="Arial" w:cs="Arial" w:eastAsia="Arial" w:hAnsi="Arial"/>
                <w:sz w:val="18"/>
                <w:szCs w:val="18"/>
                <w:color w:val="auto"/>
                <w:w w:val="99"/>
              </w:rPr>
              <w:t>Certification pursuant to Section 906 of the Sarbanes-Oxley Act of 2002 (Subsections (a) and (b) of Section 1350, Chapter 63 of</w:t>
            </w:r>
          </w:p>
        </w:tc>
      </w:tr>
      <w:tr>
        <w:trPr>
          <w:trHeight w:val="217"/>
        </w:trPr>
        <w:tc>
          <w:tcPr>
            <w:tcW w:w="980" w:type="dxa"/>
            <w:vAlign w:val="bottom"/>
          </w:tcPr>
          <w:p>
            <w:pPr>
              <w:spacing w:after="0"/>
              <w:rPr>
                <w:sz w:val="18"/>
                <w:szCs w:val="18"/>
                <w:color w:val="auto"/>
              </w:rPr>
            </w:pPr>
          </w:p>
        </w:tc>
        <w:tc>
          <w:tcPr>
            <w:tcW w:w="10280" w:type="dxa"/>
            <w:vAlign w:val="bottom"/>
          </w:tcPr>
          <w:p>
            <w:pPr>
              <w:ind w:left="100"/>
              <w:spacing w:after="0"/>
              <w:rPr>
                <w:sz w:val="20"/>
                <w:szCs w:val="20"/>
                <w:color w:val="auto"/>
              </w:rPr>
            </w:pPr>
            <w:r>
              <w:rPr>
                <w:rFonts w:ascii="Arial" w:cs="Arial" w:eastAsia="Arial" w:hAnsi="Arial"/>
                <w:sz w:val="18"/>
                <w:szCs w:val="18"/>
                <w:color w:val="auto"/>
              </w:rPr>
              <w:t>Title 18, United States Code).</w:t>
            </w:r>
          </w:p>
        </w:tc>
      </w:tr>
      <w:tr>
        <w:trPr>
          <w:trHeight w:val="311"/>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risks as reported at June 30, 2016.</w:t>
            </w:r>
          </w:p>
        </w:tc>
      </w:tr>
    </w:tbl>
    <w:p>
      <w:pPr>
        <w:spacing w:after="0" w:line="94" w:lineRule="exact"/>
        <w:rPr>
          <w:sz w:val="20"/>
          <w:szCs w:val="20"/>
          <w:color w:val="auto"/>
        </w:rPr>
      </w:pPr>
    </w:p>
    <w:p>
      <w:pPr>
        <w:ind w:left="1080" w:right="220" w:hanging="1072"/>
        <w:spacing w:after="0" w:line="24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2016, formatted in extensible Business Reporting Language (XBRL), filed herewith:</w:t>
      </w:r>
    </w:p>
    <w:p>
      <w:pPr>
        <w:spacing w:after="0" w:line="331" w:lineRule="exact"/>
        <w:rPr>
          <w:rFonts w:ascii="Arial" w:cs="Arial" w:eastAsia="Arial" w:hAnsi="Arial"/>
          <w:sz w:val="18"/>
          <w:szCs w:val="18"/>
          <w:color w:val="auto"/>
        </w:rPr>
      </w:pPr>
    </w:p>
    <w:p>
      <w:pPr>
        <w:ind w:left="1960" w:hanging="655"/>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six months ended June 30, 2016 and 2015.</w:t>
      </w:r>
    </w:p>
    <w:p>
      <w:pPr>
        <w:spacing w:after="0" w:line="171" w:lineRule="exact"/>
        <w:rPr>
          <w:rFonts w:ascii="Arial" w:cs="Arial" w:eastAsia="Arial" w:hAnsi="Arial"/>
          <w:sz w:val="18"/>
          <w:szCs w:val="18"/>
          <w:color w:val="auto"/>
        </w:rPr>
      </w:pPr>
    </w:p>
    <w:p>
      <w:pPr>
        <w:ind w:left="1960" w:right="220" w:hanging="655"/>
        <w:spacing w:after="0" w:line="246" w:lineRule="auto"/>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Consolidated Statements of Comprehensive Income/(Loss) for the three and six months ended June 30, 2016 and 2015.</w:t>
      </w:r>
    </w:p>
    <w:p>
      <w:pPr>
        <w:spacing w:after="0" w:line="169" w:lineRule="exact"/>
        <w:rPr>
          <w:rFonts w:ascii="Arial" w:cs="Arial" w:eastAsia="Arial" w:hAnsi="Arial"/>
          <w:sz w:val="18"/>
          <w:szCs w:val="18"/>
          <w:color w:val="auto"/>
        </w:rPr>
      </w:pPr>
    </w:p>
    <w:p>
      <w:pPr>
        <w:ind w:left="1960" w:hanging="655"/>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Consolidated Balance Sheets at June 30, 2016 and December 31, 2015.</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six months ended June 30, 2016 and 2015.</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20" w:lineRule="exact"/>
        <w:rPr>
          <w:sz w:val="20"/>
          <w:szCs w:val="20"/>
          <w:color w:val="auto"/>
        </w:rPr>
      </w:pPr>
    </w:p>
    <w:p>
      <w:pPr>
        <w:ind w:left="760" w:right="200"/>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670" w:right="399" w:bottom="1440" w:gutter="0" w:footer="0" w:header="0"/>
        </w:sectPr>
      </w:pPr>
    </w:p>
    <w:bookmarkStart w:id="49" w:name="page50"/>
    <w:bookmarkEnd w:id="49"/>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9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700"/>
        <w:spacing w:after="0"/>
        <w:rPr>
          <w:sz w:val="20"/>
          <w:szCs w:val="20"/>
          <w:color w:val="auto"/>
        </w:rPr>
      </w:pPr>
      <w:r>
        <w:rPr>
          <w:rFonts w:ascii="Arial" w:cs="Arial" w:eastAsia="Arial" w:hAnsi="Arial"/>
          <w:sz w:val="18"/>
          <w:szCs w:val="18"/>
          <w:u w:val="single" w:color="auto"/>
          <w:color w:val="auto"/>
        </w:rPr>
        <w:t>ALBANY INTERNATIONAL CORP.</w:t>
      </w:r>
    </w:p>
    <w:p>
      <w:pPr>
        <w:ind w:left="576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2016</w:t>
      </w:r>
    </w:p>
    <w:p>
      <w:pPr>
        <w:spacing w:after="0" w:line="212"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spacing w:after="0" w:line="200" w:lineRule="exact"/>
        <w:rPr>
          <w:sz w:val="20"/>
          <w:szCs w:val="20"/>
          <w:color w:val="auto"/>
        </w:rPr>
      </w:pPr>
    </w:p>
    <w:p>
      <w:pPr>
        <w:spacing w:after="0" w:line="2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B. Cozzolino</w:t>
      </w:r>
    </w:p>
    <w:p>
      <w:pPr>
        <w:ind w:left="628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886" w:right="6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0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03" w:lineRule="exact"/>
        <w:rPr>
          <w:rFonts w:ascii="Arial" w:cs="Arial" w:eastAsia="Arial" w:hAnsi="Arial"/>
          <w:sz w:val="18"/>
          <w:szCs w:val="18"/>
          <w:color w:val="auto"/>
        </w:rPr>
      </w:pPr>
    </w:p>
    <w:p>
      <w:pPr>
        <w:ind w:left="1300" w:right="34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1300" w:right="34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1300" w:right="5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960" w:right="40" w:hanging="655"/>
        <w:spacing w:after="0" w:line="239"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960" w:right="60" w:hanging="655"/>
        <w:spacing w:after="0" w:line="261"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7"/>
          <w:szCs w:val="17"/>
          <w:color w:val="auto"/>
        </w:rPr>
      </w:pPr>
    </w:p>
    <w:p>
      <w:pPr>
        <w:ind w:left="1960" w:right="160" w:hanging="655"/>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960" w:right="200" w:hanging="655"/>
        <w:spacing w:after="0" w:line="239"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1300" w:right="36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960" w:right="500" w:hanging="655"/>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960" w:right="300" w:hanging="655"/>
        <w:spacing w:after="0" w:line="246"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Joseph G. Morone</w:t>
            </w:r>
          </w:p>
        </w:tc>
        <w:tc>
          <w:tcPr>
            <w:tcW w:w="3420" w:type="dxa"/>
            <w:vAlign w:val="bottom"/>
          </w:tcPr>
          <w:p>
            <w:pPr>
              <w:spacing w:after="0"/>
              <w:rPr>
                <w:sz w:val="18"/>
                <w:szCs w:val="18"/>
                <w:color w:val="auto"/>
              </w:rPr>
            </w:pPr>
          </w:p>
        </w:tc>
      </w:tr>
      <w:tr>
        <w:trPr>
          <w:trHeight w:val="209"/>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Joseph G. Morone</w:t>
            </w:r>
          </w:p>
        </w:tc>
      </w:tr>
      <w:tr>
        <w:trPr>
          <w:trHeight w:val="203"/>
        </w:trPr>
        <w:tc>
          <w:tcPr>
            <w:tcW w:w="6280" w:type="dxa"/>
            <w:vAlign w:val="bottom"/>
          </w:tcPr>
          <w:p>
            <w:pPr>
              <w:spacing w:after="0"/>
              <w:rPr>
                <w:sz w:val="17"/>
                <w:szCs w:val="17"/>
                <w:color w:val="auto"/>
              </w:rPr>
            </w:pPr>
          </w:p>
        </w:tc>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53"/>
        </w:trPr>
        <w:tc>
          <w:tcPr>
            <w:tcW w:w="6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(31.2)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7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03" w:lineRule="exact"/>
        <w:rPr>
          <w:rFonts w:ascii="Arial" w:cs="Arial" w:eastAsia="Arial" w:hAnsi="Arial"/>
          <w:sz w:val="18"/>
          <w:szCs w:val="18"/>
          <w:color w:val="auto"/>
        </w:rPr>
      </w:pPr>
    </w:p>
    <w:p>
      <w:pPr>
        <w:ind w:left="1300" w:right="34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1300" w:right="34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1300" w:right="5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960" w:right="40" w:hanging="655"/>
        <w:spacing w:after="0" w:line="239"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960" w:right="60" w:hanging="655"/>
        <w:spacing w:after="0" w:line="261"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7"/>
          <w:szCs w:val="17"/>
          <w:color w:val="auto"/>
        </w:rPr>
      </w:pPr>
    </w:p>
    <w:p>
      <w:pPr>
        <w:ind w:left="1960" w:right="160" w:hanging="655"/>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960" w:right="200" w:hanging="655"/>
        <w:spacing w:after="0" w:line="239"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1300" w:right="36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960" w:right="500" w:hanging="655"/>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960" w:right="300" w:hanging="655"/>
        <w:spacing w:after="0" w:line="246"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/s/ John B. Cozzolino</w:t>
            </w:r>
          </w:p>
        </w:tc>
      </w:tr>
      <w:tr>
        <w:trPr>
          <w:trHeight w:val="209"/>
        </w:trPr>
        <w:tc>
          <w:tcPr>
            <w:tcW w:w="628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B. Cozzolino</w:t>
            </w:r>
          </w:p>
        </w:tc>
        <w:tc>
          <w:tcPr>
            <w:tcW w:w="34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5140" w:type="dxa"/>
            <w:vAlign w:val="bottom"/>
            <w:gridSpan w:val="2"/>
          </w:tcPr>
          <w:p>
            <w:pPr>
              <w:spacing w:after="0" w:line="202" w:lineRule="exact"/>
              <w:rPr>
                <w:sz w:val="20"/>
                <w:szCs w:val="20"/>
                <w:color w:val="auto"/>
              </w:rPr>
            </w:pPr>
            <w:r>
              <w:rPr>
                <w:rFonts w:ascii="Arial" w:cs="Arial" w:eastAsia="Arial" w:hAnsi="Arial"/>
                <w:sz w:val="18"/>
                <w:szCs w:val="18"/>
                <w:color w:val="auto"/>
              </w:rPr>
              <w:t>Chief Financial Officer and Treasurer</w:t>
            </w:r>
          </w:p>
        </w:tc>
      </w:tr>
      <w:tr>
        <w:trPr>
          <w:trHeight w:val="217"/>
        </w:trPr>
        <w:tc>
          <w:tcPr>
            <w:tcW w:w="628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453"/>
        </w:trPr>
        <w:tc>
          <w:tcPr>
            <w:tcW w:w="6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52" w:name="page53"/>
    <w:bookmarkEnd w:id="52"/>
    <w:p>
      <w:pPr>
        <w:jc w:val="center"/>
        <w:ind w:right="-17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PURSUANT TO</w:t>
      </w:r>
    </w:p>
    <w:p>
      <w:pPr>
        <w:jc w:val="center"/>
        <w:ind w:right="-17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17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300" w:firstLine="648"/>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2016,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202"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2016</w:t>
      </w:r>
    </w:p>
    <w:p>
      <w:pPr>
        <w:spacing w:after="0" w:line="9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Joseph G. Morone</w:t>
      </w:r>
    </w:p>
    <w:p>
      <w:pPr>
        <w:ind w:left="5720"/>
        <w:spacing w:after="0" w:line="234" w:lineRule="auto"/>
        <w:rPr>
          <w:sz w:val="20"/>
          <w:szCs w:val="20"/>
          <w:color w:val="auto"/>
        </w:rPr>
      </w:pPr>
      <w:r>
        <w:rPr>
          <w:rFonts w:ascii="Arial" w:cs="Arial" w:eastAsia="Arial" w:hAnsi="Arial"/>
          <w:sz w:val="18"/>
          <w:szCs w:val="18"/>
          <w:color w:val="auto"/>
        </w:rPr>
        <w:t>Joseph G. Morone</w:t>
      </w:r>
    </w:p>
    <w:p>
      <w:pPr>
        <w:ind w:left="572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9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John B. Cozzolino</w:t>
      </w:r>
    </w:p>
    <w:p>
      <w:pPr>
        <w:ind w:left="5720"/>
        <w:spacing w:after="0" w:line="234" w:lineRule="auto"/>
        <w:rPr>
          <w:sz w:val="20"/>
          <w:szCs w:val="20"/>
          <w:color w:val="auto"/>
        </w:rPr>
      </w:pPr>
      <w:r>
        <w:rPr>
          <w:rFonts w:ascii="Arial" w:cs="Arial" w:eastAsia="Arial" w:hAnsi="Arial"/>
          <w:sz w:val="18"/>
          <w:szCs w:val="18"/>
          <w:color w:val="auto"/>
        </w:rPr>
        <w:t>John B. Cozzolino</w:t>
      </w:r>
    </w:p>
    <w:p>
      <w:pPr>
        <w:ind w:left="572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2141855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EXHIBIT (99.1)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2016</w:t>
      </w:r>
    </w:p>
    <w:p>
      <w:pPr>
        <w:ind w:right="360" w:firstLine="648"/>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w:t>
      </w:r>
    </w:p>
    <w:p>
      <w:pPr>
        <w:spacing w:after="0" w:line="234" w:lineRule="auto"/>
        <w:rPr>
          <w:sz w:val="20"/>
          <w:szCs w:val="20"/>
          <w:color w:val="auto"/>
        </w:rPr>
      </w:pPr>
      <w:r>
        <w:rPr>
          <w:rFonts w:ascii="Arial" w:cs="Arial" w:eastAsia="Arial" w:hAnsi="Arial"/>
          <w:sz w:val="18"/>
          <w:szCs w:val="18"/>
          <w:color w:val="auto"/>
        </w:rPr>
        <w:t>composed of both potential losses from the translation of foreign currency financial statements and the remeasurement of foreign currency</w:t>
      </w:r>
    </w:p>
    <w:p>
      <w:pPr>
        <w:spacing w:after="0" w:line="235" w:lineRule="auto"/>
        <w:rPr>
          <w:sz w:val="20"/>
          <w:szCs w:val="20"/>
          <w:color w:val="auto"/>
        </w:rPr>
      </w:pPr>
      <w:r>
        <w:rPr>
          <w:rFonts w:ascii="Arial" w:cs="Arial" w:eastAsia="Arial" w:hAnsi="Arial"/>
          <w:sz w:val="18"/>
          <w:szCs w:val="18"/>
          <w:color w:val="auto"/>
        </w:rPr>
        <w:t>transactions. To manage this risk, we periodically enter into forward exchange contracts either to hedge the net assets of a foreign investment</w:t>
      </w:r>
    </w:p>
    <w:p>
      <w:pPr>
        <w:spacing w:after="0" w:line="235" w:lineRule="auto"/>
        <w:rPr>
          <w:sz w:val="20"/>
          <w:szCs w:val="20"/>
          <w:color w:val="auto"/>
        </w:rPr>
      </w:pPr>
      <w:r>
        <w:rPr>
          <w:rFonts w:ascii="Arial" w:cs="Arial" w:eastAsia="Arial" w:hAnsi="Arial"/>
          <w:sz w:val="18"/>
          <w:szCs w:val="18"/>
          <w:color w:val="auto"/>
        </w:rPr>
        <w:t>or to provide an economic hedge against future cash flows. The total net assets of non-U.S. operations and long-term intercompany loans</w:t>
      </w:r>
    </w:p>
    <w:p>
      <w:pPr>
        <w:spacing w:after="0" w:line="235" w:lineRule="auto"/>
        <w:rPr>
          <w:sz w:val="20"/>
          <w:szCs w:val="20"/>
          <w:color w:val="auto"/>
        </w:rPr>
      </w:pPr>
      <w:r>
        <w:rPr>
          <w:rFonts w:ascii="Arial" w:cs="Arial" w:eastAsia="Arial" w:hAnsi="Arial"/>
          <w:sz w:val="18"/>
          <w:szCs w:val="18"/>
          <w:color w:val="auto"/>
        </w:rPr>
        <w:t>denominated in nonfunctional currencies subject to potential loss amount to approximately $509.6 million. The potential loss in fair value</w:t>
      </w:r>
    </w:p>
    <w:p>
      <w:pPr>
        <w:spacing w:after="0" w:line="235" w:lineRule="auto"/>
        <w:rPr>
          <w:sz w:val="20"/>
          <w:szCs w:val="20"/>
          <w:color w:val="auto"/>
        </w:rPr>
      </w:pPr>
      <w:r>
        <w:rPr>
          <w:rFonts w:ascii="Arial" w:cs="Arial" w:eastAsia="Arial" w:hAnsi="Arial"/>
          <w:sz w:val="18"/>
          <w:szCs w:val="18"/>
          <w:color w:val="auto"/>
        </w:rPr>
        <w:t>resulting from a hypothetical 10% adverse change in quoted foreign currency exchange rates amounts to $51.0 million. Furthermore, related to</w:t>
      </w:r>
    </w:p>
    <w:p>
      <w:pPr>
        <w:spacing w:after="0" w:line="235" w:lineRule="auto"/>
        <w:rPr>
          <w:sz w:val="20"/>
          <w:szCs w:val="20"/>
          <w:color w:val="auto"/>
        </w:rPr>
      </w:pPr>
      <w:r>
        <w:rPr>
          <w:rFonts w:ascii="Arial" w:cs="Arial" w:eastAsia="Arial" w:hAnsi="Arial"/>
          <w:sz w:val="18"/>
          <w:szCs w:val="18"/>
          <w:color w:val="auto"/>
        </w:rPr>
        <w:t>foreign currency transactions, we have exposure to various nonfunctional currency balances totaling $80.9 million. This amount includes, on an</w:t>
      </w:r>
    </w:p>
    <w:p>
      <w:pPr>
        <w:spacing w:after="0" w:line="235" w:lineRule="auto"/>
        <w:rPr>
          <w:sz w:val="20"/>
          <w:szCs w:val="20"/>
          <w:color w:val="auto"/>
        </w:rPr>
      </w:pPr>
      <w:r>
        <w:rPr>
          <w:rFonts w:ascii="Arial" w:cs="Arial" w:eastAsia="Arial" w:hAnsi="Arial"/>
          <w:sz w:val="18"/>
          <w:szCs w:val="18"/>
          <w:color w:val="auto"/>
        </w:rPr>
        <w:t>absolute basis, exposures to assets and liabilities held in currencies other than our local entity’s functional currency. On a net basis, we had</w:t>
      </w:r>
    </w:p>
    <w:p>
      <w:pPr>
        <w:spacing w:after="0" w:line="235" w:lineRule="auto"/>
        <w:rPr>
          <w:sz w:val="20"/>
          <w:szCs w:val="20"/>
          <w:color w:val="auto"/>
        </w:rPr>
      </w:pPr>
      <w:r>
        <w:rPr>
          <w:rFonts w:ascii="Arial" w:cs="Arial" w:eastAsia="Arial" w:hAnsi="Arial"/>
          <w:sz w:val="18"/>
          <w:szCs w:val="18"/>
          <w:color w:val="auto"/>
        </w:rPr>
        <w:t>$50.3 million of foreign currency liabilities as of June 30, 2016. As currency rates change, these nonfunctional currency balances are revalued,</w:t>
      </w:r>
    </w:p>
    <w:p>
      <w:pPr>
        <w:spacing w:after="0" w:line="235" w:lineRule="auto"/>
        <w:rPr>
          <w:sz w:val="20"/>
          <w:szCs w:val="20"/>
          <w:color w:val="auto"/>
        </w:rPr>
      </w:pPr>
      <w:r>
        <w:rPr>
          <w:rFonts w:ascii="Arial" w:cs="Arial" w:eastAsia="Arial" w:hAnsi="Arial"/>
          <w:sz w:val="18"/>
          <w:szCs w:val="18"/>
          <w:color w:val="auto"/>
        </w:rPr>
        <w:t>and the corresponding adjustment is recorded in the income statement. A hypothetical change of 10% in currency rates could result in an</w:t>
      </w:r>
    </w:p>
    <w:p>
      <w:pPr>
        <w:spacing w:after="0"/>
        <w:rPr>
          <w:sz w:val="20"/>
          <w:szCs w:val="20"/>
          <w:color w:val="auto"/>
        </w:rPr>
      </w:pPr>
      <w:r>
        <w:rPr>
          <w:rFonts w:ascii="Arial" w:cs="Arial" w:eastAsia="Arial" w:hAnsi="Arial"/>
          <w:sz w:val="18"/>
          <w:szCs w:val="18"/>
          <w:color w:val="auto"/>
        </w:rPr>
        <w:t>adjustment to the income statement of approximately $5.0 million. Actual results may differ.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2016,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interest rates)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Short-term debt</w:t>
            </w:r>
          </w:p>
        </w:tc>
        <w:tc>
          <w:tcPr>
            <w:tcW w:w="1500" w:type="dxa"/>
            <w:vAlign w:val="bottom"/>
            <w:tcBorders>
              <w:top w:val="single" w:sz="8" w:color="auto"/>
            </w:tcBorders>
          </w:tcPr>
          <w:p>
            <w:pPr>
              <w:spacing w:after="0"/>
              <w:rPr>
                <w:sz w:val="16"/>
                <w:szCs w:val="16"/>
                <w:color w:val="auto"/>
              </w:rPr>
            </w:pPr>
          </w:p>
        </w:tc>
      </w:tr>
      <w:tr>
        <w:trPr>
          <w:trHeight w:val="181"/>
        </w:trPr>
        <w:tc>
          <w:tcPr>
            <w:tcW w:w="9920" w:type="dxa"/>
            <w:vAlign w:val="bottom"/>
          </w:tcPr>
          <w:p>
            <w:pPr>
              <w:spacing w:after="0" w:line="181" w:lineRule="exact"/>
              <w:rPr>
                <w:sz w:val="20"/>
                <w:szCs w:val="20"/>
                <w:color w:val="auto"/>
              </w:rPr>
            </w:pPr>
            <w:r>
              <w:rPr>
                <w:rFonts w:ascii="Arial" w:cs="Arial" w:eastAsia="Arial" w:hAnsi="Arial"/>
                <w:sz w:val="18"/>
                <w:szCs w:val="18"/>
                <w:color w:val="auto"/>
              </w:rPr>
              <w:t>Notes payable, end of period interest rate of 1.59%</w:t>
            </w:r>
          </w:p>
        </w:tc>
        <w:tc>
          <w:tcPr>
            <w:tcW w:w="1500" w:type="dxa"/>
            <w:vAlign w:val="bottom"/>
          </w:tcPr>
          <w:p>
            <w:pPr>
              <w:jc w:val="right"/>
              <w:spacing w:after="0" w:line="181" w:lineRule="exact"/>
              <w:rPr>
                <w:sz w:val="20"/>
                <w:szCs w:val="20"/>
                <w:color w:val="auto"/>
              </w:rPr>
            </w:pPr>
            <w:r>
              <w:rPr>
                <w:rFonts w:ascii="Arial" w:cs="Arial" w:eastAsia="Arial" w:hAnsi="Arial"/>
                <w:sz w:val="18"/>
                <w:szCs w:val="18"/>
                <w:color w:val="auto"/>
              </w:rPr>
              <w:t>$531</w:t>
            </w:r>
          </w:p>
        </w:tc>
      </w:tr>
      <w:tr>
        <w:trPr>
          <w:trHeight w:val="225"/>
        </w:trPr>
        <w:tc>
          <w:tcPr>
            <w:tcW w:w="99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500" w:type="dxa"/>
            <w:vAlign w:val="bottom"/>
          </w:tcPr>
          <w:p>
            <w:pPr>
              <w:spacing w:after="0"/>
              <w:rPr>
                <w:sz w:val="19"/>
                <w:szCs w:val="19"/>
                <w:color w:val="auto"/>
              </w:rPr>
            </w:pPr>
          </w:p>
        </w:tc>
      </w:tr>
      <w:tr>
        <w:trPr>
          <w:trHeight w:val="203"/>
        </w:trPr>
        <w:tc>
          <w:tcPr>
            <w:tcW w:w="992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fixed rate portion, at an end of period interest rate of 1.95% in</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112,000</w:t>
            </w:r>
          </w:p>
        </w:tc>
      </w:tr>
      <w:tr>
        <w:trPr>
          <w:trHeight w:val="217"/>
        </w:trPr>
        <w:tc>
          <w:tcPr>
            <w:tcW w:w="9920" w:type="dxa"/>
            <w:vAlign w:val="bottom"/>
          </w:tcPr>
          <w:p>
            <w:pPr>
              <w:spacing w:after="0"/>
              <w:rPr>
                <w:sz w:val="20"/>
                <w:szCs w:val="20"/>
                <w:color w:val="auto"/>
              </w:rPr>
            </w:pPr>
            <w:r>
              <w:rPr>
                <w:rFonts w:ascii="Arial" w:cs="Arial" w:eastAsia="Arial" w:hAnsi="Arial"/>
                <w:sz w:val="18"/>
                <w:szCs w:val="18"/>
                <w:color w:val="auto"/>
              </w:rPr>
              <w:t>2016</w:t>
            </w:r>
          </w:p>
        </w:tc>
        <w:tc>
          <w:tcPr>
            <w:tcW w:w="1500" w:type="dxa"/>
            <w:vAlign w:val="bottom"/>
          </w:tcPr>
          <w:p>
            <w:pPr>
              <w:spacing w:after="0"/>
              <w:rPr>
                <w:sz w:val="18"/>
                <w:szCs w:val="18"/>
                <w:color w:val="auto"/>
              </w:rPr>
            </w:pPr>
          </w:p>
        </w:tc>
      </w:tr>
      <w:tr>
        <w:trPr>
          <w:trHeight w:val="189"/>
        </w:trPr>
        <w:tc>
          <w:tcPr>
            <w:tcW w:w="9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399"/>
        </w:trPr>
        <w:tc>
          <w:tcPr>
            <w:tcW w:w="9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$112,531</w:t>
            </w:r>
          </w:p>
        </w:tc>
      </w:tr>
    </w:tbl>
    <w:p>
      <w:pPr>
        <w:spacing w:after="0" w:line="377"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$1.1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1"/>
    </w:lvl>
    <w:lvl w:ilvl="1">
      <w:lvlJc w:val="left"/>
      <w:lvlText w:val="(%2)"/>
      <w:numFmt w:val="lowerLetter"/>
      <w:start w:val="1"/>
    </w:lvl>
  </w:abstractNum>
  <w:abstractNum w:abstractNumId="5">
    <w:nsid w:val="2D1D5AE9"/>
    <w:multiLevelType w:val="hybridMultilevel"/>
    <w:lvl w:ilvl="0">
      <w:lvlJc w:val="left"/>
      <w:lvlText w:val="%1."/>
      <w:numFmt w:val="decimal"/>
      <w:start w:val="11"/>
    </w:lvl>
    <w:lvl w:ilvl="1">
      <w:lvlJc w:val="left"/>
      <w:lvlText w:val="%2"/>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decimal"/>
      <w:start w:val="16"/>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lvl w:ilvl="1">
      <w:lvlJc w:val="left"/>
      <w:lvlText w:val="·"/>
      <w:numFmt w:val="bullet"/>
      <w:start w:val="1"/>
    </w:lvl>
  </w:abstractNum>
  <w:abstractNum w:abstractNumId="10">
    <w:nsid w:val="4353D0CD"/>
    <w:multiLevelType w:val="hybridMultilevel"/>
    <w:lvl w:ilvl="0">
      <w:lvlJc w:val="left"/>
      <w:lvlText w:val="·"/>
      <w:numFmt w:val="bullet"/>
      <w:start w:val="1"/>
    </w:lvl>
    <w:lvl w:ilvl="1">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decimal"/>
      <w:start w:val="101"/>
    </w:lvl>
    <w:lvl w:ilvl="1">
      <w:lvlJc w:val="left"/>
      <w:lvlText w:val="(%2)"/>
      <w:numFmt w:val="lowerRoman"/>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2019-12-29T10:36:50Z</dcterms:created>
  <dcterms:modified xsi:type="dcterms:W3CDTF">2019-12-29T10:36:50Z</dcterms:modified>
</cp:coreProperties>
</file>