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9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5"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June 30, 2021</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7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24765</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5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37465</wp:posOffset>
            </wp:positionV>
            <wp:extent cx="3282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107"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July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43" w:right="319" w:bottom="61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153670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28"/>
        </w:trPr>
        <w:tc>
          <w:tcPr>
            <w:tcW w:w="2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4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560" w:type="dxa"/>
            <w:vAlign w:val="bottom"/>
            <w:tcBorders>
              <w:bottom w:val="single" w:sz="8" w:color="B2B2B2"/>
            </w:tcBorders>
          </w:tcPr>
          <w:p>
            <w:pPr>
              <w:spacing w:after="0"/>
              <w:rPr>
                <w:sz w:val="19"/>
                <w:szCs w:val="19"/>
                <w:color w:val="auto"/>
              </w:rPr>
            </w:pPr>
          </w:p>
        </w:tc>
        <w:tc>
          <w:tcPr>
            <w:tcW w:w="34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16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260" w:type="dxa"/>
            <w:vAlign w:val="bottom"/>
            <w:tcBorders>
              <w:bottom w:val="single" w:sz="8" w:color="B2B2B2"/>
            </w:tcBorders>
          </w:tcPr>
          <w:p>
            <w:pPr>
              <w:spacing w:after="0"/>
              <w:rPr>
                <w:sz w:val="19"/>
                <w:szCs w:val="19"/>
                <w:color w:val="auto"/>
              </w:rPr>
            </w:pPr>
          </w:p>
        </w:tc>
        <w:tc>
          <w:tcPr>
            <w:tcW w:w="260" w:type="dxa"/>
            <w:vAlign w:val="bottom"/>
            <w:tcBorders>
              <w:bottom w:val="single" w:sz="8" w:color="B2B2B2"/>
            </w:tcBorders>
          </w:tcPr>
          <w:p>
            <w:pPr>
              <w:spacing w:after="0"/>
              <w:rPr>
                <w:sz w:val="19"/>
                <w:szCs w:val="19"/>
                <w:color w:val="auto"/>
              </w:rPr>
            </w:pPr>
          </w:p>
        </w:tc>
        <w:tc>
          <w:tcPr>
            <w:tcW w:w="18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3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60" w:type="dxa"/>
            <w:vAlign w:val="bottom"/>
            <w:tcBorders>
              <w:bottom w:val="single" w:sz="8" w:color="B2B2B2"/>
            </w:tcBorders>
          </w:tcPr>
          <w:p>
            <w:pPr>
              <w:spacing w:after="0"/>
              <w:rPr>
                <w:sz w:val="19"/>
                <w:szCs w:val="19"/>
                <w:color w:val="auto"/>
              </w:rPr>
            </w:pPr>
          </w:p>
        </w:tc>
        <w:tc>
          <w:tcPr>
            <w:tcW w:w="40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56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98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2000" w:type="dxa"/>
            <w:vAlign w:val="bottom"/>
            <w:tcBorders>
              <w:bottom w:val="single" w:sz="8" w:color="B2B2B2"/>
            </w:tcBorders>
          </w:tcPr>
          <w:p>
            <w:pPr>
              <w:spacing w:after="0"/>
              <w:rPr>
                <w:sz w:val="19"/>
                <w:szCs w:val="19"/>
                <w:color w:val="auto"/>
              </w:rPr>
            </w:pPr>
          </w:p>
        </w:tc>
        <w:tc>
          <w:tcPr>
            <w:tcW w:w="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29"/>
        </w:trPr>
        <w:tc>
          <w:tcPr>
            <w:tcW w:w="20" w:type="dxa"/>
            <w:vAlign w:val="bottom"/>
            <w:shd w:val="clear" w:color="auto" w:fill="B2B2B2"/>
          </w:tcPr>
          <w:p>
            <w:pPr>
              <w:spacing w:after="0"/>
              <w:rPr>
                <w:sz w:val="19"/>
                <w:szCs w:val="19"/>
                <w:color w:val="auto"/>
              </w:rPr>
            </w:pPr>
          </w:p>
        </w:tc>
        <w:tc>
          <w:tcPr>
            <w:tcW w:w="10580" w:type="dxa"/>
            <w:vAlign w:val="bottom"/>
            <w:gridSpan w:val="36"/>
            <w:shd w:val="clear" w:color="auto" w:fill="B2B2B2"/>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9840" w:type="dxa"/>
            <w:vAlign w:val="bottom"/>
            <w:gridSpan w:val="33"/>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income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six</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months ended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3"/>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comprehensive income/(loss)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six</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months ended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Consolidated balance sheets as of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5">
              <w:r>
                <w:rPr>
                  <w:rFonts w:ascii="Arial" w:cs="Arial" w:eastAsia="Arial" w:hAnsi="Arial"/>
                  <w:sz w:val="16"/>
                  <w:szCs w:val="16"/>
                  <w:color w:val="0000FF"/>
                </w:rPr>
                <w:t xml:space="preserve">and </w:t>
              </w:r>
            </w:hyperlink>
            <w:r>
              <w:rPr>
                <w:rFonts w:ascii="Arial" w:cs="Arial" w:eastAsia="Arial" w:hAnsi="Arial"/>
                <w:sz w:val="16"/>
                <w:szCs w:val="16"/>
                <w:color w:val="000000"/>
              </w:rPr>
              <w:t>December</w:t>
            </w:r>
            <w:r>
              <w:rPr>
                <w:rFonts w:ascii="Arial" w:cs="Arial" w:eastAsia="Arial" w:hAnsi="Arial"/>
                <w:sz w:val="16"/>
                <w:szCs w:val="16"/>
                <w:color w:val="0000FF"/>
              </w:rPr>
              <w:t xml:space="preserve"> </w:t>
            </w:r>
            <w:r>
              <w:rPr>
                <w:rFonts w:ascii="Arial" w:cs="Arial" w:eastAsia="Arial" w:hAnsi="Arial"/>
                <w:sz w:val="16"/>
                <w:szCs w:val="16"/>
                <w:color w:val="000000"/>
              </w:rPr>
              <w:t>31, 2020</w:t>
            </w:r>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3"/>
          </w:tcPr>
          <w:p>
            <w:pPr>
              <w:ind w:left="120"/>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Consolidated statements of cash flows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six</w:t>
            </w:r>
            <w:r>
              <w:rPr>
                <w:rFonts w:ascii="Arial" w:cs="Arial" w:eastAsia="Arial" w:hAnsi="Arial"/>
                <w:sz w:val="16"/>
                <w:szCs w:val="16"/>
                <w:color w:val="0000FF"/>
              </w:rPr>
              <w:t xml:space="preserve"> </w:t>
            </w:r>
            <w:hyperlink w:anchor="page6">
              <w:r>
                <w:rPr>
                  <w:rFonts w:ascii="Arial" w:cs="Arial" w:eastAsia="Arial" w:hAnsi="Arial"/>
                  <w:sz w:val="16"/>
                  <w:szCs w:val="16"/>
                  <w:color w:val="0000FF"/>
                </w:rPr>
                <w:t xml:space="preserve">months ended </w:t>
              </w:r>
            </w:hyperlink>
            <w:r>
              <w:rPr>
                <w:rFonts w:ascii="Arial" w:cs="Arial" w:eastAsia="Arial" w:hAnsi="Arial"/>
                <w:sz w:val="16"/>
                <w:szCs w:val="16"/>
                <w:color w:val="000000"/>
              </w:rPr>
              <w:t>June</w:t>
            </w:r>
            <w:r>
              <w:rPr>
                <w:rFonts w:ascii="Arial" w:cs="Arial" w:eastAsia="Arial" w:hAnsi="Arial"/>
                <w:sz w:val="16"/>
                <w:szCs w:val="16"/>
                <w:color w:val="0000FF"/>
              </w:rPr>
              <w:t xml:space="preserve"> </w:t>
            </w:r>
            <w:r>
              <w:rPr>
                <w:rFonts w:ascii="Arial" w:cs="Arial" w:eastAsia="Arial" w:hAnsi="Arial"/>
                <w:sz w:val="16"/>
                <w:szCs w:val="16"/>
                <w:color w:val="000000"/>
              </w:rPr>
              <w:t>30, 2021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w:t>
              </w:r>
            </w:hyperlink>
          </w:p>
        </w:tc>
        <w:tc>
          <w:tcPr>
            <w:tcW w:w="9840" w:type="dxa"/>
            <w:vAlign w:val="bottom"/>
            <w:gridSpan w:val="33"/>
          </w:tcPr>
          <w:p>
            <w:pPr>
              <w:ind w:left="120"/>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620" w:type="dxa"/>
            <w:vAlign w:val="bottom"/>
            <w:gridSpan w:val="3"/>
          </w:tcPr>
          <w:p>
            <w:pPr>
              <w:jc w:val="right"/>
              <w:spacing w:after="0"/>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23">
              <w:r>
                <w:rPr>
                  <w:rFonts w:ascii="Arial" w:cs="Arial" w:eastAsia="Arial" w:hAnsi="Arial"/>
                  <w:sz w:val="16"/>
                  <w:szCs w:val="16"/>
                  <w:color w:val="0000FF"/>
                </w:rPr>
                <w:t>Forward-looking statements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22</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3.</w:t>
              </w:r>
            </w:hyperlink>
          </w:p>
        </w:tc>
        <w:tc>
          <w:tcPr>
            <w:tcW w:w="9840" w:type="dxa"/>
            <w:vAlign w:val="bottom"/>
            <w:gridSpan w:val="33"/>
          </w:tcPr>
          <w:p>
            <w:pPr>
              <w:ind w:left="120"/>
              <w:spacing w:after="0"/>
              <w:rPr>
                <w:rFonts w:ascii="Arial" w:cs="Arial" w:eastAsia="Arial" w:hAnsi="Arial"/>
                <w:sz w:val="16"/>
                <w:szCs w:val="16"/>
                <w:color w:val="0000FF"/>
              </w:rPr>
            </w:pPr>
            <w:hyperlink w:anchor="page37">
              <w:r>
                <w:rPr>
                  <w:rFonts w:ascii="Arial" w:cs="Arial" w:eastAsia="Arial" w:hAnsi="Arial"/>
                  <w:sz w:val="16"/>
                  <w:szCs w:val="16"/>
                  <w:color w:val="0000FF"/>
                </w:rPr>
                <w:t>Quantitative and Qualitative Disclosures about Market Risk</w:t>
              </w:r>
            </w:hyperlink>
          </w:p>
        </w:tc>
        <w:tc>
          <w:tcPr>
            <w:tcW w:w="6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4.</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7">
              <w:r>
                <w:rPr>
                  <w:rFonts w:ascii="Arial" w:cs="Arial" w:eastAsia="Arial" w:hAnsi="Arial"/>
                  <w:sz w:val="16"/>
                  <w:szCs w:val="16"/>
                  <w:color w:val="0000FF"/>
                </w:rPr>
                <w:t>Controls and Procedures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10580" w:type="dxa"/>
            <w:vAlign w:val="bottom"/>
            <w:gridSpan w:val="36"/>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Part II Other Information</w:t>
              </w:r>
            </w:hyperlink>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20" w:type="dxa"/>
            <w:vAlign w:val="bottom"/>
            <w:shd w:val="clear" w:color="auto" w:fill="B2B2B2"/>
          </w:tcPr>
          <w:p>
            <w:pPr>
              <w:spacing w:after="0"/>
              <w:rPr>
                <w:sz w:val="17"/>
                <w:szCs w:val="17"/>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shd w:val="clear" w:color="auto" w:fill="B2B2B2"/>
          </w:tcPr>
          <w:p>
            <w:pPr>
              <w:spacing w:after="0"/>
              <w:rPr>
                <w:sz w:val="17"/>
                <w:szCs w:val="17"/>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1A.</w:t>
              </w:r>
            </w:hyperlink>
          </w:p>
        </w:tc>
        <w:tc>
          <w:tcPr>
            <w:tcW w:w="9840" w:type="dxa"/>
            <w:vAlign w:val="bottom"/>
            <w:gridSpan w:val="33"/>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Risk Factors</w:t>
              </w:r>
            </w:hyperlink>
          </w:p>
        </w:tc>
        <w:tc>
          <w:tcPr>
            <w:tcW w:w="62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2.</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Unregistered Sales of Equity Securities and Use of Proceeds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3.</w:t>
              </w:r>
            </w:hyperlink>
          </w:p>
        </w:tc>
        <w:tc>
          <w:tcPr>
            <w:tcW w:w="9840" w:type="dxa"/>
            <w:vAlign w:val="bottom"/>
            <w:gridSpan w:val="33"/>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Defaults upon Senior Securities</w:t>
              </w:r>
            </w:hyperlink>
          </w:p>
        </w:tc>
        <w:tc>
          <w:tcPr>
            <w:tcW w:w="62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4.</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Mine Safety Disclosures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98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5.</w:t>
              </w:r>
            </w:hyperlink>
          </w:p>
        </w:tc>
        <w:tc>
          <w:tcPr>
            <w:tcW w:w="9840" w:type="dxa"/>
            <w:vAlign w:val="bottom"/>
            <w:gridSpan w:val="33"/>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Other Information</w:t>
              </w:r>
            </w:hyperlink>
          </w:p>
        </w:tc>
        <w:tc>
          <w:tcPr>
            <w:tcW w:w="62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6.</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Exhibits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20" w:type="dxa"/>
            <w:vAlign w:val="bottom"/>
            <w:shd w:val="clear" w:color="auto" w:fill="B2B2B2"/>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40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98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00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83"/>
        </w:trPr>
        <w:tc>
          <w:tcPr>
            <w:tcW w:w="60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234,519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461,754</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132,791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266,606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269,302</w:t>
            </w:r>
          </w:p>
        </w:tc>
      </w:tr>
      <w:tr>
        <w:trPr>
          <w:trHeight w:val="240"/>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101,728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190,274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192,452</w:t>
            </w: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78,649</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Technical and research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9,762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18,003</w:t>
            </w: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r>
      <w:tr>
        <w:trPr>
          <w:trHeight w:val="239"/>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92,321</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4,218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7,800</w:t>
            </w: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expense/(income),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16,660</w:t>
            </w:r>
          </w:p>
        </w:tc>
      </w:tr>
      <w:tr>
        <w:trPr>
          <w:trHeight w:val="239"/>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67,861</w:t>
            </w:r>
          </w:p>
        </w:tc>
      </w:tr>
      <w:tr>
        <w:trPr>
          <w:trHeight w:val="213"/>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27,818</w:t>
            </w:r>
          </w:p>
        </w:tc>
      </w:tr>
      <w:tr>
        <w:trPr>
          <w:trHeight w:val="240"/>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59,050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40,043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31,397</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58,980</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41,463</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0.97</w:t>
            </w:r>
          </w:p>
        </w:tc>
        <w:tc>
          <w:tcPr>
            <w:tcW w:w="1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60"/>
        </w:trPr>
        <w:tc>
          <w:tcPr>
            <w:tcW w:w="6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0.97</w:t>
            </w:r>
          </w:p>
        </w:tc>
        <w:tc>
          <w:tcPr>
            <w:tcW w:w="1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60"/>
        </w:trPr>
        <w:tc>
          <w:tcPr>
            <w:tcW w:w="6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32,320</w:t>
            </w:r>
          </w:p>
        </w:tc>
      </w:tr>
      <w:tr>
        <w:trPr>
          <w:trHeight w:val="257"/>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32,328</w:t>
            </w:r>
          </w:p>
        </w:tc>
      </w:tr>
      <w:tr>
        <w:trPr>
          <w:trHeight w:val="257"/>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5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r>
      <w:tr>
        <w:trPr>
          <w:trHeight w:val="257"/>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8,753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(16,202)</w:t>
            </w: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r>
      <w:tr>
        <w:trPr>
          <w:trHeight w:val="213"/>
        </w:trPr>
        <w:tc>
          <w:tcPr>
            <w:tcW w:w="586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2,476</w:t>
            </w: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(12,130)</w:t>
            </w:r>
          </w:p>
        </w:tc>
      </w:tr>
      <w:tr>
        <w:trPr>
          <w:trHeight w:val="259"/>
        </w:trPr>
        <w:tc>
          <w:tcPr>
            <w:tcW w:w="5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19"/>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13"/>
        </w:trPr>
        <w:tc>
          <w:tcPr>
            <w:tcW w:w="586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43"/>
        </w:trPr>
        <w:tc>
          <w:tcPr>
            <w:tcW w:w="5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r>
      <w:tr>
        <w:trPr>
          <w:trHeight w:val="209"/>
        </w:trPr>
        <w:tc>
          <w:tcPr>
            <w:tcW w:w="5860" w:type="dxa"/>
            <w:vAlign w:val="bottom"/>
          </w:tcPr>
          <w:p>
            <w:pPr>
              <w:ind w:left="140"/>
              <w:spacing w:after="0"/>
              <w:rPr>
                <w:sz w:val="20"/>
                <w:szCs w:val="20"/>
                <w:color w:val="auto"/>
              </w:rPr>
            </w:pPr>
            <w:r>
              <w:rPr>
                <w:rFonts w:ascii="Arial" w:cs="Arial" w:eastAsia="Arial" w:hAnsi="Arial"/>
                <w:sz w:val="16"/>
                <w:szCs w:val="16"/>
                <w:color w:val="auto"/>
              </w:rPr>
              <w:t>Comprehensive income/(loss)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46,478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41,368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16,397</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41,121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17,556</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253,330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241,316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190,937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188,423</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113,225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139,289</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120,665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110,478</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6,236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33,089</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31,830</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717,482</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717,276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438,392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448,554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46,869</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185,293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187,553</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38,757</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34,466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36,265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74,907</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74,662</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1,526,640</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1,549,936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55,348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49,173</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108,007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125,459</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16,222</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175,588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190,863</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398,000</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121,333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130,424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11,660</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10,784</w:t>
            </w:r>
          </w:p>
        </w:tc>
        <w:tc>
          <w:tcPr>
            <w:tcW w:w="0" w:type="dxa"/>
            <w:vAlign w:val="bottom"/>
          </w:tcPr>
          <w:p>
            <w:pPr>
              <w:spacing w:after="0"/>
              <w:rPr>
                <w:sz w:val="1"/>
                <w:szCs w:val="1"/>
                <w:color w:val="auto"/>
              </w:rPr>
            </w:pPr>
          </w:p>
        </w:tc>
      </w:tr>
      <w:tr>
        <w:trPr>
          <w:trHeight w:val="183"/>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658,581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730,071</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line="153" w:lineRule="exact"/>
              <w:rPr>
                <w:sz w:val="20"/>
                <w:szCs w:val="20"/>
                <w:color w:val="auto"/>
              </w:rPr>
            </w:pPr>
            <w:r>
              <w:rPr>
                <w:rFonts w:ascii="Arial" w:cs="Arial" w:eastAsia="Arial" w:hAnsi="Arial"/>
                <w:sz w:val="14"/>
                <w:szCs w:val="14"/>
                <w:color w:val="auto"/>
              </w:rPr>
              <w:t>Class A Common Stock, par value $.001 per share; authorized 100,000,000 shares; 39,142,483 issued in 2021 and 39,115,405 in</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1"/>
        </w:trPr>
        <w:tc>
          <w:tcPr>
            <w:tcW w:w="8520" w:type="dxa"/>
            <w:vAlign w:val="bottom"/>
          </w:tcPr>
          <w:p>
            <w:pPr>
              <w:ind w:left="14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Class B Common Stock, par value $.001 per share; authorized 25,000,000 shares; issued and outstanding 1,617,998 in 2021 and</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435,230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433,696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816,778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770,746</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(85,384)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(83,203)</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(39,282)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(39,661)</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8,379,804 shares in 2021 and 8,391,011 shares in 2020</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(255,768)</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(256,009)</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864,217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816,066</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3,799</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868,059</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819,865</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1,526,640</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1,549,936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0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31,440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32,449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59,050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40,043</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15,498</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32,560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31,004</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3,543</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9,360</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and equipment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(gain)/loss on intercompany loans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15,581</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11,511</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8,117</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(11,169)</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25,643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(20,009)</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(4,878)</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(24,628)</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(9,337)</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(10,383)</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(10,901)</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5,526</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receivables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(464)</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(4,263)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61,953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50,672</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95,640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44,034</w:t>
            </w:r>
          </w:p>
        </w:tc>
        <w:tc>
          <w:tcPr>
            <w:tcW w:w="0" w:type="dxa"/>
            <w:vAlign w:val="bottom"/>
          </w:tcPr>
          <w:p>
            <w:pPr>
              <w:spacing w:after="0"/>
              <w:rPr>
                <w:sz w:val="1"/>
                <w:szCs w:val="1"/>
                <w:color w:val="auto"/>
              </w:rPr>
            </w:pPr>
          </w:p>
        </w:tc>
      </w:tr>
      <w:tr>
        <w:trPr>
          <w:trHeight w:val="129"/>
        </w:trPr>
        <w:tc>
          <w:tcPr>
            <w:tcW w:w="6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(9,212)</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(21,971)</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Purchased software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(10,588)</w:t>
            </w: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(9,212)</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(22,017)</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debt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(56,005)</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(59,011)</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(329)</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(6,463)</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9"/>
        </w:trPr>
        <w:tc>
          <w:tcPr>
            <w:tcW w:w="6200" w:type="dxa"/>
            <w:vAlign w:val="bottom"/>
          </w:tcPr>
          <w:p>
            <w:pPr>
              <w:ind w:left="480"/>
              <w:spacing w:after="0"/>
              <w:rPr>
                <w:sz w:val="20"/>
                <w:szCs w:val="20"/>
                <w:color w:val="auto"/>
              </w:rPr>
            </w:pPr>
            <w:r>
              <w:rPr>
                <w:rFonts w:ascii="Arial" w:cs="Arial" w:eastAsia="Arial" w:hAnsi="Arial"/>
                <w:sz w:val="14"/>
                <w:szCs w:val="14"/>
                <w:color w:val="auto"/>
              </w:rPr>
              <w:t>Proceeds from options exercised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Dividends paid</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(6,474)</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(12,280)</w:t>
            </w:r>
          </w:p>
        </w:tc>
        <w:tc>
          <w:tcPr>
            <w:tcW w:w="0" w:type="dxa"/>
            <w:vAlign w:val="bottom"/>
          </w:tcPr>
          <w:p>
            <w:pPr>
              <w:spacing w:after="0"/>
              <w:rPr>
                <w:sz w:val="1"/>
                <w:szCs w:val="1"/>
                <w:color w:val="auto"/>
              </w:rPr>
            </w:pPr>
          </w:p>
        </w:tc>
      </w:tr>
      <w:tr>
        <w:trPr>
          <w:trHeight w:val="183"/>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(40,810)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(62,455)</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(62,504)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(8,224)</w:t>
            </w:r>
          </w:p>
        </w:tc>
        <w:tc>
          <w:tcPr>
            <w:tcW w:w="0" w:type="dxa"/>
            <w:vAlign w:val="bottom"/>
          </w:tcPr>
          <w:p>
            <w:pPr>
              <w:spacing w:after="0"/>
              <w:rPr>
                <w:sz w:val="1"/>
                <w:szCs w:val="1"/>
                <w:color w:val="auto"/>
              </w:rPr>
            </w:pPr>
          </w:p>
        </w:tc>
      </w:tr>
      <w:tr>
        <w:trPr>
          <w:trHeight w:val="128"/>
        </w:trPr>
        <w:tc>
          <w:tcPr>
            <w:tcW w:w="6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2,352</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(5,296)</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Increase/(decrease) in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(18,643)</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12,014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8,497</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237,871</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222,680</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241,316</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195,540</w:t>
            </w:r>
          </w:p>
        </w:tc>
        <w:tc>
          <w:tcPr>
            <w:tcW w:w="0" w:type="dxa"/>
            <w:vAlign w:val="bottom"/>
          </w:tcPr>
          <w:p>
            <w:pPr>
              <w:spacing w:after="0"/>
              <w:rPr>
                <w:sz w:val="1"/>
                <w:szCs w:val="1"/>
                <w:color w:val="auto"/>
              </w:rPr>
            </w:pPr>
          </w:p>
        </w:tc>
      </w:tr>
      <w:tr>
        <w:trPr>
          <w:trHeight w:val="183"/>
        </w:trPr>
        <w:tc>
          <w:tcPr>
            <w:tcW w:w="62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253,330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204,037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253,330</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204,037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411"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AEC net sales to Safran were $54.0 million and $57.0 million in the first six months of 2021 and 2020, respectively. The total of Accounts receivable, Contract assets and Noncurrent receivables due from Safran amounted to $105.1 million and $127.1 million as of June 30, 2021 and December 31, 2020, respectively. Other significant programs by AEC include the F-35, Boeing 787, Sikorsky CH-53K and JASSM, as well as the fan case for the GE9X engine. In 2020, approximately 46 percent of AEC sales were related to U.S. government contracts or programs.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55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159,921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153,433</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308,127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290,035</w:t>
            </w:r>
          </w:p>
        </w:tc>
      </w:tr>
      <w:tr>
        <w:trPr>
          <w:trHeight w:val="218"/>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74,598</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72,557</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148,753</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171,719</w:t>
            </w:r>
          </w:p>
        </w:tc>
      </w:tr>
      <w:tr>
        <w:trPr>
          <w:trHeight w:val="23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234,519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225,990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456,880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461,754</w:t>
            </w: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55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55,902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56,543</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106,264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103,718</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15,922</w:t>
            </w:r>
          </w:p>
        </w:tc>
      </w:tr>
      <w:tr>
        <w:trPr>
          <w:trHeight w:val="24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(13,100)</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(24,581)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(27,319)</w:t>
            </w: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49,966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91,785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92,321</w:t>
            </w:r>
          </w:p>
        </w:tc>
      </w:tr>
      <w:tr>
        <w:trPr>
          <w:trHeight w:val="233"/>
        </w:trPr>
        <w:tc>
          <w:tcPr>
            <w:tcW w:w="556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6"/>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40"/>
        </w:trPr>
        <w:tc>
          <w:tcPr>
            <w:tcW w:w="55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4,619</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4,171</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8,717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8,595</w:t>
            </w:r>
          </w:p>
        </w:tc>
      </w:tr>
      <w:tr>
        <w:trPr>
          <w:trHeight w:val="218"/>
        </w:trPr>
        <w:tc>
          <w:tcPr>
            <w:tcW w:w="5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expense/(income), net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1,462</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16,660</w:t>
            </w:r>
          </w:p>
        </w:tc>
      </w:tr>
      <w:tr>
        <w:trPr>
          <w:trHeight w:val="23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82,536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67,861</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changes to total assets of the reportable segments in the first six months of 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center"/>
              <w:ind w:left="682"/>
              <w:spacing w:after="0"/>
              <w:rPr>
                <w:sz w:val="20"/>
                <w:szCs w:val="20"/>
                <w:color w:val="auto"/>
              </w:rPr>
            </w:pPr>
            <w:r>
              <w:rPr>
                <w:rFonts w:ascii="Arial" w:cs="Arial" w:eastAsia="Arial" w:hAnsi="Arial"/>
                <w:sz w:val="16"/>
                <w:szCs w:val="16"/>
                <w:b w:val="1"/>
                <w:bCs w:val="1"/>
                <w:color w:val="auto"/>
              </w:rPr>
              <w:t>(58)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1,030</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2,248</w:t>
            </w:r>
          </w:p>
        </w:tc>
        <w:tc>
          <w:tcPr>
            <w:tcW w:w="300" w:type="dxa"/>
            <w:vAlign w:val="bottom"/>
          </w:tcPr>
          <w:p>
            <w:pPr>
              <w:spacing w:after="0"/>
              <w:rPr>
                <w:sz w:val="18"/>
                <w:szCs w:val="18"/>
                <w:color w:val="auto"/>
              </w:rPr>
            </w:pPr>
          </w:p>
        </w:tc>
        <w:tc>
          <w:tcPr>
            <w:tcW w:w="1100" w:type="dxa"/>
            <w:vAlign w:val="bottom"/>
          </w:tcPr>
          <w:p>
            <w:pPr>
              <w:jc w:val="center"/>
              <w:ind w:left="682"/>
              <w:spacing w:after="0"/>
              <w:rPr>
                <w:sz w:val="20"/>
                <w:szCs w:val="20"/>
                <w:color w:val="auto"/>
              </w:rPr>
            </w:pPr>
            <w:r>
              <w:rPr>
                <w:rFonts w:ascii="Arial" w:cs="Arial" w:eastAsia="Arial" w:hAnsi="Arial"/>
                <w:sz w:val="16"/>
                <w:szCs w:val="16"/>
                <w:b w:val="1"/>
                <w:bCs w:val="1"/>
                <w:color w:val="auto"/>
              </w:rPr>
              <w:t>41</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2,248</w:t>
            </w:r>
          </w:p>
        </w:tc>
      </w:tr>
      <w:tr>
        <w:trPr>
          <w:trHeight w:val="216"/>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6"/>
                <w:szCs w:val="16"/>
                <w:b w:val="1"/>
                <w:bCs w:val="1"/>
                <w:color w:val="auto"/>
              </w:rPr>
              <w:t>60</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201</w:t>
            </w:r>
          </w:p>
        </w:tc>
      </w:tr>
      <w:tr>
        <w:trPr>
          <w:trHeight w:val="21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center"/>
              <w:ind w:left="682"/>
              <w:spacing w:after="0"/>
              <w:rPr>
                <w:sz w:val="20"/>
                <w:szCs w:val="20"/>
                <w:color w:val="auto"/>
              </w:rPr>
            </w:pPr>
            <w:r>
              <w:rPr>
                <w:rFonts w:ascii="Arial" w:cs="Arial" w:eastAsia="Arial" w:hAnsi="Arial"/>
                <w:sz w:val="16"/>
                <w:szCs w:val="16"/>
                <w:b w:val="1"/>
                <w:bCs w:val="1"/>
                <w:color w:val="auto"/>
              </w:rPr>
              <w:t>43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3,479</w:t>
            </w:r>
          </w:p>
        </w:tc>
      </w:tr>
    </w:tbl>
    <w:p>
      <w:pPr>
        <w:spacing w:after="0" w:line="337" w:lineRule="exact"/>
        <w:rPr>
          <w:sz w:val="20"/>
          <w:szCs w:val="20"/>
          <w:color w:val="auto"/>
        </w:rPr>
      </w:pPr>
    </w:p>
    <w:p>
      <w:pPr>
        <w:ind w:firstLine="324"/>
        <w:spacing w:after="0" w:line="222"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increased operating income by $4.3 million and $3.7 million for the second quarter and first half of 2021, respectively. Adjustments in the estimated profitability of long-term contracts increased operating income by $7.4 million and $6.4 million for the second quarter and first half of 2020, respectively.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tcBorders>
          </w:tcPr>
          <w:p>
            <w:pPr>
              <w:spacing w:after="0"/>
              <w:rPr>
                <w:sz w:val="17"/>
                <w:szCs w:val="17"/>
                <w:color w:val="auto"/>
              </w:rPr>
            </w:pPr>
          </w:p>
        </w:tc>
        <w:tc>
          <w:tcPr>
            <w:tcW w:w="6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440" w:type="dxa"/>
            <w:vAlign w:val="bottom"/>
            <w:tcBorders>
              <w:top w:val="single" w:sz="8" w:color="auto"/>
              <w:bottom w:val="single" w:sz="8" w:color="auto"/>
            </w:tcBorders>
            <w:gridSpan w:val="6"/>
          </w:tcPr>
          <w:p>
            <w:pPr>
              <w:jc w:val="center"/>
              <w:ind w:left="802"/>
              <w:spacing w:after="0"/>
              <w:rPr>
                <w:sz w:val="20"/>
                <w:szCs w:val="20"/>
                <w:color w:val="auto"/>
              </w:rPr>
            </w:pPr>
            <w:r>
              <w:rPr>
                <w:rFonts w:ascii="Arial" w:cs="Arial" w:eastAsia="Arial" w:hAnsi="Arial"/>
                <w:sz w:val="14"/>
                <w:szCs w:val="14"/>
                <w:b w:val="1"/>
                <w:bCs w:val="1"/>
                <w:color w:val="auto"/>
              </w:rPr>
              <w:t>Three months ended June 30, 2021</w:t>
            </w: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159,056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159,921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40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26,170</w:t>
            </w:r>
          </w:p>
        </w:tc>
        <w:tc>
          <w:tcPr>
            <w:tcW w:w="3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26,170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4,432</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43,996</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4,432</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70,166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74,598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0" w:type="dxa"/>
            <w:vAlign w:val="bottom"/>
            <w:tcBorders>
              <w:bottom w:val="single" w:sz="8" w:color="auto"/>
            </w:tcBorders>
            <w:shd w:val="clear" w:color="auto" w:fill="CCEEFF"/>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163,488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71,031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234,519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0" w:type="dxa"/>
            <w:vAlign w:val="bottom"/>
            <w:tcBorders>
              <w:bottom w:val="single" w:sz="8" w:color="auto"/>
            </w:tcBorders>
          </w:tcPr>
          <w:p>
            <w:pPr>
              <w:spacing w:after="0"/>
              <w:rPr>
                <w:sz w:val="17"/>
                <w:szCs w:val="17"/>
                <w:color w:val="auto"/>
              </w:rPr>
            </w:pPr>
          </w:p>
        </w:tc>
        <w:tc>
          <w:tcPr>
            <w:tcW w:w="6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6"/>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jc w:val="center"/>
              <w:ind w:left="842"/>
              <w:spacing w:after="0"/>
              <w:rPr>
                <w:sz w:val="20"/>
                <w:szCs w:val="20"/>
                <w:color w:val="auto"/>
              </w:rPr>
            </w:pPr>
            <w:r>
              <w:rPr>
                <w:rFonts w:ascii="Arial" w:cs="Arial" w:eastAsia="Arial" w:hAnsi="Arial"/>
                <w:sz w:val="14"/>
                <w:szCs w:val="14"/>
                <w:b w:val="1"/>
                <w:bCs w:val="1"/>
                <w:color w:val="auto"/>
              </w:rPr>
              <w:t>Six months ended June 30, 2021</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82"/>
              <w:spacing w:after="0" w:line="142" w:lineRule="exact"/>
              <w:rPr>
                <w:sz w:val="20"/>
                <w:szCs w:val="20"/>
                <w:color w:val="auto"/>
              </w:rPr>
            </w:pPr>
            <w:r>
              <w:rPr>
                <w:rFonts w:ascii="Arial" w:cs="Arial" w:eastAsia="Arial" w:hAnsi="Arial"/>
                <w:sz w:val="14"/>
                <w:szCs w:val="14"/>
                <w:b w:val="1"/>
                <w:bCs w:val="1"/>
                <w:color w:val="auto"/>
              </w:rPr>
              <w:t>Point in</w:t>
            </w:r>
          </w:p>
        </w:tc>
        <w:tc>
          <w:tcPr>
            <w:tcW w:w="160" w:type="dxa"/>
            <w:vAlign w:val="bottom"/>
          </w:tcPr>
          <w:p>
            <w:pPr>
              <w:spacing w:after="0"/>
              <w:rPr>
                <w:sz w:val="12"/>
                <w:szCs w:val="12"/>
                <w:color w:val="auto"/>
              </w:rPr>
            </w:pPr>
          </w:p>
        </w:tc>
        <w:tc>
          <w:tcPr>
            <w:tcW w:w="152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rPr>
              <w:t>Time Revenue</w:t>
            </w: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4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306,397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1,730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308,127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53,254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53,254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87,187</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95,499</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140,441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148,753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60" w:type="dxa"/>
            <w:vAlign w:val="bottom"/>
            <w:tcBorders>
              <w:bottom w:val="single" w:sz="8" w:color="auto"/>
            </w:tcBorders>
            <w:shd w:val="clear" w:color="auto" w:fill="CCEEFF"/>
          </w:tcPr>
          <w:p>
            <w:pPr>
              <w:spacing w:after="0"/>
              <w:rPr>
                <w:sz w:val="21"/>
                <w:szCs w:val="21"/>
                <w:color w:val="auto"/>
              </w:rPr>
            </w:pPr>
          </w:p>
        </w:tc>
        <w:tc>
          <w:tcPr>
            <w:tcW w:w="62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314,709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142,171</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456,880</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8"/>
        </w:trPr>
        <w:tc>
          <w:tcPr>
            <w:tcW w:w="160" w:type="dxa"/>
            <w:vAlign w:val="bottom"/>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Three months ended June 30, 2020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60" w:type="dxa"/>
            <w:vAlign w:val="bottom"/>
          </w:tcPr>
          <w:p>
            <w:pPr>
              <w:spacing w:after="0"/>
              <w:rPr>
                <w:sz w:val="14"/>
                <w:szCs w:val="14"/>
                <w:color w:val="auto"/>
              </w:rPr>
            </w:pPr>
          </w:p>
        </w:tc>
        <w:tc>
          <w:tcPr>
            <w:tcW w:w="152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2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Machine Clothing</w:t>
            </w:r>
          </w:p>
        </w:tc>
        <w:tc>
          <w:tcPr>
            <w:tcW w:w="2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152,585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153,433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17,576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Other AEC</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4,143</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50,838</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54,981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4,143</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68,414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72,557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6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156,728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225,990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320" w:type="dxa"/>
            <w:vAlign w:val="bottom"/>
            <w:tcBorders>
              <w:top w:val="single" w:sz="8" w:color="auto"/>
              <w:bottom w:val="single" w:sz="8" w:color="auto"/>
            </w:tcBorders>
            <w:gridSpan w:val="4"/>
          </w:tcPr>
          <w:p>
            <w:pPr>
              <w:jc w:val="center"/>
              <w:ind w:left="783"/>
              <w:spacing w:after="0"/>
              <w:rPr>
                <w:sz w:val="20"/>
                <w:szCs w:val="20"/>
                <w:color w:val="auto"/>
              </w:rPr>
            </w:pPr>
            <w:r>
              <w:rPr>
                <w:rFonts w:ascii="Arial" w:cs="Arial" w:eastAsia="Arial" w:hAnsi="Arial"/>
                <w:sz w:val="14"/>
                <w:szCs w:val="14"/>
                <w:b w:val="1"/>
                <w:bCs w:val="1"/>
                <w:color w:val="auto"/>
              </w:rPr>
              <w:t>Six months ended June 30, 2020</w:t>
            </w:r>
          </w:p>
        </w:tc>
        <w:tc>
          <w:tcPr>
            <w:tcW w:w="10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83"/>
              <w:spacing w:after="0" w:line="142" w:lineRule="exact"/>
              <w:rPr>
                <w:sz w:val="20"/>
                <w:szCs w:val="20"/>
                <w:color w:val="auto"/>
              </w:rPr>
            </w:pPr>
            <w:r>
              <w:rPr>
                <w:rFonts w:ascii="Arial" w:cs="Arial" w:eastAsia="Arial" w:hAnsi="Arial"/>
                <w:sz w:val="14"/>
                <w:szCs w:val="14"/>
                <w:b w:val="1"/>
                <w:bCs w:val="1"/>
                <w:color w:val="auto"/>
              </w:rPr>
              <w:t>Point in</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Over Time Revenue</w:t>
            </w: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320" w:type="dxa"/>
            <w:vAlign w:val="bottom"/>
          </w:tcPr>
          <w:p>
            <w:pPr>
              <w:jc w:val="center"/>
              <w:ind w:right="83"/>
              <w:spacing w:after="0" w:line="135" w:lineRule="exact"/>
              <w:rPr>
                <w:sz w:val="20"/>
                <w:szCs w:val="20"/>
                <w:color w:val="auto"/>
              </w:rPr>
            </w:pPr>
            <w:r>
              <w:rPr>
                <w:rFonts w:ascii="Arial" w:cs="Arial" w:eastAsia="Arial" w:hAnsi="Arial"/>
                <w:sz w:val="14"/>
                <w:szCs w:val="14"/>
                <w:b w:val="1"/>
                <w:bCs w:val="1"/>
                <w:color w:val="auto"/>
              </w:rPr>
              <w:t>Time Revenue</w:t>
            </w:r>
          </w:p>
        </w:tc>
        <w:tc>
          <w:tcPr>
            <w:tcW w:w="15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4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Recognition</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Recognition</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288,339</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290,035</w:t>
            </w:r>
          </w:p>
        </w:tc>
        <w:tc>
          <w:tcPr>
            <w:tcW w:w="0" w:type="dxa"/>
            <w:vAlign w:val="bottom"/>
          </w:tcPr>
          <w:p>
            <w:pPr>
              <w:spacing w:after="0"/>
              <w:rPr>
                <w:sz w:val="1"/>
                <w:szCs w:val="1"/>
                <w:color w:val="auto"/>
              </w:rPr>
            </w:pP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55,470</w:t>
            </w:r>
          </w:p>
        </w:tc>
        <w:tc>
          <w:tcPr>
            <w:tcW w:w="5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55,470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10,463</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105,786</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116,249</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161,256</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171,719</w:t>
            </w:r>
          </w:p>
        </w:tc>
        <w:tc>
          <w:tcPr>
            <w:tcW w:w="0" w:type="dxa"/>
            <w:vAlign w:val="bottom"/>
          </w:tcPr>
          <w:p>
            <w:pPr>
              <w:spacing w:after="0"/>
              <w:rPr>
                <w:sz w:val="1"/>
                <w:szCs w:val="1"/>
                <w:color w:val="auto"/>
              </w:rPr>
            </w:pPr>
          </w:p>
        </w:tc>
      </w:tr>
      <w:tr>
        <w:trPr>
          <w:trHeight w:val="253"/>
        </w:trPr>
        <w:tc>
          <w:tcPr>
            <w:tcW w:w="6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298,802</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162,952</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461,754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82,343</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81,225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155,645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154,902</w:t>
            </w:r>
          </w:p>
        </w:tc>
      </w:tr>
      <w:tr>
        <w:trPr>
          <w:trHeight w:val="240"/>
        </w:trPr>
        <w:tc>
          <w:tcPr>
            <w:tcW w:w="588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55,900</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54,166</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111,043</w:t>
            </w:r>
          </w:p>
        </w:tc>
        <w:tc>
          <w:tcPr>
            <w:tcW w:w="3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99,297</w:t>
            </w:r>
          </w:p>
        </w:tc>
      </w:tr>
      <w:tr>
        <w:trPr>
          <w:trHeight w:val="218"/>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21,678</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41,439</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35,836</w:t>
            </w: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159,921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153,433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308,127</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290,035</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permitted by ASC 606, we only disclose the value of unsatisfied performance obligations for contracts with an original expected duration of greater than one year.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$149 million and $85 million as of June 30, 2021 and 2020, respectively, and related primarily to firm contracts in the AEC segment. Of the remaining performance obligations as of June 30, 2021, we expect to recognize as revenue approximately $48 million during 2021, $62 million during 2022, $24 million during 2023, and the remainder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six months ended June 30,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0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0"/>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(3,211)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r>
      <w:tr>
        <w:trPr>
          <w:trHeight w:val="209"/>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1,647</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bl>
    <w:p>
      <w:pPr>
        <w:spacing w:after="0" w:line="3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amount of net periodic benefit cost is determined at the beginning of each year and generally only varies from quarter to quarter when a significant event occurs, such as a curtailment or a settlement. There were no such events in the first six months of 2021. In the second quarter of 2020, the Company recorded expense of $0.4 million related to curtailments and settlements.</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Restructuring</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Restructuring costs in the first six months of 2021 were not significant. Restructuring costs in the first six months of 2020 were related to reductions in workforce at various AEC locations, principally in the United States, as well as related to discontinued operations at the Machine Clothing production facility in Sélestat, France. Since 2017, we have recorded $13.9 million of restructuring charges related to this action. There were no charges related to the impairment of assets for the periods presented.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center"/>
              <w:ind w:left="622"/>
              <w:spacing w:after="0"/>
              <w:rPr>
                <w:sz w:val="20"/>
                <w:szCs w:val="20"/>
                <w:color w:val="auto"/>
              </w:rPr>
            </w:pPr>
            <w:r>
              <w:rPr>
                <w:rFonts w:ascii="Arial" w:cs="Arial" w:eastAsia="Arial" w:hAnsi="Arial"/>
                <w:sz w:val="16"/>
                <w:szCs w:val="16"/>
                <w:b w:val="1"/>
                <w:bCs w:val="1"/>
                <w:color w:val="auto"/>
                <w:w w:val="98"/>
              </w:rPr>
              <w:t>(58)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2,248</w:t>
            </w:r>
          </w:p>
        </w:tc>
        <w:tc>
          <w:tcPr>
            <w:tcW w:w="280" w:type="dxa"/>
            <w:vAlign w:val="bottom"/>
          </w:tcPr>
          <w:p>
            <w:pPr>
              <w:spacing w:after="0"/>
              <w:rPr>
                <w:sz w:val="18"/>
                <w:szCs w:val="18"/>
                <w:color w:val="auto"/>
              </w:rPr>
            </w:pPr>
          </w:p>
        </w:tc>
        <w:tc>
          <w:tcPr>
            <w:tcW w:w="1060" w:type="dxa"/>
            <w:vAlign w:val="bottom"/>
          </w:tcPr>
          <w:p>
            <w:pPr>
              <w:jc w:val="center"/>
              <w:ind w:left="642"/>
              <w:spacing w:after="0"/>
              <w:rPr>
                <w:sz w:val="20"/>
                <w:szCs w:val="20"/>
                <w:color w:val="auto"/>
              </w:rPr>
            </w:pPr>
            <w:r>
              <w:rPr>
                <w:rFonts w:ascii="Arial" w:cs="Arial" w:eastAsia="Arial" w:hAnsi="Arial"/>
                <w:sz w:val="16"/>
                <w:szCs w:val="16"/>
                <w:b w:val="1"/>
                <w:bCs w:val="1"/>
                <w:color w:val="auto"/>
              </w:rPr>
              <w:t>41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2,248</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642"/>
              <w:spacing w:after="0"/>
              <w:rPr>
                <w:sz w:val="20"/>
                <w:szCs w:val="20"/>
                <w:color w:val="auto"/>
              </w:rPr>
            </w:pPr>
            <w:r>
              <w:rPr>
                <w:rFonts w:ascii="Arial" w:cs="Arial" w:eastAsia="Arial" w:hAnsi="Arial"/>
                <w:sz w:val="16"/>
                <w:szCs w:val="16"/>
                <w:b w:val="1"/>
                <w:bCs w:val="1"/>
                <w:color w:val="auto"/>
              </w:rPr>
              <w:t>60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b w:val="1"/>
                <w:bCs w:val="1"/>
                <w:color w:val="auto"/>
              </w:rPr>
              <w:t>43</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r>
    </w:tbl>
    <w:p>
      <w:pPr>
        <w:spacing w:after="0" w:line="323"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table below presents the year-to-date changes in restructuring liabilities for 2021 and 2020, all of which are related to termination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80" w:type="dxa"/>
            <w:vAlign w:val="bottom"/>
          </w:tcPr>
          <w:p>
            <w:pPr>
              <w:jc w:val="center"/>
              <w:ind w:right="6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340" w:type="dxa"/>
            <w:vAlign w:val="bottom"/>
          </w:tcPr>
          <w:p>
            <w:pPr>
              <w:jc w:val="center"/>
              <w:ind w:right="45"/>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6"/>
                <w:szCs w:val="16"/>
                <w:color w:val="auto"/>
              </w:rPr>
            </w:pPr>
          </w:p>
        </w:tc>
        <w:tc>
          <w:tcPr>
            <w:tcW w:w="11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6"/>
                <w:szCs w:val="16"/>
                <w:color w:val="auto"/>
              </w:rPr>
            </w:pPr>
          </w:p>
        </w:tc>
        <w:tc>
          <w:tcPr>
            <w:tcW w:w="1460" w:type="dxa"/>
            <w:vAlign w:val="bottom"/>
          </w:tcPr>
          <w:p>
            <w:pPr>
              <w:jc w:val="center"/>
              <w:ind w:right="105"/>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6"/>
                <w:szCs w:val="16"/>
                <w:color w:val="auto"/>
              </w:rPr>
            </w:pPr>
          </w:p>
        </w:tc>
        <w:tc>
          <w:tcPr>
            <w:tcW w:w="1220" w:type="dxa"/>
            <w:vAlign w:val="bottom"/>
          </w:tcPr>
          <w:p>
            <w:pPr>
              <w:jc w:val="center"/>
              <w:ind w:right="20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charges accrued</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translation /other</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764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7"/>
                <w:szCs w:val="17"/>
                <w:color w:val="auto"/>
              </w:rPr>
            </w:pPr>
          </w:p>
        </w:tc>
        <w:tc>
          <w:tcPr>
            <w:tcW w:w="1340" w:type="dxa"/>
            <w:vAlign w:val="bottom"/>
          </w:tcPr>
          <w:p>
            <w:pPr>
              <w:jc w:val="center"/>
              <w:ind w:right="45"/>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7"/>
                <w:szCs w:val="17"/>
                <w:color w:val="auto"/>
              </w:rPr>
            </w:pPr>
          </w:p>
        </w:tc>
        <w:tc>
          <w:tcPr>
            <w:tcW w:w="11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7"/>
                <w:szCs w:val="17"/>
                <w:color w:val="auto"/>
              </w:rPr>
            </w:pPr>
          </w:p>
        </w:tc>
        <w:tc>
          <w:tcPr>
            <w:tcW w:w="1460" w:type="dxa"/>
            <w:vAlign w:val="bottom"/>
          </w:tcPr>
          <w:p>
            <w:pPr>
              <w:jc w:val="center"/>
              <w:ind w:right="105"/>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7"/>
                <w:szCs w:val="17"/>
                <w:color w:val="auto"/>
              </w:rPr>
            </w:pPr>
          </w:p>
        </w:tc>
        <w:tc>
          <w:tcPr>
            <w:tcW w:w="1220" w:type="dxa"/>
            <w:vAlign w:val="bottom"/>
          </w:tcPr>
          <w:p>
            <w:pPr>
              <w:jc w:val="center"/>
              <w:ind w:right="20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charges accrued</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translation /other</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We expect that approximately $0.6 million of Accrued liabilities for restructuring at June 30, 2021 will be paid within one year and approximately $0.2 million will be paid the following year.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Other (Income)/Expense,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14,851</w:t>
            </w:r>
          </w:p>
        </w:tc>
      </w:tr>
      <w:tr>
        <w:trPr>
          <w:trHeight w:val="240"/>
        </w:trPr>
        <w:tc>
          <w:tcPr>
            <w:tcW w:w="616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3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168</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w:t>
            </w:r>
          </w:p>
        </w:tc>
      </w:tr>
      <w:tr>
        <w:trPr>
          <w:trHeight w:val="24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502</w:t>
            </w:r>
          </w:p>
        </w:tc>
      </w:tr>
      <w:tr>
        <w:trPr>
          <w:trHeight w:val="212"/>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16,660</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(income)/expense, net included losses related to the revaluation of nonfunctional-currency balances of $0.3 million for the first six months of 2021, compared to losses of $ 14.9 million for the first six months of 2020, which principally resulted from an intercompany demand loan payable by a Mexican subsidiary. As a result of changes in business conditions that occurred in the first quarter of 2020, loan repayments on that intercompany loan are not expected in the foreseeable future and, beginning April 1, 2020, the revaluation effects are recorded in Other comprehensive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2021 and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based on income from continuing operations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13,251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16,262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24,583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23,571</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before discrete items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23,081</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U.S. stock options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(1,421)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Revaluation of deferred tax assets due to tax rate change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 of net operating losses related to tax audit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Creation of valuation allowance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13,446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23,486</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27,818</w:t>
            </w:r>
          </w:p>
        </w:tc>
        <w:tc>
          <w:tcPr>
            <w:tcW w:w="0" w:type="dxa"/>
            <w:vAlign w:val="bottom"/>
          </w:tcPr>
          <w:p>
            <w:pPr>
              <w:spacing w:after="0"/>
              <w:rPr>
                <w:sz w:val="1"/>
                <w:szCs w:val="1"/>
                <w:color w:val="auto"/>
              </w:rPr>
            </w:pPr>
          </w:p>
        </w:tc>
      </w:tr>
      <w:tr>
        <w:trPr>
          <w:trHeight w:val="204"/>
        </w:trPr>
        <w:tc>
          <w:tcPr>
            <w:tcW w:w="6000" w:type="dxa"/>
            <w:vAlign w:val="bottom"/>
          </w:tcPr>
          <w:p>
            <w:pPr>
              <w:ind w:left="20"/>
              <w:spacing w:after="0"/>
              <w:rPr>
                <w:sz w:val="20"/>
                <w:szCs w:val="20"/>
                <w:color w:val="auto"/>
              </w:rPr>
            </w:pPr>
            <w:r>
              <w:rPr>
                <w:rFonts w:ascii="Arial" w:cs="Arial" w:eastAsia="Arial" w:hAnsi="Arial"/>
                <w:sz w:val="16"/>
                <w:szCs w:val="16"/>
                <w:color w:val="auto"/>
              </w:rPr>
              <w:t>(1) Calculated at estimated tax rates of 29.5% and 34.0%, respectively</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second quarter of 2020, the Company recorded a net tax benefit of $1.5 million as a result of a US state tax audit settlement; the Company also recorded a net deferred tax expense of $ 1.0 million due to an adjustment of net operating losses related to settled audits. In the first quarter of 2020, the Company recorded a $1.8 million out-of-period charge related to developments in ongoing tax audits, which resulted in a corresponding decrease in deferred tax assets.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Earnings Per Share</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31,397</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32,354</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58,980</w:t>
            </w:r>
          </w:p>
        </w:tc>
        <w:tc>
          <w:tcPr>
            <w:tcW w:w="7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41,463</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w:t>
            </w:r>
          </w:p>
        </w:tc>
        <w:tc>
          <w:tcPr>
            <w:tcW w:w="34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32,375</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32,363</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Pr>
          <w:p>
            <w:pPr>
              <w:ind w:left="140"/>
              <w:spacing w:after="0"/>
              <w:rPr>
                <w:sz w:val="20"/>
                <w:szCs w:val="20"/>
                <w:color w:val="auto"/>
              </w:rPr>
            </w:pPr>
            <w:r>
              <w:rPr>
                <w:rFonts w:ascii="Arial" w:cs="Arial" w:eastAsia="Arial" w:hAnsi="Arial"/>
                <w:sz w:val="16"/>
                <w:szCs w:val="16"/>
                <w:color w:val="auto"/>
              </w:rPr>
              <w:t>basic net income per share</w:t>
            </w:r>
          </w:p>
        </w:tc>
        <w:tc>
          <w:tcPr>
            <w:tcW w:w="3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32,328</w:t>
            </w:r>
          </w:p>
        </w:tc>
        <w:tc>
          <w:tcPr>
            <w:tcW w:w="4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32,320</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2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Weighted average number of shares used in calculating</w:t>
            </w:r>
          </w:p>
        </w:tc>
        <w:tc>
          <w:tcPr>
            <w:tcW w:w="3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32,422</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32,411</w:t>
            </w: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 net income per share</w:t>
            </w:r>
          </w:p>
        </w:tc>
        <w:tc>
          <w:tcPr>
            <w:tcW w:w="3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32,336</w:t>
            </w:r>
          </w:p>
        </w:tc>
        <w:tc>
          <w:tcPr>
            <w:tcW w:w="4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32,328</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2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Average market price of common stock used for</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87.53</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83.48</w:t>
            </w: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calculation of dilutive shares</w:t>
            </w:r>
          </w:p>
        </w:tc>
        <w:tc>
          <w:tcPr>
            <w:tcW w:w="34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w:t>
            </w:r>
          </w:p>
        </w:tc>
        <w:tc>
          <w:tcPr>
            <w:tcW w:w="4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0.97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1.82</w:t>
            </w:r>
          </w:p>
        </w:tc>
        <w:tc>
          <w:tcPr>
            <w:tcW w:w="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0.97</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7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Accumulated Other Comprehensive Income (AOCI)</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2020 to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right"/>
              <w:ind w:right="341"/>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r>
      <w:tr>
        <w:trPr>
          <w:trHeight w:val="21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(132,408)</w:t>
            </w:r>
          </w:p>
        </w:tc>
      </w:tr>
      <w:tr>
        <w:trPr>
          <w:trHeight w:val="234"/>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(2,050)</w:t>
            </w:r>
          </w:p>
        </w:tc>
      </w:tr>
      <w:tr>
        <w:trPr>
          <w:trHeight w:val="180"/>
        </w:trPr>
        <w:tc>
          <w:tcPr>
            <w:tcW w:w="51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2,408</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2,408</w:t>
            </w:r>
          </w:p>
        </w:tc>
      </w:tr>
      <w:tr>
        <w:trPr>
          <w:trHeight w:val="218"/>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2,146</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344</w:t>
            </w:r>
          </w:p>
        </w:tc>
      </w:tr>
      <w:tr>
        <w:trPr>
          <w:trHeight w:val="21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(39,282)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(132,064)</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2019 to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right"/>
              <w:ind w:right="341"/>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20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(122,852)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(49,994)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(175,981)</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(16,783)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581</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(9,028)</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(25,230)</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Pension/postretirement curtailment loss, net of tax</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r>
      <w:tr>
        <w:trPr>
          <w:trHeight w:val="177"/>
        </w:trPr>
        <w:tc>
          <w:tcPr>
            <w:tcW w:w="5100" w:type="dxa"/>
            <w:vAlign w:val="bottom"/>
          </w:tcPr>
          <w:p>
            <w:pPr>
              <w:ind w:left="20"/>
              <w:spacing w:after="0" w:line="178"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8"/>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1,133</w:t>
            </w:r>
          </w:p>
        </w:tc>
        <w:tc>
          <w:tcPr>
            <w:tcW w:w="16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1,133</w:t>
            </w:r>
          </w:p>
        </w:tc>
      </w:tr>
      <w:tr>
        <w:trPr>
          <w:trHeight w:val="180"/>
        </w:trPr>
        <w:tc>
          <w:tcPr>
            <w:tcW w:w="51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98"/>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w:t>
            </w: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(7,895)</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(23,646)</w:t>
            </w:r>
          </w:p>
        </w:tc>
      </w:tr>
      <w:tr>
        <w:trPr>
          <w:trHeight w:val="212"/>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(139,635)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(48,962)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(199,627)</w:t>
            </w:r>
          </w:p>
        </w:tc>
      </w:tr>
    </w:tbl>
    <w:p>
      <w:pPr>
        <w:spacing w:after="0" w:line="1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Statement of Income that were affected for the three and six months ended June 30,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60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00" w:type="dxa"/>
            <w:vAlign w:val="bottom"/>
          </w:tcPr>
          <w:p>
            <w:pPr>
              <w:ind w:left="140"/>
              <w:spacing w:after="0"/>
              <w:rPr>
                <w:sz w:val="20"/>
                <w:szCs w:val="20"/>
                <w:color w:val="auto"/>
              </w:rPr>
            </w:pPr>
            <w:r>
              <w:rPr>
                <w:rFonts w:ascii="Arial" w:cs="Arial" w:eastAsia="Arial" w:hAnsi="Arial"/>
                <w:sz w:val="16"/>
                <w:szCs w:val="16"/>
                <w:color w:val="auto"/>
              </w:rPr>
              <w:t>Expense/(income) related to interest rate swaps included in Income before taxes</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1,770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3,246</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0" w:type="dxa"/>
            <w:vAlign w:val="bottom"/>
          </w:tcPr>
          <w:p>
            <w:pPr>
              <w:ind w:left="140"/>
              <w:spacing w:after="0"/>
              <w:rPr>
                <w:sz w:val="20"/>
                <w:szCs w:val="20"/>
                <w:color w:val="auto"/>
              </w:rPr>
            </w:pPr>
            <w:r>
              <w:rPr>
                <w:rFonts w:ascii="Arial" w:cs="Arial" w:eastAsia="Arial" w:hAnsi="Arial"/>
                <w:sz w:val="16"/>
                <w:szCs w:val="16"/>
                <w:color w:val="auto"/>
              </w:rPr>
              <w:t>(a)</w:t>
            </w:r>
          </w:p>
        </w:tc>
        <w:tc>
          <w:tcPr>
            <w:tcW w:w="2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1,116</w:t>
            </w:r>
          </w:p>
        </w:tc>
        <w:tc>
          <w:tcPr>
            <w:tcW w:w="2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8"/>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2"/>
        </w:trPr>
        <w:tc>
          <w:tcPr>
            <w:tcW w:w="600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1,313</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2,408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40"/>
        </w:trPr>
        <w:tc>
          <w:tcPr>
            <w:tcW w:w="6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Pension/postretirement curtailment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5"/>
        </w:trPr>
        <w:tc>
          <w:tcPr>
            <w:tcW w:w="600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(2,237)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Arial" w:cs="Arial" w:eastAsia="Arial" w:hAnsi="Arial"/>
                <w:sz w:val="16"/>
                <w:szCs w:val="16"/>
                <w:color w:val="auto"/>
              </w:rPr>
              <w:t>Total pretax amount reclassified (b)</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72"/>
        </w:trPr>
        <w:tc>
          <w:tcPr>
            <w:tcW w:w="6000" w:type="dxa"/>
            <w:vAlign w:val="bottom"/>
          </w:tcPr>
          <w:p>
            <w:pPr>
              <w:ind w:left="20"/>
              <w:spacing w:after="0" w:line="171"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2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60" w:hanging="652"/>
        <w:spacing w:after="0" w:line="24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14 and 15).</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3).</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Albany Safran Composites (ASC)</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1,343</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(13,612)</w:t>
            </w: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647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587</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ASC available for common ownership</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696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(14,199)</w:t>
            </w: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70</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(1,420)</w:t>
            </w:r>
          </w:p>
        </w:tc>
      </w:tr>
      <w:tr>
        <w:trPr>
          <w:trHeight w:val="237"/>
        </w:trPr>
        <w:tc>
          <w:tcPr>
            <w:tcW w:w="7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3,799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4,006</w:t>
            </w: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5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b w:val="1"/>
                <w:bCs w:val="1"/>
                <w:color w:val="auto"/>
              </w:rPr>
              <w:t>70</w:t>
            </w:r>
          </w:p>
        </w:tc>
        <w:tc>
          <w:tcPr>
            <w:tcW w:w="34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(1,420)</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(27)</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261</w:t>
            </w: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3,842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2,847</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June 30, 2021 and December 31, 2020, Accounts receivable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640" w:type="dxa"/>
            <w:vAlign w:val="bottom"/>
            <w:tcBorders>
              <w:bottom w:val="single" w:sz="8" w:color="auto"/>
            </w:tcBorders>
            <w:vMerge w:val="continue"/>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170,029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167,370</w:t>
            </w:r>
          </w:p>
        </w:tc>
        <w:tc>
          <w:tcPr>
            <w:tcW w:w="0" w:type="dxa"/>
            <w:vAlign w:val="bottom"/>
          </w:tcPr>
          <w:p>
            <w:pPr>
              <w:spacing w:after="0"/>
              <w:rPr>
                <w:sz w:val="1"/>
                <w:szCs w:val="1"/>
                <w:color w:val="auto"/>
              </w:rPr>
            </w:pPr>
          </w:p>
        </w:tc>
      </w:tr>
      <w:tr>
        <w:trPr>
          <w:trHeight w:val="240"/>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24,847</w:t>
            </w:r>
          </w:p>
        </w:tc>
        <w:tc>
          <w:tcPr>
            <w:tcW w:w="16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24,860</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(3,939)</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190,937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188,423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June 30, 2021 and December 31, 2020, Noncurrent receivables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36,539</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Contract Assets and Liabilities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and December 31, 2020, Contract assets and Contract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114,097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140,348</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(872)</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113,225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139,289</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assets decreased $ 26.1 million during the six-month period ended June 30, 2021. The decrease was primarily due to invoicing to customers exceeding revenue recognized for satisfied performance obligations for contracts that were in a contract asset position. There were no credit losses related to our Contract assets during the six month periods ended June 30, 2021 and June 30, 2020.</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liabilities decreased $1.1 million during the six-month period ended June 30, 2021, primarily due to revenue recognized from satisfied performance obligations exceeding amounts invoiced to customers that were in a contract liability position. Revenue recognized for the six-month periods ended June 30, 2021 and 2020 that was included in the Contract liability balance at the beginning of the year was $4.7 million and $2.1 million,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Inventories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and December 31, 2020, Inventories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auto"/>
            </w:tcBorders>
            <w:vMerge w:val="continue"/>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59,627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57,789</w:t>
            </w:r>
          </w:p>
        </w:tc>
        <w:tc>
          <w:tcPr>
            <w:tcW w:w="0" w:type="dxa"/>
            <w:vAlign w:val="bottom"/>
          </w:tcPr>
          <w:p>
            <w:pPr>
              <w:spacing w:after="0"/>
              <w:rPr>
                <w:sz w:val="1"/>
                <w:szCs w:val="1"/>
                <w:color w:val="auto"/>
              </w:rPr>
            </w:pPr>
          </w:p>
        </w:tc>
      </w:tr>
      <w:tr>
        <w:trPr>
          <w:trHeight w:val="240"/>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45,436</w:t>
            </w:r>
          </w:p>
        </w:tc>
        <w:tc>
          <w:tcPr>
            <w:tcW w:w="18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40,416</w:t>
            </w:r>
          </w:p>
        </w:tc>
        <w:tc>
          <w:tcPr>
            <w:tcW w:w="0" w:type="dxa"/>
            <w:vAlign w:val="bottom"/>
          </w:tcPr>
          <w:p>
            <w:pPr>
              <w:spacing w:after="0"/>
              <w:rPr>
                <w:sz w:val="1"/>
                <w:szCs w:val="1"/>
                <w:color w:val="auto"/>
              </w:rPr>
            </w:pPr>
          </w:p>
        </w:tc>
      </w:tr>
      <w:tr>
        <w:trPr>
          <w:trHeight w:val="218"/>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15,602</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12,273</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Goodwill and Other Intangible Assets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65"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In the second quarter of 2021, management applied the qualitative assessment approach in performing its annual evaluation of goodwill for the Company's Machine Clothing reporting unit and three AEC reporting units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concluded that each reporting unit’s fair value continued to exceed its carrying value. In addition, there were no amounts at risk due to the estimated spread between the fair and carrying values. Accordingly, no impairment charges were recorded.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Financial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3.74% in 2021</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3.50% in 2020 (including the effect of interest rate hedging transactions, as described below), due</w:t>
            </w:r>
          </w:p>
        </w:tc>
        <w:tc>
          <w:tcPr>
            <w:tcW w:w="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2024</w:t>
            </w:r>
          </w:p>
        </w:tc>
        <w:tc>
          <w:tcPr>
            <w:tcW w:w="3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398,000</w:t>
            </w:r>
          </w:p>
        </w:tc>
        <w:tc>
          <w:tcPr>
            <w:tcW w:w="0" w:type="dxa"/>
            <w:vAlign w:val="bottom"/>
          </w:tcPr>
          <w:p>
            <w:pPr>
              <w:spacing w:after="0"/>
              <w:rPr>
                <w:sz w:val="1"/>
                <w:szCs w:val="1"/>
                <w:color w:val="auto"/>
              </w:rPr>
            </w:pPr>
          </w:p>
        </w:tc>
      </w:tr>
      <w:tr>
        <w:trPr>
          <w:trHeight w:val="24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debt, at an average end of period rate of 5.50% in 2020, paid in varying amounts through April 2021</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398,009</w:t>
            </w:r>
          </w:p>
        </w:tc>
        <w:tc>
          <w:tcPr>
            <w:tcW w:w="0" w:type="dxa"/>
            <w:vAlign w:val="bottom"/>
          </w:tcPr>
          <w:p>
            <w:pPr>
              <w:spacing w:after="0"/>
              <w:rPr>
                <w:sz w:val="1"/>
                <w:szCs w:val="1"/>
                <w:color w:val="auto"/>
              </w:rPr>
            </w:pPr>
          </w:p>
        </w:tc>
      </w:tr>
      <w:tr>
        <w:trPr>
          <w:trHeight w:val="24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$350 million of borrowings were outstanding as of June 30, 2021. The applicable interest rate for borrowings was LIBOR plus a spread, based on our leverage ratio at the time of borrowing. At the time of the last borrowing on June 30, 2021, the spread was 1.625%. The spread was based on a pricing grid, which ranged from 1.500% to 2.000%, based on our leverage ratio. Based on our maximum leverage ratio and our Consolidated EBITDA, and without modification to any other credit agreements, as of June 30, 2021, we would have been able to borrow an additional $350 million under the Agreement.</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76"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Credit Agreement at the rate of 0.838% during the period. Under the terms of these transactions, we pay the fixed rate of 0.838% and the counterparties pay a floating rate based on the one-month LIBOR rate at each monthly calculation date, which on June 16, 2021 was 0.08%.</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which has been fully amortized into interest expense through March 2021.</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June 16, 2021 was 0.08%, during the swap period. On June 16, 2021, the all-in-rate on the $350 million of debt was 3.735%.</w:t>
      </w:r>
    </w:p>
    <w:p>
      <w:pPr>
        <w:spacing w:after="0" w:line="21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No cash collateral was received or pledged in relation to the swap agreements.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June 30, 2021, our leverage ratio was 1.08 to 1.00 and our interest coverage ratio was 15.02 to 1.00. We may purchase our Common Stock or pay dividends to the extent our leverage ratio remains at or below 3.50 to 1.00, and may make acquisitions with cash, provided our leverage ratio does not exceed the limits noted above.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June 30,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Fair-Value Measurements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June 30, 2021, or at December 31, 2020.</w:t>
      </w:r>
    </w:p>
    <w:p>
      <w:pPr>
        <w:spacing w:after="0" w:line="10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1144"/>
              <w:spacing w:after="0"/>
              <w:rPr>
                <w:sz w:val="20"/>
                <w:szCs w:val="20"/>
                <w:color w:val="auto"/>
              </w:rPr>
            </w:pPr>
            <w:r>
              <w:rPr>
                <w:rFonts w:ascii="Arial" w:cs="Arial" w:eastAsia="Arial" w:hAnsi="Arial"/>
                <w:sz w:val="14"/>
                <w:szCs w:val="14"/>
                <w:b w:val="1"/>
                <w:bCs w:val="1"/>
                <w:color w:val="auto"/>
              </w:rPr>
              <w:t>June 30, 2021</w:t>
            </w:r>
          </w:p>
        </w:tc>
        <w:tc>
          <w:tcPr>
            <w:tcW w:w="2500" w:type="dxa"/>
            <w:vAlign w:val="bottom"/>
            <w:tcBorders>
              <w:top w:val="single" w:sz="8" w:color="auto"/>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440" w:type="dxa"/>
            <w:vAlign w:val="bottom"/>
          </w:tcPr>
          <w:p>
            <w:pPr>
              <w:jc w:val="center"/>
              <w:ind w:right="464"/>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other</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observable</w:t>
            </w:r>
          </w:p>
        </w:tc>
      </w:tr>
      <w:tr>
        <w:trPr>
          <w:trHeight w:val="190"/>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inputs</w:t>
            </w:r>
          </w:p>
        </w:tc>
      </w:tr>
      <w:tr>
        <w:trPr>
          <w:trHeight w:val="22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(Level 2)</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3"/>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26,848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17,508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33"/>
        </w:trPr>
        <w:tc>
          <w:tcPr>
            <w:tcW w:w="568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22"/>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261</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(9,270)</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(12,714)</w:t>
            </w:r>
          </w:p>
        </w:tc>
      </w:tr>
    </w:tbl>
    <w:p>
      <w:pPr>
        <w:spacing w:after="0" w:line="8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25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June 30, 2021,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$3.5 million for the six month period ended June 30, 2021, and $1.9 million for the six month period ended June 30, 2020. Additionally, non-cash interest income related to the amortization of swap buyouts totaled $0.3 million for the six month period ended June 30, 2021 and $0.4 million for the six month period ended June 30, 2020.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Contingencies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3,617 claims as of June 30, 2021.</w:t>
      </w:r>
    </w:p>
    <w:p>
      <w:pPr>
        <w:spacing w:after="0" w:line="11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920" w:type="dxa"/>
            <w:vAlign w:val="bottom"/>
          </w:tcPr>
          <w:p>
            <w:pPr>
              <w:spacing w:after="0"/>
              <w:rPr>
                <w:sz w:val="14"/>
                <w:szCs w:val="14"/>
                <w:color w:val="auto"/>
              </w:rPr>
            </w:pPr>
          </w:p>
        </w:tc>
        <w:tc>
          <w:tcPr>
            <w:tcW w:w="2420" w:type="dxa"/>
            <w:vAlign w:val="bottom"/>
          </w:tcPr>
          <w:p>
            <w:pPr>
              <w:jc w:val="center"/>
              <w:ind w:left="562"/>
              <w:spacing w:after="0"/>
              <w:rPr>
                <w:sz w:val="20"/>
                <w:szCs w:val="20"/>
                <w:color w:val="auto"/>
              </w:rPr>
            </w:pPr>
            <w:r>
              <w:rPr>
                <w:rFonts w:ascii="Arial" w:cs="Arial" w:eastAsia="Arial" w:hAnsi="Arial"/>
                <w:sz w:val="14"/>
                <w:szCs w:val="14"/>
                <w:b w:val="1"/>
                <w:bCs w:val="1"/>
                <w:color w:val="auto"/>
              </w:rPr>
              <w:t>Opening</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Closing</w:t>
            </w: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2920" w:type="dxa"/>
            <w:vAlign w:val="bottom"/>
          </w:tcPr>
          <w:p>
            <w:pPr>
              <w:spacing w:after="0"/>
              <w:rPr>
                <w:sz w:val="14"/>
                <w:szCs w:val="14"/>
                <w:color w:val="auto"/>
              </w:rPr>
            </w:pPr>
          </w:p>
        </w:tc>
        <w:tc>
          <w:tcPr>
            <w:tcW w:w="2420" w:type="dxa"/>
            <w:vAlign w:val="bottom"/>
          </w:tcPr>
          <w:p>
            <w:pPr>
              <w:jc w:val="center"/>
              <w:ind w:left="542"/>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Settle or</w:t>
            </w:r>
          </w:p>
        </w:tc>
      </w:tr>
      <w:tr>
        <w:trPr>
          <w:trHeight w:val="20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20" w:type="dxa"/>
            <w:vAlign w:val="bottom"/>
            <w:tcBorders>
              <w:bottom w:val="single" w:sz="8" w:color="auto"/>
            </w:tcBorders>
          </w:tcPr>
          <w:p>
            <w:pPr>
              <w:jc w:val="center"/>
              <w:ind w:left="542"/>
              <w:spacing w:after="0"/>
              <w:rPr>
                <w:sz w:val="20"/>
                <w:szCs w:val="20"/>
                <w:color w:val="auto"/>
              </w:rPr>
            </w:pPr>
            <w:r>
              <w:rPr>
                <w:rFonts w:ascii="Arial" w:cs="Arial" w:eastAsia="Arial" w:hAnsi="Arial"/>
                <w:sz w:val="14"/>
                <w:szCs w:val="14"/>
                <w:b w:val="1"/>
                <w:bCs w:val="1"/>
                <w:color w:val="auto"/>
              </w:rPr>
              <w:t>Claims</w:t>
            </w:r>
          </w:p>
        </w:tc>
        <w:tc>
          <w:tcPr>
            <w:tcW w:w="1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 Claims</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Claims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Resolve</w:t>
            </w: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3,791</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148</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102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758</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2017</w:t>
            </w:r>
          </w:p>
        </w:tc>
        <w:tc>
          <w:tcPr>
            <w:tcW w:w="2420" w:type="dxa"/>
            <w:vAlign w:val="bottom"/>
          </w:tcPr>
          <w:p>
            <w:pPr>
              <w:jc w:val="right"/>
              <w:ind w:right="142"/>
              <w:spacing w:after="0"/>
              <w:rPr>
                <w:sz w:val="20"/>
                <w:szCs w:val="20"/>
                <w:color w:val="auto"/>
              </w:rPr>
            </w:pPr>
            <w:r>
              <w:rPr>
                <w:rFonts w:ascii="Arial" w:cs="Arial" w:eastAsia="Arial" w:hAnsi="Arial"/>
                <w:sz w:val="16"/>
                <w:szCs w:val="16"/>
                <w:color w:val="auto"/>
              </w:rPr>
              <w:t>3,745</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105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320" w:type="dxa"/>
            <w:vAlign w:val="bottom"/>
          </w:tcPr>
          <w:p>
            <w:pPr>
              <w:jc w:val="right"/>
              <w:spacing w:after="0"/>
              <w:rPr>
                <w:sz w:val="20"/>
                <w:szCs w:val="20"/>
                <w:color w:val="auto"/>
              </w:rPr>
            </w:pPr>
            <w:r>
              <w:rPr>
                <w:rFonts w:ascii="Arial" w:cs="Arial" w:eastAsia="Arial" w:hAnsi="Arial"/>
                <w:sz w:val="16"/>
                <w:szCs w:val="16"/>
                <w:color w:val="auto"/>
              </w:rPr>
              <w:t>3,730</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55</w:t>
            </w: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3,730</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106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2019</w:t>
            </w:r>
          </w:p>
        </w:tc>
        <w:tc>
          <w:tcPr>
            <w:tcW w:w="2420" w:type="dxa"/>
            <w:vAlign w:val="bottom"/>
          </w:tcPr>
          <w:p>
            <w:pPr>
              <w:jc w:val="right"/>
              <w:ind w:right="142"/>
              <w:spacing w:after="0"/>
              <w:rPr>
                <w:sz w:val="20"/>
                <w:szCs w:val="20"/>
                <w:color w:val="auto"/>
              </w:rPr>
            </w:pPr>
            <w:r>
              <w:rPr>
                <w:rFonts w:ascii="Arial" w:cs="Arial" w:eastAsia="Arial" w:hAnsi="Arial"/>
                <w:sz w:val="16"/>
                <w:szCs w:val="16"/>
                <w:color w:val="auto"/>
              </w:rPr>
              <w:t>3,684</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rPr>
              <w:t>51</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320" w:type="dxa"/>
            <w:vAlign w:val="bottom"/>
          </w:tcPr>
          <w:p>
            <w:pPr>
              <w:jc w:val="right"/>
              <w:spacing w:after="0"/>
              <w:rPr>
                <w:sz w:val="20"/>
                <w:szCs w:val="20"/>
                <w:color w:val="auto"/>
              </w:rPr>
            </w:pPr>
            <w:r>
              <w:rPr>
                <w:rFonts w:ascii="Arial" w:cs="Arial" w:eastAsia="Arial" w:hAnsi="Arial"/>
                <w:sz w:val="16"/>
                <w:szCs w:val="16"/>
                <w:color w:val="auto"/>
              </w:rPr>
              <w:t>3,708</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25</w:t>
            </w: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3,708</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w:t>
            </w:r>
          </w:p>
        </w:tc>
      </w:tr>
      <w:tr>
        <w:trPr>
          <w:trHeight w:val="21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 (As of June 30)</w:t>
            </w:r>
          </w:p>
        </w:tc>
        <w:tc>
          <w:tcPr>
            <w:tcW w:w="2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3,615</w:t>
            </w:r>
          </w:p>
        </w:tc>
        <w:tc>
          <w:tcPr>
            <w:tcW w:w="1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b w:val="1"/>
                <w:bCs w:val="1"/>
                <w:color w:val="auto"/>
              </w:rPr>
              <w:t>9</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2021, we had resolved, by means of settlement or dismissal, 37,957 claims. The total cost of resolving all claims was $10.4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June 30, 2021, only twelve claims have been filed against Brandon since January 1, 2012, and a negligible amount of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Changes in Shareholders’ Equity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2020 to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60" w:type="dxa"/>
            <w:vAlign w:val="bottom"/>
          </w:tcPr>
          <w:p>
            <w:pPr>
              <w:spacing w:after="0"/>
              <w:rPr>
                <w:sz w:val="10"/>
                <w:szCs w:val="10"/>
                <w:color w:val="auto"/>
              </w:rPr>
            </w:pPr>
          </w:p>
        </w:tc>
        <w:tc>
          <w:tcPr>
            <w:tcW w:w="1520" w:type="dxa"/>
            <w:vAlign w:val="bottom"/>
            <w:gridSpan w:val="3"/>
          </w:tcPr>
          <w:p>
            <w:pPr>
              <w:jc w:val="right"/>
              <w:ind w:right="546"/>
              <w:spacing w:after="0"/>
              <w:rPr>
                <w:sz w:val="20"/>
                <w:szCs w:val="20"/>
                <w:color w:val="auto"/>
              </w:rPr>
            </w:pPr>
            <w:r>
              <w:rPr>
                <w:rFonts w:ascii="Arial" w:cs="Arial" w:eastAsia="Arial" w:hAnsi="Arial"/>
                <w:sz w:val="11"/>
                <w:szCs w:val="11"/>
                <w:b w:val="1"/>
                <w:bCs w:val="1"/>
                <w:color w:val="auto"/>
              </w:rPr>
              <w:t>Class A</w:t>
            </w:r>
          </w:p>
        </w:tc>
        <w:tc>
          <w:tcPr>
            <w:tcW w:w="132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Class A</w:t>
            </w: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520" w:type="dxa"/>
            <w:vAlign w:val="bottom"/>
            <w:gridSpan w:val="3"/>
          </w:tcPr>
          <w:p>
            <w:pPr>
              <w:jc w:val="right"/>
              <w:ind w:right="346"/>
              <w:spacing w:after="0"/>
              <w:rPr>
                <w:sz w:val="20"/>
                <w:szCs w:val="20"/>
                <w:color w:val="auto"/>
              </w:rPr>
            </w:pPr>
            <w:r>
              <w:rPr>
                <w:rFonts w:ascii="Arial" w:cs="Arial" w:eastAsia="Arial" w:hAnsi="Arial"/>
                <w:sz w:val="11"/>
                <w:szCs w:val="11"/>
                <w:b w:val="1"/>
                <w:bCs w:val="1"/>
                <w:color w:val="auto"/>
              </w:rPr>
              <w:t>Common Stock</w:t>
            </w:r>
          </w:p>
        </w:tc>
        <w:tc>
          <w:tcPr>
            <w:tcW w:w="132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9"/>
              </w:rPr>
              <w:t>Accumulated other comprehensive</w:t>
            </w: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60" w:type="dxa"/>
            <w:vAlign w:val="bottom"/>
          </w:tcPr>
          <w:p>
            <w:pPr>
              <w:ind w:left="320"/>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400" w:type="dxa"/>
            <w:vAlign w:val="bottom"/>
          </w:tcPr>
          <w:p>
            <w:pPr>
              <w:spacing w:after="0"/>
              <w:rPr>
                <w:sz w:val="12"/>
                <w:szCs w:val="12"/>
                <w:color w:val="auto"/>
              </w:rPr>
            </w:pPr>
          </w:p>
        </w:tc>
        <w:tc>
          <w:tcPr>
            <w:tcW w:w="1460" w:type="dxa"/>
            <w:vAlign w:val="bottom"/>
          </w:tcPr>
          <w:p>
            <w:pPr>
              <w:jc w:val="right"/>
              <w:ind w:right="686"/>
              <w:spacing w:after="0"/>
              <w:rPr>
                <w:sz w:val="20"/>
                <w:szCs w:val="20"/>
                <w:color w:val="auto"/>
              </w:rPr>
            </w:pPr>
            <w:r>
              <w:rPr>
                <w:rFonts w:ascii="Arial" w:cs="Arial" w:eastAsia="Arial" w:hAnsi="Arial"/>
                <w:sz w:val="11"/>
                <w:szCs w:val="11"/>
                <w:b w:val="1"/>
                <w:bCs w:val="1"/>
                <w:color w:val="auto"/>
              </w:rPr>
              <w:t>income</w:t>
            </w:r>
          </w:p>
        </w:tc>
        <w:tc>
          <w:tcPr>
            <w:tcW w:w="60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433,696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770,746</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(132,408)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819,865</w:t>
            </w:r>
          </w:p>
        </w:tc>
        <w:tc>
          <w:tcPr>
            <w:tcW w:w="0" w:type="dxa"/>
            <w:vAlign w:val="bottom"/>
          </w:tcPr>
          <w:p>
            <w:pPr>
              <w:spacing w:after="0"/>
              <w:rPr>
                <w:sz w:val="1"/>
                <w:szCs w:val="1"/>
                <w:color w:val="auto"/>
              </w:rPr>
            </w:pPr>
          </w:p>
        </w:tc>
      </w:tr>
      <w:tr>
        <w:trPr>
          <w:trHeight w:val="133"/>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27,582</w:t>
            </w:r>
          </w:p>
        </w:tc>
        <w:tc>
          <w:tcPr>
            <w:tcW w:w="4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27,609</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benefits paid or payable in</w:t>
            </w: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20" w:type="dxa"/>
            <w:vAlign w:val="bottom"/>
          </w:tcPr>
          <w:p>
            <w:pPr>
              <w:jc w:val="right"/>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(6,150)</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(15,955)</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(16,165)</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752</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22"/>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433,811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791,854</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(147,102)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826,211</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31,397</w:t>
            </w:r>
          </w:p>
        </w:tc>
        <w:tc>
          <w:tcPr>
            <w:tcW w:w="400" w:type="dxa"/>
            <w:vAlign w:val="bottom"/>
          </w:tcPr>
          <w:p>
            <w:pPr>
              <w:spacing w:after="0"/>
              <w:rPr>
                <w:sz w:val="12"/>
                <w:szCs w:val="12"/>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31,440</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benefits paid or payable in</w:t>
            </w: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692</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706</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w:t>
            </w: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947</w:t>
            </w: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(323)</w:t>
            </w:r>
          </w:p>
        </w:tc>
        <w:tc>
          <w:tcPr>
            <w:tcW w:w="400" w:type="dxa"/>
            <w:vAlign w:val="bottom"/>
          </w:tcPr>
          <w:p>
            <w:pPr>
              <w:spacing w:after="0"/>
              <w:rPr>
                <w:sz w:val="11"/>
                <w:szCs w:val="11"/>
                <w:color w:val="auto"/>
              </w:rPr>
            </w:pPr>
          </w:p>
        </w:tc>
        <w:tc>
          <w:tcPr>
            <w:tcW w:w="1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13,774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13,957</w:t>
            </w:r>
          </w:p>
        </w:tc>
        <w:tc>
          <w:tcPr>
            <w:tcW w:w="0" w:type="dxa"/>
            <w:vAlign w:val="bottom"/>
          </w:tcPr>
          <w:p>
            <w:pPr>
              <w:spacing w:after="0"/>
              <w:rPr>
                <w:sz w:val="1"/>
                <w:szCs w:val="1"/>
                <w:color w:val="auto"/>
              </w:rPr>
            </w:pPr>
          </w:p>
        </w:tc>
      </w:tr>
      <w:tr>
        <w:trPr>
          <w:trHeight w:val="118"/>
        </w:trPr>
        <w:tc>
          <w:tcPr>
            <w:tcW w:w="1360" w:type="dxa"/>
            <w:vAlign w:val="bottom"/>
          </w:tcPr>
          <w:p>
            <w:pPr>
              <w:ind w:left="20"/>
              <w:spacing w:after="0" w:line="119" w:lineRule="exact"/>
              <w:rPr>
                <w:sz w:val="20"/>
                <w:szCs w:val="20"/>
                <w:color w:val="auto"/>
              </w:rPr>
            </w:pPr>
            <w:r>
              <w:rPr>
                <w:rFonts w:ascii="Arial" w:cs="Arial" w:eastAsia="Arial" w:hAnsi="Arial"/>
                <w:sz w:val="11"/>
                <w:szCs w:val="11"/>
                <w:color w:val="auto"/>
              </w:rPr>
              <w:t>Pension and</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3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(130)</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3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1,394</w:t>
            </w:r>
          </w:p>
        </w:tc>
        <w:tc>
          <w:tcPr>
            <w:tcW w:w="0" w:type="dxa"/>
            <w:vAlign w:val="bottom"/>
          </w:tcPr>
          <w:p>
            <w:pPr>
              <w:spacing w:after="0"/>
              <w:rPr>
                <w:sz w:val="1"/>
                <w:szCs w:val="1"/>
                <w:color w:val="auto"/>
              </w:rPr>
            </w:pPr>
          </w:p>
        </w:tc>
      </w:tr>
      <w:tr>
        <w:trPr>
          <w:trHeight w:val="135"/>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39,142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435,230</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816,778</w:t>
            </w: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(132,064)</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8,380</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(255,768)</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3,842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868,059</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2019 to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046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1480" w:type="dxa"/>
            <w:vAlign w:val="bottom"/>
            <w:gridSpan w:val="3"/>
          </w:tcPr>
          <w:p>
            <w:pPr>
              <w:jc w:val="right"/>
              <w:ind w:right="526"/>
              <w:spacing w:after="0"/>
              <w:rPr>
                <w:sz w:val="20"/>
                <w:szCs w:val="20"/>
                <w:color w:val="auto"/>
              </w:rPr>
            </w:pPr>
            <w:r>
              <w:rPr>
                <w:rFonts w:ascii="Arial" w:cs="Arial" w:eastAsia="Arial" w:hAnsi="Arial"/>
                <w:sz w:val="11"/>
                <w:szCs w:val="11"/>
                <w:b w:val="1"/>
                <w:bCs w:val="1"/>
                <w:color w:val="auto"/>
              </w:rPr>
              <w:t>Class A</w:t>
            </w:r>
          </w:p>
        </w:tc>
        <w:tc>
          <w:tcPr>
            <w:tcW w:w="130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Class A</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48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Common Stock</w:t>
            </w:r>
          </w:p>
        </w:tc>
        <w:tc>
          <w:tcPr>
            <w:tcW w:w="130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Accumulated other comprehensive</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1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68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420" w:type="dxa"/>
            <w:vAlign w:val="bottom"/>
          </w:tcPr>
          <w:p>
            <w:pPr>
              <w:spacing w:after="0"/>
              <w:rPr>
                <w:sz w:val="12"/>
                <w:szCs w:val="12"/>
                <w:color w:val="auto"/>
              </w:rPr>
            </w:pPr>
          </w:p>
        </w:tc>
        <w:tc>
          <w:tcPr>
            <w:tcW w:w="1420" w:type="dxa"/>
            <w:vAlign w:val="bottom"/>
          </w:tcPr>
          <w:p>
            <w:pPr>
              <w:jc w:val="right"/>
              <w:ind w:right="666"/>
              <w:spacing w:after="0"/>
              <w:rPr>
                <w:sz w:val="20"/>
                <w:szCs w:val="20"/>
                <w:color w:val="auto"/>
              </w:rPr>
            </w:pPr>
            <w:r>
              <w:rPr>
                <w:rFonts w:ascii="Arial" w:cs="Arial" w:eastAsia="Arial" w:hAnsi="Arial"/>
                <w:sz w:val="11"/>
                <w:szCs w:val="11"/>
                <w:b w:val="1"/>
                <w:bCs w:val="1"/>
                <w:color w:val="auto"/>
              </w:rPr>
              <w:t>income</w:t>
            </w: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39,099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432,518</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698,496</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(175,981)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(256,391)</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4,006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702,689</w:t>
            </w:r>
          </w:p>
        </w:tc>
        <w:tc>
          <w:tcPr>
            <w:tcW w:w="0" w:type="dxa"/>
            <w:vAlign w:val="bottom"/>
          </w:tcPr>
          <w:p>
            <w:pPr>
              <w:spacing w:after="0"/>
              <w:rPr>
                <w:sz w:val="1"/>
                <w:szCs w:val="1"/>
                <w:color w:val="auto"/>
              </w:rPr>
            </w:pPr>
          </w:p>
        </w:tc>
      </w:tr>
      <w:tr>
        <w:trPr>
          <w:trHeight w:val="139"/>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Adoption of accounting</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standards (a)</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(1,443)</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9,109</w:t>
            </w: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(1,515)</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7,594</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Compensation and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Arial" w:cs="Arial" w:eastAsia="Arial" w:hAnsi="Arial"/>
                <w:sz w:val="11"/>
                <w:szCs w:val="11"/>
                <w:color w:val="auto"/>
              </w:rPr>
              <w:t>benefits paid or payable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in shares</w:t>
            </w:r>
          </w:p>
        </w:tc>
        <w:tc>
          <w:tcPr>
            <w:tcW w:w="680" w:type="dxa"/>
            <w:vAlign w:val="bottom"/>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(682)</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Shares issued to</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Directors'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(5,834)</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(5,834)</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Cumulative translation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(25,747)</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(25,638)</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890</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11"/>
                <w:szCs w:val="11"/>
                <w:color w:val="auto"/>
              </w:rPr>
              <w:t>Derivative valuation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(7,708)</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(7,708)</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431,836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700,021</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(208,546)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(256,391)</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669,561</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32,354</w:t>
            </w:r>
          </w:p>
        </w:tc>
        <w:tc>
          <w:tcPr>
            <w:tcW w:w="4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32,449</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benefits paid or payable</w:t>
            </w: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 shares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Shares issued to</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Directors'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416</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317</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(5,835)</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(5,835)</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$0.19 per share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(307)</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8,964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9,116</w:t>
            </w:r>
          </w:p>
        </w:tc>
        <w:tc>
          <w:tcPr>
            <w:tcW w:w="0" w:type="dxa"/>
            <w:vAlign w:val="bottom"/>
          </w:tcPr>
          <w:p>
            <w:pPr>
              <w:spacing w:after="0"/>
              <w:rPr>
                <w:sz w:val="1"/>
                <w:szCs w:val="1"/>
                <w:color w:val="auto"/>
              </w:rPr>
            </w:pPr>
          </w:p>
        </w:tc>
      </w:tr>
      <w:tr>
        <w:trPr>
          <w:trHeight w:val="118"/>
        </w:trPr>
        <w:tc>
          <w:tcPr>
            <w:tcW w:w="1260" w:type="dxa"/>
            <w:vAlign w:val="bottom"/>
          </w:tcPr>
          <w:p>
            <w:pPr>
              <w:ind w:left="20"/>
              <w:spacing w:after="0" w:line="119" w:lineRule="exact"/>
              <w:rPr>
                <w:sz w:val="20"/>
                <w:szCs w:val="20"/>
                <w:color w:val="auto"/>
              </w:rPr>
            </w:pPr>
            <w:r>
              <w:rPr>
                <w:rFonts w:ascii="Arial" w:cs="Arial" w:eastAsia="Arial" w:hAnsi="Arial"/>
                <w:sz w:val="11"/>
                <w:szCs w:val="11"/>
                <w:color w:val="auto"/>
              </w:rPr>
              <w:t>Pension and</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color w:val="auto"/>
              </w:rPr>
              <w:t>postretirement liability</w:t>
            </w: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142</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Derivative valuation</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35"/>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39,113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432,738</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726,233</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(199,627)</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8,394</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(256,074)</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2,847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706,158</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hanging="332"/>
        <w:spacing w:after="0" w:line="261"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adopted the provisions of ASC 326, Current Expected Credit Losses (CECL) effective January 1, 2020, which resulted in a decrease to Retained earnings of $1.4 million.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Recent Accounting Pronouncements</w:t>
      </w:r>
    </w:p>
    <w:p>
      <w:pPr>
        <w:spacing w:after="0" w:line="369" w:lineRule="exact"/>
        <w:rPr>
          <w:sz w:val="20"/>
          <w:szCs w:val="20"/>
          <w:color w:val="auto"/>
        </w:rPr>
      </w:pPr>
    </w:p>
    <w:p>
      <w:pPr>
        <w:ind w:right="180" w:firstLine="324"/>
        <w:spacing w:after="0" w:line="224" w:lineRule="auto"/>
        <w:rPr>
          <w:sz w:val="20"/>
          <w:szCs w:val="20"/>
          <w:color w:val="auto"/>
        </w:rPr>
      </w:pPr>
      <w:r>
        <w:rPr>
          <w:rFonts w:ascii="Arial" w:cs="Arial" w:eastAsia="Arial" w:hAnsi="Arial"/>
          <w:sz w:val="18"/>
          <w:szCs w:val="18"/>
          <w:color w:val="auto"/>
        </w:rPr>
        <w:t>As disclosed in our March 31, 2020 Form 10Q, in March 2020, ASU 2020-04, Reference Rate Reform, was issued to provide optional guidance for a limited time to ease the potential accounting burden associated with transitioning away from reference rates such as LIBOR. The expedients and exceptions provided by this update will not be available after December 31, 2022, other than for certain hedging relationships entered into prior. For the Company’s cash flow hedges in which the designated hedged risk is LIBOR, the Company has adopted the portion of the guidance that allows it to assert that it remains probable that the hedged forecasted transaction will occur. The Company plans to adopt the remaining applicable provisions of this guidance beginning on July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90" w:lineRule="exact"/>
        <w:rPr>
          <w:sz w:val="20"/>
          <w:szCs w:val="20"/>
          <w:color w:val="auto"/>
        </w:rPr>
      </w:pPr>
    </w:p>
    <w:p>
      <w:pPr>
        <w:jc w:val="both"/>
        <w:ind w:left="980" w:hanging="324"/>
        <w:spacing w:after="0" w:line="256"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93"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89"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 than 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AEC segment provides significant longer 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11 percent of the Company’s consolidated Net sales in 2020. AEC, through ASC, also supplies 3D -woven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2020, approximately 46 percent of AEC sales were related to U.S. government contracts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Borders>
              <w:top w:val="single" w:sz="8" w:color="auto"/>
              <w:bottom w:val="single" w:sz="8" w:color="auto"/>
            </w:tcBorders>
          </w:tcPr>
          <w:p>
            <w:pPr>
              <w:spacing w:after="0"/>
              <w:rPr>
                <w:sz w:val="17"/>
                <w:szCs w:val="17"/>
                <w:color w:val="auto"/>
              </w:rPr>
            </w:pPr>
          </w:p>
        </w:tc>
        <w:tc>
          <w:tcPr>
            <w:tcW w:w="4040" w:type="dxa"/>
            <w:vAlign w:val="bottom"/>
            <w:tcBorders>
              <w:top w:val="single" w:sz="8" w:color="auto"/>
              <w:bottom w:val="single" w:sz="8" w:color="auto"/>
            </w:tcBorders>
            <w:gridSpan w:val="3"/>
          </w:tcPr>
          <w:p>
            <w:pPr>
              <w:jc w:val="right"/>
              <w:ind w:right="961"/>
              <w:spacing w:after="0"/>
              <w:rPr>
                <w:sz w:val="20"/>
                <w:szCs w:val="20"/>
                <w:color w:val="auto"/>
              </w:rPr>
            </w:pPr>
            <w:r>
              <w:rPr>
                <w:rFonts w:ascii="Arial" w:cs="Arial" w:eastAsia="Arial" w:hAnsi="Arial"/>
                <w:sz w:val="14"/>
                <w:szCs w:val="14"/>
                <w:b w:val="1"/>
                <w:bCs w:val="1"/>
                <w:color w:val="auto"/>
              </w:rPr>
              <w:t>Three months ended June 30,</w:t>
            </w:r>
          </w:p>
        </w:tc>
        <w:tc>
          <w:tcPr>
            <w:tcW w:w="3480" w:type="dxa"/>
            <w:vAlign w:val="bottom"/>
            <w:tcBorders>
              <w:top w:val="single" w:sz="8" w:color="auto"/>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r>
      <w:tr>
        <w:trPr>
          <w:trHeight w:val="210"/>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500" w:type="dxa"/>
            <w:vAlign w:val="bottom"/>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$159,921</w:t>
            </w: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$153,433</w:t>
            </w:r>
          </w:p>
        </w:tc>
        <w:tc>
          <w:tcPr>
            <w:tcW w:w="1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4.2 %</w:t>
            </w:r>
          </w:p>
        </w:tc>
        <w:tc>
          <w:tcPr>
            <w:tcW w:w="1160" w:type="dxa"/>
            <w:vAlign w:val="bottom"/>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$308,127</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$290,035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4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5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74,598</w:t>
            </w: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72,557</w:t>
            </w: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2.8 %</w:t>
            </w: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148,753</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171,719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-13.4 %</w:t>
            </w:r>
          </w:p>
        </w:tc>
      </w:tr>
      <w:tr>
        <w:trPr>
          <w:trHeight w:val="212"/>
        </w:trPr>
        <w:tc>
          <w:tcPr>
            <w:tcW w:w="3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$234,519</w:t>
            </w: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$225,990</w:t>
            </w:r>
          </w:p>
        </w:tc>
        <w:tc>
          <w:tcPr>
            <w:tcW w:w="14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3.8 %</w:t>
            </w:r>
          </w:p>
        </w:tc>
        <w:tc>
          <w:tcPr>
            <w:tcW w:w="11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b w:val="1"/>
                <w:bCs w:val="1"/>
                <w:color w:val="auto"/>
              </w:rPr>
              <w:t>$456,880</w:t>
            </w: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$461,754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2021 Net sales, excluding the impact of currency translation effects, to 2020 Net sales: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Increase due to</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Q2 2021 sales on</w:t>
            </w: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Net sales as</w:t>
            </w: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changes in</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same basis as Q2</w:t>
            </w:r>
          </w:p>
        </w:tc>
        <w:tc>
          <w:tcPr>
            <w:tcW w:w="200" w:type="dxa"/>
            <w:vAlign w:val="bottom"/>
          </w:tcPr>
          <w:p>
            <w:pPr>
              <w:spacing w:after="0"/>
              <w:rPr>
                <w:sz w:val="11"/>
                <w:szCs w:val="11"/>
                <w:color w:val="auto"/>
              </w:rPr>
            </w:pPr>
          </w:p>
        </w:tc>
        <w:tc>
          <w:tcPr>
            <w:tcW w:w="12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1"/>
                <w:szCs w:val="11"/>
                <w:color w:val="auto"/>
              </w:rPr>
            </w:pPr>
          </w:p>
        </w:tc>
        <w:tc>
          <w:tcPr>
            <w:tcW w:w="128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2020 currency</w:t>
            </w: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Q2 2020, excluding</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rPr>
              <w:t>reported, Q2 2021</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translation rates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Q2 2020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159,921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154,640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153,433</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74,598</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73,510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72,557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234,519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228,150</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225,990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97"/>
        </w:trPr>
        <w:tc>
          <w:tcPr>
            <w:tcW w:w="2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rPr>
              <w:t>Increase due to</w:t>
            </w:r>
          </w:p>
        </w:tc>
        <w:tc>
          <w:tcPr>
            <w:tcW w:w="14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YTD 2021 sales on</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Net sales as</w:t>
            </w: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changes in</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same basis as 2020</w:t>
            </w:r>
          </w:p>
        </w:tc>
        <w:tc>
          <w:tcPr>
            <w:tcW w:w="200" w:type="dxa"/>
            <w:vAlign w:val="bottom"/>
          </w:tcPr>
          <w:p>
            <w:pPr>
              <w:spacing w:after="0"/>
              <w:rPr>
                <w:sz w:val="11"/>
                <w:szCs w:val="11"/>
                <w:color w:val="auto"/>
              </w:rPr>
            </w:pPr>
          </w:p>
        </w:tc>
        <w:tc>
          <w:tcPr>
            <w:tcW w:w="12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6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1"/>
                <w:szCs w:val="11"/>
                <w:color w:val="auto"/>
              </w:rPr>
            </w:pPr>
          </w:p>
        </w:tc>
        <w:tc>
          <w:tcPr>
            <w:tcW w:w="128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2020, excluding</w:t>
            </w:r>
          </w:p>
        </w:tc>
        <w:tc>
          <w:tcPr>
            <w:tcW w:w="0" w:type="dxa"/>
            <w:vAlign w:val="bottom"/>
          </w:tcPr>
          <w:p>
            <w:pPr>
              <w:spacing w:after="0"/>
              <w:rPr>
                <w:sz w:val="1"/>
                <w:szCs w:val="1"/>
                <w:color w:val="auto"/>
              </w:rPr>
            </w:pPr>
          </w:p>
        </w:tc>
      </w:tr>
      <w:tr>
        <w:trPr>
          <w:trHeight w:val="176"/>
        </w:trPr>
        <w:tc>
          <w:tcPr>
            <w:tcW w:w="290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rPr>
              <w:t>reported, YTD 2021</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translation rates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YTD 2020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308,127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297,985</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290,035</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148,753</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146,486</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171,719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456,880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444,471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461,754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$6.4 million during the second quarter of 2021, as compared to 2020, principally due to stronger Euro and Chinese Yuan Renminbi in 2021.</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increased 1.0% compared to the same period in 2020.</w:t>
      </w:r>
    </w:p>
    <w:p>
      <w:pPr>
        <w:spacing w:after="0" w:line="117"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increased 0.8% compared to the second quarter of 2020, principally due to growth in sales for packaging grades and engineered fabrics, partially offset by declines in other grades.</w:t>
      </w:r>
    </w:p>
    <w:p>
      <w:pPr>
        <w:spacing w:after="0" w:line="89"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1.3%, mainly due to an increase in sales for the LEAP and CH-53K programs, partially offset by a decline in sales on the Boeing 787 program.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$12.4 million during the first six months of 2021, as compared to 2020, principally due to stronger Euro and Chinese Yuan Renminbi in 2021.</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decreased 3.7% compared to the same period in 2020.</w:t>
      </w:r>
    </w:p>
    <w:p>
      <w:pPr>
        <w:spacing w:after="0" w:line="117"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MC increased 2.7% compared to the first six months of 2020, primarily due to growth in sales for packaging grades and Engineered Fabrics, partially offset by declines in other grades.</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AEC decreased 14.7%, primarily due to declines in sales for the Boeing 787 program.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84,597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83,612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160,990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156,264</w:t>
            </w:r>
          </w:p>
        </w:tc>
      </w:tr>
      <w:tr>
        <w:trPr>
          <w:trHeight w:val="24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17,131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19,368</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29,284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36,188</w:t>
            </w:r>
          </w:p>
        </w:tc>
      </w:tr>
      <w:tr>
        <w:trPr>
          <w:trHeight w:val="212"/>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101,728</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102,980</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190,274</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192,452</w:t>
            </w:r>
          </w:p>
        </w:tc>
      </w:tr>
      <w:tr>
        <w:trPr>
          <w:trHeight w:val="23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43.4 %</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45.6 %</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41.6 %</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decrease in second quarter 2021 Gross profit, as compared to the same period in 2020, was due to a decline in AEC Gross profit, partially offset by higher Gross profit in MC . Gross profit as a percentage of sales:</w:t>
      </w:r>
    </w:p>
    <w:p>
      <w:pPr>
        <w:spacing w:after="0" w:line="90" w:lineRule="exact"/>
        <w:rPr>
          <w:sz w:val="20"/>
          <w:szCs w:val="20"/>
          <w:color w:val="auto"/>
        </w:rPr>
      </w:pPr>
    </w:p>
    <w:p>
      <w:pPr>
        <w:ind w:left="98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from 54.5% in 2020 to 52.9% in 2021 in MC, due to higher input and fixed costs, partially offset by improved absorption.</w:t>
      </w:r>
    </w:p>
    <w:p>
      <w:pPr>
        <w:spacing w:after="0" w:line="89"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from 26.7% in 2020 to 23.0% in 2021 in AEC, principally due to a smaller impact from changes in the estimated profitability of long-term contracts, which increased Gross profit by $4.3 million for the second quarter of 2021, compared to an increase of $7.4 million for the second quarter of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for the first half of 2021 was slightly lower than the same period in 2020. Gross profit as a percentage of sales:</w:t>
      </w:r>
    </w:p>
    <w:p>
      <w:pPr>
        <w:spacing w:after="0" w:line="11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from 53.9% in 2020 to 52.2% in 2021 in MC, due to an increase in production costs and lower cost absorption.</w:t>
      </w:r>
    </w:p>
    <w:p>
      <w:pPr>
        <w:spacing w:after="0" w:line="117"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from 21.1% in 2020 to 19.7% in 2021 in AEC, driven by changes in the estimated profitability of long-term contracts, which increased Gross profit by $3.7 million versus $6.4 million in the first half of 2021 and 2020,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28,685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26,682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54,784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51,517</w:t>
            </w:r>
          </w:p>
        </w:tc>
      </w:tr>
      <w:tr>
        <w:trPr>
          <w:trHeight w:val="240"/>
        </w:trPr>
        <w:tc>
          <w:tcPr>
            <w:tcW w:w="41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10,014</w:t>
            </w:r>
          </w:p>
        </w:tc>
        <w:tc>
          <w:tcPr>
            <w:tcW w:w="320" w:type="dxa"/>
            <w:vAlign w:val="bottom"/>
          </w:tcPr>
          <w:p>
            <w:pPr>
              <w:spacing w:after="0"/>
              <w:rPr>
                <w:sz w:val="20"/>
                <w:szCs w:val="20"/>
                <w:color w:val="auto"/>
              </w:rPr>
            </w:pPr>
          </w:p>
        </w:tc>
        <w:tc>
          <w:tcPr>
            <w:tcW w:w="1020" w:type="dxa"/>
            <w:vAlign w:val="bottom"/>
          </w:tcPr>
          <w:p>
            <w:pPr>
              <w:jc w:val="right"/>
              <w:ind w:right="141"/>
              <w:spacing w:after="0"/>
              <w:rPr>
                <w:sz w:val="20"/>
                <w:szCs w:val="20"/>
                <w:color w:val="auto"/>
              </w:rPr>
            </w:pPr>
            <w:r>
              <w:rPr>
                <w:rFonts w:ascii="Arial" w:cs="Arial" w:eastAsia="Arial" w:hAnsi="Arial"/>
                <w:sz w:val="16"/>
                <w:szCs w:val="16"/>
                <w:color w:val="auto"/>
              </w:rPr>
              <w:t>8,821</w:t>
            </w:r>
          </w:p>
        </w:tc>
        <w:tc>
          <w:tcPr>
            <w:tcW w:w="240" w:type="dxa"/>
            <w:vAlign w:val="bottom"/>
          </w:tcPr>
          <w:p>
            <w:pPr>
              <w:spacing w:after="0"/>
              <w:rPr>
                <w:sz w:val="20"/>
                <w:szCs w:val="20"/>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b w:val="1"/>
                <w:bCs w:val="1"/>
                <w:color w:val="auto"/>
              </w:rPr>
              <w:t>19,140</w:t>
            </w:r>
          </w:p>
        </w:tc>
        <w:tc>
          <w:tcPr>
            <w:tcW w:w="30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18,018</w:t>
            </w:r>
          </w:p>
        </w:tc>
      </w:tr>
      <w:tr>
        <w:trPr>
          <w:trHeight w:val="218"/>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13,071</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11,913</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24,522</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27,117</w:t>
            </w:r>
          </w:p>
        </w:tc>
      </w:tr>
      <w:tr>
        <w:trPr>
          <w:trHeight w:val="23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51,770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47,416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98,446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96,652</w:t>
            </w:r>
          </w:p>
        </w:tc>
      </w:tr>
      <w:tr>
        <w:trPr>
          <w:trHeight w:val="212"/>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22.1 %</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21.5 %</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overall increase in STG&amp;R expenses in the second quarter of 2021, compared to the same period in 2020, was driven by higher incentive compensation and travel expense, as well as research and development spending. Additionally, revaluation of nonfunctional currency assets and liabilities in Machine Clothing resulted in a second-quarter loss of $1.9 million in 2021, compared to a loss of $1.1 million for the same period in 2020.</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overall increase in STG&amp;R expenses in the first six months of 2021, compared to the same period in 2020, was due to the net effect of the following: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0" w:hanging="324"/>
        <w:spacing w:after="0" w:line="261"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in Machine Clothing, which resulted in a loss of $1.4 million in 2021, compared to a gain of $2.6 million for the first six months of 2020</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Former CEO termination costs of $2.7 million were recorded in Corporate expenses during the first quarter of 2020</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incentive compensation in all business segments in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minimally affected by restructuring costs in the first six months of 2021, but totaled $3.5 million for the same period in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net by business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center"/>
              <w:ind w:left="602"/>
              <w:spacing w:after="0"/>
              <w:rPr>
                <w:sz w:val="20"/>
                <w:szCs w:val="20"/>
                <w:color w:val="auto"/>
              </w:rPr>
            </w:pPr>
            <w:r>
              <w:rPr>
                <w:rFonts w:ascii="Arial" w:cs="Arial" w:eastAsia="Arial" w:hAnsi="Arial"/>
                <w:sz w:val="16"/>
                <w:szCs w:val="16"/>
                <w:b w:val="1"/>
                <w:bCs w:val="1"/>
                <w:color w:val="auto"/>
              </w:rPr>
              <w:t>(58)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2,248</w:t>
            </w:r>
          </w:p>
        </w:tc>
        <w:tc>
          <w:tcPr>
            <w:tcW w:w="240" w:type="dxa"/>
            <w:vAlign w:val="bottom"/>
          </w:tcPr>
          <w:p>
            <w:pPr>
              <w:spacing w:after="0"/>
              <w:rPr>
                <w:sz w:val="18"/>
                <w:szCs w:val="18"/>
                <w:color w:val="auto"/>
              </w:rPr>
            </w:pPr>
          </w:p>
        </w:tc>
        <w:tc>
          <w:tcPr>
            <w:tcW w:w="1020" w:type="dxa"/>
            <w:vAlign w:val="bottom"/>
          </w:tcPr>
          <w:p>
            <w:pPr>
              <w:jc w:val="center"/>
              <w:ind w:left="602"/>
              <w:spacing w:after="0"/>
              <w:rPr>
                <w:sz w:val="20"/>
                <w:szCs w:val="20"/>
                <w:color w:val="auto"/>
              </w:rPr>
            </w:pPr>
            <w:r>
              <w:rPr>
                <w:rFonts w:ascii="Arial" w:cs="Arial" w:eastAsia="Arial" w:hAnsi="Arial"/>
                <w:sz w:val="16"/>
                <w:szCs w:val="16"/>
                <w:b w:val="1"/>
                <w:bCs w:val="1"/>
                <w:color w:val="auto"/>
              </w:rPr>
              <w:t>41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2,248</w:t>
            </w: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602"/>
              <w:spacing w:after="0"/>
              <w:rPr>
                <w:sz w:val="20"/>
                <w:szCs w:val="20"/>
                <w:color w:val="auto"/>
              </w:rPr>
            </w:pPr>
            <w:r>
              <w:rPr>
                <w:rFonts w:ascii="Arial" w:cs="Arial" w:eastAsia="Arial" w:hAnsi="Arial"/>
                <w:sz w:val="16"/>
                <w:szCs w:val="16"/>
                <w:b w:val="1"/>
                <w:bCs w:val="1"/>
                <w:color w:val="auto"/>
              </w:rPr>
              <w:t>60</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center"/>
              <w:ind w:left="602"/>
              <w:spacing w:after="0"/>
              <w:rPr>
                <w:sz w:val="20"/>
                <w:szCs w:val="20"/>
                <w:color w:val="auto"/>
              </w:rPr>
            </w:pPr>
            <w:r>
              <w:rPr>
                <w:rFonts w:ascii="Arial" w:cs="Arial" w:eastAsia="Arial" w:hAnsi="Arial"/>
                <w:sz w:val="16"/>
                <w:szCs w:val="16"/>
                <w:b w:val="1"/>
                <w:bCs w:val="1"/>
                <w:color w:val="auto"/>
              </w:rPr>
              <w:t>43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Machine Clothing restructuring charges or credits in both years mainly related to discontinued operations at its production facility in Sélestat, France, announced in 2017. The restructuring program was driven by the Company’s need to balance manufacturing capacity with demand. Since 2017, we have recorded $13.9 million of restructuring charges related to this action.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56,543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106,264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103,718</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7,164</w:t>
            </w: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8,299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10,102</w:t>
            </w:r>
          </w:p>
        </w:tc>
        <w:tc>
          <w:tcPr>
            <w:tcW w:w="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15,922</w:t>
            </w: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(13,100)</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(12,115)</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(24,581)</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(27,319)</w:t>
            </w: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49,966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52,727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91,785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92,321</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4,218</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7,787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Other expense/(income), net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862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1,462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16,660</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23,486</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27,818</w:t>
            </w:r>
          </w:p>
        </w:tc>
      </w:tr>
      <w:tr>
        <w:trPr>
          <w:trHeight w:val="21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Year-to-date 2021 Interest expense, net, was lower as compared to 2020, due to lower average debt outstanding. See the Capital Resources section for further discussion of borrowings and interest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Other (income)/expense net included losses related to the revaluation of nonfunctional-currency balances of $0.3 million for the first six months of 2021, compared to losses of $14.9 million for the first six months of 2020, which principally resulted from an intercompany demand loan payable by a Mexican subsidiary. As a result of changes in business conditions that occurred in the first quarter of 2020, loan repayments on that intercompany loan are not expected in the foreseeable future and, beginning April 1, 2020, the revaluation effects are recorded in Other comprehensive income.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8" w:lineRule="exact"/>
        <w:rPr>
          <w:sz w:val="20"/>
          <w:szCs w:val="20"/>
          <w:color w:val="auto"/>
        </w:rPr>
      </w:pPr>
    </w:p>
    <w:p>
      <w:pPr>
        <w:jc w:val="both"/>
        <w:ind w:right="20" w:firstLine="324"/>
        <w:spacing w:after="0" w:line="223" w:lineRule="auto"/>
        <w:rPr>
          <w:sz w:val="20"/>
          <w:szCs w:val="20"/>
          <w:color w:val="auto"/>
        </w:rPr>
      </w:pPr>
      <w:r>
        <w:rPr>
          <w:rFonts w:ascii="Arial" w:cs="Arial" w:eastAsia="Arial" w:hAnsi="Arial"/>
          <w:sz w:val="18"/>
          <w:szCs w:val="18"/>
          <w:color w:val="auto"/>
        </w:rPr>
        <w:t>The Company’s effective tax rates for the second quarter of 2021 and 2020 were 30.0% and 32.1%, respectively, and for the first half of 2021 and 2020, were 28.5% and 41.0%, respectively. 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decrease in the Q2 2021 income tax rate from continuing operations, excluding discrete items, was primarily driven by a decrease in losses in a foreign jurisdiction that were excluded in calculating the quarterly income tax provision. The effective tax rate for the six months ended June 30, 2020 was significantly affected by a non-recurring tax adjustment due to non-deductible foreign exchange losses, which occurred in the first quarter of 2020.</w:t>
      </w:r>
    </w:p>
    <w:p>
      <w:pPr>
        <w:spacing w:after="0" w:line="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Significant items that impacted the effective tax rate in the second quarter of 2021 and 2020 included the following (percentages reflect the effect of each item as a percentage of income before income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841"/>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861"/>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Pr>
          <w:p>
            <w:pPr>
              <w:jc w:val="right"/>
              <w:ind w:right="161"/>
              <w:spacing w:after="0"/>
              <w:rPr>
                <w:sz w:val="20"/>
                <w:szCs w:val="20"/>
                <w:color w:val="auto"/>
              </w:rPr>
            </w:pPr>
            <w:r>
              <w:rPr>
                <w:rFonts w:ascii="Arial" w:cs="Arial" w:eastAsia="Arial" w:hAnsi="Arial"/>
                <w:sz w:val="14"/>
                <w:szCs w:val="14"/>
                <w:b w:val="1"/>
                <w:bCs w:val="1"/>
                <w:color w:val="auto"/>
              </w:rPr>
              <w:t>Tax amount</w:t>
            </w:r>
          </w:p>
        </w:tc>
        <w:tc>
          <w:tcPr>
            <w:tcW w:w="76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41"/>
              <w:spacing w:after="0"/>
              <w:rPr>
                <w:sz w:val="20"/>
                <w:szCs w:val="20"/>
                <w:color w:val="auto"/>
              </w:rPr>
            </w:pPr>
            <w:r>
              <w:rPr>
                <w:rFonts w:ascii="Arial" w:cs="Arial" w:eastAsia="Arial" w:hAnsi="Arial"/>
                <w:sz w:val="14"/>
                <w:szCs w:val="14"/>
                <w:b w:val="1"/>
                <w:bCs w:val="1"/>
                <w:color w:val="auto"/>
              </w:rPr>
              <w:t>Tax amount</w:t>
            </w:r>
          </w:p>
        </w:tc>
        <w:tc>
          <w:tcPr>
            <w:tcW w:w="680" w:type="dxa"/>
            <w:vAlign w:val="bottom"/>
            <w:tcBorders>
              <w:right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01"/>
              <w:spacing w:after="0"/>
              <w:rPr>
                <w:sz w:val="20"/>
                <w:szCs w:val="20"/>
                <w:color w:val="auto"/>
              </w:rPr>
            </w:pPr>
            <w:r>
              <w:rPr>
                <w:rFonts w:ascii="Arial" w:cs="Arial" w:eastAsia="Arial" w:hAnsi="Arial"/>
                <w:sz w:val="14"/>
                <w:szCs w:val="14"/>
                <w:b w:val="1"/>
                <w:bCs w:val="1"/>
                <w:color w:val="auto"/>
              </w:rPr>
              <w:t>Tax amount</w:t>
            </w:r>
          </w:p>
        </w:tc>
        <w:tc>
          <w:tcPr>
            <w:tcW w:w="72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61"/>
              <w:spacing w:after="0"/>
              <w:rPr>
                <w:sz w:val="20"/>
                <w:szCs w:val="20"/>
                <w:color w:val="auto"/>
              </w:rPr>
            </w:pPr>
            <w:r>
              <w:rPr>
                <w:rFonts w:ascii="Arial" w:cs="Arial" w:eastAsia="Arial" w:hAnsi="Arial"/>
                <w:sz w:val="14"/>
                <w:szCs w:val="14"/>
                <w:b w:val="1"/>
                <w:bCs w:val="1"/>
                <w:color w:val="auto"/>
              </w:rPr>
              <w:t>Tax amount</w:t>
            </w:r>
          </w:p>
        </w:tc>
        <w:tc>
          <w:tcPr>
            <w:tcW w:w="64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 (excluding discrete</w:t>
            </w:r>
          </w:p>
        </w:tc>
        <w:tc>
          <w:tcPr>
            <w:tcW w:w="114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13,251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29.5 %</w:t>
            </w:r>
          </w:p>
        </w:tc>
        <w:tc>
          <w:tcPr>
            <w:tcW w:w="118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11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24,365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29.5 %</w:t>
            </w: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items)</w:t>
            </w:r>
          </w:p>
        </w:tc>
        <w:tc>
          <w:tcPr>
            <w:tcW w:w="1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16,262</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23,081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U.S. stock options</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(156)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1140" w:type="dxa"/>
            <w:vAlign w:val="bottom"/>
          </w:tcPr>
          <w:p>
            <w:pPr>
              <w:jc w:val="right"/>
              <w:ind w:right="161"/>
              <w:spacing w:after="0"/>
              <w:rPr>
                <w:sz w:val="20"/>
                <w:szCs w:val="20"/>
                <w:color w:val="auto"/>
              </w:rPr>
            </w:pPr>
            <w:r>
              <w:rPr>
                <w:rFonts w:ascii="Arial" w:cs="Arial" w:eastAsia="Arial" w:hAnsi="Arial"/>
                <w:sz w:val="16"/>
                <w:szCs w:val="16"/>
                <w:b w:val="1"/>
                <w:bCs w:val="1"/>
                <w:color w:val="auto"/>
              </w:rPr>
              <w:t>22</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879</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160" w:type="dxa"/>
            <w:vAlign w:val="bottom"/>
          </w:tcPr>
          <w:p>
            <w:pPr>
              <w:jc w:val="right"/>
              <w:ind w:right="141"/>
              <w:spacing w:after="0"/>
              <w:rPr>
                <w:sz w:val="20"/>
                <w:szCs w:val="20"/>
                <w:color w:val="auto"/>
              </w:rPr>
            </w:pPr>
            <w:r>
              <w:rPr>
                <w:rFonts w:ascii="Arial" w:cs="Arial" w:eastAsia="Arial" w:hAnsi="Arial"/>
                <w:sz w:val="16"/>
                <w:szCs w:val="16"/>
                <w:b w:val="1"/>
                <w:bCs w:val="1"/>
                <w:color w:val="auto"/>
              </w:rPr>
              <w:t>(1,421)</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767</w:t>
            </w:r>
          </w:p>
        </w:tc>
        <w:tc>
          <w:tcPr>
            <w:tcW w:w="64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Revaluation of deferred tax assets due to</w:t>
            </w:r>
          </w:p>
        </w:tc>
        <w:tc>
          <w:tcPr>
            <w:tcW w:w="114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352</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0.8 %</w:t>
            </w:r>
          </w:p>
        </w:tc>
        <w:tc>
          <w:tcPr>
            <w:tcW w:w="118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11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352</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0.4 %</w:t>
            </w: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rate change</w:t>
            </w:r>
          </w:p>
        </w:tc>
        <w:tc>
          <w:tcPr>
            <w:tcW w:w="1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line="178" w:lineRule="exact"/>
              <w:rPr>
                <w:sz w:val="20"/>
                <w:szCs w:val="20"/>
                <w:color w:val="auto"/>
              </w:rPr>
            </w:pPr>
            <w:r>
              <w:rPr>
                <w:rFonts w:ascii="Arial" w:cs="Arial" w:eastAsia="Arial" w:hAnsi="Arial"/>
                <w:sz w:val="16"/>
                <w:szCs w:val="16"/>
                <w:color w:val="auto"/>
              </w:rPr>
              <w:t>Provision for/resolution of tax audits and</w:t>
            </w:r>
          </w:p>
        </w:tc>
        <w:tc>
          <w:tcPr>
            <w:tcW w:w="114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16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278</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0.3 %</w:t>
            </w: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rPr>
                <w:sz w:val="20"/>
                <w:szCs w:val="20"/>
                <w:color w:val="auto"/>
              </w:rPr>
            </w:pPr>
            <w:r>
              <w:rPr>
                <w:rFonts w:ascii="Arial" w:cs="Arial" w:eastAsia="Arial" w:hAnsi="Arial"/>
                <w:sz w:val="16"/>
                <w:szCs w:val="16"/>
                <w:color w:val="auto"/>
              </w:rPr>
              <w:t>contingencies, net</w:t>
            </w:r>
          </w:p>
        </w:tc>
        <w:tc>
          <w:tcPr>
            <w:tcW w:w="1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(1,489)</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(1,733)</w:t>
            </w: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Write-off of net operating losses related to</w:t>
            </w:r>
          </w:p>
        </w:tc>
        <w:tc>
          <w:tcPr>
            <w:tcW w:w="114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18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11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audit</w:t>
            </w:r>
          </w:p>
        </w:tc>
        <w:tc>
          <w:tcPr>
            <w:tcW w:w="1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1,830</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line="178" w:lineRule="exact"/>
              <w:rPr>
                <w:sz w:val="20"/>
                <w:szCs w:val="20"/>
                <w:color w:val="auto"/>
              </w:rPr>
            </w:pPr>
            <w:r>
              <w:rPr>
                <w:rFonts w:ascii="Arial" w:cs="Arial" w:eastAsia="Arial" w:hAnsi="Arial"/>
                <w:sz w:val="16"/>
                <w:szCs w:val="16"/>
                <w:color w:val="auto"/>
              </w:rPr>
              <w:t>Tax effect of non-deductible foreign</w:t>
            </w:r>
          </w:p>
        </w:tc>
        <w:tc>
          <w:tcPr>
            <w:tcW w:w="114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16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w:t>
            </w: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rPr>
                <w:sz w:val="20"/>
                <w:szCs w:val="20"/>
                <w:color w:val="auto"/>
              </w:rPr>
            </w:pPr>
            <w:r>
              <w:rPr>
                <w:rFonts w:ascii="Arial" w:cs="Arial" w:eastAsia="Arial" w:hAnsi="Arial"/>
                <w:sz w:val="16"/>
                <w:szCs w:val="16"/>
                <w:color w:val="auto"/>
              </w:rPr>
              <w:t>exchange loss on intercompany loan</w:t>
            </w:r>
          </w:p>
        </w:tc>
        <w:tc>
          <w:tcPr>
            <w:tcW w:w="1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(13)</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3,656</w:t>
            </w:r>
          </w:p>
        </w:tc>
        <w:tc>
          <w:tcPr>
            <w:tcW w:w="640" w:type="dxa"/>
            <w:vAlign w:val="bottom"/>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valuation allowance</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222</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16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222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adjustments</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w:t>
            </w: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(497)</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68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0.2 %</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1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13,446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30.0 %</w:t>
            </w:r>
          </w:p>
        </w:tc>
        <w:tc>
          <w:tcPr>
            <w:tcW w:w="11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15,364</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32.1 %</w:t>
            </w:r>
          </w:p>
        </w:tc>
        <w:tc>
          <w:tcPr>
            <w:tcW w:w="11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23,486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28.5 %</w:t>
            </w:r>
          </w:p>
        </w:tc>
        <w:tc>
          <w:tcPr>
            <w:tcW w:w="12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27,818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income tax, see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Machine Clothing accounted for 68% of our consolidated revenues during the six months of 2021. MC products are purchased primarily by manufacturers of paper and paperboard. We feel we are well -positioned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incurred significant restructuring charges in recent years as we reduced MC manufacturing capacity and administrative positions in various countries.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159,921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153,433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308,127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290,035</w:t>
            </w:r>
          </w:p>
        </w:tc>
      </w:tr>
      <w:tr>
        <w:trPr>
          <w:trHeight w:val="240"/>
        </w:trPr>
        <w:tc>
          <w:tcPr>
            <w:tcW w:w="39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84,597</w:t>
            </w:r>
          </w:p>
        </w:tc>
        <w:tc>
          <w:tcPr>
            <w:tcW w:w="320" w:type="dxa"/>
            <w:vAlign w:val="bottom"/>
          </w:tcPr>
          <w:p>
            <w:pPr>
              <w:spacing w:after="0"/>
              <w:rPr>
                <w:sz w:val="20"/>
                <w:szCs w:val="20"/>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83,612</w:t>
            </w:r>
          </w:p>
        </w:tc>
        <w:tc>
          <w:tcPr>
            <w:tcW w:w="28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160,990</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156,264</w:t>
            </w: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52.9 %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52.2 %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53.9 %</w:t>
            </w:r>
          </w:p>
        </w:tc>
      </w:tr>
      <w:tr>
        <w:trPr>
          <w:trHeight w:val="240"/>
        </w:trPr>
        <w:tc>
          <w:tcPr>
            <w:tcW w:w="390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60" w:type="dxa"/>
            <w:vAlign w:val="bottom"/>
          </w:tcPr>
          <w:p>
            <w:pPr>
              <w:spacing w:after="0"/>
              <w:rPr>
                <w:sz w:val="20"/>
                <w:szCs w:val="20"/>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28,685</w:t>
            </w:r>
          </w:p>
        </w:tc>
        <w:tc>
          <w:tcPr>
            <w:tcW w:w="320" w:type="dxa"/>
            <w:vAlign w:val="bottom"/>
          </w:tcPr>
          <w:p>
            <w:pPr>
              <w:spacing w:after="0"/>
              <w:rPr>
                <w:sz w:val="20"/>
                <w:szCs w:val="20"/>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26,682</w:t>
            </w:r>
          </w:p>
        </w:tc>
        <w:tc>
          <w:tcPr>
            <w:tcW w:w="28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54,784</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51,517</w:t>
            </w:r>
          </w:p>
        </w:tc>
      </w:tr>
      <w:tr>
        <w:trPr>
          <w:trHeight w:val="218"/>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55,902</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56,543</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106,264</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103,718</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increased by 4.2%.</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second-quarter 2021 sales by $5.3 million compared to the same period in 2020. That currency translation effect was mainly due to stronger Euro and Chinese Yuan Renminbi in the second quarter of 2021, compared to 2020.</w:t>
      </w:r>
    </w:p>
    <w:p>
      <w:pPr>
        <w:spacing w:after="0" w:line="93"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0.8% compared to the second quarter of 2020, principally due to growth in sales for packaging grades and engineered fabrics, partially offset by declines in other grades.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by 6.2%.</w:t>
      </w:r>
    </w:p>
    <w:p>
      <w:pPr>
        <w:spacing w:after="0" w:line="117"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2021 sales by $10.1 million compared to the same period in 2020. That currency translation effect was principally due to stronger Euro and Chinese Yuan Renminbi in the first six months of 2021, compared to 2020.</w:t>
      </w:r>
    </w:p>
    <w:p>
      <w:pPr>
        <w:spacing w:after="0" w:line="93"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2.7% compared to 2020, as growth in sales for packaging grades and Engineered Fabrics partially offset the declines in other grades.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The decrease in MC Gross profit margins was due to higher input and fixed costs, partially offset by improved absorption, in the second quarter of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The decrease in MC Gross profit margins was due to an increase in production costs and lower cost absorption compared to the same period in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slight decrease in the second quarter of 2021 operating income, compared to the same period in 2020, was primarily due to a slight improvement in gross profit, partially offset by higher STG&amp;R expenses.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increase in operating income in first half of 2021 was driven by higher gross profit, offset by higher STG&amp;R expenses, compared to the same period in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Other significant AEC programs include components for the F-35, components for the CH-53K helicopter, fuselage frames for the Boeing 787, and the fan case for the GE9X engine.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74,598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72,557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148,753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171,719</w:t>
            </w: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17,131</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19,368</w:t>
            </w:r>
          </w:p>
        </w:tc>
        <w:tc>
          <w:tcPr>
            <w:tcW w:w="30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29,284</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36,188</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19.7 %</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40" w:type="dxa"/>
            <w:vAlign w:val="bottom"/>
          </w:tcPr>
          <w:p>
            <w:pPr>
              <w:spacing w:after="0"/>
              <w:rPr>
                <w:sz w:val="20"/>
                <w:szCs w:val="20"/>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10,014</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8,821</w:t>
            </w:r>
          </w:p>
        </w:tc>
        <w:tc>
          <w:tcPr>
            <w:tcW w:w="30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19,140</w:t>
            </w:r>
          </w:p>
        </w:tc>
        <w:tc>
          <w:tcPr>
            <w:tcW w:w="320" w:type="dxa"/>
            <w:vAlign w:val="bottom"/>
          </w:tcPr>
          <w:p>
            <w:pPr>
              <w:spacing w:after="0"/>
              <w:rPr>
                <w:sz w:val="20"/>
                <w:szCs w:val="20"/>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18,018</w:t>
            </w:r>
          </w:p>
        </w:tc>
      </w:tr>
      <w:tr>
        <w:trPr>
          <w:trHeight w:val="218"/>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7,164</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8,299</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10,102</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15,922</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increase in Net sales was mainly due to higher sales in the LEAP and CH-53K programs, partially offset by a decline in sales in the Boeing 787 program.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Net sales was primarily due to lower sales in the Boeing 787 program.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Gross profit was principally due to smaller impact from changes in the estimated profitability of long-term contracts.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39" w:lineRule="exact"/>
        <w:rPr>
          <w:sz w:val="20"/>
          <w:szCs w:val="20"/>
          <w:color w:val="auto"/>
        </w:rPr>
      </w:pPr>
    </w:p>
    <w:p>
      <w:pPr>
        <w:jc w:val="both"/>
        <w:ind w:right="80" w:firstLine="324"/>
        <w:spacing w:after="0" w:line="254"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35 percent of segment revenue for each of the first six months of 2021 and 40 percent for the same period of 2020. LEAP engines are currently used on the Boeing 737 MAX, Airbus A320neo and COMAC aircraft.</w:t>
      </w:r>
    </w:p>
    <w:p>
      <w:pPr>
        <w:spacing w:after="0" w:line="9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decrease in Operating income was driven by lower gross profit and higher STG&amp;R expenses, offset by lower restructuring expenses.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0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59,050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37,133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36,024</w:t>
            </w:r>
          </w:p>
        </w:tc>
      </w:tr>
      <w:tr>
        <w:trPr>
          <w:trHeight w:val="217"/>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(57,804)</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1,153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8,836</w:t>
            </w:r>
          </w:p>
        </w:tc>
      </w:tr>
      <w:tr>
        <w:trPr>
          <w:trHeight w:val="216"/>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(775)</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16,935</w:t>
            </w: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by/(used in) operating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95,640</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44,034</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(23,124)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(22,017)</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in)/provided by financing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(62,504)</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(8,224)</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w:t>
            </w: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color w:val="auto"/>
              </w:rPr>
              <w:t>(Decrease)/increase in cash and cash equivalents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12,014</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8,497</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241,316</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195,540</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253,330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204,037</w:t>
            </w:r>
          </w:p>
        </w:tc>
      </w:tr>
    </w:tbl>
    <w:p>
      <w:pPr>
        <w:spacing w:after="0" w:line="8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Cash flow provided by operating activities was $95.6 million in the first six months of 2021, compared to $44.0 million in the first six months of 2020. This improvement was due to improved working capital cash flows in AEC and an increase in consolidated Net income.</w:t>
      </w:r>
    </w:p>
    <w:p>
      <w:pPr>
        <w:spacing w:after="0" w:line="9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Cash paid for income taxes was $22.8 million and $16.5 million for the first six months of 2021 and 2020, respectively. The increase is primarily due to an increase in corporate income tax payments in Brazil, China and Switzerland related to prior year tax liabilities.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June 30, 2021, we had $253.3 million of cash and cash equivalents, of which $215.2 million was held by subsidiaries outside of the United States.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six months were $23.1 million in 2021 and $22.0 million in 2020.</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Future cash dividends will also depend on debt covenants and on the Board’s assessment of our ability to generate sufficient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to be insignificant. The majority of our cash balance at June 30, 2021 was held by non-U.S. subsidiaries. Based on cash on hand and credit facilities, we anticipate that the Company has sufficient capital resources to operate for the foreseeable future. We were in compliance with all debt covenants as of June 30, 2021.</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$350 million of borrowings were outstanding as of June 30, 2021. The applicable interest rate for borrowings was LIBOR plus a spread, based on our leverage ratio at the time of borrowing. At the time of the last borrowing on June 30, 2021, the spread was 1.625%. The spread was based on a pricing grid, which ranged from 1.500% to 2.000%, based on our leverage ratio. Based on our maximum leverage ratio and our Consolidated EBITDA, and without modification to any other credit agreements, as of June 30, 2021, we would have been able to borrow an additional $350 million under the Agreement.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14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we have no off-balance sheet arrangements required to be disclosed pursuant to Item 303(a)(4) of Regulation S-K.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Note 18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former CEO termination costs, acquisition/integrations costs,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while frequent in recent years, are reflective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significant reductions in manufacturing capacity and associated headcount in response to shifting markets, and not of the profitability of the business going forward as restructured.</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(or adding) gains (or losses) from the sale of buildings or investments; adding acquisition/integration costs and subtracting (or adding) Income (or loss) attributable to the non-controlling interest in Albany Safran Composites (ASC).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foreign currency revaluation losses (or gains); and acquisition-related expenses.</w:t>
      </w:r>
    </w:p>
    <w:p>
      <w:pPr>
        <w:spacing w:after="0" w:line="1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4"/>
                <w:szCs w:val="14"/>
                <w:b w:val="1"/>
                <w:bCs w:val="1"/>
                <w:color w:val="auto"/>
              </w:rPr>
              <w:t>Machine Clothing</w:t>
            </w: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(13,100)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49,966</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(18,526)</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(18,526)</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55,902</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7,164</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(31,626)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31,440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4,218</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5,138</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12,194</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18,251</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61,040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19,358</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(13,043)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67,355</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19,301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June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100"/>
              <w:spacing w:after="0" w:line="154"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ind w:right="220"/>
              <w:spacing w:after="0" w:line="15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56,543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8,299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(12,115)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52,727</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(20,278)</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(20,278)</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56,543</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8,299</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(32,393)</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32,449</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3,823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15,364</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4,981</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17,954</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61,524</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20,270</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(12,204)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69,590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2,248</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278</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22,768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73,670</w:t>
            </w:r>
          </w:p>
        </w:tc>
        <w:tc>
          <w:tcPr>
            <w:tcW w:w="0" w:type="dxa"/>
            <w:vAlign w:val="bottom"/>
          </w:tcPr>
          <w:p>
            <w:pPr>
              <w:spacing w:after="0"/>
              <w:rPr>
                <w:sz w:val="1"/>
                <w:szCs w:val="1"/>
                <w:color w:val="auto"/>
              </w:rPr>
            </w:pPr>
          </w:p>
        </w:tc>
      </w:tr>
      <w:tr>
        <w:trPr>
          <w:trHeight w:val="386"/>
        </w:trPr>
        <w:tc>
          <w:tcPr>
            <w:tcW w:w="3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5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560" w:type="dxa"/>
            <w:vAlign w:val="bottom"/>
          </w:tcPr>
          <w:p>
            <w:pPr>
              <w:jc w:val="center"/>
              <w:ind w:right="100"/>
              <w:spacing w:after="0" w:line="148"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2"/>
                <w:szCs w:val="12"/>
                <w:color w:val="auto"/>
              </w:rPr>
            </w:pPr>
          </w:p>
        </w:tc>
        <w:tc>
          <w:tcPr>
            <w:tcW w:w="2080" w:type="dxa"/>
            <w:vAlign w:val="bottom"/>
          </w:tcPr>
          <w:p>
            <w:pPr>
              <w:jc w:val="center"/>
              <w:ind w:right="220"/>
              <w:spacing w:after="0" w:line="148"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106,264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(24,581)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91,785</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(32,735)</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106,264</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(57,316)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59,050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7,787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23,486</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10,258</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37,133</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116,522</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35,163</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(24,229)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127,456</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614</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117,879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(23,828)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120"/>
              <w:spacing w:after="0" w:line="154" w:lineRule="exact"/>
              <w:rPr>
                <w:sz w:val="20"/>
                <w:szCs w:val="20"/>
                <w:color w:val="auto"/>
              </w:rPr>
            </w:pPr>
            <w:r>
              <w:rPr>
                <w:rFonts w:ascii="Arial" w:cs="Arial" w:eastAsia="Arial" w:hAnsi="Arial"/>
                <w:sz w:val="14"/>
                <w:szCs w:val="14"/>
                <w:b w:val="1"/>
                <w:bCs w:val="1"/>
                <w:color w:val="auto"/>
              </w:rPr>
              <w:t>Albany Engineered</w:t>
            </w:r>
          </w:p>
        </w:tc>
        <w:tc>
          <w:tcPr>
            <w:tcW w:w="3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420"/>
              <w:spacing w:after="0" w:line="15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6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Composites</w:t>
            </w: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103,718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15,922</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(27,319)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92,321</w:t>
            </w:r>
          </w:p>
        </w:tc>
        <w:tc>
          <w:tcPr>
            <w:tcW w:w="0" w:type="dxa"/>
            <w:vAlign w:val="bottom"/>
          </w:tcPr>
          <w:p>
            <w:pPr>
              <w:spacing w:after="0"/>
              <w:rPr>
                <w:sz w:val="1"/>
                <w:szCs w:val="1"/>
                <w:color w:val="auto"/>
              </w:rPr>
            </w:pPr>
          </w:p>
        </w:tc>
      </w:tr>
      <w:tr>
        <w:trPr>
          <w:trHeight w:val="21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(52,278)</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(52,278)</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103,718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15,922</w:t>
            </w: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(79,597)</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40,043</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7,800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27,818</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27,818</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10,068</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23,956</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36,024</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113,786</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39,878</w:t>
            </w: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(41,979)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111,685</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1,030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2,248</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3,479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2,742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loss attributable to noncontrolling interest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2"/>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44,863</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(24,186)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132,805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2740" w:type="dxa"/>
            <w:vAlign w:val="bottom"/>
            <w:tcBorders>
              <w:top w:val="single" w:sz="8" w:color="auto"/>
            </w:tcBorders>
          </w:tcPr>
          <w:p>
            <w:pPr>
              <w:jc w:val="center"/>
              <w:ind w:left="1268"/>
              <w:spacing w:after="0"/>
              <w:rPr>
                <w:sz w:val="20"/>
                <w:szCs w:val="20"/>
                <w:color w:val="auto"/>
              </w:rPr>
            </w:pPr>
            <w:r>
              <w:rPr>
                <w:rFonts w:ascii="Arial" w:cs="Arial" w:eastAsia="Arial" w:hAnsi="Arial"/>
                <w:sz w:val="14"/>
                <w:szCs w:val="14"/>
                <w:b w:val="1"/>
                <w:bCs w:val="1"/>
                <w:color w:val="auto"/>
              </w:rPr>
              <w:t>Pre tax</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Tax</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After tax</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740" w:type="dxa"/>
            <w:vAlign w:val="bottom"/>
          </w:tcPr>
          <w:p>
            <w:pPr>
              <w:jc w:val="center"/>
              <w:ind w:left="1248"/>
              <w:spacing w:after="0"/>
              <w:rPr>
                <w:sz w:val="20"/>
                <w:szCs w:val="20"/>
                <w:color w:val="auto"/>
              </w:rPr>
            </w:pPr>
            <w:r>
              <w:rPr>
                <w:rFonts w:ascii="Arial" w:cs="Arial" w:eastAsia="Arial" w:hAnsi="Arial"/>
                <w:sz w:val="14"/>
                <w:szCs w:val="14"/>
                <w:b w:val="1"/>
                <w:bCs w:val="1"/>
                <w:color w:val="auto"/>
              </w:rPr>
              <w:t>Amounts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1,838</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1,057</w:t>
            </w: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0.03</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0.01</w:t>
            </w:r>
          </w:p>
        </w:tc>
      </w:tr>
      <w:tr>
        <w:trPr>
          <w:trHeight w:val="469"/>
        </w:trPr>
        <w:tc>
          <w:tcPr>
            <w:tcW w:w="4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4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Three months ended June 30, 2020</w:t>
            </w:r>
          </w:p>
        </w:tc>
        <w:tc>
          <w:tcPr>
            <w:tcW w:w="1640" w:type="dxa"/>
            <w:vAlign w:val="bottom"/>
          </w:tcPr>
          <w:p>
            <w:pPr>
              <w:spacing w:after="0"/>
              <w:rPr>
                <w:sz w:val="12"/>
                <w:szCs w:val="12"/>
                <w:color w:val="auto"/>
              </w:rPr>
            </w:pPr>
          </w:p>
        </w:tc>
        <w:tc>
          <w:tcPr>
            <w:tcW w:w="1080" w:type="dxa"/>
            <w:vAlign w:val="bottom"/>
          </w:tcPr>
          <w:p>
            <w:pPr>
              <w:jc w:val="right"/>
              <w:ind w:right="321"/>
              <w:spacing w:after="0" w:line="142" w:lineRule="exact"/>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2"/>
                <w:szCs w:val="12"/>
                <w:color w:val="auto"/>
              </w:rPr>
            </w:pPr>
          </w:p>
        </w:tc>
        <w:tc>
          <w:tcPr>
            <w:tcW w:w="1020" w:type="dxa"/>
            <w:vAlign w:val="bottom"/>
          </w:tcPr>
          <w:p>
            <w:pPr>
              <w:jc w:val="right"/>
              <w:ind w:right="461"/>
              <w:spacing w:after="0" w:line="142" w:lineRule="exact"/>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2"/>
                <w:szCs w:val="12"/>
                <w:color w:val="auto"/>
              </w:rPr>
            </w:pPr>
          </w:p>
        </w:tc>
        <w:tc>
          <w:tcPr>
            <w:tcW w:w="106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100" w:type="dxa"/>
            <w:vAlign w:val="bottom"/>
          </w:tcPr>
          <w:p>
            <w:pPr>
              <w:jc w:val="right"/>
              <w:ind w:right="241"/>
              <w:spacing w:after="0" w:line="142" w:lineRule="exact"/>
              <w:rPr>
                <w:sz w:val="20"/>
                <w:szCs w:val="20"/>
                <w:color w:val="auto"/>
              </w:rPr>
            </w:pPr>
            <w:r>
              <w:rPr>
                <w:rFonts w:ascii="Arial" w:cs="Arial" w:eastAsia="Arial" w:hAnsi="Arial"/>
                <w:sz w:val="14"/>
                <w:szCs w:val="14"/>
                <w:b w:val="1"/>
                <w:bCs w:val="1"/>
                <w:color w:val="auto"/>
              </w:rPr>
              <w:t>Per share</w:t>
            </w:r>
          </w:p>
        </w:tc>
      </w:tr>
      <w:tr>
        <w:trPr>
          <w:trHeight w:val="17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Effect</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0.06</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1,023</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536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w:t>
            </w: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0.02</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6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5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Pre tax</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After tax</w:t>
            </w: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0.00</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2,088</w:t>
            </w:r>
          </w:p>
        </w:tc>
        <w:tc>
          <w:tcPr>
            <w:tcW w:w="3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646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1,442</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0.04</w:t>
            </w: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0.02</w:t>
            </w:r>
          </w:p>
        </w:tc>
      </w:tr>
      <w:tr>
        <w:trPr>
          <w:trHeight w:val="577"/>
        </w:trPr>
        <w:tc>
          <w:tcPr>
            <w:tcW w:w="4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47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Six months ended June 30, 2020</w:t>
            </w:r>
          </w:p>
        </w:tc>
        <w:tc>
          <w:tcPr>
            <w:tcW w:w="1520" w:type="dxa"/>
            <w:vAlign w:val="bottom"/>
          </w:tcPr>
          <w:p>
            <w:pPr>
              <w:spacing w:after="0"/>
              <w:rPr>
                <w:sz w:val="12"/>
                <w:szCs w:val="12"/>
                <w:color w:val="auto"/>
              </w:rPr>
            </w:pPr>
          </w:p>
        </w:tc>
        <w:tc>
          <w:tcPr>
            <w:tcW w:w="10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Pre tax</w:t>
            </w:r>
          </w:p>
        </w:tc>
        <w:tc>
          <w:tcPr>
            <w:tcW w:w="320" w:type="dxa"/>
            <w:vAlign w:val="bottom"/>
          </w:tcPr>
          <w:p>
            <w:pPr>
              <w:spacing w:after="0"/>
              <w:rPr>
                <w:sz w:val="12"/>
                <w:szCs w:val="12"/>
                <w:color w:val="auto"/>
              </w:rPr>
            </w:pPr>
          </w:p>
        </w:tc>
        <w:tc>
          <w:tcPr>
            <w:tcW w:w="102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40" w:type="dxa"/>
            <w:vAlign w:val="bottom"/>
          </w:tcPr>
          <w:p>
            <w:pPr>
              <w:jc w:val="center"/>
              <w:ind w:right="142"/>
              <w:spacing w:after="0" w:line="142" w:lineRule="exact"/>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12"/>
                <w:szCs w:val="12"/>
                <w:color w:val="auto"/>
              </w:rPr>
            </w:pPr>
          </w:p>
        </w:tc>
        <w:tc>
          <w:tcPr>
            <w:tcW w:w="11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Per share</w:t>
            </w:r>
          </w:p>
        </w:tc>
      </w:tr>
      <w:tr>
        <w:trPr>
          <w:trHeight w:val="17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0.07</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12,889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13,898</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0.44</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CEO termination costs</w:t>
            </w:r>
          </w:p>
        </w:tc>
        <w:tc>
          <w:tcPr>
            <w:tcW w:w="1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0.06</w:t>
            </w:r>
          </w:p>
        </w:tc>
      </w:tr>
      <w:tr>
        <w:trPr>
          <w:trHeight w:val="21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0.02</w:t>
            </w:r>
          </w:p>
        </w:tc>
      </w:tr>
    </w:tbl>
    <w:p>
      <w:pPr>
        <w:spacing w:after="0" w:line="200" w:lineRule="exact"/>
        <w:rPr>
          <w:sz w:val="20"/>
          <w:szCs w:val="20"/>
          <w:color w:val="auto"/>
        </w:rPr>
      </w:pPr>
    </w:p>
    <w:p>
      <w:pPr>
        <w:spacing w:after="0" w:line="247" w:lineRule="exact"/>
        <w:rPr>
          <w:sz w:val="20"/>
          <w:szCs w:val="20"/>
          <w:color w:val="auto"/>
        </w:rPr>
      </w:pPr>
    </w:p>
    <w:p>
      <w:pPr>
        <w:ind w:left="660" w:right="300" w:hanging="652"/>
        <w:spacing w:after="0" w:line="260"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Q1 2020, the company incurred losses of approximately $17 million in jurisdictions where it cannot record a tax benefit from the losses, which results in an unusual relationship between the pre-tax and after-tax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Earnings per share to Adjusted Earnings per share: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0.97</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40"/>
        </w:trPr>
        <w:tc>
          <w:tcPr>
            <w:tcW w:w="59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1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CEO termination costs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4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12"/>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Earnings per share (non-GAAP)</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0432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r>
      <w:tr>
        <w:trPr>
          <w:trHeight w:val="215"/>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1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350,000</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384,000</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398,000</w:t>
            </w:r>
          </w:p>
        </w:tc>
      </w:tr>
      <w:tr>
        <w:trPr>
          <w:trHeight w:val="212"/>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16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384,002</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398,009</w:t>
            </w:r>
          </w:p>
        </w:tc>
      </w:tr>
      <w:tr>
        <w:trPr>
          <w:trHeight w:val="234"/>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1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253,330</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237,871</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241,316</w:t>
            </w:r>
          </w:p>
        </w:tc>
      </w:tr>
      <w:tr>
        <w:trPr>
          <w:trHeight w:val="212"/>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96,670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146,131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156,693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above under Note 16 in Item 1, “Notes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have been no material changes in risks since December 31, 2020. For discussion of risk factors, refer to Item 1A of our Annual Report on Form 10-K for the year ended December 31,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made no share purchases during the second quarter of 2021. We remain authorized by the Board of Directors to purchase up to 2 million shares of our Class A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99"/>
        </w:trPr>
        <w:tc>
          <w:tcPr>
            <w:tcW w:w="126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31.1</w:t>
            </w:r>
          </w:p>
        </w:tc>
        <w:tc>
          <w:tcPr>
            <w:tcW w:w="7280" w:type="dxa"/>
            <w:vAlign w:val="bottom"/>
            <w:tcBorders>
              <w:bottom w:val="single" w:sz="8" w:color="0000FF"/>
            </w:tcBorders>
            <w:gridSpan w:val="4"/>
            <w:shd w:val="clear" w:color="auto" w:fill="CCEEFF"/>
          </w:tcPr>
          <w:p>
            <w:pPr>
              <w:spacing w:after="0" w:line="178" w:lineRule="exact"/>
              <w:rPr>
                <w:rFonts w:ascii="Arial" w:cs="Arial" w:eastAsia="Arial" w:hAnsi="Arial"/>
                <w:sz w:val="16"/>
                <w:szCs w:val="16"/>
                <w:color w:val="0000FF"/>
              </w:rPr>
            </w:pPr>
            <w:hyperlink w:anchor="page40">
              <w:r>
                <w:rPr>
                  <w:rFonts w:ascii="Arial" w:cs="Arial" w:eastAsia="Arial" w:hAnsi="Arial"/>
                  <w:sz w:val="16"/>
                  <w:szCs w:val="16"/>
                  <w:color w:val="0000FF"/>
                </w:rPr>
                <w:t>Certification of the Chief Executive Officer pursuant to Rule 13a-14(a)/15d-14(a) of the Exchange Act.</w:t>
              </w:r>
            </w:hyperlink>
          </w:p>
        </w:tc>
        <w:tc>
          <w:tcPr>
            <w:tcW w:w="270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Certification of the Chief Financial Officer pursuant to Rule 13a-14(a)/15d-14(a) of the Exchange Act.</w:t>
              </w:r>
            </w:hyperlink>
          </w:p>
        </w:tc>
      </w:tr>
      <w:tr>
        <w:trPr>
          <w:trHeight w:val="21"/>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8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Certification pursuant to Section 906 of the Sarbanes-Oxley Act of 2002 (Subsections (a) and (b) of Section 1350, Chapter 63 of Title 18,</w:t>
              </w:r>
            </w:hyperlink>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rPr>
            </w:pPr>
            <w:hyperlink w:anchor="page42">
              <w:r>
                <w:rPr>
                  <w:rFonts w:ascii="Arial" w:cs="Arial" w:eastAsia="Arial" w:hAnsi="Arial"/>
                  <w:sz w:val="16"/>
                  <w:szCs w:val="16"/>
                  <w:color w:val="0000FF"/>
                </w:rPr>
                <w:t>United States Code).</w:t>
              </w:r>
            </w:hyperlink>
          </w:p>
        </w:tc>
        <w:tc>
          <w:tcPr>
            <w:tcW w:w="82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9980" w:type="dxa"/>
            <w:vAlign w:val="bottom"/>
            <w:gridSpan w:val="6"/>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Quantitative and qualitative disclosures about market risks as reported at June 30, 2021.</w:t>
              </w:r>
            </w:hyperlink>
          </w:p>
        </w:tc>
      </w:tr>
      <w:tr>
        <w:trPr>
          <w:trHeight w:val="20"/>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82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7"/>
        </w:trPr>
        <w:tc>
          <w:tcPr>
            <w:tcW w:w="12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101.INS</w:t>
            </w:r>
          </w:p>
        </w:tc>
        <w:tc>
          <w:tcPr>
            <w:tcW w:w="9980" w:type="dxa"/>
            <w:vAlign w:val="bottom"/>
            <w:gridSpan w:val="6"/>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01"/>
        </w:trPr>
        <w:tc>
          <w:tcPr>
            <w:tcW w:w="1260" w:type="dxa"/>
            <w:vAlign w:val="bottom"/>
            <w:shd w:val="clear" w:color="auto" w:fill="CCEEFF"/>
          </w:tcPr>
          <w:p>
            <w:pPr>
              <w:spacing w:after="0"/>
              <w:rPr>
                <w:sz w:val="17"/>
                <w:szCs w:val="17"/>
                <w:color w:val="auto"/>
              </w:rPr>
            </w:pP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260" w:hanging="1234"/>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0"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309"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July 28, 2021</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4106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11"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0"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6350</wp:posOffset>
            </wp:positionV>
            <wp:extent cx="41833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A. William Higgins</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6350</wp:posOffset>
            </wp:positionV>
            <wp:extent cx="41833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Stephen M. Nolan</w:t>
      </w:r>
    </w:p>
    <w:p>
      <w:pPr>
        <w:ind w:left="4620"/>
        <w:spacing w:after="0" w:line="203" w:lineRule="auto"/>
        <w:rPr>
          <w:sz w:val="20"/>
          <w:szCs w:val="20"/>
          <w:color w:val="auto"/>
        </w:rPr>
      </w:pPr>
      <w:r>
        <w:rPr>
          <w:rFonts w:ascii="Arial" w:cs="Arial" w:eastAsia="Arial" w:hAnsi="Arial"/>
          <w:sz w:val="18"/>
          <w:szCs w:val="18"/>
          <w:color w:val="auto"/>
        </w:rPr>
        <w:t>Chief Financial Officer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2021,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9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RISK SENSITIVITY – As of June 30, 2021</w:t>
      </w:r>
    </w:p>
    <w:p>
      <w:pPr>
        <w:spacing w:after="0" w:line="252"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7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$656.2 million. The potential loss in fair value resulting from a hypothetical 10% adverse change in quoted foreign currency exchange rates amounts to $65.6 million. Furthermore, related to foreign currency transactions, we have exposure to various nonfunctional currency balances totaling $79.8 million. This amount includes, on an absolute basis, exposures to assets and liabilities held in currencies other than our local entity’s functional currency. On a net basis, we had $40.5 million of foreign currency assets as of June 30, 2021. As currency rates change, these nonfunctional currency balances are revalued, and the corresponding adjustment is recorded in the income statement. A hypothetical change of 10% in currency rates could result in an adjustment to the income statement of approximately $4.1 million. Actual results may differ.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2021, we had no variable rate debt.</w:t>
      </w:r>
    </w:p>
    <w:p>
      <w:pPr>
        <w:spacing w:after="0" w:line="252"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2021-07-28T08:53:53Z</dcterms:created>
  <dcterms:modified xsi:type="dcterms:W3CDTF">2021-07-28T08:53:53Z</dcterms:modified>
</cp:coreProperties>
</file>