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1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8" w:lineRule="exact"/>
        <w:rPr>
          <w:sz w:val="24"/>
          <w:szCs w:val="24"/>
          <w:color w:val="auto"/>
        </w:rPr>
      </w:pPr>
    </w:p>
    <w:p>
      <w:pPr>
        <w:ind w:left="360"/>
        <w:spacing w:after="0"/>
        <w:tabs>
          <w:tab w:leader="none" w:pos="34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7"/>
          <w:szCs w:val="17"/>
          <w:color w:val="auto"/>
        </w:rPr>
        <w:t>June 30, 2022</w:t>
      </w:r>
    </w:p>
    <w:p>
      <w:pPr>
        <w:spacing w:after="0" w:line="9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89"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For the transition period from __________ to __________</w:t>
      </w:r>
    </w:p>
    <w:p>
      <w:pPr>
        <w:spacing w:after="0" w:line="32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1-10026</w:t>
      </w:r>
    </w:p>
    <w:p>
      <w:pPr>
        <w:spacing w:after="0" w:line="28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26670</wp:posOffset>
            </wp:positionV>
            <wp:extent cx="527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2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360"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216 Airport Drive, Rochester, New Hampshire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14-0462060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(IRS Employer Identification No.)</w:t>
      </w:r>
    </w:p>
    <w:p>
      <w:pPr>
        <w:spacing w:after="0" w:line="36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03867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603-330-5850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34925</wp:posOffset>
            </wp:positionV>
            <wp:extent cx="328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116"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B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bl>
    <w:p>
      <w:pPr>
        <w:spacing w:after="0" w:line="89" w:lineRule="exact"/>
        <w:rPr>
          <w:sz w:val="24"/>
          <w:szCs w:val="24"/>
          <w:color w:val="auto"/>
        </w:rPr>
      </w:pPr>
    </w:p>
    <w:p>
      <w:pPr>
        <w:jc w:val="both"/>
        <w:ind w:right="2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right="20"/>
        <w:spacing w:after="0" w:line="22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69"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14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9" w:lineRule="exact"/>
        <w:rPr>
          <w:sz w:val="24"/>
          <w:szCs w:val="24"/>
          <w:color w:val="auto"/>
        </w:rPr>
      </w:pPr>
    </w:p>
    <w:p>
      <w:pPr>
        <w:ind w:right="2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31.1 million shares of Class A Common Stock and no shares of Class B Common Stock outstanding as of July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249" w:right="319" w:bottom="812"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9"/>
              </w:rPr>
              <w:t>Page</w:t>
            </w: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No.</w:t>
            </w:r>
          </w:p>
        </w:tc>
      </w:tr>
      <w:tr>
        <w:trPr>
          <w:trHeight w:val="21"/>
        </w:trPr>
        <w:tc>
          <w:tcPr>
            <w:tcW w:w="20" w:type="dxa"/>
            <w:vAlign w:val="bottom"/>
            <w:tcBorders>
              <w:bottom w:val="single" w:sz="8" w:color="B2B2B2"/>
            </w:tcBorders>
          </w:tcPr>
          <w:p>
            <w:pPr>
              <w:spacing w:after="0" w:line="20" w:lineRule="exact"/>
              <w:rPr>
                <w:sz w:val="1"/>
                <w:szCs w:val="1"/>
                <w:color w:val="auto"/>
              </w:rPr>
            </w:pPr>
          </w:p>
        </w:tc>
        <w:tc>
          <w:tcPr>
            <w:tcW w:w="5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gridSpan w:val="2"/>
          </w:tcPr>
          <w:p>
            <w:pPr>
              <w:spacing w:after="0" w:line="20" w:lineRule="exact"/>
              <w:rPr>
                <w:sz w:val="1"/>
                <w:szCs w:val="1"/>
                <w:color w:val="auto"/>
              </w:rPr>
            </w:pPr>
          </w:p>
        </w:tc>
        <w:tc>
          <w:tcPr>
            <w:tcW w:w="56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5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6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56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1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2000" w:type="dxa"/>
            <w:vAlign w:val="bottom"/>
            <w:tcBorders>
              <w:bottom w:val="single" w:sz="8" w:color="B2B2B2"/>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B2B2B2"/>
          </w:tcPr>
          <w:p>
            <w:pPr>
              <w:spacing w:after="0"/>
              <w:rPr>
                <w:sz w:val="19"/>
                <w:szCs w:val="19"/>
                <w:color w:val="auto"/>
              </w:rPr>
            </w:pPr>
          </w:p>
        </w:tc>
        <w:tc>
          <w:tcPr>
            <w:tcW w:w="10580" w:type="dxa"/>
            <w:vAlign w:val="bottom"/>
            <w:gridSpan w:val="36"/>
            <w:shd w:val="clear" w:color="auto" w:fill="B2B2B2"/>
          </w:tcPr>
          <w:p>
            <w:pPr>
              <w:spacing w:after="0"/>
              <w:rPr>
                <w:sz w:val="20"/>
                <w:szCs w:val="20"/>
                <w:color w:val="auto"/>
              </w:rPr>
            </w:pPr>
            <w:r>
              <w:rPr>
                <w:rFonts w:ascii="Arial" w:cs="Arial" w:eastAsia="Arial" w:hAnsi="Arial"/>
                <w:sz w:val="16"/>
                <w:szCs w:val="16"/>
                <w:b w:val="1"/>
                <w:bCs w:val="1"/>
                <w:color w:val="0000FF"/>
              </w:rPr>
              <w:t>Part I Financial information</w:t>
            </w:r>
          </w:p>
        </w:tc>
        <w:tc>
          <w:tcPr>
            <w:tcW w:w="44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80" w:type="dxa"/>
            <w:vAlign w:val="bottom"/>
            <w:shd w:val="clear" w:color="auto" w:fill="B2B2B2"/>
          </w:tcPr>
          <w:p>
            <w:pPr>
              <w:spacing w:after="0"/>
              <w:rPr>
                <w:sz w:val="19"/>
                <w:szCs w:val="19"/>
                <w:color w:val="auto"/>
              </w:rPr>
            </w:pPr>
          </w:p>
        </w:tc>
        <w:tc>
          <w:tcPr>
            <w:tcW w:w="20" w:type="dxa"/>
            <w:vAlign w:val="bottom"/>
            <w:shd w:val="clear" w:color="auto" w:fill="B2B2B2"/>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w:t>
            </w:r>
          </w:p>
        </w:tc>
        <w:tc>
          <w:tcPr>
            <w:tcW w:w="9840" w:type="dxa"/>
            <w:vAlign w:val="bottom"/>
            <w:gridSpan w:val="33"/>
          </w:tcPr>
          <w:p>
            <w:pPr>
              <w:ind w:left="120"/>
              <w:spacing w:after="0"/>
              <w:rPr>
                <w:sz w:val="20"/>
                <w:szCs w:val="20"/>
                <w:color w:val="auto"/>
              </w:rPr>
            </w:pPr>
            <w:r>
              <w:rPr>
                <w:rFonts w:ascii="Arial" w:cs="Arial" w:eastAsia="Arial" w:hAnsi="Arial"/>
                <w:sz w:val="16"/>
                <w:szCs w:val="16"/>
                <w:color w:val="0000FF"/>
              </w:rPr>
              <w:t>Financial Statements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 xml:space="preserve">Consolidated statements of income – </w:t>
            </w:r>
            <w:r>
              <w:rPr>
                <w:rFonts w:ascii="Arial" w:cs="Arial" w:eastAsia="Arial" w:hAnsi="Arial"/>
                <w:sz w:val="16"/>
                <w:szCs w:val="16"/>
                <w:color w:val="000000"/>
              </w:rPr>
              <w:t>three and six</w:t>
            </w:r>
            <w:r>
              <w:rPr>
                <w:rFonts w:ascii="Arial" w:cs="Arial" w:eastAsia="Arial" w:hAnsi="Arial"/>
                <w:sz w:val="16"/>
                <w:szCs w:val="16"/>
                <w:color w:val="0000FF"/>
              </w:rPr>
              <w:t xml:space="preserve"> months ended </w:t>
            </w:r>
            <w:r>
              <w:rPr>
                <w:rFonts w:ascii="Arial" w:cs="Arial" w:eastAsia="Arial" w:hAnsi="Arial"/>
                <w:sz w:val="16"/>
                <w:szCs w:val="16"/>
                <w:color w:val="000000"/>
              </w:rPr>
              <w:t>June 30, 2022</w:t>
            </w:r>
            <w:r>
              <w:rPr>
                <w:rFonts w:ascii="Arial" w:cs="Arial" w:eastAsia="Arial" w:hAnsi="Arial"/>
                <w:sz w:val="16"/>
                <w:szCs w:val="16"/>
                <w:color w:val="0000FF"/>
              </w:rPr>
              <w:t xml:space="preserve"> and </w:t>
            </w:r>
            <w:r>
              <w:rPr>
                <w:rFonts w:ascii="Arial" w:cs="Arial" w:eastAsia="Arial" w:hAnsi="Arial"/>
                <w:sz w:val="16"/>
                <w:szCs w:val="16"/>
                <w:color w:val="000000"/>
              </w:rPr>
              <w:t>2021</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1</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32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0000FF"/>
            </w:tcBorders>
            <w:shd w:val="clear" w:color="auto" w:fill="B2B2B2"/>
          </w:tcPr>
          <w:p>
            <w:pPr>
              <w:spacing w:after="0"/>
              <w:rPr>
                <w:sz w:val="2"/>
                <w:szCs w:val="2"/>
                <w:color w:val="auto"/>
              </w:rPr>
            </w:pPr>
          </w:p>
        </w:tc>
        <w:tc>
          <w:tcPr>
            <w:tcW w:w="40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2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98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40" w:type="dxa"/>
            <w:vAlign w:val="bottom"/>
            <w:gridSpan w:val="33"/>
          </w:tcPr>
          <w:p>
            <w:pPr>
              <w:ind w:left="120"/>
              <w:spacing w:after="0"/>
              <w:rPr>
                <w:sz w:val="20"/>
                <w:szCs w:val="20"/>
                <w:color w:val="auto"/>
              </w:rPr>
            </w:pPr>
            <w:r>
              <w:rPr>
                <w:rFonts w:ascii="Arial" w:cs="Arial" w:eastAsia="Arial" w:hAnsi="Arial"/>
                <w:sz w:val="16"/>
                <w:szCs w:val="16"/>
                <w:color w:val="0000FF"/>
              </w:rPr>
              <w:t xml:space="preserve">Consolidated statements of comprehensive income/(loss) – </w:t>
            </w:r>
            <w:r>
              <w:rPr>
                <w:rFonts w:ascii="Arial" w:cs="Arial" w:eastAsia="Arial" w:hAnsi="Arial"/>
                <w:sz w:val="16"/>
                <w:szCs w:val="16"/>
                <w:color w:val="000000"/>
              </w:rPr>
              <w:t>three and six</w:t>
            </w:r>
            <w:r>
              <w:rPr>
                <w:rFonts w:ascii="Arial" w:cs="Arial" w:eastAsia="Arial" w:hAnsi="Arial"/>
                <w:sz w:val="16"/>
                <w:szCs w:val="16"/>
                <w:color w:val="0000FF"/>
              </w:rPr>
              <w:t xml:space="preserve"> months ended </w:t>
            </w:r>
            <w:r>
              <w:rPr>
                <w:rFonts w:ascii="Arial" w:cs="Arial" w:eastAsia="Arial" w:hAnsi="Arial"/>
                <w:sz w:val="16"/>
                <w:szCs w:val="16"/>
                <w:color w:val="000000"/>
              </w:rPr>
              <w:t>June 30, 2022</w:t>
            </w:r>
            <w:r>
              <w:rPr>
                <w:rFonts w:ascii="Arial" w:cs="Arial" w:eastAsia="Arial" w:hAnsi="Arial"/>
                <w:sz w:val="16"/>
                <w:szCs w:val="16"/>
                <w:color w:val="0000FF"/>
              </w:rPr>
              <w:t xml:space="preserve"> and </w:t>
            </w:r>
            <w:r>
              <w:rPr>
                <w:rFonts w:ascii="Arial" w:cs="Arial" w:eastAsia="Arial" w:hAnsi="Arial"/>
                <w:sz w:val="16"/>
                <w:szCs w:val="16"/>
                <w:color w:val="000000"/>
              </w:rPr>
              <w:t>2021</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 xml:space="preserve">Consolidated balance sheets as of </w:t>
            </w:r>
            <w:r>
              <w:rPr>
                <w:rFonts w:ascii="Arial" w:cs="Arial" w:eastAsia="Arial" w:hAnsi="Arial"/>
                <w:sz w:val="16"/>
                <w:szCs w:val="16"/>
                <w:color w:val="000000"/>
              </w:rPr>
              <w:t>June 30, 2022</w:t>
            </w:r>
            <w:r>
              <w:rPr>
                <w:rFonts w:ascii="Arial" w:cs="Arial" w:eastAsia="Arial" w:hAnsi="Arial"/>
                <w:sz w:val="16"/>
                <w:szCs w:val="16"/>
                <w:color w:val="0000FF"/>
              </w:rPr>
              <w:t xml:space="preserve"> and </w:t>
            </w:r>
            <w:r>
              <w:rPr>
                <w:rFonts w:ascii="Arial" w:cs="Arial" w:eastAsia="Arial" w:hAnsi="Arial"/>
                <w:sz w:val="16"/>
                <w:szCs w:val="16"/>
                <w:color w:val="000000"/>
              </w:rPr>
              <w:t>December 31, 2021</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98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40" w:type="dxa"/>
            <w:vAlign w:val="bottom"/>
            <w:gridSpan w:val="33"/>
          </w:tcPr>
          <w:p>
            <w:pPr>
              <w:ind w:left="120"/>
              <w:spacing w:after="0"/>
              <w:rPr>
                <w:sz w:val="20"/>
                <w:szCs w:val="20"/>
                <w:color w:val="auto"/>
              </w:rPr>
            </w:pPr>
            <w:r>
              <w:rPr>
                <w:rFonts w:ascii="Arial" w:cs="Arial" w:eastAsia="Arial" w:hAnsi="Arial"/>
                <w:sz w:val="16"/>
                <w:szCs w:val="16"/>
                <w:color w:val="0000FF"/>
              </w:rPr>
              <w:t xml:space="preserve">Consolidated statements of cash flows – </w:t>
            </w:r>
            <w:r>
              <w:rPr>
                <w:rFonts w:ascii="Arial" w:cs="Arial" w:eastAsia="Arial" w:hAnsi="Arial"/>
                <w:sz w:val="16"/>
                <w:szCs w:val="16"/>
                <w:color w:val="000000"/>
              </w:rPr>
              <w:t>three and six</w:t>
            </w:r>
            <w:r>
              <w:rPr>
                <w:rFonts w:ascii="Arial" w:cs="Arial" w:eastAsia="Arial" w:hAnsi="Arial"/>
                <w:sz w:val="16"/>
                <w:szCs w:val="16"/>
                <w:color w:val="0000FF"/>
              </w:rPr>
              <w:t xml:space="preserve"> months ended </w:t>
            </w:r>
            <w:r>
              <w:rPr>
                <w:rFonts w:ascii="Arial" w:cs="Arial" w:eastAsia="Arial" w:hAnsi="Arial"/>
                <w:sz w:val="16"/>
                <w:szCs w:val="16"/>
                <w:color w:val="000000"/>
              </w:rPr>
              <w:t>June 30, 2022</w:t>
            </w:r>
            <w:r>
              <w:rPr>
                <w:rFonts w:ascii="Arial" w:cs="Arial" w:eastAsia="Arial" w:hAnsi="Arial"/>
                <w:sz w:val="16"/>
                <w:szCs w:val="16"/>
                <w:color w:val="0000FF"/>
              </w:rPr>
              <w:t xml:space="preserve"> and </w:t>
            </w:r>
            <w:r>
              <w:rPr>
                <w:rFonts w:ascii="Arial" w:cs="Arial" w:eastAsia="Arial" w:hAnsi="Arial"/>
                <w:sz w:val="16"/>
                <w:szCs w:val="16"/>
                <w:color w:val="000000"/>
              </w:rPr>
              <w:t>2021</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Notes to consolidated financial statements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5</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98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2.</w:t>
            </w:r>
          </w:p>
        </w:tc>
        <w:tc>
          <w:tcPr>
            <w:tcW w:w="9840" w:type="dxa"/>
            <w:vAlign w:val="bottom"/>
            <w:gridSpan w:val="33"/>
          </w:tcPr>
          <w:p>
            <w:pPr>
              <w:ind w:left="12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20</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Forward-looking statements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20</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98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840" w:type="dxa"/>
            <w:vAlign w:val="bottom"/>
            <w:gridSpan w:val="33"/>
          </w:tcPr>
          <w:p>
            <w:pPr>
              <w:ind w:left="120"/>
              <w:spacing w:after="0"/>
              <w:rPr>
                <w:sz w:val="20"/>
                <w:szCs w:val="20"/>
                <w:color w:val="auto"/>
              </w:rPr>
            </w:pPr>
            <w:r>
              <w:rPr>
                <w:rFonts w:ascii="Arial" w:cs="Arial" w:eastAsia="Arial" w:hAnsi="Arial"/>
                <w:sz w:val="16"/>
                <w:szCs w:val="16"/>
                <w:color w:val="0000FF"/>
              </w:rPr>
              <w:t>Quantitative and Qualitative Disclosures about Market Risk</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35</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4.</w:t>
            </w:r>
          </w:p>
        </w:tc>
        <w:tc>
          <w:tcPr>
            <w:tcW w:w="984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Controls and Procedures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35</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98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10580" w:type="dxa"/>
            <w:vAlign w:val="bottom"/>
            <w:gridSpan w:val="36"/>
          </w:tcPr>
          <w:p>
            <w:pPr>
              <w:spacing w:after="0"/>
              <w:rPr>
                <w:sz w:val="20"/>
                <w:szCs w:val="20"/>
                <w:color w:val="auto"/>
              </w:rPr>
            </w:pPr>
            <w:r>
              <w:rPr>
                <w:rFonts w:ascii="Arial" w:cs="Arial" w:eastAsia="Arial" w:hAnsi="Arial"/>
                <w:sz w:val="16"/>
                <w:szCs w:val="16"/>
                <w:b w:val="1"/>
                <w:bCs w:val="1"/>
                <w:color w:val="0000FF"/>
              </w:rPr>
              <w:t>Part II Other Information</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3"/>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1.</w:t>
            </w:r>
          </w:p>
        </w:tc>
        <w:tc>
          <w:tcPr>
            <w:tcW w:w="984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Legal Proceedings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36</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98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1A.</w:t>
            </w:r>
          </w:p>
        </w:tc>
        <w:tc>
          <w:tcPr>
            <w:tcW w:w="9840" w:type="dxa"/>
            <w:vAlign w:val="bottom"/>
            <w:gridSpan w:val="33"/>
          </w:tcPr>
          <w:p>
            <w:pPr>
              <w:ind w:left="120"/>
              <w:spacing w:after="0"/>
              <w:rPr>
                <w:sz w:val="20"/>
                <w:szCs w:val="20"/>
                <w:color w:val="auto"/>
              </w:rPr>
            </w:pPr>
            <w:r>
              <w:rPr>
                <w:rFonts w:ascii="Arial" w:cs="Arial" w:eastAsia="Arial" w:hAnsi="Arial"/>
                <w:sz w:val="16"/>
                <w:szCs w:val="16"/>
                <w:color w:val="0000FF"/>
              </w:rPr>
              <w:t>Risk Factors</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36</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2.</w:t>
            </w:r>
          </w:p>
        </w:tc>
        <w:tc>
          <w:tcPr>
            <w:tcW w:w="984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Unregistered Sales of Equity Securities and Use of Proceeds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36</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32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0000FF"/>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98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840" w:type="dxa"/>
            <w:vAlign w:val="bottom"/>
            <w:gridSpan w:val="33"/>
          </w:tcPr>
          <w:p>
            <w:pPr>
              <w:ind w:left="120"/>
              <w:spacing w:after="0"/>
              <w:rPr>
                <w:sz w:val="20"/>
                <w:szCs w:val="20"/>
                <w:color w:val="auto"/>
              </w:rPr>
            </w:pPr>
            <w:r>
              <w:rPr>
                <w:rFonts w:ascii="Arial" w:cs="Arial" w:eastAsia="Arial" w:hAnsi="Arial"/>
                <w:sz w:val="16"/>
                <w:szCs w:val="16"/>
                <w:color w:val="0000FF"/>
              </w:rPr>
              <w:t>Defaults upon Senior Securities</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37</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4.</w:t>
            </w:r>
          </w:p>
        </w:tc>
        <w:tc>
          <w:tcPr>
            <w:tcW w:w="984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Mine Safety Disclosures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37</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98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5.</w:t>
            </w:r>
          </w:p>
        </w:tc>
        <w:tc>
          <w:tcPr>
            <w:tcW w:w="9840" w:type="dxa"/>
            <w:vAlign w:val="bottom"/>
            <w:gridSpan w:val="33"/>
          </w:tcPr>
          <w:p>
            <w:pPr>
              <w:ind w:left="120"/>
              <w:spacing w:after="0"/>
              <w:rPr>
                <w:sz w:val="20"/>
                <w:szCs w:val="20"/>
                <w:color w:val="auto"/>
              </w:rPr>
            </w:pPr>
            <w:r>
              <w:rPr>
                <w:rFonts w:ascii="Arial" w:cs="Arial" w:eastAsia="Arial" w:hAnsi="Arial"/>
                <w:sz w:val="16"/>
                <w:szCs w:val="16"/>
                <w:color w:val="0000FF"/>
              </w:rPr>
              <w:t>Other Information</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37</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shd w:val="clear" w:color="auto" w:fill="B2B2B2"/>
          </w:tcPr>
          <w:p>
            <w:pPr>
              <w:spacing w:after="0"/>
              <w:rPr>
                <w:sz w:val="19"/>
                <w:szCs w:val="19"/>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6.</w:t>
            </w:r>
          </w:p>
        </w:tc>
        <w:tc>
          <w:tcPr>
            <w:tcW w:w="9840" w:type="dxa"/>
            <w:vAlign w:val="bottom"/>
            <w:gridSpan w:val="33"/>
            <w:shd w:val="clear" w:color="auto" w:fill="B2B2B2"/>
          </w:tcPr>
          <w:p>
            <w:pPr>
              <w:ind w:left="120"/>
              <w:spacing w:after="0"/>
              <w:rPr>
                <w:sz w:val="20"/>
                <w:szCs w:val="20"/>
                <w:color w:val="auto"/>
              </w:rPr>
            </w:pPr>
            <w:r>
              <w:rPr>
                <w:rFonts w:ascii="Arial" w:cs="Arial" w:eastAsia="Arial" w:hAnsi="Arial"/>
                <w:sz w:val="16"/>
                <w:szCs w:val="16"/>
                <w:color w:val="0000FF"/>
              </w:rPr>
              <w:t>Exhibits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38</w:t>
            </w:r>
          </w:p>
        </w:tc>
        <w:tc>
          <w:tcPr>
            <w:tcW w:w="20" w:type="dxa"/>
            <w:vAlign w:val="bottom"/>
            <w:shd w:val="clear" w:color="auto" w:fill="B2B2B2"/>
          </w:tcPr>
          <w:p>
            <w:pPr>
              <w:spacing w:after="0"/>
              <w:rPr>
                <w:sz w:val="19"/>
                <w:szCs w:val="19"/>
                <w:color w:val="auto"/>
              </w:rPr>
            </w:pPr>
          </w:p>
        </w:tc>
      </w:tr>
      <w:tr>
        <w:trPr>
          <w:trHeight w:val="1006"/>
        </w:trPr>
        <w:tc>
          <w:tcPr>
            <w:tcW w:w="2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14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16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18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32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60" w:type="dxa"/>
            <w:vAlign w:val="bottom"/>
            <w:tcBorders>
              <w:top w:val="single" w:sz="8" w:color="B2B2B2"/>
              <w:bottom w:val="single" w:sz="8" w:color="9A9A9A"/>
            </w:tcBorders>
          </w:tcPr>
          <w:p>
            <w:pPr>
              <w:spacing w:after="0"/>
              <w:rPr>
                <w:sz w:val="24"/>
                <w:szCs w:val="24"/>
                <w:color w:val="auto"/>
              </w:rPr>
            </w:pPr>
          </w:p>
        </w:tc>
        <w:tc>
          <w:tcPr>
            <w:tcW w:w="40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56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c>
          <w:tcPr>
            <w:tcW w:w="98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2000" w:type="dxa"/>
            <w:vAlign w:val="bottom"/>
            <w:tcBorders>
              <w:top w:val="single" w:sz="8" w:color="B2B2B2"/>
              <w:bottom w:val="single" w:sz="8" w:color="9A9A9A"/>
            </w:tcBorders>
          </w:tcPr>
          <w:p>
            <w:pPr>
              <w:spacing w:after="0"/>
              <w:rPr>
                <w:sz w:val="24"/>
                <w:szCs w:val="24"/>
                <w:color w:val="auto"/>
              </w:rPr>
            </w:pPr>
          </w:p>
        </w:tc>
        <w:tc>
          <w:tcPr>
            <w:tcW w:w="4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5"/>
        </w:trPr>
        <w:tc>
          <w:tcPr>
            <w:tcW w:w="6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r>
      <w:tr>
        <w:trPr>
          <w:trHeight w:val="211"/>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456,880</w:t>
            </w:r>
          </w:p>
        </w:tc>
      </w:tr>
      <w:tr>
        <w:trPr>
          <w:trHeight w:val="215"/>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132,791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313,341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266,606</w:t>
            </w:r>
          </w:p>
        </w:tc>
      </w:tr>
      <w:tr>
        <w:trPr>
          <w:trHeight w:val="237"/>
        </w:trPr>
        <w:tc>
          <w:tcPr>
            <w:tcW w:w="6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100,593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101,728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192,197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190,274</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79,203</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Technical and research expenses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19,243</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37"/>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91,785</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7,787</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(income)/expense,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r>
      <w:tr>
        <w:trPr>
          <w:trHeight w:val="237"/>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82,536</w:t>
            </w:r>
          </w:p>
        </w:tc>
      </w:tr>
      <w:tr>
        <w:trPr>
          <w:trHeight w:val="215"/>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23,486</w:t>
            </w:r>
          </w:p>
        </w:tc>
      </w:tr>
      <w:tr>
        <w:trPr>
          <w:trHeight w:val="237"/>
        </w:trPr>
        <w:tc>
          <w:tcPr>
            <w:tcW w:w="6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39,369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31,440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67,444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59,050</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Net income attributable to the Company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31,397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66,938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58,980</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4"/>
        </w:trPr>
        <w:tc>
          <w:tcPr>
            <w:tcW w:w="6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0.97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57"/>
        </w:trPr>
        <w:tc>
          <w:tcPr>
            <w:tcW w:w="6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0.97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57"/>
        </w:trPr>
        <w:tc>
          <w:tcPr>
            <w:tcW w:w="6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Shares of the Company used in computing earnings per share: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32,363</w:t>
            </w:r>
          </w:p>
        </w:tc>
      </w:tr>
      <w:tr>
        <w:trPr>
          <w:trHeight w:val="257"/>
        </w:trPr>
        <w:tc>
          <w:tcPr>
            <w:tcW w:w="6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32,411</w:t>
            </w:r>
          </w:p>
        </w:tc>
      </w:tr>
      <w:tr>
        <w:trPr>
          <w:trHeight w:val="257"/>
        </w:trPr>
        <w:tc>
          <w:tcPr>
            <w:tcW w:w="6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per share, Class A and Class B</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r>
    </w:tbl>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5"/>
        </w:trPr>
        <w:tc>
          <w:tcPr>
            <w:tcW w:w="5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39,369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59,050</w:t>
            </w:r>
          </w:p>
        </w:tc>
      </w:tr>
      <w:tr>
        <w:trPr>
          <w:trHeight w:val="256"/>
        </w:trPr>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income/(loss), before tax:</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5820" w:type="dxa"/>
            <w:vAlign w:val="bottom"/>
          </w:tcPr>
          <w:p>
            <w:pPr>
              <w:ind w:left="140"/>
              <w:spacing w:after="0"/>
              <w:rPr>
                <w:sz w:val="20"/>
                <w:szCs w:val="20"/>
                <w:color w:val="auto"/>
              </w:rPr>
            </w:pPr>
            <w:r>
              <w:rPr>
                <w:rFonts w:ascii="Arial" w:cs="Arial" w:eastAsia="Arial" w:hAnsi="Arial"/>
                <w:sz w:val="16"/>
                <w:szCs w:val="16"/>
                <w:color w:val="auto"/>
              </w:rPr>
              <w:t>Foreign currency translation and other adjustments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(39,319)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(40,870)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(1,788)</w:t>
            </w:r>
          </w:p>
        </w:tc>
      </w:tr>
      <w:tr>
        <w:trPr>
          <w:trHeight w:val="217"/>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pension liability adjustments: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5820" w:type="dxa"/>
            <w:vAlign w:val="bottom"/>
          </w:tcPr>
          <w:p>
            <w:pPr>
              <w:ind w:left="220"/>
              <w:spacing w:after="0"/>
              <w:rPr>
                <w:sz w:val="20"/>
                <w:szCs w:val="20"/>
                <w:color w:val="auto"/>
              </w:rPr>
            </w:pPr>
            <w:r>
              <w:rPr>
                <w:rFonts w:ascii="Arial" w:cs="Arial" w:eastAsia="Arial" w:hAnsi="Arial"/>
                <w:sz w:val="16"/>
                <w:szCs w:val="16"/>
                <w:color w:val="auto"/>
              </w:rPr>
              <w:t>Prior service credit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(2,237)</w:t>
            </w:r>
          </w:p>
        </w:tc>
      </w:tr>
      <w:tr>
        <w:trPr>
          <w:trHeight w:val="217"/>
        </w:trPr>
        <w:tc>
          <w:tcPr>
            <w:tcW w:w="5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actuarial loss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w:t>
            </w:r>
          </w:p>
        </w:tc>
      </w:tr>
      <w:tr>
        <w:trPr>
          <w:trHeight w:val="215"/>
        </w:trPr>
        <w:tc>
          <w:tcPr>
            <w:tcW w:w="5820" w:type="dxa"/>
            <w:vAlign w:val="bottom"/>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2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3,246</w:t>
            </w:r>
          </w:p>
        </w:tc>
      </w:tr>
      <w:tr>
        <w:trPr>
          <w:trHeight w:val="217"/>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valuation adjustment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56"/>
        </w:trPr>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related to items of other comprehensive income/(loss):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582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671</w:t>
            </w:r>
          </w:p>
        </w:tc>
      </w:tr>
      <w:tr>
        <w:trPr>
          <w:trHeight w:val="217"/>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r>
      <w:tr>
        <w:trPr>
          <w:trHeight w:val="215"/>
        </w:trPr>
        <w:tc>
          <w:tcPr>
            <w:tcW w:w="5820" w:type="dxa"/>
            <w:vAlign w:val="bottom"/>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(838)</w:t>
            </w:r>
          </w:p>
        </w:tc>
      </w:tr>
      <w:tr>
        <w:trPr>
          <w:trHeight w:val="244"/>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valuation adjustment</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09"/>
        </w:trPr>
        <w:tc>
          <w:tcPr>
            <w:tcW w:w="582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3,291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46,478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39,728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59,394</w:t>
            </w: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the noncontrolling interest</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0"/>
        </w:trPr>
        <w:tc>
          <w:tcPr>
            <w:tcW w:w="5820" w:type="dxa"/>
            <w:vAlign w:val="bottom"/>
          </w:tcPr>
          <w:p>
            <w:pPr>
              <w:ind w:left="20"/>
              <w:spacing w:after="0"/>
              <w:rPr>
                <w:sz w:val="20"/>
                <w:szCs w:val="20"/>
                <w:color w:val="auto"/>
              </w:rPr>
            </w:pPr>
            <w:r>
              <w:rPr>
                <w:rFonts w:ascii="Arial" w:cs="Arial" w:eastAsia="Arial" w:hAnsi="Arial"/>
                <w:sz w:val="16"/>
                <w:szCs w:val="16"/>
                <w:color w:val="auto"/>
              </w:rPr>
              <w:t>Comprehensive income attributable to the Company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3,214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46,252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39,257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59,351</w:t>
            </w: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320,870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302,036</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199,489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191,985</w:t>
            </w: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Contract assets, net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135,907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112,546</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133,667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117,882</w:t>
            </w: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Income taxes prepaid and receivable</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1,979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1,958</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43,187</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32,394</w:t>
            </w:r>
          </w:p>
        </w:tc>
        <w:tc>
          <w:tcPr>
            <w:tcW w:w="0" w:type="dxa"/>
            <w:vAlign w:val="bottom"/>
          </w:tcPr>
          <w:p>
            <w:pPr>
              <w:spacing w:after="0"/>
              <w:rPr>
                <w:sz w:val="1"/>
                <w:szCs w:val="1"/>
                <w:color w:val="auto"/>
              </w:rPr>
            </w:pPr>
          </w:p>
        </w:tc>
      </w:tr>
      <w:tr>
        <w:trPr>
          <w:trHeight w:val="192"/>
        </w:trPr>
        <w:tc>
          <w:tcPr>
            <w:tcW w:w="850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835,099</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758,801</w:t>
            </w:r>
          </w:p>
        </w:tc>
        <w:tc>
          <w:tcPr>
            <w:tcW w:w="0" w:type="dxa"/>
            <w:vAlign w:val="bottom"/>
          </w:tcPr>
          <w:p>
            <w:pPr>
              <w:spacing w:after="0"/>
              <w:rPr>
                <w:sz w:val="1"/>
                <w:szCs w:val="1"/>
                <w:color w:val="auto"/>
              </w:rPr>
            </w:pPr>
          </w:p>
        </w:tc>
      </w:tr>
      <w:tr>
        <w:trPr>
          <w:trHeight w:val="220"/>
        </w:trPr>
        <w:tc>
          <w:tcPr>
            <w:tcW w:w="8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419,142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436,417</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Intangibles, net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35,722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39,081</w:t>
            </w: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176,775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182,124</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26,376</w:t>
            </w: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Noncurrent receivables, net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29,843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31,849</w:t>
            </w: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98,580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81,416</w:t>
            </w:r>
          </w:p>
        </w:tc>
        <w:tc>
          <w:tcPr>
            <w:tcW w:w="0" w:type="dxa"/>
            <w:vAlign w:val="bottom"/>
          </w:tcPr>
          <w:p>
            <w:pPr>
              <w:spacing w:after="0"/>
              <w:rPr>
                <w:sz w:val="1"/>
                <w:szCs w:val="1"/>
                <w:color w:val="auto"/>
              </w:rPr>
            </w:pPr>
          </w:p>
        </w:tc>
      </w:tr>
      <w:tr>
        <w:trPr>
          <w:trHeight w:val="200"/>
        </w:trPr>
        <w:tc>
          <w:tcPr>
            <w:tcW w:w="850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1,613,055</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1,556,064</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500" w:type="dxa"/>
            <w:vAlign w:val="bottom"/>
          </w:tcPr>
          <w:p>
            <w:pPr>
              <w:ind w:left="20"/>
              <w:spacing w:after="0"/>
              <w:rPr>
                <w:sz w:val="20"/>
                <w:szCs w:val="20"/>
                <w:color w:val="auto"/>
              </w:rPr>
            </w:pPr>
            <w:r>
              <w:rPr>
                <w:rFonts w:ascii="Arial" w:cs="Arial" w:eastAsia="Arial" w:hAnsi="Arial"/>
                <w:sz w:val="14"/>
                <w:szCs w:val="14"/>
                <w:color w:val="auto"/>
              </w:rPr>
              <w:t>LIABILITIES AND SHAREHOLDERS' EQUITY</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70,430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68,954</w:t>
            </w: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110,074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124,325</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maturities of long-term debt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taxes payable</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7,656</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14,887</w:t>
            </w:r>
          </w:p>
        </w:tc>
        <w:tc>
          <w:tcPr>
            <w:tcW w:w="0" w:type="dxa"/>
            <w:vAlign w:val="bottom"/>
          </w:tcPr>
          <w:p>
            <w:pPr>
              <w:spacing w:after="0"/>
              <w:rPr>
                <w:sz w:val="1"/>
                <w:szCs w:val="1"/>
                <w:color w:val="auto"/>
              </w:rPr>
            </w:pPr>
          </w:p>
        </w:tc>
      </w:tr>
      <w:tr>
        <w:trPr>
          <w:trHeight w:val="200"/>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188,160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208,166</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Other noncurrent liabilities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107,049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107,794</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taxes and other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12,499</w:t>
            </w:r>
          </w:p>
        </w:tc>
        <w:tc>
          <w:tcPr>
            <w:tcW w:w="0" w:type="dxa"/>
            <w:vAlign w:val="bottom"/>
          </w:tcPr>
          <w:p>
            <w:pPr>
              <w:spacing w:after="0"/>
              <w:rPr>
                <w:sz w:val="1"/>
                <w:szCs w:val="1"/>
                <w:color w:val="auto"/>
              </w:rPr>
            </w:pPr>
          </w:p>
        </w:tc>
      </w:tr>
      <w:tr>
        <w:trPr>
          <w:trHeight w:val="192"/>
        </w:trPr>
        <w:tc>
          <w:tcPr>
            <w:tcW w:w="8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791,273</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678,459</w:t>
            </w:r>
          </w:p>
        </w:tc>
        <w:tc>
          <w:tcPr>
            <w:tcW w:w="0" w:type="dxa"/>
            <w:vAlign w:val="bottom"/>
          </w:tcPr>
          <w:p>
            <w:pPr>
              <w:spacing w:after="0"/>
              <w:rPr>
                <w:sz w:val="1"/>
                <w:szCs w:val="1"/>
                <w:color w:val="auto"/>
              </w:rPr>
            </w:pPr>
          </w:p>
        </w:tc>
      </w:tr>
      <w:tr>
        <w:trPr>
          <w:trHeight w:val="200"/>
        </w:trPr>
        <w:tc>
          <w:tcPr>
            <w:tcW w:w="8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5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par value $5.00 per share; authorized 2,000,000 shares; none issued</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500" w:type="dxa"/>
            <w:vAlign w:val="bottom"/>
          </w:tcPr>
          <w:p>
            <w:pPr>
              <w:ind w:left="140"/>
              <w:spacing w:after="0" w:line="149" w:lineRule="exact"/>
              <w:rPr>
                <w:sz w:val="20"/>
                <w:szCs w:val="20"/>
                <w:color w:val="auto"/>
              </w:rPr>
            </w:pPr>
            <w:r>
              <w:rPr>
                <w:rFonts w:ascii="Arial" w:cs="Arial" w:eastAsia="Arial" w:hAnsi="Arial"/>
                <w:sz w:val="14"/>
                <w:szCs w:val="14"/>
                <w:color w:val="auto"/>
              </w:rPr>
              <w:t>Class A Common Stock, par value $.001 per share; authorized 100,000,000 shares; 40,784,934 issued in 2022 and 40,760,577 in</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8500" w:type="dxa"/>
            <w:vAlign w:val="bottom"/>
          </w:tcPr>
          <w:p>
            <w:pPr>
              <w:ind w:left="14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Class B Common Stock, par value $.001 per share; authorized 25,000,000 shares; none issued and outstanding in 2022 and 104</w:t>
            </w:r>
          </w:p>
        </w:tc>
        <w:tc>
          <w:tcPr>
            <w:tcW w:w="12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 2021</w:t>
            </w: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Additional paid in capital</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439,450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436,996</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916,805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863,057</w:t>
            </w: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Accumulated items of other comprehensive income:</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(147,271)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(105,880)</w:t>
            </w:r>
          </w:p>
        </w:tc>
        <w:tc>
          <w:tcPr>
            <w:tcW w:w="0" w:type="dxa"/>
            <w:vAlign w:val="bottom"/>
          </w:tcPr>
          <w:p>
            <w:pPr>
              <w:spacing w:after="0"/>
              <w:rPr>
                <w:sz w:val="1"/>
                <w:szCs w:val="1"/>
                <w:color w:val="auto"/>
              </w:rPr>
            </w:pPr>
          </w:p>
        </w:tc>
      </w:tr>
      <w:tr>
        <w:trPr>
          <w:trHeight w:val="198"/>
        </w:trPr>
        <w:tc>
          <w:tcPr>
            <w:tcW w:w="8500" w:type="dxa"/>
            <w:vAlign w:val="bottom"/>
          </w:tcPr>
          <w:p>
            <w:pPr>
              <w:ind w:left="220"/>
              <w:spacing w:after="0"/>
              <w:rPr>
                <w:sz w:val="20"/>
                <w:szCs w:val="20"/>
                <w:color w:val="auto"/>
              </w:rPr>
            </w:pPr>
            <w:r>
              <w:rPr>
                <w:rFonts w:ascii="Arial" w:cs="Arial" w:eastAsia="Arial" w:hAnsi="Arial"/>
                <w:sz w:val="14"/>
                <w:szCs w:val="14"/>
                <w:color w:val="auto"/>
              </w:rPr>
              <w:t>Pension and postretirement liability adjustments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(38,182)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(38,490)</w:t>
            </w:r>
          </w:p>
        </w:tc>
        <w:tc>
          <w:tcPr>
            <w:tcW w:w="0" w:type="dxa"/>
            <w:vAlign w:val="bottom"/>
          </w:tcPr>
          <w:p>
            <w:pPr>
              <w:spacing w:after="0"/>
              <w:rPr>
                <w:sz w:val="1"/>
                <w:szCs w:val="1"/>
                <w:color w:val="auto"/>
              </w:rPr>
            </w:pPr>
          </w:p>
        </w:tc>
      </w:tr>
      <w:tr>
        <w:trPr>
          <w:trHeight w:val="206"/>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 valuation adjustment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198"/>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(Class A), at cost; 9,674,542 shares in 2022 and 8,665,090 in 2021</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(364,923)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(280,143)</w:t>
            </w:r>
          </w:p>
        </w:tc>
        <w:tc>
          <w:tcPr>
            <w:tcW w:w="0" w:type="dxa"/>
            <w:vAlign w:val="bottom"/>
          </w:tcPr>
          <w:p>
            <w:pPr>
              <w:spacing w:after="0"/>
              <w:rPr>
                <w:sz w:val="1"/>
                <w:szCs w:val="1"/>
                <w:color w:val="auto"/>
              </w:rPr>
            </w:pPr>
          </w:p>
        </w:tc>
      </w:tr>
      <w:tr>
        <w:trPr>
          <w:trHeight w:val="200"/>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Company shareholders' equity</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817,673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873,967</w:t>
            </w:r>
          </w:p>
        </w:tc>
        <w:tc>
          <w:tcPr>
            <w:tcW w:w="0" w:type="dxa"/>
            <w:vAlign w:val="bottom"/>
          </w:tcPr>
          <w:p>
            <w:pPr>
              <w:spacing w:after="0"/>
              <w:rPr>
                <w:sz w:val="1"/>
                <w:szCs w:val="1"/>
                <w:color w:val="auto"/>
              </w:rPr>
            </w:pPr>
          </w:p>
        </w:tc>
      </w:tr>
      <w:tr>
        <w:trPr>
          <w:trHeight w:val="198"/>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Noncontrolling interest</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3,638</w:t>
            </w: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821,782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877,605</w:t>
            </w:r>
          </w:p>
        </w:tc>
        <w:tc>
          <w:tcPr>
            <w:tcW w:w="0" w:type="dxa"/>
            <w:vAlign w:val="bottom"/>
          </w:tcPr>
          <w:p>
            <w:pPr>
              <w:spacing w:after="0"/>
              <w:rPr>
                <w:sz w:val="1"/>
                <w:szCs w:val="1"/>
                <w:color w:val="auto"/>
              </w:rPr>
            </w:pPr>
          </w:p>
        </w:tc>
      </w:tr>
      <w:tr>
        <w:trPr>
          <w:trHeight w:val="200"/>
        </w:trPr>
        <w:tc>
          <w:tcPr>
            <w:tcW w:w="8500" w:type="dxa"/>
            <w:vAlign w:val="bottom"/>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1,613,055</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1,556,064</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22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4" w:right="5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6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5"/>
        </w:trPr>
        <w:tc>
          <w:tcPr>
            <w:tcW w:w="6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r>
      <w:tr>
        <w:trPr>
          <w:trHeight w:val="18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98"/>
        </w:trPr>
        <w:tc>
          <w:tcPr>
            <w:tcW w:w="63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39,369</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31,440</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67,444</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59,050</w:t>
            </w:r>
          </w:p>
        </w:tc>
      </w:tr>
      <w:tr>
        <w:trPr>
          <w:trHeight w:val="207"/>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15,679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15,971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31,276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32,560</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Amortization</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4,573</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Change in deferred taxes and other liabilities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5,416</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Impairment of property, plant, equipment, and inventory</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Non-cash interest expense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310</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Provision for credit losses from uncollected receivables and contract assets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Foreign currency remeasurement (gain)/loss on intercompany loans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Fair value adjustment on foreign currency options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207"/>
        </w:trPr>
        <w:tc>
          <w:tcPr>
            <w:tcW w:w="6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8"/>
        </w:trPr>
        <w:tc>
          <w:tcPr>
            <w:tcW w:w="630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that provided/(used) cash:</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(3,365)</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Contract assets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(24,140)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9,539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(23,868)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25,643</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(10,384)</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(4,474)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(1,505)</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taxes prepaid and receivable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7,851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4,608</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Accrued liabilities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(17,423)</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Income taxes payable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(3,956)</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Noncurrent receivables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1,587</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(4,263)</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1,908</w:t>
            </w:r>
          </w:p>
        </w:tc>
      </w:tr>
      <w:tr>
        <w:trPr>
          <w:trHeight w:val="192"/>
        </w:trPr>
        <w:tc>
          <w:tcPr>
            <w:tcW w:w="63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43,104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61,953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37,713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95,640</w:t>
            </w:r>
          </w:p>
        </w:tc>
      </w:tr>
      <w:tr>
        <w:trPr>
          <w:trHeight w:val="133"/>
        </w:trPr>
        <w:tc>
          <w:tcPr>
            <w:tcW w:w="6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98"/>
        </w:trPr>
        <w:tc>
          <w:tcPr>
            <w:tcW w:w="630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Purchases of property, plant and equipment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(22,836)</w:t>
            </w:r>
          </w:p>
        </w:tc>
      </w:tr>
      <w:tr>
        <w:trPr>
          <w:trHeight w:val="198"/>
        </w:trPr>
        <w:tc>
          <w:tcPr>
            <w:tcW w:w="63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Purchased software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r>
      <w:tr>
        <w:trPr>
          <w:trHeight w:val="196"/>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(20,271)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(36,025)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(23,124)</w:t>
            </w:r>
          </w:p>
        </w:tc>
      </w:tr>
      <w:tr>
        <w:trPr>
          <w:trHeight w:val="133"/>
        </w:trPr>
        <w:tc>
          <w:tcPr>
            <w:tcW w:w="6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0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8,000</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Principal payments on debt</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(56,009)</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Principal payments on finance lease liabilities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(704)</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 of Treasury shares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(84,780)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Taxes paid in lieu of share issuance</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(998)</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Proceeds from options exercised</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98"/>
        </w:trPr>
        <w:tc>
          <w:tcPr>
            <w:tcW w:w="63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Dividends paid</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(13,399)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(12,942)</w:t>
            </w:r>
          </w:p>
        </w:tc>
      </w:tr>
      <w:tr>
        <w:trPr>
          <w:trHeight w:val="196"/>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provided by/(used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(40,810)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35,404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(62,504)</w:t>
            </w:r>
          </w:p>
        </w:tc>
      </w:tr>
      <w:tr>
        <w:trPr>
          <w:trHeight w:val="133"/>
        </w:trPr>
        <w:tc>
          <w:tcPr>
            <w:tcW w:w="63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92"/>
        </w:trPr>
        <w:tc>
          <w:tcPr>
            <w:tcW w:w="63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(17,907)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(18,258)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w:t>
            </w:r>
          </w:p>
        </w:tc>
      </w:tr>
      <w:tr>
        <w:trPr>
          <w:trHeight w:val="133"/>
        </w:trPr>
        <w:tc>
          <w:tcPr>
            <w:tcW w:w="6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0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in cash and cash equivalents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12,014</w:t>
            </w:r>
          </w:p>
        </w:tc>
      </w:tr>
      <w:tr>
        <w:trPr>
          <w:trHeight w:val="19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307,415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237,871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302,036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241,316</w:t>
            </w:r>
          </w:p>
        </w:tc>
      </w:tr>
      <w:tr>
        <w:trPr>
          <w:trHeight w:val="225"/>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320,870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253,330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320,870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253,330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1" w:lineRule="exact"/>
        <w:rPr>
          <w:sz w:val="20"/>
          <w:szCs w:val="20"/>
          <w:color w:val="auto"/>
        </w:rPr>
      </w:pPr>
    </w:p>
    <w:p>
      <w:pPr>
        <w:ind w:left="340" w:right="8340" w:hanging="332"/>
        <w:spacing w:after="0" w:line="396" w:lineRule="auto"/>
        <w:tabs>
          <w:tab w:leader="none" w:pos="216"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Accounting Policies Basis of Presentation</w:t>
      </w:r>
    </w:p>
    <w:p>
      <w:pPr>
        <w:spacing w:after="0" w:line="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63"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information included in this Quarterly Report on Form 10-Q should be read in conjunction with Albany International Corp.’s Annual Report on Form 10-K for the year ended December 31, 2021.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 and Revenue Recognition</w:t>
      </w:r>
    </w:p>
    <w:p>
      <w:pPr>
        <w:spacing w:after="0" w:line="1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Albany Engineered Composites (“AEC”) segment provides highly engineered, advanced composite structures to customers in the commercial and defense aerospace industries. The segment includes Albany Safran Composites, LLC (“ASC”), in which our customer SAFRAN Group (“Safran”) owns a 10 percent noncontrolling interest. AEC, through ASC, is the exclusive supplier of the LEAP program of advanced composite fan blades and fan cases under a long-term supply contract. The LEAP engine is used on the Airbus A320neo, Boeing 737 MAX, and COMAC 919 aircraft . AEC's largest aerospace customer is the SAFRAN Group and sales to SAFRAN (consisting primarily of fan blades and cases for CFM's LEAP engine) accounted for approximately 12 percent of the Company's consolidated Net sales in 2021. AEC net sales to Safran were $ 83.1 million and $54.0 million in the first six months of 2022 and 2021, respectively. The total of Accounts receivable, Contract assets and Noncurrent receivables due from Safran amounted to $77.7 million and $79.6 million as of June 30, 2022 and December 31, 2021, respectively.</w:t>
      </w:r>
    </w:p>
    <w:p>
      <w:pPr>
        <w:spacing w:after="0" w:line="7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Other significant programs by AEC include the Sikorsky CH-53K, F-35, JASSM, and Boeing 787 programs. AEC also supplies vacuum waste tanks for the Boeing 7-Series programs, and specialty components for the Rolls Royce lift fan on the F-35, as well as the fan case for the GE9X engine. In 2021, approximately 47 percent of AEC sales were related to U.S. government contracts or programs.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r>
      <w:tr>
        <w:trPr>
          <w:trHeight w:val="211"/>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151,670</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159,921</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305,732</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308,127</w:t>
            </w:r>
          </w:p>
        </w:tc>
      </w:tr>
      <w:tr>
        <w:trPr>
          <w:trHeight w:val="216"/>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109,699</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74,598</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199,806</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148,753</w:t>
            </w:r>
          </w:p>
        </w:tc>
      </w:tr>
      <w:tr>
        <w:trPr>
          <w:trHeight w:val="237"/>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261,369</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234,519</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505,538</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456,880</w:t>
            </w:r>
          </w:p>
        </w:tc>
      </w:tr>
      <w:tr>
        <w:trPr>
          <w:trHeight w:val="20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54,861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55,902</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104,505</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106,264</w:t>
            </w: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9,535</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7,164</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10,730</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10,102</w:t>
            </w:r>
          </w:p>
        </w:tc>
      </w:tr>
      <w:tr>
        <w:trPr>
          <w:trHeight w:val="24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(13,681)</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(13,100)</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(25,766)</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(24,581)</w:t>
            </w:r>
          </w:p>
        </w:tc>
      </w:tr>
      <w:tr>
        <w:trPr>
          <w:trHeight w:val="20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50,715</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49,966</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89,469</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91,785</w:t>
            </w:r>
          </w:p>
        </w:tc>
      </w:tr>
      <w:tr>
        <w:trPr>
          <w:trHeight w:val="235"/>
        </w:trPr>
        <w:tc>
          <w:tcPr>
            <w:tcW w:w="560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4"/>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(846)</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(1,498)</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r>
      <w:tr>
        <w:trPr>
          <w:trHeight w:val="243"/>
        </w:trPr>
        <w:tc>
          <w:tcPr>
            <w:tcW w:w="56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4,779</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4,619</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9,040</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8,717</w:t>
            </w:r>
          </w:p>
        </w:tc>
      </w:tr>
      <w:tr>
        <w:trPr>
          <w:trHeight w:val="216"/>
        </w:trPr>
        <w:tc>
          <w:tcPr>
            <w:tcW w:w="5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(income)/expense, net</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(7,045)</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(10,973)</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r>
      <w:tr>
        <w:trPr>
          <w:trHeight w:val="236"/>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53,827</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44,886</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92,900</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82,536</w:t>
            </w:r>
          </w:p>
        </w:tc>
      </w:tr>
    </w:tbl>
    <w:p>
      <w:pPr>
        <w:spacing w:after="0" w:line="200" w:lineRule="exact"/>
        <w:rPr>
          <w:sz w:val="20"/>
          <w:szCs w:val="20"/>
          <w:color w:val="auto"/>
        </w:rPr>
      </w:pPr>
    </w:p>
    <w:p>
      <w:pPr>
        <w:spacing w:after="0" w:line="227" w:lineRule="exact"/>
        <w:rPr>
          <w:sz w:val="20"/>
          <w:szCs w:val="20"/>
          <w:color w:val="auto"/>
        </w:rPr>
      </w:pPr>
    </w:p>
    <w:p>
      <w:pPr>
        <w:ind w:right="120" w:firstLine="324"/>
        <w:spacing w:after="0" w:line="241" w:lineRule="auto"/>
        <w:rPr>
          <w:sz w:val="20"/>
          <w:szCs w:val="20"/>
          <w:color w:val="auto"/>
        </w:rPr>
      </w:pPr>
      <w:r>
        <w:rPr>
          <w:rFonts w:ascii="Arial" w:cs="Arial" w:eastAsia="Arial" w:hAnsi="Arial"/>
          <w:sz w:val="17"/>
          <w:szCs w:val="17"/>
          <w:color w:val="auto"/>
        </w:rPr>
        <w:t>A subsidiary within our Machine Clothing segment has been a partner in a joint venture (“JV”) that supplies paper machine clothing products to local papermakers in Russia. In March 2022, we made the decision to cease doing business in Russia, including giving notice to our JV partner of our intent to exit the venture. As a result, we recognized $1.8 million expense in the consolidated statement of operations, representing reserves against the risk of uncollectible customer receivables and obsolescence of certain inventory destined for Russian</w:t>
      </w:r>
    </w:p>
    <w:p>
      <w:pPr>
        <w:spacing w:after="0" w:line="2"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customers. We also wrote down the net book value of our investment in the aforementioned JV to reflect our intent to exit such venture, resulting in $0.8 million impairment loss during the first quarter of 2022.</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and we account for these contracts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Changes in the estimated profitability of long-term contracts could be caused by increases or decreases in the contract value, revisions to customer delivery requirements, updated labor or overhead rates, factors affecting the supply chain, changes in the evaluation of contract risks and opportunities, or other factors. Changes in the estimated profitability of long-term contracts increased operating income by $1.2 million for the second quarter of 2022 and decreased operating income $0.6 million for the first half of 2022. Adjustments in the estimated profitability of long-term contracts increased operating income by $4.3 million and $3.7 million for the second quarter and first half of 2021,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420" w:type="dxa"/>
            <w:vAlign w:val="bottom"/>
            <w:tcBorders>
              <w:top w:val="single" w:sz="8" w:color="auto"/>
              <w:bottom w:val="single" w:sz="8" w:color="auto"/>
            </w:tcBorders>
            <w:gridSpan w:val="4"/>
          </w:tcPr>
          <w:p>
            <w:pPr>
              <w:jc w:val="center"/>
              <w:ind w:left="702"/>
              <w:spacing w:after="0"/>
              <w:rPr>
                <w:sz w:val="20"/>
                <w:szCs w:val="20"/>
                <w:color w:val="auto"/>
              </w:rPr>
            </w:pPr>
            <w:r>
              <w:rPr>
                <w:rFonts w:ascii="Arial" w:cs="Arial" w:eastAsia="Arial" w:hAnsi="Arial"/>
                <w:sz w:val="14"/>
                <w:szCs w:val="14"/>
                <w:b w:val="1"/>
                <w:bCs w:val="1"/>
                <w:color w:val="auto"/>
              </w:rPr>
              <w:t>Three months ended June 30, 2022</w:t>
            </w:r>
          </w:p>
        </w:tc>
        <w:tc>
          <w:tcPr>
            <w:tcW w:w="10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5"/>
                <w:szCs w:val="15"/>
                <w:color w:val="auto"/>
              </w:rPr>
            </w:pPr>
          </w:p>
        </w:tc>
        <w:tc>
          <w:tcPr>
            <w:tcW w:w="1500" w:type="dxa"/>
            <w:vAlign w:val="bottom"/>
          </w:tcPr>
          <w:p>
            <w:pPr>
              <w:jc w:val="center"/>
              <w:ind w:right="2"/>
              <w:spacing w:after="0"/>
              <w:rPr>
                <w:sz w:val="20"/>
                <w:szCs w:val="20"/>
                <w:color w:val="auto"/>
              </w:rPr>
            </w:pPr>
            <w:r>
              <w:rPr>
                <w:rFonts w:ascii="Arial" w:cs="Arial" w:eastAsia="Arial" w:hAnsi="Arial"/>
                <w:sz w:val="14"/>
                <w:szCs w:val="14"/>
                <w:b w:val="1"/>
                <w:bCs w:val="1"/>
                <w:color w:val="auto"/>
              </w:rPr>
              <w:t>Over Time Revenue</w:t>
            </w: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Recognition</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150,770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900</w:t>
            </w:r>
          </w:p>
        </w:tc>
        <w:tc>
          <w:tcPr>
            <w:tcW w:w="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151,670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6"/>
                <w:szCs w:val="16"/>
                <w:color w:val="auto"/>
              </w:rPr>
              <w:t>ASC</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41,661</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41,661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5,018</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63,020</w:t>
            </w: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68,038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5,018</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104,681</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109,699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155,788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105,581</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261,369</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3"/>
        </w:trPr>
        <w:tc>
          <w:tcPr>
            <w:tcW w:w="6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center"/>
              <w:ind w:left="702"/>
              <w:spacing w:after="0"/>
              <w:rPr>
                <w:sz w:val="20"/>
                <w:szCs w:val="20"/>
                <w:color w:val="auto"/>
              </w:rPr>
            </w:pPr>
            <w:r>
              <w:rPr>
                <w:rFonts w:ascii="Arial" w:cs="Arial" w:eastAsia="Arial" w:hAnsi="Arial"/>
                <w:sz w:val="14"/>
                <w:szCs w:val="14"/>
                <w:b w:val="1"/>
                <w:bCs w:val="1"/>
                <w:color w:val="auto"/>
              </w:rPr>
              <w:t>Three months ended June 30, 2021</w:t>
            </w: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5"/>
                <w:szCs w:val="15"/>
                <w:color w:val="auto"/>
              </w:rPr>
            </w:pPr>
          </w:p>
        </w:tc>
        <w:tc>
          <w:tcPr>
            <w:tcW w:w="1500" w:type="dxa"/>
            <w:vAlign w:val="bottom"/>
          </w:tcPr>
          <w:p>
            <w:pPr>
              <w:jc w:val="right"/>
              <w:ind w:right="82"/>
              <w:spacing w:after="0"/>
              <w:rPr>
                <w:sz w:val="20"/>
                <w:szCs w:val="20"/>
                <w:color w:val="auto"/>
              </w:rPr>
            </w:pPr>
            <w:r>
              <w:rPr>
                <w:rFonts w:ascii="Arial" w:cs="Arial" w:eastAsia="Arial" w:hAnsi="Arial"/>
                <w:sz w:val="14"/>
                <w:szCs w:val="14"/>
                <w:b w:val="1"/>
                <w:bCs w:val="1"/>
                <w:color w:val="auto"/>
              </w:rPr>
              <w:t>Over Time Revenue</w:t>
            </w: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ind w:right="18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Pr>
          <w:p>
            <w:pPr>
              <w:spacing w:after="0"/>
              <w:rPr>
                <w:sz w:val="19"/>
                <w:szCs w:val="19"/>
                <w:color w:val="auto"/>
              </w:rPr>
            </w:pPr>
          </w:p>
        </w:tc>
        <w:tc>
          <w:tcPr>
            <w:tcW w:w="1500" w:type="dxa"/>
            <w:vAlign w:val="bottom"/>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420" w:type="dxa"/>
            <w:vAlign w:val="bottom"/>
          </w:tcPr>
          <w:p>
            <w:pPr>
              <w:spacing w:after="0"/>
              <w:rPr>
                <w:sz w:val="19"/>
                <w:szCs w:val="19"/>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5"/>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159,056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159,921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480" w:type="dxa"/>
            <w:vAlign w:val="bottom"/>
          </w:tcPr>
          <w:p>
            <w:pPr>
              <w:ind w:left="20"/>
              <w:spacing w:after="0"/>
              <w:rPr>
                <w:sz w:val="20"/>
                <w:szCs w:val="20"/>
                <w:color w:val="auto"/>
              </w:rPr>
            </w:pPr>
            <w:r>
              <w:rPr>
                <w:rFonts w:ascii="Arial" w:cs="Arial" w:eastAsia="Arial" w:hAnsi="Arial"/>
                <w:sz w:val="16"/>
                <w:szCs w:val="16"/>
                <w:color w:val="auto"/>
              </w:rPr>
              <w:t>ASC</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26,170</w:t>
            </w:r>
          </w:p>
        </w:tc>
        <w:tc>
          <w:tcPr>
            <w:tcW w:w="420" w:type="dxa"/>
            <w:vAlign w:val="bottom"/>
          </w:tcPr>
          <w:p>
            <w:pPr>
              <w:spacing w:after="0"/>
              <w:rPr>
                <w:sz w:val="21"/>
                <w:szCs w:val="21"/>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26,170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4,432</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43,996</w:t>
            </w: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4,432</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70,166</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4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163,488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71,031</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234,519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1"/>
        </w:trPr>
        <w:tc>
          <w:tcPr>
            <w:tcW w:w="6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center"/>
              <w:ind w:left="722"/>
              <w:spacing w:after="0"/>
              <w:rPr>
                <w:sz w:val="20"/>
                <w:szCs w:val="20"/>
                <w:color w:val="auto"/>
              </w:rPr>
            </w:pPr>
            <w:r>
              <w:rPr>
                <w:rFonts w:ascii="Arial" w:cs="Arial" w:eastAsia="Arial" w:hAnsi="Arial"/>
                <w:sz w:val="14"/>
                <w:szCs w:val="14"/>
                <w:b w:val="1"/>
                <w:bCs w:val="1"/>
                <w:color w:val="auto"/>
              </w:rPr>
              <w:t>Six months ended June 30, 2022</w:t>
            </w: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60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2"/>
                <w:szCs w:val="12"/>
                <w:color w:val="auto"/>
              </w:rPr>
            </w:pPr>
          </w:p>
        </w:tc>
        <w:tc>
          <w:tcPr>
            <w:tcW w:w="1500" w:type="dxa"/>
            <w:vAlign w:val="bottom"/>
          </w:tcPr>
          <w:p>
            <w:pPr>
              <w:jc w:val="center"/>
              <w:ind w:right="2"/>
              <w:spacing w:after="0" w:line="143" w:lineRule="exact"/>
              <w:rPr>
                <w:sz w:val="20"/>
                <w:szCs w:val="20"/>
                <w:color w:val="auto"/>
              </w:rPr>
            </w:pPr>
            <w:r>
              <w:rPr>
                <w:rFonts w:ascii="Arial" w:cs="Arial" w:eastAsia="Arial" w:hAnsi="Arial"/>
                <w:sz w:val="14"/>
                <w:szCs w:val="14"/>
                <w:b w:val="1"/>
                <w:bCs w:val="1"/>
                <w:color w:val="auto"/>
              </w:rPr>
              <w:t>Over Time Revenue</w:t>
            </w:r>
          </w:p>
        </w:tc>
        <w:tc>
          <w:tcPr>
            <w:tcW w:w="42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4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Recognition</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303,933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1,799</w:t>
            </w:r>
          </w:p>
        </w:tc>
        <w:tc>
          <w:tcPr>
            <w:tcW w:w="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305,732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6"/>
                <w:szCs w:val="16"/>
                <w:color w:val="auto"/>
              </w:rPr>
              <w:t>ASC</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81,373</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81,373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8,931</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109,502</w:t>
            </w: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118,433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8,931</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190,875</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199,806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312,864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192,674</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505,538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400" w:type="dxa"/>
            <w:vAlign w:val="bottom"/>
            <w:tcBorders>
              <w:top w:val="single" w:sz="8" w:color="auto"/>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Six months ended June 30, 2021</w:t>
            </w:r>
          </w:p>
        </w:tc>
        <w:tc>
          <w:tcPr>
            <w:tcW w:w="10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2"/>
                <w:szCs w:val="12"/>
                <w:color w:val="auto"/>
              </w:rPr>
            </w:pPr>
          </w:p>
        </w:tc>
        <w:tc>
          <w:tcPr>
            <w:tcW w:w="1500" w:type="dxa"/>
            <w:vAlign w:val="bottom"/>
          </w:tcPr>
          <w:p>
            <w:pPr>
              <w:jc w:val="right"/>
              <w:ind w:right="62"/>
              <w:spacing w:after="0" w:line="147" w:lineRule="exact"/>
              <w:rPr>
                <w:sz w:val="20"/>
                <w:szCs w:val="20"/>
                <w:color w:val="auto"/>
              </w:rPr>
            </w:pPr>
            <w:r>
              <w:rPr>
                <w:rFonts w:ascii="Arial" w:cs="Arial" w:eastAsia="Arial" w:hAnsi="Arial"/>
                <w:sz w:val="14"/>
                <w:szCs w:val="14"/>
                <w:b w:val="1"/>
                <w:bCs w:val="1"/>
                <w:color w:val="auto"/>
              </w:rPr>
              <w:t>Over Time Revenue</w:t>
            </w:r>
          </w:p>
        </w:tc>
        <w:tc>
          <w:tcPr>
            <w:tcW w:w="380" w:type="dxa"/>
            <w:vAlign w:val="bottom"/>
          </w:tcPr>
          <w:p>
            <w:pPr>
              <w:spacing w:after="0"/>
              <w:rPr>
                <w:sz w:val="12"/>
                <w:szCs w:val="12"/>
                <w:color w:val="auto"/>
              </w:rPr>
            </w:pPr>
          </w:p>
        </w:tc>
        <w:tc>
          <w:tcPr>
            <w:tcW w:w="106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306,397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308,127</w:t>
            </w:r>
          </w:p>
        </w:tc>
        <w:tc>
          <w:tcPr>
            <w:tcW w:w="0" w:type="dxa"/>
            <w:vAlign w:val="bottom"/>
          </w:tcPr>
          <w:p>
            <w:pPr>
              <w:spacing w:after="0"/>
              <w:rPr>
                <w:sz w:val="1"/>
                <w:szCs w:val="1"/>
                <w:color w:val="auto"/>
              </w:rPr>
            </w:pPr>
          </w:p>
        </w:tc>
      </w:tr>
      <w:tr>
        <w:trPr>
          <w:trHeight w:val="129"/>
        </w:trPr>
        <w:tc>
          <w:tcPr>
            <w:tcW w:w="6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80" w:type="dxa"/>
            <w:vAlign w:val="bottom"/>
          </w:tcPr>
          <w:p>
            <w:pPr>
              <w:ind w:left="20"/>
              <w:spacing w:after="0"/>
              <w:rPr>
                <w:sz w:val="20"/>
                <w:szCs w:val="20"/>
                <w:color w:val="auto"/>
              </w:rPr>
            </w:pPr>
            <w:r>
              <w:rPr>
                <w:rFonts w:ascii="Arial" w:cs="Arial" w:eastAsia="Arial" w:hAnsi="Arial"/>
                <w:sz w:val="16"/>
                <w:szCs w:val="16"/>
                <w:color w:val="auto"/>
              </w:rPr>
              <w:t>ASC</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53,254</w:t>
            </w:r>
          </w:p>
        </w:tc>
        <w:tc>
          <w:tcPr>
            <w:tcW w:w="3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53,254</w:t>
            </w:r>
          </w:p>
        </w:tc>
        <w:tc>
          <w:tcPr>
            <w:tcW w:w="0" w:type="dxa"/>
            <w:vAlign w:val="bottom"/>
          </w:tcPr>
          <w:p>
            <w:pPr>
              <w:spacing w:after="0"/>
              <w:rPr>
                <w:sz w:val="1"/>
                <w:szCs w:val="1"/>
                <w:color w:val="auto"/>
              </w:rPr>
            </w:pPr>
          </w:p>
        </w:tc>
      </w:tr>
      <w:tr>
        <w:trPr>
          <w:trHeight w:val="217"/>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8,312</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87,187</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95,499</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8,312</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140,441</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148,753</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314,709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142,171</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456,880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3"/>
          </w:tcPr>
          <w:p>
            <w:pPr>
              <w:jc w:val="right"/>
              <w:ind w:right="201"/>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Six months ended June 30,</w:t>
            </w:r>
          </w:p>
        </w:tc>
      </w:tr>
      <w:tr>
        <w:trPr>
          <w:trHeight w:val="211"/>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r>
      <w:tr>
        <w:trPr>
          <w:trHeight w:val="211"/>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 PMC</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79,062</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82,343</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155,678</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155,645</w:t>
            </w:r>
          </w:p>
        </w:tc>
      </w:tr>
      <w:tr>
        <w:trPr>
          <w:trHeight w:val="243"/>
        </w:trPr>
        <w:tc>
          <w:tcPr>
            <w:tcW w:w="5880" w:type="dxa"/>
            <w:vAlign w:val="bottom"/>
          </w:tcPr>
          <w:p>
            <w:pPr>
              <w:ind w:left="20"/>
              <w:spacing w:after="0"/>
              <w:rPr>
                <w:sz w:val="20"/>
                <w:szCs w:val="20"/>
                <w:color w:val="auto"/>
              </w:rPr>
            </w:pPr>
            <w:r>
              <w:rPr>
                <w:rFonts w:ascii="Arial" w:cs="Arial" w:eastAsia="Arial" w:hAnsi="Arial"/>
                <w:sz w:val="16"/>
                <w:szCs w:val="16"/>
                <w:color w:val="auto"/>
              </w:rPr>
              <w:t>Eurasia PMC</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52,368</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55,900</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107,854</w:t>
            </w:r>
          </w:p>
        </w:tc>
        <w:tc>
          <w:tcPr>
            <w:tcW w:w="34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111,043</w:t>
            </w:r>
          </w:p>
        </w:tc>
      </w:tr>
      <w:tr>
        <w:trPr>
          <w:trHeight w:val="216"/>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Engineered Fabrics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20,240</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21,678</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42,200</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41,439</w:t>
            </w:r>
          </w:p>
        </w:tc>
      </w:tr>
      <w:tr>
        <w:trPr>
          <w:trHeight w:val="236"/>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Machine Clothing Net sales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151,670</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159,921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305,732</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308,127</w:t>
            </w:r>
          </w:p>
        </w:tc>
      </w:tr>
    </w:tbl>
    <w:p>
      <w:pPr>
        <w:spacing w:after="0" w:line="200" w:lineRule="exact"/>
        <w:rPr>
          <w:sz w:val="20"/>
          <w:szCs w:val="20"/>
          <w:color w:val="auto"/>
        </w:rPr>
      </w:pPr>
    </w:p>
    <w:p>
      <w:pPr>
        <w:spacing w:after="0" w:line="2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disclose the value of unsatisfied performance obligations for contracts with an original expected duration of one year or less. Contracts in the MC segment are generally for periods of less than a year. Most contracts in the AEC segment are relatively short duration firm-fixed-price orders. Remaining performance obligations on contracts that had an original duration of greater than one year totaled $ 579 million and $149 million as of June 30, 2022 and 2021, respectively, and related primarily to firm contracts in the AEC segment. Of the remaining performance obligations as of June 30, 2022, we expect to recognize as revenue approximately $77 million during 2022, $96 million during 2023, $71 million during 2024,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Pensions and Other Postretirement Benefit Plans</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of the net periodic benefit cost for the six months ended June 30, 2022 and 2021,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Other postretirement benefits</w:t>
            </w:r>
          </w:p>
        </w:tc>
      </w:tr>
      <w:tr>
        <w:trPr>
          <w:trHeight w:val="21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benefit cost: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708</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1,090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2,828</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(3,405)</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(3,211)</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cost/(credit)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w:t>
            </w:r>
          </w:p>
        </w:tc>
      </w:tr>
      <w:tr>
        <w:trPr>
          <w:trHeight w:val="24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997</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941</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w:t>
            </w:r>
          </w:p>
        </w:tc>
      </w:tr>
      <w:tr>
        <w:trPr>
          <w:trHeight w:val="21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1,127</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(635)</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r>
    </w:tbl>
    <w:p>
      <w:pPr>
        <w:spacing w:after="0" w:line="30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amount of net periodic benefit cost is determined at the beginning of each year and generally only varies from quarter to quarter when a significant event occurs, such as a curtailment or a settlement. There were no such events in the first six months of 2022 or 2021.</w:t>
      </w:r>
    </w:p>
    <w:p>
      <w:pPr>
        <w:spacing w:after="0" w:line="4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Other (Income)/Expense, net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(Income)/Expense, net 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r>
      <w:tr>
        <w:trPr>
          <w:trHeight w:val="211"/>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transaction (gains)/losses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(7,284)</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(11,024)</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341</w:t>
            </w:r>
          </w:p>
        </w:tc>
      </w:tr>
      <w:tr>
        <w:trPr>
          <w:trHeight w:val="243"/>
        </w:trPr>
        <w:tc>
          <w:tcPr>
            <w:tcW w:w="6160" w:type="dxa"/>
            <w:vAlign w:val="bottom"/>
          </w:tcPr>
          <w:p>
            <w:pPr>
              <w:ind w:left="20"/>
              <w:spacing w:after="0"/>
              <w:rPr>
                <w:sz w:val="20"/>
                <w:szCs w:val="20"/>
                <w:color w:val="auto"/>
              </w:rPr>
            </w:pPr>
            <w:r>
              <w:rPr>
                <w:rFonts w:ascii="Arial" w:cs="Arial" w:eastAsia="Arial" w:hAnsi="Arial"/>
                <w:sz w:val="16"/>
                <w:szCs w:val="16"/>
                <w:color w:val="auto"/>
              </w:rPr>
              <w:t>Bank fees and amortization of debt issuance costs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176</w:t>
            </w:r>
          </w:p>
        </w:tc>
        <w:tc>
          <w:tcPr>
            <w:tcW w:w="3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210</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pension and postretirement cost other than service cost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(273)</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4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917</w:t>
            </w:r>
          </w:p>
        </w:tc>
      </w:tr>
      <w:tr>
        <w:trPr>
          <w:trHeight w:val="210"/>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(7,045)</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(10,973)</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1,462</w:t>
            </w:r>
          </w:p>
        </w:tc>
      </w:tr>
    </w:tbl>
    <w:p>
      <w:pPr>
        <w:spacing w:after="0" w:line="200" w:lineRule="exact"/>
        <w:rPr>
          <w:sz w:val="20"/>
          <w:szCs w:val="20"/>
          <w:color w:val="auto"/>
        </w:rPr>
      </w:pPr>
    </w:p>
    <w:p>
      <w:pPr>
        <w:spacing w:after="0" w:line="240" w:lineRule="exact"/>
        <w:rPr>
          <w:sz w:val="20"/>
          <w:szCs w:val="20"/>
          <w:color w:val="auto"/>
        </w:rPr>
      </w:pPr>
    </w:p>
    <w:p>
      <w:pPr>
        <w:jc w:val="both"/>
        <w:ind w:right="220" w:firstLine="324"/>
        <w:spacing w:after="0" w:line="262" w:lineRule="auto"/>
        <w:rPr>
          <w:sz w:val="20"/>
          <w:szCs w:val="20"/>
          <w:color w:val="auto"/>
        </w:rPr>
      </w:pPr>
      <w:r>
        <w:rPr>
          <w:rFonts w:ascii="Arial" w:cs="Arial" w:eastAsia="Arial" w:hAnsi="Arial"/>
          <w:sz w:val="18"/>
          <w:szCs w:val="18"/>
          <w:color w:val="auto"/>
        </w:rPr>
        <w:t>Other (income)/expense, net, included foreign currency related transactions which resulted in gains of $7.3 million and $ 11.0 million in the three and six month periods ended June 30, 2022, respectively, as compared to losses of $0.2 million and $0.3 million in the three and six month periods ended June 30, 2021, respectively. The weaker Euro during the three and six month periods ended June 30, 2022 led to the gains on foreign currency related transactions during such periods.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Income Taxes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components of income tax expense for the three and six months ended June 30, 2022 and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3"/>
          </w:tcPr>
          <w:p>
            <w:pPr>
              <w:jc w:val="right"/>
              <w:ind w:right="50"/>
              <w:spacing w:after="0" w:line="189" w:lineRule="exact"/>
              <w:rPr>
                <w:sz w:val="20"/>
                <w:szCs w:val="20"/>
                <w:color w:val="auto"/>
              </w:rPr>
            </w:pPr>
            <w:r>
              <w:rPr>
                <w:rFonts w:ascii="Arial" w:cs="Arial" w:eastAsia="Arial" w:hAnsi="Arial"/>
                <w:sz w:val="18"/>
                <w:szCs w:val="18"/>
                <w:b w:val="1"/>
                <w:bCs w:val="1"/>
                <w:color w:val="auto"/>
                <w:w w:val="99"/>
              </w:rPr>
              <w:t>Three months ended June</w:t>
            </w:r>
          </w:p>
        </w:tc>
        <w:tc>
          <w:tcPr>
            <w:tcW w:w="2540" w:type="dxa"/>
            <w:vAlign w:val="bottom"/>
            <w:tcBorders>
              <w:top w:val="single" w:sz="8" w:color="auto"/>
            </w:tcBorders>
            <w:gridSpan w:val="4"/>
            <w:vMerge w:val="restart"/>
          </w:tcPr>
          <w:p>
            <w:pPr>
              <w:jc w:val="right"/>
              <w:ind w:right="1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43"/>
        </w:trPr>
        <w:tc>
          <w:tcPr>
            <w:tcW w:w="6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 except percentages)</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6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based on income from continuing operations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15,165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26,107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24,583</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change in estimated tax rate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before discrete items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15,231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26,173</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24,365</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Discrete tax expense:</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U.S. stock options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Impact of amended tax returns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True-up of prior year estimated taxes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Enacted tax legislation and rate change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for/resolution of tax audits and contingencies,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14,458</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25,456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23,486</w:t>
            </w:r>
          </w:p>
        </w:tc>
        <w:tc>
          <w:tcPr>
            <w:tcW w:w="0" w:type="dxa"/>
            <w:vAlign w:val="bottom"/>
          </w:tcPr>
          <w:p>
            <w:pPr>
              <w:spacing w:after="0"/>
              <w:rPr>
                <w:sz w:val="1"/>
                <w:szCs w:val="1"/>
                <w:color w:val="auto"/>
              </w:rPr>
            </w:pPr>
          </w:p>
        </w:tc>
      </w:tr>
    </w:tbl>
    <w:p>
      <w:pPr>
        <w:ind w:left="20" w:right="5500" w:firstLine="6"/>
        <w:spacing w:after="0" w:line="237" w:lineRule="auto"/>
        <w:tabs>
          <w:tab w:leader="none" w:pos="29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at estimated annual tax rates of 28.2% and 29.5% for the three and six months ended June 30, 2022 and 2021.</w:t>
      </w:r>
    </w:p>
    <w:p>
      <w:pPr>
        <w:spacing w:after="0" w:line="18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which cannot recognize a tax benefit with regard to their generated losses, are excluded from the annual effective tax rate (AETR) calculation and their taxes will be recorded discretely in each quarter.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Earnings Per Share</w:t>
      </w:r>
    </w:p>
    <w:p>
      <w:pPr>
        <w:spacing w:after="0" w:line="1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Company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39,201</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31,397</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66,938</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58,980</w:t>
            </w:r>
          </w:p>
        </w:tc>
        <w:tc>
          <w:tcPr>
            <w:tcW w:w="0" w:type="dxa"/>
            <w:vAlign w:val="bottom"/>
          </w:tcPr>
          <w:p>
            <w:pPr>
              <w:spacing w:after="0"/>
              <w:rPr>
                <w:sz w:val="1"/>
                <w:szCs w:val="1"/>
                <w:color w:val="auto"/>
              </w:rPr>
            </w:pPr>
          </w:p>
        </w:tc>
      </w:tr>
      <w:tr>
        <w:trPr>
          <w:trHeight w:val="128"/>
        </w:trPr>
        <w:tc>
          <w:tcPr>
            <w:tcW w:w="6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0" w:type="dxa"/>
            <w:vAlign w:val="bottom"/>
          </w:tcPr>
          <w:p>
            <w:pPr>
              <w:ind w:left="140"/>
              <w:spacing w:after="0"/>
              <w:rPr>
                <w:sz w:val="20"/>
                <w:szCs w:val="20"/>
                <w:color w:val="auto"/>
              </w:rPr>
            </w:pPr>
            <w:r>
              <w:rPr>
                <w:rFonts w:ascii="Arial" w:cs="Arial" w:eastAsia="Arial" w:hAnsi="Arial"/>
                <w:sz w:val="16"/>
                <w:szCs w:val="16"/>
                <w:color w:val="auto"/>
              </w:rPr>
              <w:t>Weighted average number of shares used in calculating basic net income per</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000" w:type="dxa"/>
            <w:vAlign w:val="bottom"/>
          </w:tcPr>
          <w:p>
            <w:pPr>
              <w:ind w:left="140"/>
              <w:spacing w:after="0"/>
              <w:rPr>
                <w:sz w:val="20"/>
                <w:szCs w:val="20"/>
                <w:color w:val="auto"/>
              </w:rPr>
            </w:pPr>
            <w:r>
              <w:rPr>
                <w:rFonts w:ascii="Arial" w:cs="Arial" w:eastAsia="Arial" w:hAnsi="Arial"/>
                <w:sz w:val="16"/>
                <w:szCs w:val="16"/>
                <w:color w:val="auto"/>
              </w:rPr>
              <w:t>share</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31,268</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32,375</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31,571</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32,363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40"/>
              <w:spacing w:after="0"/>
              <w:rPr>
                <w:sz w:val="20"/>
                <w:szCs w:val="20"/>
                <w:color w:val="auto"/>
              </w:rPr>
            </w:pPr>
            <w:r>
              <w:rPr>
                <w:rFonts w:ascii="Arial" w:cs="Arial" w:eastAsia="Arial" w:hAnsi="Arial"/>
                <w:sz w:val="16"/>
                <w:szCs w:val="16"/>
                <w:color w:val="auto"/>
              </w:rPr>
              <w:t>Stock options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RSU and MPP shares</w:t>
            </w: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w:t>
            </w: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c>
          <w:tcPr>
            <w:tcW w:w="3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28"/>
        </w:trPr>
        <w:tc>
          <w:tcPr>
            <w:tcW w:w="6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Weighted average number of shares used in calculating diluted net income per</w:t>
            </w:r>
          </w:p>
        </w:tc>
        <w:tc>
          <w:tcPr>
            <w:tcW w:w="2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31,378</w:t>
            </w:r>
          </w:p>
        </w:tc>
        <w:tc>
          <w:tcPr>
            <w:tcW w:w="3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32,422</w:t>
            </w: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31,668</w:t>
            </w:r>
          </w:p>
        </w:tc>
        <w:tc>
          <w:tcPr>
            <w:tcW w:w="3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32,411</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share</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Average market price of common stock used for calculation of dilutive shares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81.46</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87.53</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83.77</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83.48</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the Company per share: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4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1.25</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0.97</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2.12</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Accumulated Other Comprehensive Income (AOCI)</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2021 to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5"/>
                <w:szCs w:val="15"/>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0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(105,880)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(38,490)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(145,984)</w:t>
            </w:r>
          </w:p>
        </w:tc>
        <w:tc>
          <w:tcPr>
            <w:tcW w:w="0" w:type="dxa"/>
            <w:vAlign w:val="bottom"/>
          </w:tcPr>
          <w:p>
            <w:pPr>
              <w:spacing w:after="0"/>
              <w:rPr>
                <w:sz w:val="1"/>
                <w:szCs w:val="1"/>
                <w:color w:val="auto"/>
              </w:rPr>
            </w:pPr>
          </w:p>
        </w:tc>
      </w:tr>
      <w:tr>
        <w:trPr>
          <w:trHeight w:val="236"/>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(41,391)</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521</w:t>
            </w:r>
          </w:p>
        </w:tc>
        <w:tc>
          <w:tcPr>
            <w:tcW w:w="240" w:type="dxa"/>
            <w:vAlign w:val="bottom"/>
          </w:tcPr>
          <w:p>
            <w:pPr>
              <w:spacing w:after="0"/>
              <w:rPr>
                <w:sz w:val="20"/>
                <w:szCs w:val="20"/>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11,228</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(29,642)</w:t>
            </w: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Interest expense related to swaps reclassified to the Consolidated</w:t>
            </w:r>
          </w:p>
        </w:tc>
        <w:tc>
          <w:tcPr>
            <w:tcW w:w="2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2,139</w:t>
            </w: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2,139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Statements of Income, net of tax</w:t>
            </w:r>
          </w:p>
        </w:tc>
        <w:tc>
          <w:tcPr>
            <w:tcW w:w="2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00" w:type="dxa"/>
            <w:vAlign w:val="bottom"/>
          </w:tcPr>
          <w:p>
            <w:pPr>
              <w:ind w:left="20"/>
              <w:spacing w:after="0"/>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(41,391)</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13,367</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(27,716)</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(147,271)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(38,182)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11,753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2020 to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5"/>
                <w:szCs w:val="15"/>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5"/>
                <w:szCs w:val="15"/>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(83,203)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(39,661)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(132,408)</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(2,181)</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393</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(262)</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(2,050)</w:t>
            </w: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Interest expense related to swaps reclassified to the Consolidated</w:t>
            </w:r>
          </w:p>
        </w:tc>
        <w:tc>
          <w:tcPr>
            <w:tcW w:w="2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2,408</w:t>
            </w: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2,408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Statements of Income, net of tax</w:t>
            </w:r>
          </w:p>
        </w:tc>
        <w:tc>
          <w:tcPr>
            <w:tcW w:w="2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20"/>
              <w:spacing w:after="0" w:line="162" w:lineRule="exact"/>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tcPr>
          <w:p>
            <w:pPr>
              <w:spacing w:after="0"/>
              <w:rPr>
                <w:sz w:val="14"/>
                <w:szCs w:val="14"/>
                <w:color w:val="auto"/>
              </w:rPr>
            </w:pPr>
          </w:p>
        </w:tc>
        <w:tc>
          <w:tcPr>
            <w:tcW w:w="13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4"/>
                <w:szCs w:val="14"/>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2,146</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(85,384)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(39,282)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(7,398)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(132,064)</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4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table below presents the expense/(income) amounts reclassified from AOCI, and the line items of the Statement of Income that were affected for the three and six months ended June 30, 2022 and 2021:</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7"/>
        </w:trPr>
        <w:tc>
          <w:tcPr>
            <w:tcW w:w="616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rPr>
              <w:t>Pretax Derivative valuation reclassified from Accumulated</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60" w:type="dxa"/>
            <w:vAlign w:val="bottom"/>
          </w:tcPr>
          <w:p>
            <w:pPr>
              <w:ind w:left="140"/>
              <w:spacing w:after="0"/>
              <w:rPr>
                <w:sz w:val="20"/>
                <w:szCs w:val="20"/>
                <w:color w:val="auto"/>
              </w:rPr>
            </w:pPr>
            <w:r>
              <w:rPr>
                <w:rFonts w:ascii="Arial" w:cs="Arial" w:eastAsia="Arial" w:hAnsi="Arial"/>
                <w:sz w:val="16"/>
                <w:szCs w:val="16"/>
                <w:color w:val="auto"/>
              </w:rPr>
              <w:t>Expense/(income) related to interest rate swaps included in Income before taxes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160" w:type="dxa"/>
            <w:vAlign w:val="bottom"/>
          </w:tcPr>
          <w:p>
            <w:pPr>
              <w:ind w:left="140"/>
              <w:spacing w:after="0"/>
              <w:rPr>
                <w:sz w:val="20"/>
                <w:szCs w:val="20"/>
                <w:color w:val="auto"/>
              </w:rPr>
            </w:pPr>
            <w:r>
              <w:rPr>
                <w:rFonts w:ascii="Arial" w:cs="Arial" w:eastAsia="Arial" w:hAnsi="Arial"/>
                <w:sz w:val="16"/>
                <w:szCs w:val="16"/>
                <w:color w:val="auto"/>
              </w:rPr>
              <w:t>(a)</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1,168</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1,770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2,864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3,246</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(295)</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(725)</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195"/>
        </w:trPr>
        <w:tc>
          <w:tcPr>
            <w:tcW w:w="6160" w:type="dxa"/>
            <w:vAlign w:val="bottom"/>
          </w:tcPr>
          <w:p>
            <w:pPr>
              <w:ind w:left="20"/>
              <w:spacing w:after="0"/>
              <w:rPr>
                <w:sz w:val="20"/>
                <w:szCs w:val="20"/>
                <w:color w:val="auto"/>
              </w:rPr>
            </w:pPr>
            <w:r>
              <w:rPr>
                <w:rFonts w:ascii="Arial" w:cs="Arial" w:eastAsia="Arial" w:hAnsi="Arial"/>
                <w:sz w:val="16"/>
                <w:szCs w:val="16"/>
                <w:color w:val="auto"/>
              </w:rPr>
              <w:t>Effect on net income due to items reclassified from Accumulated Other</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873</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2,139</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w:t>
            </w:r>
          </w:p>
        </w:tc>
        <w:tc>
          <w:tcPr>
            <w:tcW w:w="0" w:type="dxa"/>
            <w:vAlign w:val="bottom"/>
          </w:tcPr>
          <w:p>
            <w:pPr>
              <w:spacing w:after="0"/>
              <w:rPr>
                <w:sz w:val="1"/>
                <w:szCs w:val="1"/>
                <w:color w:val="auto"/>
              </w:rPr>
            </w:pPr>
          </w:p>
        </w:tc>
      </w:tr>
      <w:tr>
        <w:trPr>
          <w:trHeight w:val="237"/>
        </w:trPr>
        <w:tc>
          <w:tcPr>
            <w:tcW w:w="6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Pretax pension and postretirement liabilities reclassified from</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Income:</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credit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w:t>
            </w:r>
          </w:p>
        </w:tc>
        <w:tc>
          <w:tcPr>
            <w:tcW w:w="0" w:type="dxa"/>
            <w:vAlign w:val="bottom"/>
          </w:tcPr>
          <w:p>
            <w:pPr>
              <w:spacing w:after="0"/>
              <w:rPr>
                <w:sz w:val="1"/>
                <w:szCs w:val="1"/>
                <w:color w:val="auto"/>
              </w:rPr>
            </w:pPr>
          </w:p>
        </w:tc>
      </w:tr>
      <w:tr>
        <w:trPr>
          <w:trHeight w:val="243"/>
        </w:trPr>
        <w:tc>
          <w:tcPr>
            <w:tcW w:w="61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Amortization of net actuarial loss</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967</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1,938</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pretax amount reclassified (b)</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(307)</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effect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56"/>
        </w:trPr>
        <w:tc>
          <w:tcPr>
            <w:tcW w:w="61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Effect on net income due to items reclassified from Accumulated Other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(108)</w:t>
            </w: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(213)</w:t>
            </w: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652"/>
        <w:spacing w:after="0" w:line="265"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Interest expense, net are payments related to the interest rate swap agreements and amortization of swap buyouts (see Notes 13 and 14).</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These accumulated other comprehensive income components are included in the computation of net periodic pension cost (see Note 3).</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Noncontrolling Interest</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The table below presents a reconciliation of income attributable to the noncontrolling interest and noncontrolling equity in the Company’s subsidiary Albany Safran Composites,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3"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Six months ended June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5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Albany Safran Composites (ASC)</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5,690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1,343</w:t>
            </w:r>
          </w:p>
        </w:tc>
      </w:tr>
      <w:tr>
        <w:trPr>
          <w:trHeight w:val="216"/>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Return attributable to the Company's preferred holding</w:t>
            </w:r>
          </w:p>
        </w:tc>
        <w:tc>
          <w:tcPr>
            <w:tcW w:w="1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632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647</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ASC available for common ownership</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5,058</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696</w:t>
            </w:r>
          </w:p>
        </w:tc>
      </w:tr>
      <w:tr>
        <w:trPr>
          <w:trHeight w:val="216"/>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Ownership percentage of noncontrolling shareholder</w:t>
            </w:r>
          </w:p>
        </w:tc>
        <w:tc>
          <w:tcPr>
            <w:tcW w:w="1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10 %</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10"/>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506</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70</w:t>
            </w:r>
          </w:p>
        </w:tc>
      </w:tr>
      <w:tr>
        <w:trPr>
          <w:trHeight w:val="236"/>
        </w:trPr>
        <w:tc>
          <w:tcPr>
            <w:tcW w:w="7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beginning of year</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3,638</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3,799</w:t>
            </w:r>
          </w:p>
        </w:tc>
      </w:tr>
      <w:tr>
        <w:trPr>
          <w:trHeight w:val="216"/>
        </w:trPr>
        <w:tc>
          <w:tcPr>
            <w:tcW w:w="714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56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b w:val="1"/>
                <w:bCs w:val="1"/>
                <w:color w:val="auto"/>
              </w:rPr>
              <w:t>506</w:t>
            </w:r>
          </w:p>
        </w:tc>
        <w:tc>
          <w:tcPr>
            <w:tcW w:w="34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70</w:t>
            </w:r>
          </w:p>
        </w:tc>
      </w:tr>
      <w:tr>
        <w:trPr>
          <w:trHeight w:val="216"/>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other comprehensive income attributable to the noncontrolling interest</w:t>
            </w:r>
          </w:p>
        </w:tc>
        <w:tc>
          <w:tcPr>
            <w:tcW w:w="1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(35)</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r>
      <w:tr>
        <w:trPr>
          <w:trHeight w:val="209"/>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Noncontrolling interest, end of interim period</w:t>
            </w: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4,109</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3,842</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Accounts Receivable</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Accounts receivable includes trade receivables. In connection with certain sales in Asia, the Company accepts a bank promissory note as customer payment. The notes may be presented for payment at maturity, which is less than one year. As of June 30, 2022 and December 31, 2021, Accounts receivable consisted of the following: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5640" w:type="dxa"/>
            <w:vAlign w:val="bottom"/>
            <w:tcBorders>
              <w:bottom w:val="single" w:sz="8" w:color="auto"/>
            </w:tcBorders>
            <w:vMerge w:val="continue"/>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other accounts receivable</w:t>
            </w:r>
          </w:p>
        </w:tc>
        <w:tc>
          <w:tcPr>
            <w:tcW w:w="3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180,657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168,046</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6"/>
                <w:szCs w:val="16"/>
                <w:color w:val="auto"/>
              </w:rPr>
              <w:t>Bank promissory notes</w:t>
            </w:r>
          </w:p>
        </w:tc>
        <w:tc>
          <w:tcPr>
            <w:tcW w:w="3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21,967</w:t>
            </w:r>
          </w:p>
        </w:tc>
        <w:tc>
          <w:tcPr>
            <w:tcW w:w="16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26,284</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w:t>
            </w:r>
          </w:p>
        </w:tc>
        <w:tc>
          <w:tcPr>
            <w:tcW w:w="3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(3,135)</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Accounts receivable, net</w:t>
            </w:r>
          </w:p>
        </w:tc>
        <w:tc>
          <w:tcPr>
            <w:tcW w:w="3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199,489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191,985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has Noncurrent receivables in the AEC segment that represent revenue earned, which has extended payment terms. The Noncurrent receivables will be invoiced to the customer over a 10-year period, which began in 2020. As of June 30, 2022 and December 31, 2021, Noncurrent receivables consisted of the following: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640" w:type="dxa"/>
            <w:vAlign w:val="bottom"/>
            <w:tcBorders>
              <w:bottom w:val="single" w:sz="8" w:color="auto"/>
            </w:tcBorders>
            <w:vMerge w:val="continue"/>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receivables</w:t>
            </w:r>
          </w:p>
        </w:tc>
        <w:tc>
          <w:tcPr>
            <w:tcW w:w="3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29,993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32,049</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receivables, net</w:t>
            </w:r>
          </w:p>
        </w:tc>
        <w:tc>
          <w:tcPr>
            <w:tcW w:w="3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29,843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31,849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Contract Assets and Liabilities</w:t>
      </w:r>
    </w:p>
    <w:p>
      <w:pPr>
        <w:spacing w:after="0" w:line="1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 becomes unconditional. Contract liabilities include advance payments and billings in excess of revenue recognized. Contract liabilities are included in Accrued liabilities in the Consolidated Balance Sheets.</w:t>
      </w:r>
    </w:p>
    <w:p>
      <w:pPr>
        <w:spacing w:after="0" w:line="6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2022 and December 31, 2021, Contract assets and Contract liabilities consisted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640" w:type="dxa"/>
            <w:vAlign w:val="bottom"/>
            <w:tcBorders>
              <w:bottom w:val="single" w:sz="8" w:color="auto"/>
            </w:tcBorders>
            <w:vMerge w:val="continue"/>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3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136,624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113,249</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(717)</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assets, net</w:t>
            </w:r>
          </w:p>
        </w:tc>
        <w:tc>
          <w:tcPr>
            <w:tcW w:w="3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135,907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112,546</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3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6,959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Contract assets increased $23.4 million during the six-month period ended June 30, 2022. The increase was primarily due to an increase in unbilled revenue related to the satisfaction of performance obligations, in excess of the amounts billed to customers for contracts that were in a contract asset position. There were no impairment losses related to our Contract assets during the six month periods ended June 30, 2022 and June 30, 2021.</w:t>
      </w:r>
    </w:p>
    <w:p>
      <w:pPr>
        <w:spacing w:after="0" w:line="6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Contract liabilities decreased $2.0 million during the six-month period ended June 30, 2022, primarily due to revenue recognized from satisfied performance obligations exceeding amounts invoiced to customers that were in a contract liability position. Revenue recognized for the six-month periods ended June 30, 2022 and 2021 that was included in the Contract liability balance at the beginning of the year was $5.5 million and $4.7 million, respectively.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Inventories</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Once established, the original cost of the inventory less the related write-down represents the new cost basis of such inventories.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2022 and December 31, 2021, Inventories consisted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8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920" w:type="dxa"/>
            <w:vAlign w:val="bottom"/>
            <w:tcBorders>
              <w:bottom w:val="single" w:sz="8" w:color="auto"/>
            </w:tcBorders>
            <w:vMerge w:val="continue"/>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65,162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58,689</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8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50,557</w:t>
            </w:r>
          </w:p>
        </w:tc>
        <w:tc>
          <w:tcPr>
            <w:tcW w:w="18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44,839</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8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17,948</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14,354</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inventories</w:t>
            </w:r>
          </w:p>
        </w:tc>
        <w:tc>
          <w:tcPr>
            <w:tcW w:w="3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133,667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117,882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each business combination. Goodwill and intangible assets with indefinite useful lives are not amortized, but are tested for impairment at least annually. Our reportable segments are consistent with our operating segments.</w:t>
      </w:r>
    </w:p>
    <w:p>
      <w:pPr>
        <w:spacing w:after="0" w:line="144" w:lineRule="exact"/>
        <w:rPr>
          <w:sz w:val="20"/>
          <w:szCs w:val="20"/>
          <w:color w:val="auto"/>
        </w:rPr>
      </w:pPr>
    </w:p>
    <w:p>
      <w:pPr>
        <w:jc w:val="both"/>
        <w:ind w:right="40" w:firstLine="405"/>
        <w:spacing w:after="0" w:line="262" w:lineRule="auto"/>
        <w:rPr>
          <w:sz w:val="20"/>
          <w:szCs w:val="20"/>
          <w:color w:val="auto"/>
        </w:rPr>
      </w:pPr>
      <w:r>
        <w:rPr>
          <w:rFonts w:ascii="Arial" w:cs="Arial" w:eastAsia="Arial" w:hAnsi="Arial"/>
          <w:sz w:val="18"/>
          <w:szCs w:val="18"/>
          <w:color w:val="auto"/>
        </w:rPr>
        <w:t>In the second quarter of 2022, management applied the qualitative assessment approach in performing its annual evaluation of goodwill for the Company's Machine Clothing reporting unit and two AEC reporting units and concluded that each reporting unit’s fair value continued to exceed its carrying value. In addition, there were no amounts at risk due to the estimated excess between the fair and carrying values. Accordingly, no impairment charges were recorded.</w:t>
      </w:r>
    </w:p>
    <w:p>
      <w:pPr>
        <w:spacing w:after="0" w:line="6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When a quantitative assessment is performed, 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Financial Instruments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principally to banks and noteholders,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Revolving credit agreement with borrowings outstanding at an end of period interest rate of 3.52% in 2022</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3.74% in 2021 (including the effect of interest rate hedging transactions, as described below), due</w:t>
            </w:r>
          </w:p>
        </w:tc>
        <w:tc>
          <w:tcPr>
            <w:tcW w:w="3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2024</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485,000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350,000</w:t>
            </w: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current maturities of Long-term debt as of June 30, 2022 or December 31, 2021.</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$485 million of borrowings were outstanding as of June 30, 2022. The applicable interest rate for borrowings was LIBOR plus a spread, based on our leverage ratio at the time of borrowing. At the time of the last borrowing on June 27, 2022, the spread was 1.625%. The spread was based on a pricing grid, which ranged from 1.500% to 2.000%, based on our leverage ratio. Based on our maximum leverage ratio and our Consolidated EBITDA, and without modification to any other credit agreements, as of June 30, 2022, we would have been able to borrow an additional $215 million under the Agreement.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pacing w:after="0" w:line="4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2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14, 2021, we entered into interest rate swap agreements for the period October 17, 2022 through October 27, 2024. These transactions have the effect of fixing the LIBOR portion of the effective interest rate (before addition of the spread) on $350 million of indebtedness drawn under the Credit Agreement at the rate of 0.838% during the period. Under the terms of these transactions, we pay the fixed rate of 0.838% and the counterparties pay a floating rate based on the one-month LIBOR rate at each monthly calculation date. The monthly calculation date is the 16th day of each month, and on June 16, 2022, one-month LIBOR was 1.51%.</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The monthly calculation date is the 16th day of each month, and on June 16, 2022, one-month LIBOR was 1.51%. On June 16, 2022, the all-in-rate on the $350 million of debt was 3.735%.</w:t>
      </w:r>
    </w:p>
    <w:p>
      <w:pPr>
        <w:spacing w:after="0" w:line="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14. No cash collateral was received or pledged in relation to the swap agreements.</w:t>
      </w:r>
    </w:p>
    <w:p>
      <w:pPr>
        <w:spacing w:after="0" w:line="4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Under the Credit Agreement, we are currently required to maintain a leverage ratio (as defined in the agreement) of not greater than 3.50 to 1.00 and minimum interest coverage (as defined) of 3.00 to 1.00.</w:t>
      </w:r>
    </w:p>
    <w:p>
      <w:pPr>
        <w:spacing w:after="0" w:line="4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June 30, 2022, our leverage ratio was 1.43 to 1.00 and our interest coverage ratio was 15.19 to 1.00. We may purchase our Common Stock or pay dividends to the extent our leverage ratio remains at or below 3.50 to 1.00, and may make acquisitions with cash, provided our leverage ratio does not exceed the limits noted above.</w:t>
      </w:r>
    </w:p>
    <w:p>
      <w:pPr>
        <w:spacing w:after="0" w:line="63"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Indebtedness under the Credit Agreement is ranked equally in right of payment to all unsecured senior debt. We were in compliance with all debt covenants as of June 30, 2022.</w:t>
      </w:r>
    </w:p>
    <w:p>
      <w:pPr>
        <w:spacing w:after="0" w:line="4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Currently, our Credit Agreement and certain of our derivative instruments reference one-month USD LIBOR-based rates, which are set to discontinue after June 30, 2023. Regulators in the U.S. and other jurisdictions have been working to replace these rates with alternative reference interest rates that are supported by transactions in liquid and observable markets, such as the Secured Overnight Financing Rate (SOFR) for USD LIBOR. Our Credit Agreement contains provisions specifying alternative interest rate calculations to be employed when LIBOR ceases to be available as a benchmark and we have adhered to the ISDA IBOR Fallbacks Protocol, which will govern our derivatives upon the final cessation of USD LIBOR. ASU 2020-04, Reference Rate Reform, helps limit the accounting impact from contract modifications, including hedging relationships, due to the transition from LIBOR to alternative reference rates that are completed by December 31, 2022. We adopted certain provisions of ASU 2020-04 during 2021. While we currently do not expect a significant impact to our operating results, financial position or cash flows from the transition from LIBOR to alternative reference interest rates, we will continue to monitor the impact of this transition until it is completed.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Fair-Value Measurements</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June 30, 2022, or at December 31, 2021.</w:t>
      </w:r>
    </w:p>
    <w:p>
      <w:pPr>
        <w:spacing w:after="0" w:line="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3"/>
          </w:tcPr>
          <w:p>
            <w:pPr>
              <w:jc w:val="right"/>
              <w:ind w:right="1144"/>
              <w:spacing w:after="0"/>
              <w:rPr>
                <w:sz w:val="20"/>
                <w:szCs w:val="20"/>
                <w:color w:val="auto"/>
              </w:rPr>
            </w:pPr>
            <w:r>
              <w:rPr>
                <w:rFonts w:ascii="Arial" w:cs="Arial" w:eastAsia="Arial" w:hAnsi="Arial"/>
                <w:sz w:val="14"/>
                <w:szCs w:val="14"/>
                <w:b w:val="1"/>
                <w:bCs w:val="1"/>
                <w:color w:val="auto"/>
              </w:rPr>
              <w:t>June 30, 2022</w:t>
            </w:r>
          </w:p>
        </w:tc>
        <w:tc>
          <w:tcPr>
            <w:tcW w:w="2500" w:type="dxa"/>
            <w:vAlign w:val="bottom"/>
            <w:tcBorders>
              <w:top w:val="single" w:sz="8" w:color="auto"/>
              <w:bottom w:val="single" w:sz="8" w:color="auto"/>
            </w:tcBorders>
            <w:gridSpan w:val="3"/>
          </w:tcPr>
          <w:p>
            <w:pPr>
              <w:jc w:val="right"/>
              <w:ind w:right="644"/>
              <w:spacing w:after="0"/>
              <w:rPr>
                <w:sz w:val="20"/>
                <w:szCs w:val="20"/>
                <w:color w:val="auto"/>
              </w:rPr>
            </w:pPr>
            <w:r>
              <w:rPr>
                <w:rFonts w:ascii="Arial" w:cs="Arial" w:eastAsia="Arial" w:hAnsi="Arial"/>
                <w:sz w:val="14"/>
                <w:szCs w:val="14"/>
                <w:b w:val="1"/>
                <w:bCs w:val="1"/>
                <w:color w:val="auto"/>
              </w:rPr>
              <w:t>December 31, 2021</w:t>
            </w:r>
          </w:p>
        </w:tc>
      </w:tr>
      <w:tr>
        <w:trPr>
          <w:trHeight w:val="174"/>
        </w:trPr>
        <w:tc>
          <w:tcPr>
            <w:tcW w:w="5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5"/>
                <w:szCs w:val="15"/>
                <w:color w:val="auto"/>
              </w:rPr>
            </w:pPr>
          </w:p>
        </w:tc>
        <w:tc>
          <w:tcPr>
            <w:tcW w:w="1440" w:type="dxa"/>
            <w:vAlign w:val="bottom"/>
          </w:tcPr>
          <w:p>
            <w:pPr>
              <w:jc w:val="center"/>
              <w:ind w:right="464"/>
              <w:spacing w:after="0"/>
              <w:rPr>
                <w:sz w:val="20"/>
                <w:szCs w:val="20"/>
                <w:color w:val="auto"/>
              </w:rPr>
            </w:pPr>
            <w:r>
              <w:rPr>
                <w:rFonts w:ascii="Arial" w:cs="Arial" w:eastAsia="Arial" w:hAnsi="Arial"/>
                <w:sz w:val="14"/>
                <w:szCs w:val="14"/>
                <w:b w:val="1"/>
                <w:bCs w:val="1"/>
                <w:color w:val="auto"/>
              </w:rPr>
              <w:t>Significant</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5"/>
                <w:szCs w:val="15"/>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Significant</w:t>
            </w:r>
          </w:p>
        </w:tc>
      </w:tr>
      <w:tr>
        <w:trPr>
          <w:trHeight w:val="176"/>
        </w:trPr>
        <w:tc>
          <w:tcPr>
            <w:tcW w:w="5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5"/>
                <w:szCs w:val="15"/>
                <w:color w:val="auto"/>
              </w:rPr>
            </w:pPr>
          </w:p>
        </w:tc>
        <w:tc>
          <w:tcPr>
            <w:tcW w:w="1440" w:type="dxa"/>
            <w:vAlign w:val="bottom"/>
          </w:tcPr>
          <w:p>
            <w:pPr>
              <w:jc w:val="center"/>
              <w:ind w:right="444"/>
              <w:spacing w:after="0"/>
              <w:rPr>
                <w:sz w:val="20"/>
                <w:szCs w:val="20"/>
                <w:color w:val="auto"/>
              </w:rPr>
            </w:pPr>
            <w:r>
              <w:rPr>
                <w:rFonts w:ascii="Arial" w:cs="Arial" w:eastAsia="Arial" w:hAnsi="Arial"/>
                <w:sz w:val="14"/>
                <w:szCs w:val="14"/>
                <w:b w:val="1"/>
                <w:bCs w:val="1"/>
                <w:color w:val="auto"/>
              </w:rPr>
              <w:t>other</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5"/>
                <w:szCs w:val="15"/>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other</w:t>
            </w:r>
          </w:p>
        </w:tc>
      </w:tr>
      <w:tr>
        <w:trPr>
          <w:trHeight w:val="175"/>
        </w:trPr>
        <w:tc>
          <w:tcPr>
            <w:tcW w:w="5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5"/>
                <w:szCs w:val="15"/>
                <w:color w:val="auto"/>
              </w:rPr>
            </w:pPr>
          </w:p>
        </w:tc>
        <w:tc>
          <w:tcPr>
            <w:tcW w:w="1440" w:type="dxa"/>
            <w:vAlign w:val="bottom"/>
          </w:tcPr>
          <w:p>
            <w:pPr>
              <w:jc w:val="center"/>
              <w:ind w:right="444"/>
              <w:spacing w:after="0"/>
              <w:rPr>
                <w:sz w:val="20"/>
                <w:szCs w:val="20"/>
                <w:color w:val="auto"/>
              </w:rPr>
            </w:pPr>
            <w:r>
              <w:rPr>
                <w:rFonts w:ascii="Arial" w:cs="Arial" w:eastAsia="Arial" w:hAnsi="Arial"/>
                <w:sz w:val="14"/>
                <w:szCs w:val="14"/>
                <w:b w:val="1"/>
                <w:bCs w:val="1"/>
                <w:color w:val="auto"/>
              </w:rPr>
              <w:t>observable</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5"/>
                <w:szCs w:val="15"/>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observable</w:t>
            </w:r>
          </w:p>
        </w:tc>
      </w:tr>
      <w:tr>
        <w:trPr>
          <w:trHeight w:val="196"/>
        </w:trPr>
        <w:tc>
          <w:tcPr>
            <w:tcW w:w="5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440" w:type="dxa"/>
            <w:vAlign w:val="bottom"/>
          </w:tcPr>
          <w:p>
            <w:pPr>
              <w:jc w:val="center"/>
              <w:ind w:right="444"/>
              <w:spacing w:after="0"/>
              <w:rPr>
                <w:sz w:val="20"/>
                <w:szCs w:val="20"/>
                <w:color w:val="auto"/>
              </w:rPr>
            </w:pPr>
            <w:r>
              <w:rPr>
                <w:rFonts w:ascii="Arial" w:cs="Arial" w:eastAsia="Arial" w:hAnsi="Arial"/>
                <w:sz w:val="14"/>
                <w:szCs w:val="14"/>
                <w:b w:val="1"/>
                <w:bCs w:val="1"/>
                <w:color w:val="auto"/>
              </w:rPr>
              <w:t>inputs</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inputs</w:t>
            </w:r>
          </w:p>
        </w:tc>
      </w:tr>
      <w:tr>
        <w:trPr>
          <w:trHeight w:val="238"/>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464"/>
              <w:spacing w:after="0"/>
              <w:rPr>
                <w:sz w:val="20"/>
                <w:szCs w:val="20"/>
                <w:color w:val="auto"/>
              </w:rPr>
            </w:pPr>
            <w:r>
              <w:rPr>
                <w:rFonts w:ascii="Arial" w:cs="Arial" w:eastAsia="Arial" w:hAnsi="Arial"/>
                <w:sz w:val="14"/>
                <w:szCs w:val="14"/>
                <w:b w:val="1"/>
                <w:bCs w:val="1"/>
                <w:color w:val="auto"/>
              </w:rPr>
              <w:t>(Level 2)</w:t>
            </w:r>
          </w:p>
        </w:tc>
        <w:tc>
          <w:tcPr>
            <w:tcW w:w="110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(Level 2)</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5"/>
        </w:trPr>
        <w:tc>
          <w:tcPr>
            <w:tcW w:w="5680" w:type="dxa"/>
            <w:vAlign w:val="bottom"/>
          </w:tcPr>
          <w:p>
            <w:pPr>
              <w:ind w:left="20"/>
              <w:spacing w:after="0"/>
              <w:rPr>
                <w:sz w:val="20"/>
                <w:szCs w:val="20"/>
                <w:color w:val="auto"/>
              </w:rPr>
            </w:pPr>
            <w:r>
              <w:rPr>
                <w:rFonts w:ascii="Arial" w:cs="Arial" w:eastAsia="Arial" w:hAnsi="Arial"/>
                <w:sz w:val="16"/>
                <w:szCs w:val="16"/>
                <w:i w:val="1"/>
                <w:iCs w:val="1"/>
                <w:color w:val="auto"/>
              </w:rPr>
              <w:t>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4"/>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b w:val="1"/>
                <w:bCs w:val="1"/>
                <w:color w:val="auto"/>
              </w:rPr>
              <w:t>24,355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20,665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235"/>
        </w:trPr>
        <w:tc>
          <w:tcPr>
            <w:tcW w:w="5680" w:type="dxa"/>
            <w:vAlign w:val="bottom"/>
          </w:tcPr>
          <w:p>
            <w:pPr>
              <w:ind w:left="14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4"/>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of unaffiliated foreign public company (a)</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b w:val="1"/>
                <w:bCs w:val="1"/>
                <w:color w:val="auto"/>
              </w:rPr>
              <w:t>616</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4"/>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702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257"/>
        </w:trPr>
        <w:tc>
          <w:tcPr>
            <w:tcW w:w="5680" w:type="dxa"/>
            <w:vAlign w:val="bottom"/>
          </w:tcPr>
          <w:p>
            <w:pPr>
              <w:ind w:left="14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24"/>
              <w:spacing w:after="0"/>
              <w:rPr>
                <w:sz w:val="20"/>
                <w:szCs w:val="20"/>
                <w:color w:val="auto"/>
              </w:rPr>
            </w:pPr>
            <w:r>
              <w:rPr>
                <w:rFonts w:ascii="Arial" w:cs="Arial" w:eastAsia="Arial" w:hAnsi="Arial"/>
                <w:sz w:val="16"/>
                <w:szCs w:val="16"/>
                <w:b w:val="1"/>
                <w:bCs w:val="1"/>
                <w:color w:val="auto"/>
              </w:rPr>
              <w:t>16,063</w:t>
            </w:r>
          </w:p>
        </w:tc>
        <w:tc>
          <w:tcPr>
            <w:tcW w:w="1100" w:type="dxa"/>
            <w:vAlign w:val="bottom"/>
          </w:tcPr>
          <w:p>
            <w:pPr>
              <w:jc w:val="right"/>
              <w:ind w:right="23"/>
              <w:spacing w:after="0" w:line="234" w:lineRule="exact"/>
              <w:rPr>
                <w:sz w:val="20"/>
                <w:szCs w:val="20"/>
                <w:color w:val="auto"/>
              </w:rPr>
            </w:pPr>
            <w:r>
              <w:rPr>
                <w:rFonts w:ascii="Calibri" w:cs="Calibri" w:eastAsia="Calibri" w:hAnsi="Calibri"/>
                <w:sz w:val="20"/>
                <w:szCs w:val="20"/>
                <w:color w:val="auto"/>
              </w:rPr>
              <w:t>—</w:t>
            </w:r>
          </w:p>
        </w:tc>
        <w:tc>
          <w:tcPr>
            <w:tcW w:w="28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3,328</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Liabilities: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6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(5,176)</w:t>
            </w:r>
          </w:p>
        </w:tc>
      </w:tr>
    </w:tbl>
    <w:p>
      <w:pPr>
        <w:spacing w:after="0" w:line="62"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Original cost basis $0.5 million.</w:t>
      </w:r>
    </w:p>
    <w:p>
      <w:pPr>
        <w:spacing w:after="0" w:line="36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4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Amounts determined to be due within one year are reclassified to Other current assets and/or Accrued liabilities in the Consolidated Balance Sheets. Unrealized gains and losses on the swaps flow through the caption Derivative valuation adjustment in the Shareholders’ equity section of the Consolidated Balance Sheets. As of June 30, 2022, these interest rate swaps were determined to be highly effective hedges of interest rate cash flow risk. Amounts accumulated in Other comprehensive income are reclassified as Interest expense, net when the related interest payments (that is, the hedged forecasted transactions), and amortization related to the swap buyouts, affect earnings. Interest (income)/expense related to payments under the active swap agreements totaled $2.9 million for the six month period ended June 30, 2022, and $3.5 million for the six month period ended June 30, 2021. Additionally, non-cash interest income related to the amortization of swap buyouts totaled $0.0 million for the six month period ended June 30, 2022 and $0.3 million for the six month period ended June 30, 2021.</w:t>
      </w:r>
    </w:p>
    <w:p>
      <w:pPr>
        <w:spacing w:after="0" w:line="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net.</w:t>
      </w:r>
    </w:p>
    <w:p>
      <w:pPr>
        <w:spacing w:after="0" w:line="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 net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60" w:type="dxa"/>
            <w:vAlign w:val="bottom"/>
            <w:gridSpan w:val="3"/>
          </w:tcPr>
          <w:p>
            <w:pPr>
              <w:jc w:val="right"/>
              <w:ind w:right="304"/>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560" w:type="dxa"/>
            <w:vAlign w:val="bottom"/>
            <w:gridSpan w:val="3"/>
          </w:tcPr>
          <w:p>
            <w:pPr>
              <w:jc w:val="right"/>
              <w:ind w:right="424"/>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r>
      <w:tr>
        <w:trPr>
          <w:trHeight w:val="156"/>
        </w:trPr>
        <w:tc>
          <w:tcPr>
            <w:tcW w:w="326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Derivatives not designated as hedging</w:t>
            </w: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2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Foreign currency options (gains)/losses</w:t>
            </w: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596</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(381)</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9560" w:firstLine="8"/>
        <w:spacing w:after="0" w:line="374" w:lineRule="auto"/>
        <w:tabs>
          <w:tab w:leader="none" w:pos="3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b w:val="1"/>
          <w:bCs w:val="1"/>
          <w:color w:val="auto"/>
        </w:rPr>
        <w:t>Asbestos Litigation</w:t>
      </w:r>
    </w:p>
    <w:p>
      <w:pPr>
        <w:spacing w:after="0" w:line="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defending 3,614 claims as of June 30, 2022.</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06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40" w:type="dxa"/>
            <w:vAlign w:val="bottom"/>
          </w:tcPr>
          <w:p>
            <w:pPr>
              <w:jc w:val="center"/>
              <w:ind w:left="88"/>
              <w:spacing w:after="0"/>
              <w:rPr>
                <w:sz w:val="20"/>
                <w:szCs w:val="20"/>
                <w:color w:val="auto"/>
              </w:rPr>
            </w:pPr>
            <w:r>
              <w:rPr>
                <w:rFonts w:ascii="Arial" w:cs="Arial" w:eastAsia="Arial" w:hAnsi="Arial"/>
                <w:sz w:val="14"/>
                <w:szCs w:val="14"/>
                <w:b w:val="1"/>
                <w:bCs w:val="1"/>
                <w:color w:val="auto"/>
              </w:rPr>
              <w:t>Claims</w:t>
            </w: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05"/>
              <w:spacing w:after="0"/>
              <w:rPr>
                <w:sz w:val="20"/>
                <w:szCs w:val="20"/>
                <w:color w:val="auto"/>
              </w:rPr>
            </w:pPr>
            <w:r>
              <w:rPr>
                <w:rFonts w:ascii="Arial" w:cs="Arial" w:eastAsia="Arial" w:hAnsi="Arial"/>
                <w:sz w:val="14"/>
                <w:szCs w:val="14"/>
                <w:b w:val="1"/>
                <w:bCs w:val="1"/>
                <w:color w:val="auto"/>
              </w:rPr>
              <w:t>Amounts Paid</w:t>
            </w:r>
          </w:p>
        </w:tc>
      </w:tr>
      <w:tr>
        <w:trPr>
          <w:trHeight w:val="176"/>
        </w:trPr>
        <w:tc>
          <w:tcPr>
            <w:tcW w:w="2920" w:type="dxa"/>
            <w:vAlign w:val="bottom"/>
          </w:tcPr>
          <w:p>
            <w:pPr>
              <w:spacing w:after="0"/>
              <w:rPr>
                <w:sz w:val="15"/>
                <w:szCs w:val="15"/>
                <w:color w:val="auto"/>
              </w:rPr>
            </w:pPr>
          </w:p>
        </w:tc>
        <w:tc>
          <w:tcPr>
            <w:tcW w:w="2420" w:type="dxa"/>
            <w:vAlign w:val="bottom"/>
          </w:tcPr>
          <w:p>
            <w:pPr>
              <w:jc w:val="center"/>
              <w:ind w:left="564"/>
              <w:spacing w:after="0"/>
              <w:rPr>
                <w:sz w:val="20"/>
                <w:szCs w:val="20"/>
                <w:color w:val="auto"/>
              </w:rPr>
            </w:pPr>
            <w:r>
              <w:rPr>
                <w:rFonts w:ascii="Arial" w:cs="Arial" w:eastAsia="Arial" w:hAnsi="Arial"/>
                <w:sz w:val="14"/>
                <w:szCs w:val="14"/>
                <w:b w:val="1"/>
                <w:bCs w:val="1"/>
                <w:color w:val="auto"/>
              </w:rPr>
              <w:t>Opening</w:t>
            </w:r>
          </w:p>
        </w:tc>
        <w:tc>
          <w:tcPr>
            <w:tcW w:w="1040" w:type="dxa"/>
            <w:vAlign w:val="bottom"/>
          </w:tcPr>
          <w:p>
            <w:pPr>
              <w:jc w:val="center"/>
              <w:ind w:left="88"/>
              <w:spacing w:after="0"/>
              <w:rPr>
                <w:sz w:val="20"/>
                <w:szCs w:val="20"/>
                <w:color w:val="auto"/>
              </w:rPr>
            </w:pPr>
            <w:r>
              <w:rPr>
                <w:rFonts w:ascii="Arial" w:cs="Arial" w:eastAsia="Arial" w:hAnsi="Arial"/>
                <w:sz w:val="14"/>
                <w:szCs w:val="14"/>
                <w:b w:val="1"/>
                <w:bCs w:val="1"/>
                <w:color w:val="auto"/>
              </w:rPr>
              <w:t>Dismissed,</w:t>
            </w: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Closing</w:t>
            </w:r>
          </w:p>
        </w:tc>
        <w:tc>
          <w:tcPr>
            <w:tcW w:w="200" w:type="dxa"/>
            <w:vAlign w:val="bottom"/>
          </w:tcPr>
          <w:p>
            <w:pPr>
              <w:spacing w:after="0"/>
              <w:rPr>
                <w:sz w:val="15"/>
                <w:szCs w:val="15"/>
                <w:color w:val="auto"/>
              </w:rPr>
            </w:pPr>
          </w:p>
        </w:tc>
        <w:tc>
          <w:tcPr>
            <w:tcW w:w="1340" w:type="dxa"/>
            <w:vAlign w:val="bottom"/>
          </w:tcPr>
          <w:p>
            <w:pPr>
              <w:jc w:val="center"/>
              <w:ind w:right="105"/>
              <w:spacing w:after="0"/>
              <w:rPr>
                <w:sz w:val="20"/>
                <w:szCs w:val="20"/>
                <w:color w:val="auto"/>
              </w:rPr>
            </w:pPr>
            <w:r>
              <w:rPr>
                <w:rFonts w:ascii="Arial" w:cs="Arial" w:eastAsia="Arial" w:hAnsi="Arial"/>
                <w:sz w:val="14"/>
                <w:szCs w:val="14"/>
                <w:b w:val="1"/>
                <w:bCs w:val="1"/>
                <w:color w:val="auto"/>
              </w:rPr>
              <w:t>(thousands) to</w:t>
            </w:r>
          </w:p>
        </w:tc>
      </w:tr>
      <w:tr>
        <w:trPr>
          <w:trHeight w:val="175"/>
        </w:trPr>
        <w:tc>
          <w:tcPr>
            <w:tcW w:w="2920" w:type="dxa"/>
            <w:vAlign w:val="bottom"/>
          </w:tcPr>
          <w:p>
            <w:pPr>
              <w:spacing w:after="0"/>
              <w:rPr>
                <w:sz w:val="15"/>
                <w:szCs w:val="15"/>
                <w:color w:val="auto"/>
              </w:rPr>
            </w:pPr>
          </w:p>
        </w:tc>
        <w:tc>
          <w:tcPr>
            <w:tcW w:w="2420" w:type="dxa"/>
            <w:vAlign w:val="bottom"/>
          </w:tcPr>
          <w:p>
            <w:pPr>
              <w:jc w:val="center"/>
              <w:ind w:left="544"/>
              <w:spacing w:after="0"/>
              <w:rPr>
                <w:sz w:val="20"/>
                <w:szCs w:val="20"/>
                <w:color w:val="auto"/>
              </w:rPr>
            </w:pPr>
            <w:r>
              <w:rPr>
                <w:rFonts w:ascii="Arial" w:cs="Arial" w:eastAsia="Arial" w:hAnsi="Arial"/>
                <w:sz w:val="14"/>
                <w:szCs w:val="14"/>
                <w:b w:val="1"/>
                <w:bCs w:val="1"/>
                <w:color w:val="auto"/>
              </w:rPr>
              <w:t>Number of</w:t>
            </w:r>
          </w:p>
        </w:tc>
        <w:tc>
          <w:tcPr>
            <w:tcW w:w="1040" w:type="dxa"/>
            <w:vAlign w:val="bottom"/>
          </w:tcPr>
          <w:p>
            <w:pPr>
              <w:jc w:val="center"/>
              <w:ind w:left="88"/>
              <w:spacing w:after="0"/>
              <w:rPr>
                <w:sz w:val="20"/>
                <w:szCs w:val="20"/>
                <w:color w:val="auto"/>
              </w:rPr>
            </w:pPr>
            <w:r>
              <w:rPr>
                <w:rFonts w:ascii="Arial" w:cs="Arial" w:eastAsia="Arial" w:hAnsi="Arial"/>
                <w:sz w:val="14"/>
                <w:szCs w:val="14"/>
                <w:b w:val="1"/>
                <w:bCs w:val="1"/>
                <w:color w:val="auto"/>
              </w:rPr>
              <w:t>Settled, or</w:t>
            </w: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5"/>
                <w:szCs w:val="15"/>
                <w:color w:val="auto"/>
              </w:rPr>
            </w:pPr>
          </w:p>
        </w:tc>
        <w:tc>
          <w:tcPr>
            <w:tcW w:w="1340" w:type="dxa"/>
            <w:vAlign w:val="bottom"/>
          </w:tcPr>
          <w:p>
            <w:pPr>
              <w:jc w:val="center"/>
              <w:ind w:right="85"/>
              <w:spacing w:after="0"/>
              <w:rPr>
                <w:sz w:val="20"/>
                <w:szCs w:val="20"/>
                <w:color w:val="auto"/>
              </w:rPr>
            </w:pPr>
            <w:r>
              <w:rPr>
                <w:rFonts w:ascii="Arial" w:cs="Arial" w:eastAsia="Arial" w:hAnsi="Arial"/>
                <w:sz w:val="14"/>
                <w:szCs w:val="14"/>
                <w:b w:val="1"/>
                <w:bCs w:val="1"/>
                <w:color w:val="auto"/>
              </w:rPr>
              <w:t>Settle or</w:t>
            </w:r>
          </w:p>
        </w:tc>
      </w:tr>
      <w:tr>
        <w:trPr>
          <w:trHeight w:val="211"/>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420" w:type="dxa"/>
            <w:vAlign w:val="bottom"/>
            <w:tcBorders>
              <w:bottom w:val="single" w:sz="8" w:color="auto"/>
            </w:tcBorders>
          </w:tcPr>
          <w:p>
            <w:pPr>
              <w:jc w:val="center"/>
              <w:ind w:left="544"/>
              <w:spacing w:after="0"/>
              <w:rPr>
                <w:sz w:val="20"/>
                <w:szCs w:val="20"/>
                <w:color w:val="auto"/>
              </w:rPr>
            </w:pPr>
            <w:r>
              <w:rPr>
                <w:rFonts w:ascii="Arial" w:cs="Arial" w:eastAsia="Arial" w:hAnsi="Arial"/>
                <w:sz w:val="14"/>
                <w:szCs w:val="14"/>
                <w:b w:val="1"/>
                <w:bCs w:val="1"/>
                <w:color w:val="auto"/>
              </w:rPr>
              <w:t>Claims</w:t>
            </w:r>
          </w:p>
        </w:tc>
        <w:tc>
          <w:tcPr>
            <w:tcW w:w="10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Resolved</w:t>
            </w: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New Claims</w:t>
            </w:r>
          </w:p>
        </w:tc>
        <w:tc>
          <w:tcPr>
            <w:tcW w:w="13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Claims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rPr>
              <w:t>Resolve</w:t>
            </w:r>
          </w:p>
        </w:tc>
      </w:tr>
      <w:tr>
        <w:trPr>
          <w:trHeight w:val="210"/>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42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3,615</w:t>
            </w: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w:t>
            </w:r>
          </w:p>
        </w:tc>
        <w:tc>
          <w:tcPr>
            <w:tcW w:w="15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26</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93</w:t>
            </w:r>
          </w:p>
        </w:tc>
      </w:tr>
      <w:tr>
        <w:trPr>
          <w:trHeight w:val="216"/>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2022 (As of June 30)</w:t>
            </w:r>
          </w:p>
        </w:tc>
        <w:tc>
          <w:tcPr>
            <w:tcW w:w="242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3,609</w:t>
            </w: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8</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w:t>
            </w:r>
          </w:p>
        </w:tc>
      </w:tr>
    </w:tbl>
    <w:p>
      <w:pPr>
        <w:spacing w:after="0" w:line="200" w:lineRule="exact"/>
        <w:rPr>
          <w:sz w:val="20"/>
          <w:szCs w:val="20"/>
          <w:color w:val="auto"/>
        </w:rPr>
      </w:pPr>
    </w:p>
    <w:p>
      <w:pPr>
        <w:spacing w:after="0" w:line="21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June 30, 2022, we had resolved, by means of settlement or dismissal, 37,988 claims. The total cost of resolving all claims was $10.5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7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7,709 claims as of June 30, 2022, only twelve claims have been filed against Brandon since January 1, 2012, and only $15,000 in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7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7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Changes in Shareholders’ Equity</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2021 to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40" w:type="dxa"/>
            <w:vAlign w:val="bottom"/>
          </w:tcPr>
          <w:p>
            <w:pPr>
              <w:spacing w:after="0"/>
              <w:rPr>
                <w:sz w:val="10"/>
                <w:szCs w:val="10"/>
                <w:color w:val="auto"/>
              </w:rPr>
            </w:pPr>
          </w:p>
        </w:tc>
        <w:tc>
          <w:tcPr>
            <w:tcW w:w="1620" w:type="dxa"/>
            <w:vAlign w:val="bottom"/>
            <w:gridSpan w:val="3"/>
          </w:tcPr>
          <w:p>
            <w:pPr>
              <w:jc w:val="right"/>
              <w:ind w:right="606"/>
              <w:spacing w:after="0"/>
              <w:rPr>
                <w:sz w:val="20"/>
                <w:szCs w:val="20"/>
                <w:color w:val="auto"/>
              </w:rPr>
            </w:pPr>
            <w:r>
              <w:rPr>
                <w:rFonts w:ascii="Arial" w:cs="Arial" w:eastAsia="Arial" w:hAnsi="Arial"/>
                <w:sz w:val="11"/>
                <w:szCs w:val="11"/>
                <w:b w:val="1"/>
                <w:bCs w:val="1"/>
                <w:color w:val="auto"/>
              </w:rPr>
              <w:t>Class A</w:t>
            </w:r>
          </w:p>
        </w:tc>
        <w:tc>
          <w:tcPr>
            <w:tcW w:w="1380" w:type="dxa"/>
            <w:vAlign w:val="bottom"/>
            <w:gridSpan w:val="3"/>
          </w:tcPr>
          <w:p>
            <w:pPr>
              <w:ind w:left="440"/>
              <w:spacing w:after="0"/>
              <w:rPr>
                <w:sz w:val="20"/>
                <w:szCs w:val="20"/>
                <w:color w:val="auto"/>
              </w:rPr>
            </w:pPr>
            <w:r>
              <w:rPr>
                <w:rFonts w:ascii="Arial" w:cs="Arial" w:eastAsia="Arial" w:hAnsi="Arial"/>
                <w:sz w:val="11"/>
                <w:szCs w:val="11"/>
                <w:b w:val="1"/>
                <w:bCs w:val="1"/>
                <w:color w:val="auto"/>
              </w:rPr>
              <w:t>Class B</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80" w:type="dxa"/>
            <w:vAlign w:val="bottom"/>
            <w:gridSpan w:val="3"/>
          </w:tcPr>
          <w:p>
            <w:pPr>
              <w:jc w:val="right"/>
              <w:ind w:right="446"/>
              <w:spacing w:after="0"/>
              <w:rPr>
                <w:sz w:val="20"/>
                <w:szCs w:val="20"/>
                <w:color w:val="auto"/>
              </w:rPr>
            </w:pPr>
            <w:r>
              <w:rPr>
                <w:rFonts w:ascii="Arial" w:cs="Arial" w:eastAsia="Arial" w:hAnsi="Arial"/>
                <w:sz w:val="11"/>
                <w:szCs w:val="11"/>
                <w:b w:val="1"/>
                <w:bCs w:val="1"/>
                <w:color w:val="auto"/>
              </w:rPr>
              <w:t>Class A</w:t>
            </w: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620" w:type="dxa"/>
            <w:vAlign w:val="bottom"/>
            <w:gridSpan w:val="3"/>
          </w:tcPr>
          <w:p>
            <w:pPr>
              <w:jc w:val="right"/>
              <w:ind w:right="406"/>
              <w:spacing w:after="0"/>
              <w:rPr>
                <w:sz w:val="20"/>
                <w:szCs w:val="20"/>
                <w:color w:val="auto"/>
              </w:rPr>
            </w:pPr>
            <w:r>
              <w:rPr>
                <w:rFonts w:ascii="Arial" w:cs="Arial" w:eastAsia="Arial" w:hAnsi="Arial"/>
                <w:sz w:val="11"/>
                <w:szCs w:val="11"/>
                <w:b w:val="1"/>
                <w:bCs w:val="1"/>
                <w:color w:val="auto"/>
              </w:rPr>
              <w:t>Common Stock</w:t>
            </w:r>
          </w:p>
        </w:tc>
        <w:tc>
          <w:tcPr>
            <w:tcW w:w="1380" w:type="dxa"/>
            <w:vAlign w:val="bottom"/>
            <w:gridSpan w:val="3"/>
          </w:tcPr>
          <w:p>
            <w:pPr>
              <w:ind w:left="24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7"/>
              </w:rPr>
              <w:t>Accumulated items of</w:t>
            </w:r>
          </w:p>
        </w:tc>
        <w:tc>
          <w:tcPr>
            <w:tcW w:w="1380" w:type="dxa"/>
            <w:vAlign w:val="bottom"/>
            <w:gridSpan w:val="3"/>
          </w:tcPr>
          <w:p>
            <w:pPr>
              <w:jc w:val="right"/>
              <w:ind w:right="246"/>
              <w:spacing w:after="0"/>
              <w:rPr>
                <w:sz w:val="20"/>
                <w:szCs w:val="20"/>
                <w:color w:val="auto"/>
              </w:rPr>
            </w:pPr>
            <w:r>
              <w:rPr>
                <w:rFonts w:ascii="Arial" w:cs="Arial" w:eastAsia="Arial" w:hAnsi="Arial"/>
                <w:sz w:val="11"/>
                <w:szCs w:val="11"/>
                <w:b w:val="1"/>
                <w:bCs w:val="1"/>
                <w:color w:val="auto"/>
              </w:rPr>
              <w:t>Treasury Stock</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5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Additional paid-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other comprehensive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400"/>
              <w:spacing w:after="0"/>
              <w:rPr>
                <w:sz w:val="20"/>
                <w:szCs w:val="20"/>
                <w:color w:val="auto"/>
              </w:rPr>
            </w:pPr>
            <w:r>
              <w:rPr>
                <w:rFonts w:ascii="Arial" w:cs="Arial" w:eastAsia="Arial" w:hAnsi="Arial"/>
                <w:sz w:val="11"/>
                <w:szCs w:val="11"/>
                <w:b w:val="1"/>
                <w:bCs w:val="1"/>
                <w:color w:val="auto"/>
              </w:rPr>
              <w:t>(in thousands)</w:t>
            </w:r>
          </w:p>
        </w:tc>
        <w:tc>
          <w:tcPr>
            <w:tcW w:w="78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720" w:type="dxa"/>
            <w:vAlign w:val="bottom"/>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740" w:type="dxa"/>
            <w:vAlign w:val="bottom"/>
          </w:tcPr>
          <w:p>
            <w:pPr>
              <w:jc w:val="right"/>
              <w:ind w:right="146"/>
              <w:spacing w:after="0"/>
              <w:rPr>
                <w:sz w:val="20"/>
                <w:szCs w:val="20"/>
                <w:color w:val="auto"/>
              </w:rPr>
            </w:pPr>
            <w:r>
              <w:rPr>
                <w:rFonts w:ascii="Arial" w:cs="Arial" w:eastAsia="Arial" w:hAnsi="Arial"/>
                <w:sz w:val="11"/>
                <w:szCs w:val="11"/>
                <w:b w:val="1"/>
                <w:bCs w:val="1"/>
                <w:color w:val="auto"/>
              </w:rPr>
              <w:t>in capital</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Retained earnings</w:t>
            </w:r>
          </w:p>
        </w:tc>
        <w:tc>
          <w:tcPr>
            <w:tcW w:w="120" w:type="dxa"/>
            <w:vAlign w:val="bottom"/>
          </w:tcPr>
          <w:p>
            <w:pPr>
              <w:spacing w:after="0"/>
              <w:rPr>
                <w:sz w:val="12"/>
                <w:szCs w:val="12"/>
                <w:color w:val="auto"/>
              </w:rPr>
            </w:pPr>
          </w:p>
        </w:tc>
        <w:tc>
          <w:tcPr>
            <w:tcW w:w="130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income</w:t>
            </w:r>
          </w:p>
        </w:tc>
        <w:tc>
          <w:tcPr>
            <w:tcW w:w="66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b w:val="1"/>
                <w:bCs w:val="1"/>
                <w:color w:val="auto"/>
              </w:rPr>
              <w:t>Amount</w:t>
            </w: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Noncontrolling Interest</w:t>
            </w:r>
          </w:p>
        </w:tc>
        <w:tc>
          <w:tcPr>
            <w:tcW w:w="10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b w:val="1"/>
                <w:bCs w:val="1"/>
                <w:color w:val="auto"/>
                <w:w w:val="95"/>
              </w:rPr>
              <w:t>Total Equity</w:t>
            </w:r>
          </w:p>
        </w:tc>
        <w:tc>
          <w:tcPr>
            <w:tcW w:w="0" w:type="dxa"/>
            <w:vAlign w:val="bottom"/>
          </w:tcPr>
          <w:p>
            <w:pPr>
              <w:spacing w:after="0"/>
              <w:rPr>
                <w:sz w:val="1"/>
                <w:szCs w:val="1"/>
                <w:color w:val="auto"/>
              </w:rPr>
            </w:pPr>
          </w:p>
        </w:tc>
      </w:tr>
      <w:tr>
        <w:trPr>
          <w:trHeight w:val="28"/>
        </w:trPr>
        <w:tc>
          <w:tcPr>
            <w:tcW w:w="1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40,760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41</w:t>
            </w:r>
          </w:p>
        </w:tc>
        <w:tc>
          <w:tcPr>
            <w:tcW w:w="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436,996</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863,057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(145,984)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8,665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(280,143)</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3,638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877,605</w:t>
            </w: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27,737</w:t>
            </w:r>
          </w:p>
        </w:tc>
        <w:tc>
          <w:tcPr>
            <w:tcW w:w="12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338</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28,075</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Compensation and benefits</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745</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745</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paid or payable in shares</w:t>
            </w: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Purchase of Treasury shares</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515</w:t>
            </w: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(43,937)</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(43,937)</w:t>
            </w: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rPr>
              <w:t>(a)</w:t>
            </w: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Class A Common Stock,</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(6,661)</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(6,661)</w:t>
            </w: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$0.21 per share</w:t>
            </w: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Class B Common Stock,</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$0.21 per share</w:t>
            </w: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1"/>
                <w:szCs w:val="11"/>
                <w:color w:val="auto"/>
              </w:rPr>
              <w:t>(1,730)</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(1,674)</w:t>
            </w: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74</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8"/>
              </w:rPr>
              <w:t>Derivative valuation adjustment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10,018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10,018</w:t>
            </w:r>
          </w:p>
        </w:tc>
        <w:tc>
          <w:tcPr>
            <w:tcW w:w="0" w:type="dxa"/>
            <w:vAlign w:val="bottom"/>
          </w:tcPr>
          <w:p>
            <w:pPr>
              <w:spacing w:after="0"/>
              <w:rPr>
                <w:sz w:val="1"/>
                <w:szCs w:val="1"/>
                <w:color w:val="auto"/>
              </w:rPr>
            </w:pPr>
          </w:p>
        </w:tc>
      </w:tr>
      <w:tr>
        <w:trPr>
          <w:trHeight w:val="156"/>
        </w:trPr>
        <w:tc>
          <w:tcPr>
            <w:tcW w:w="1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March 31, 2022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40,781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41</w:t>
            </w:r>
          </w:p>
        </w:tc>
        <w:tc>
          <w:tcPr>
            <w:tcW w:w="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437,748</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884,133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(137,622)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9,180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(324,080)</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4,032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864,252</w:t>
            </w: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39,201</w:t>
            </w:r>
          </w:p>
        </w:tc>
        <w:tc>
          <w:tcPr>
            <w:tcW w:w="12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168</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39,369</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Compensation and benefits</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902</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902</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paid or payable in shares</w:t>
            </w: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800</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285</w:t>
            </w: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1,085</w:t>
            </w: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Purchase of Treasury shares</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508</w:t>
            </w: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(41,128)</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(41,128)</w:t>
            </w: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(a)</w:t>
            </w: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7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Class A Common Stock,</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(6,529)</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(6,529)</w:t>
            </w: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$0.21 per share</w:t>
            </w: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Class B Common Stock,</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$0.21 per share</w:t>
            </w: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1"/>
                <w:szCs w:val="11"/>
                <w:color w:val="auto"/>
              </w:rPr>
              <w:t>(39,661)</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(91)</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(39,752)</w:t>
            </w: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54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Pension and postretirement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234</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8"/>
              </w:rPr>
              <w:t>Derivative valuation adjustment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3,349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3,349</w:t>
            </w:r>
          </w:p>
        </w:tc>
        <w:tc>
          <w:tcPr>
            <w:tcW w:w="0" w:type="dxa"/>
            <w:vAlign w:val="bottom"/>
          </w:tcPr>
          <w:p>
            <w:pPr>
              <w:spacing w:after="0"/>
              <w:rPr>
                <w:sz w:val="1"/>
                <w:szCs w:val="1"/>
                <w:color w:val="auto"/>
              </w:rPr>
            </w:pPr>
          </w:p>
        </w:tc>
      </w:tr>
      <w:tr>
        <w:trPr>
          <w:trHeight w:val="155"/>
        </w:trPr>
        <w:tc>
          <w:tcPr>
            <w:tcW w:w="1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June 30, 2022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40,785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41</w:t>
            </w:r>
          </w:p>
        </w:tc>
        <w:tc>
          <w:tcPr>
            <w:tcW w:w="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439,450</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916,805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(173,700)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9,675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(364,923)</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4,109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821,782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2020 to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500" w:type="dxa"/>
            <w:vAlign w:val="bottom"/>
          </w:tcPr>
          <w:p>
            <w:pPr>
              <w:spacing w:after="0"/>
              <w:rPr>
                <w:sz w:val="11"/>
                <w:szCs w:val="11"/>
                <w:color w:val="auto"/>
              </w:rPr>
            </w:pPr>
          </w:p>
        </w:tc>
        <w:tc>
          <w:tcPr>
            <w:tcW w:w="1580" w:type="dxa"/>
            <w:vAlign w:val="bottom"/>
            <w:gridSpan w:val="3"/>
          </w:tcPr>
          <w:p>
            <w:pPr>
              <w:jc w:val="right"/>
              <w:ind w:right="586"/>
              <w:spacing w:after="0"/>
              <w:rPr>
                <w:sz w:val="20"/>
                <w:szCs w:val="20"/>
                <w:color w:val="auto"/>
              </w:rPr>
            </w:pPr>
            <w:r>
              <w:rPr>
                <w:rFonts w:ascii="Arial" w:cs="Arial" w:eastAsia="Arial" w:hAnsi="Arial"/>
                <w:sz w:val="11"/>
                <w:szCs w:val="11"/>
                <w:b w:val="1"/>
                <w:bCs w:val="1"/>
                <w:color w:val="auto"/>
              </w:rPr>
              <w:t>Class A</w:t>
            </w:r>
          </w:p>
        </w:tc>
        <w:tc>
          <w:tcPr>
            <w:tcW w:w="1360" w:type="dxa"/>
            <w:vAlign w:val="bottom"/>
            <w:gridSpan w:val="3"/>
          </w:tcPr>
          <w:p>
            <w:pPr>
              <w:jc w:val="right"/>
              <w:ind w:right="466"/>
              <w:spacing w:after="0"/>
              <w:rPr>
                <w:sz w:val="20"/>
                <w:szCs w:val="20"/>
                <w:color w:val="auto"/>
              </w:rPr>
            </w:pPr>
            <w:r>
              <w:rPr>
                <w:rFonts w:ascii="Arial" w:cs="Arial" w:eastAsia="Arial" w:hAnsi="Arial"/>
                <w:sz w:val="11"/>
                <w:szCs w:val="11"/>
                <w:b w:val="1"/>
                <w:bCs w:val="1"/>
                <w:color w:val="auto"/>
              </w:rPr>
              <w:t>Class B</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60" w:type="dxa"/>
            <w:vAlign w:val="bottom"/>
            <w:gridSpan w:val="3"/>
          </w:tcPr>
          <w:p>
            <w:pPr>
              <w:jc w:val="right"/>
              <w:ind w:right="426"/>
              <w:spacing w:after="0"/>
              <w:rPr>
                <w:sz w:val="20"/>
                <w:szCs w:val="20"/>
                <w:color w:val="auto"/>
              </w:rPr>
            </w:pPr>
            <w:r>
              <w:rPr>
                <w:rFonts w:ascii="Arial" w:cs="Arial" w:eastAsia="Arial" w:hAnsi="Arial"/>
                <w:sz w:val="11"/>
                <w:szCs w:val="11"/>
                <w:b w:val="1"/>
                <w:bCs w:val="1"/>
                <w:color w:val="auto"/>
              </w:rPr>
              <w:t>Class A</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580" w:type="dxa"/>
            <w:vAlign w:val="bottom"/>
            <w:gridSpan w:val="3"/>
          </w:tcPr>
          <w:p>
            <w:pPr>
              <w:jc w:val="right"/>
              <w:ind w:right="386"/>
              <w:spacing w:after="0"/>
              <w:rPr>
                <w:sz w:val="20"/>
                <w:szCs w:val="20"/>
                <w:color w:val="auto"/>
              </w:rPr>
            </w:pPr>
            <w:r>
              <w:rPr>
                <w:rFonts w:ascii="Arial" w:cs="Arial" w:eastAsia="Arial" w:hAnsi="Arial"/>
                <w:sz w:val="11"/>
                <w:szCs w:val="11"/>
                <w:b w:val="1"/>
                <w:bCs w:val="1"/>
                <w:color w:val="auto"/>
              </w:rPr>
              <w:t>Common Stock</w:t>
            </w:r>
          </w:p>
        </w:tc>
        <w:tc>
          <w:tcPr>
            <w:tcW w:w="1360" w:type="dxa"/>
            <w:vAlign w:val="bottom"/>
            <w:gridSpan w:val="3"/>
          </w:tcPr>
          <w:p>
            <w:pPr>
              <w:jc w:val="right"/>
              <w:ind w:right="286"/>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right"/>
              <w:ind w:right="386"/>
              <w:spacing w:after="0"/>
              <w:rPr>
                <w:sz w:val="20"/>
                <w:szCs w:val="20"/>
                <w:color w:val="auto"/>
              </w:rPr>
            </w:pPr>
            <w:r>
              <w:rPr>
                <w:rFonts w:ascii="Arial" w:cs="Arial" w:eastAsia="Arial" w:hAnsi="Arial"/>
                <w:sz w:val="11"/>
                <w:szCs w:val="11"/>
                <w:b w:val="1"/>
                <w:bCs w:val="1"/>
                <w:color w:val="auto"/>
              </w:rPr>
              <w:t>Accumulated</w:t>
            </w:r>
          </w:p>
        </w:tc>
        <w:tc>
          <w:tcPr>
            <w:tcW w:w="1360" w:type="dxa"/>
            <w:vAlign w:val="bottom"/>
            <w:gridSpan w:val="3"/>
          </w:tcPr>
          <w:p>
            <w:pPr>
              <w:jc w:val="right"/>
              <w:ind w:right="226"/>
              <w:spacing w:after="0"/>
              <w:rPr>
                <w:sz w:val="20"/>
                <w:szCs w:val="20"/>
                <w:color w:val="auto"/>
              </w:rPr>
            </w:pPr>
            <w:r>
              <w:rPr>
                <w:rFonts w:ascii="Arial" w:cs="Arial" w:eastAsia="Arial" w:hAnsi="Arial"/>
                <w:sz w:val="11"/>
                <w:szCs w:val="11"/>
                <w:b w:val="1"/>
                <w:bCs w:val="1"/>
                <w:color w:val="auto"/>
              </w:rPr>
              <w:t>Treasury Stock</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w w:val="98"/>
              </w:rPr>
              <w:t>Additional paid-</w:t>
            </w: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vMerge w:val="restart"/>
          </w:tcPr>
          <w:p>
            <w:pPr>
              <w:jc w:val="right"/>
              <w:ind w:right="506"/>
              <w:spacing w:after="0" w:line="122" w:lineRule="exact"/>
              <w:rPr>
                <w:sz w:val="20"/>
                <w:szCs w:val="20"/>
                <w:color w:val="auto"/>
              </w:rPr>
            </w:pPr>
            <w:r>
              <w:rPr>
                <w:rFonts w:ascii="Arial" w:cs="Arial" w:eastAsia="Arial" w:hAnsi="Arial"/>
                <w:sz w:val="11"/>
                <w:szCs w:val="11"/>
                <w:b w:val="1"/>
                <w:bCs w:val="1"/>
                <w:color w:val="auto"/>
              </w:rPr>
              <w:t>items of</w:t>
            </w: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7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Amount</w:t>
            </w:r>
          </w:p>
        </w:tc>
        <w:tc>
          <w:tcPr>
            <w:tcW w:w="6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6"/>
              </w:rPr>
              <w:t>Amount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in capital</w:t>
            </w:r>
          </w:p>
        </w:tc>
        <w:tc>
          <w:tcPr>
            <w:tcW w:w="252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98"/>
              </w:rPr>
              <w:t>Retained earnings other comprehensive income</w:t>
            </w: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9"/>
              </w:rPr>
              <w:t>Noncontrolling Interest</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8"/>
              </w:rPr>
              <w:t>Total Equity</w:t>
            </w:r>
          </w:p>
        </w:tc>
        <w:tc>
          <w:tcPr>
            <w:tcW w:w="0" w:type="dxa"/>
            <w:vAlign w:val="bottom"/>
          </w:tcPr>
          <w:p>
            <w:pPr>
              <w:spacing w:after="0"/>
              <w:rPr>
                <w:sz w:val="1"/>
                <w:szCs w:val="1"/>
                <w:color w:val="auto"/>
              </w:rPr>
            </w:pPr>
          </w:p>
        </w:tc>
      </w:tr>
      <w:tr>
        <w:trPr>
          <w:trHeight w:val="156"/>
        </w:trPr>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39,115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433,696</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770,746</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(132,408)</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8,391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(256,009)</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3,799</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819,865</w:t>
            </w:r>
          </w:p>
        </w:tc>
        <w:tc>
          <w:tcPr>
            <w:tcW w:w="0" w:type="dxa"/>
            <w:vAlign w:val="bottom"/>
          </w:tcPr>
          <w:p>
            <w:pPr>
              <w:spacing w:after="0"/>
              <w:rPr>
                <w:sz w:val="1"/>
                <w:szCs w:val="1"/>
                <w:color w:val="auto"/>
              </w:rPr>
            </w:pPr>
          </w:p>
        </w:tc>
      </w:tr>
      <w:tr>
        <w:trPr>
          <w:trHeight w:val="152"/>
        </w:trPr>
        <w:tc>
          <w:tcPr>
            <w:tcW w:w="15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27,582</w:t>
            </w:r>
          </w:p>
        </w:tc>
        <w:tc>
          <w:tcPr>
            <w:tcW w:w="26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27,609</w:t>
            </w:r>
          </w:p>
        </w:tc>
        <w:tc>
          <w:tcPr>
            <w:tcW w:w="0" w:type="dxa"/>
            <w:vAlign w:val="bottom"/>
          </w:tcPr>
          <w:p>
            <w:pPr>
              <w:spacing w:after="0"/>
              <w:rPr>
                <w:sz w:val="1"/>
                <w:szCs w:val="1"/>
                <w:color w:val="auto"/>
              </w:rPr>
            </w:pPr>
          </w:p>
        </w:tc>
      </w:tr>
      <w:tr>
        <w:trPr>
          <w:trHeight w:val="118"/>
        </w:trPr>
        <w:tc>
          <w:tcPr>
            <w:tcW w:w="1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Compensation and benefits</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3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paid or payable in shares</w:t>
            </w: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740" w:type="dxa"/>
            <w:vAlign w:val="bottom"/>
          </w:tcPr>
          <w:p>
            <w:pPr>
              <w:jc w:val="right"/>
              <w:spacing w:after="0"/>
              <w:rPr>
                <w:sz w:val="20"/>
                <w:szCs w:val="20"/>
                <w:color w:val="auto"/>
              </w:rPr>
            </w:pPr>
            <w:r>
              <w:rPr>
                <w:rFonts w:ascii="Arial" w:cs="Arial" w:eastAsia="Arial" w:hAnsi="Arial"/>
                <w:sz w:val="11"/>
                <w:szCs w:val="11"/>
                <w:color w:val="auto"/>
              </w:rPr>
              <w:t>6</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Class A Common Stock,</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(6,150)</w:t>
            </w:r>
          </w:p>
        </w:tc>
        <w:tc>
          <w:tcPr>
            <w:tcW w:w="26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(6,150)</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$0.20 per share</w:t>
            </w: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Class B Common Stock,</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(324)</w:t>
            </w:r>
          </w:p>
        </w:tc>
        <w:tc>
          <w:tcPr>
            <w:tcW w:w="260" w:type="dxa"/>
            <w:vAlign w:val="bottom"/>
          </w:tcPr>
          <w:p>
            <w:pPr>
              <w:spacing w:after="0"/>
              <w:rPr>
                <w:sz w:val="9"/>
                <w:szCs w:val="9"/>
                <w:color w:val="auto"/>
              </w:rPr>
            </w:pPr>
          </w:p>
        </w:tc>
        <w:tc>
          <w:tcPr>
            <w:tcW w:w="12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$0.20 per share</w:t>
            </w: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(15,955)</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(16,165)</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1280" w:type="dxa"/>
            <w:vAlign w:val="bottom"/>
            <w:vMerge w:val="restart"/>
          </w:tcPr>
          <w:p>
            <w:pPr>
              <w:jc w:val="right"/>
              <w:ind w:right="6"/>
              <w:spacing w:after="0"/>
              <w:rPr>
                <w:sz w:val="20"/>
                <w:szCs w:val="20"/>
                <w:color w:val="auto"/>
              </w:rPr>
            </w:pPr>
            <w:r>
              <w:rPr>
                <w:rFonts w:ascii="Arial" w:cs="Arial" w:eastAsia="Arial" w:hAnsi="Arial"/>
                <w:sz w:val="11"/>
                <w:szCs w:val="11"/>
                <w:color w:val="auto"/>
              </w:rPr>
              <w:t>509</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509</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liability adjustments</w:t>
            </w: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Derivative valuation</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752</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752</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adjustment</w:t>
            </w: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00" w:type="dxa"/>
            <w:vAlign w:val="bottom"/>
          </w:tcPr>
          <w:p>
            <w:pPr>
              <w:ind w:left="20"/>
              <w:spacing w:after="0"/>
              <w:rPr>
                <w:sz w:val="20"/>
                <w:szCs w:val="20"/>
                <w:color w:val="auto"/>
              </w:rPr>
            </w:pPr>
            <w:r>
              <w:rPr>
                <w:rFonts w:ascii="Arial" w:cs="Arial" w:eastAsia="Arial" w:hAnsi="Arial"/>
                <w:sz w:val="11"/>
                <w:szCs w:val="11"/>
                <w:b w:val="1"/>
                <w:bCs w:val="1"/>
                <w:color w:val="auto"/>
              </w:rPr>
              <w:t>March 31, 2021</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39,141</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tcPr>
          <w:p>
            <w:pPr>
              <w:jc w:val="right"/>
              <w:ind w:right="86"/>
              <w:spacing w:after="0"/>
              <w:rPr>
                <w:sz w:val="20"/>
                <w:szCs w:val="20"/>
                <w:color w:val="auto"/>
              </w:rPr>
            </w:pPr>
            <w:r>
              <w:rPr>
                <w:rFonts w:ascii="Arial" w:cs="Arial" w:eastAsia="Arial" w:hAnsi="Arial"/>
                <w:sz w:val="11"/>
                <w:szCs w:val="11"/>
                <w:b w:val="1"/>
                <w:bCs w:val="1"/>
                <w:color w:val="auto"/>
              </w:rPr>
              <w:t>39</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433,811</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791,854</w:t>
            </w:r>
          </w:p>
        </w:tc>
        <w:tc>
          <w:tcPr>
            <w:tcW w:w="260" w:type="dxa"/>
            <w:vAlign w:val="bottom"/>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b w:val="1"/>
                <w:bCs w:val="1"/>
                <w:color w:val="auto"/>
              </w:rPr>
              <w:t>(147,102)</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8,391</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(256,009)</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b w:val="1"/>
                <w:bCs w:val="1"/>
                <w:color w:val="auto"/>
              </w:rPr>
              <w:t>3,616</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b w:val="1"/>
                <w:bCs w:val="1"/>
                <w:color w:val="auto"/>
              </w:rPr>
              <w:t>826,211</w:t>
            </w:r>
          </w:p>
        </w:tc>
        <w:tc>
          <w:tcPr>
            <w:tcW w:w="0" w:type="dxa"/>
            <w:vAlign w:val="bottom"/>
          </w:tcPr>
          <w:p>
            <w:pPr>
              <w:spacing w:after="0"/>
              <w:rPr>
                <w:sz w:val="1"/>
                <w:szCs w:val="1"/>
                <w:color w:val="auto"/>
              </w:rPr>
            </w:pPr>
          </w:p>
        </w:tc>
      </w:tr>
      <w:tr>
        <w:trPr>
          <w:trHeight w:val="149"/>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0</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31,397</w:t>
            </w: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31,440</w:t>
            </w: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Compensation and benefits</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692</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12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692</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paid or payable in shares</w:t>
            </w: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Options 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w:t>
            </w: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706</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241</w:t>
            </w:r>
          </w:p>
        </w:tc>
        <w:tc>
          <w:tcPr>
            <w:tcW w:w="5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947</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7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Class A Common Stock,</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(6,150)</w:t>
            </w:r>
          </w:p>
        </w:tc>
        <w:tc>
          <w:tcPr>
            <w:tcW w:w="260" w:type="dxa"/>
            <w:vAlign w:val="bottom"/>
          </w:tcPr>
          <w:p>
            <w:pPr>
              <w:spacing w:after="0"/>
              <w:rPr>
                <w:sz w:val="9"/>
                <w:szCs w:val="9"/>
                <w:color w:val="auto"/>
              </w:rPr>
            </w:pPr>
          </w:p>
        </w:tc>
        <w:tc>
          <w:tcPr>
            <w:tcW w:w="12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(6,150)</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$0.20 per share</w:t>
            </w: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Class B Common Stock,</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(323)</w:t>
            </w:r>
          </w:p>
        </w:tc>
        <w:tc>
          <w:tcPr>
            <w:tcW w:w="26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(323)</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$0.20 per share</w:t>
            </w: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1280" w:type="dxa"/>
            <w:vAlign w:val="bottom"/>
            <w:vMerge w:val="restart"/>
          </w:tcPr>
          <w:p>
            <w:pPr>
              <w:jc w:val="right"/>
              <w:ind w:right="6"/>
              <w:spacing w:after="0"/>
              <w:rPr>
                <w:sz w:val="20"/>
                <w:szCs w:val="20"/>
                <w:color w:val="auto"/>
              </w:rPr>
            </w:pPr>
            <w:r>
              <w:rPr>
                <w:rFonts w:ascii="Arial" w:cs="Arial" w:eastAsia="Arial" w:hAnsi="Arial"/>
                <w:sz w:val="11"/>
                <w:szCs w:val="11"/>
                <w:color w:val="auto"/>
              </w:rPr>
              <w:t>13,774</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183</w:t>
            </w:r>
          </w:p>
        </w:tc>
        <w:tc>
          <w:tcPr>
            <w:tcW w:w="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13,957</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(130)</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(130)</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Derivative valuation</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1280" w:type="dxa"/>
            <w:vAlign w:val="bottom"/>
            <w:vMerge w:val="restart"/>
          </w:tcPr>
          <w:p>
            <w:pPr>
              <w:jc w:val="right"/>
              <w:ind w:right="6"/>
              <w:spacing w:after="0"/>
              <w:rPr>
                <w:sz w:val="20"/>
                <w:szCs w:val="20"/>
                <w:color w:val="auto"/>
              </w:rPr>
            </w:pPr>
            <w:r>
              <w:rPr>
                <w:rFonts w:ascii="Arial" w:cs="Arial" w:eastAsia="Arial" w:hAnsi="Arial"/>
                <w:sz w:val="11"/>
                <w:szCs w:val="11"/>
                <w:color w:val="auto"/>
              </w:rPr>
              <w:t>1,394</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1,394</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adjustment</w:t>
            </w:r>
          </w:p>
        </w:tc>
        <w:tc>
          <w:tcPr>
            <w:tcW w:w="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June 30, 2021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39,142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435,230</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816,778</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(132,064)</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8,380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(255,768)</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3,842</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868,059</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right="40" w:hanging="652"/>
        <w:spacing w:after="0" w:line="262" w:lineRule="auto"/>
        <w:tabs>
          <w:tab w:leader="none" w:pos="65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October 2021, the Company's Board of Directors authorized the Company to repurchase shares of up to $200 million through open market purchases, privately negotiated transactions or otherwise, and to determine the prices, times and amounts. In 2021, the Company repurchased 285,286 shares totaling $24.4 million. During the six months period ending June 30, 2022, the Company repurchased 1,022,717 shares totaling $85.1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45" w:lineRule="exact"/>
        <w:rPr>
          <w:sz w:val="20"/>
          <w:szCs w:val="20"/>
          <w:color w:val="auto"/>
        </w:rPr>
      </w:pPr>
    </w:p>
    <w:p>
      <w:pPr>
        <w:jc w:val="both"/>
        <w:ind w:left="980" w:hanging="324"/>
        <w:spacing w:after="0" w:line="268"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 including continuation of COVID-19 pandemic effects for an extended period of time;</w:t>
      </w:r>
    </w:p>
    <w:p>
      <w:pPr>
        <w:spacing w:after="0" w:line="62" w:lineRule="exact"/>
        <w:rPr>
          <w:rFonts w:ascii="Arial" w:cs="Arial" w:eastAsia="Arial" w:hAnsi="Arial"/>
          <w:sz w:val="18"/>
          <w:szCs w:val="18"/>
          <w:color w:val="auto"/>
        </w:rPr>
      </w:pPr>
    </w:p>
    <w:p>
      <w:pPr>
        <w:ind w:left="980" w:hanging="324"/>
        <w:spacing w:after="0" w:line="28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Across the entire Company, increasing labor, raw material, energy, and logistic costs due to supply chain constraints and inflationary pressures</w:t>
      </w:r>
    </w:p>
    <w:p>
      <w:pPr>
        <w:spacing w:after="0" w:line="44" w:lineRule="exact"/>
        <w:rPr>
          <w:rFonts w:ascii="Arial" w:cs="Arial" w:eastAsia="Arial" w:hAnsi="Arial"/>
          <w:sz w:val="18"/>
          <w:szCs w:val="18"/>
          <w:color w:val="auto"/>
        </w:rPr>
      </w:pPr>
    </w:p>
    <w:p>
      <w:pPr>
        <w:ind w:left="980" w:right="20" w:hanging="324"/>
        <w:spacing w:after="0" w:line="28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44" w:lineRule="exact"/>
        <w:rPr>
          <w:rFonts w:ascii="Arial" w:cs="Arial" w:eastAsia="Arial" w:hAnsi="Arial"/>
          <w:sz w:val="18"/>
          <w:szCs w:val="18"/>
          <w:color w:val="auto"/>
        </w:rPr>
      </w:pPr>
    </w:p>
    <w:p>
      <w:pPr>
        <w:jc w:val="both"/>
        <w:ind w:left="980" w:hanging="324"/>
        <w:spacing w:after="0" w:line="268"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Albany Engineered Composites segment, longer-than-expected timeframe for the aerospace industry to utilize existing inventories, and unanticipated reductions in demand, delays, technical difficulties, or cancellations in aerospace programs that are expected to generate revenue and drive long-term growth;</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 risks associated with macroeconomic conditions, as noted above, have changed during the first six months of 2022. The Russia-Ukraine war has had and may continue to have profound effects on macroeconomic business conditions around the world, including in our Machine Clothing and Albany Engineered Composites segments. Certain COVID-19 related disruptions and risks have persisted during the current year, causing inflationary pressure connected to global supply chain bottlenecks and elevated energy price pressures. These challenges have only increased as a result of the Russia-Ukraine war, which also has quickly prompted a global imposition of stringent sanctions that have resulted in a sharp decline in trade with Russia. Correspondingly, and in union with the global community, we voluntarily decided to dissolve business relationships in Russia during the first quarter of 2022, despite the associated cost to our investment and the loss of future revenue in the region. While our Albany Engineered Composites segment does not have significant direct exposure in this region of the world, and our Machine Clothing segment has now significantly reduced its exposure, the broader economic ramifications of this war will indirectly affect all sectors of the economy. This conflict, including imposed sanctions, has amplified inflationary pressures, driving higher prices for global oil, natural gas, agricultural and metal prices, as well as causing additional supply-chain disruptions.</w:t>
      </w:r>
    </w:p>
    <w:p>
      <w:pPr>
        <w:spacing w:after="0" w:line="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perception of historical conditions, expected future developments, and other factors believed to be appropriate under the circumstances.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11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4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MC segment is the Company’s long-established core business and primary generator of cash. While it has been negatively impacted by well-documented declines in publication grades in the Company’s traditional markets, there has been some offsetting effect due to growth in demand for packaging and tissue grades, as well as the expansion of paper consumption and production in Asia and South America. We feel we are well-positioned in key markets, with high-quality, low-cost production in growth markets, substantially lower fixed costs in mature markets, and continued strength in new product development, technical product support, and manufacturing technology. Some of the markets in which our products are sold are expected to have low levels of growth and we face pricing pressures in all markets. Despite these market pressures on revenue, the MC business retains the potential for maintaining stable earnings in the future. MC has been a significant generator of cash, and we seek to maintain the cash-generating potential of this business by maintaining the low costs that we have achieved through continuous focus on cost-reduction initiatives, and competing vigorously by using our differentiated and technically superior products to reduce our customers’ total cost of operation and improve their paper quality.</w:t>
      </w:r>
    </w:p>
    <w:p>
      <w:pPr>
        <w:spacing w:after="0" w:line="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AEC segment provides significant longer term growth potential for our Company.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12 percent of the Company’s consolidated Net sales in 2021. AEC, through ASC, also supplies 3D-woven composite fan cases for the GE9X engine. AEC’s current portfolio of non-3D programs includes components for the CH-53K helicopter, components for the F-35, missile bodies for Lockheed Martin’s JASSM air-to-surface missiles, fuselage components for the Boeing 787, and vacuum waste tanks for Boeing 7-Series aircraft. AEC is actively engaged in research to develop new applications in both commercial and defense aircraft engine and airframe markets. In 2021, approximately 47 percent of AEC sales were related to U.S. government contracts or programs.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Russia-Military Conflict</w:t>
      </w:r>
    </w:p>
    <w:p>
      <w:pPr>
        <w:spacing w:after="0" w:line="36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war between Russia and Ukraine is affecting the economic and global financial markets and exacerbating ongoing economic challenges caused by impacts of the ongoing COVID-19 pandemic, including rising inflation and global supply chain disruptions.</w:t>
      </w:r>
    </w:p>
    <w:p>
      <w:pPr>
        <w:spacing w:after="0" w:line="31"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Our MC segment generates approximately 2% of its annual net sales from customers in Russia and Ukraine. In addition, a subsidiary within our Machine Clothing segment has been a partner in a joint venture (“JV”) that supplies paper machine clothing products to local</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papermakers in Russia. In March 2022, we made the decision to cease doing business in Russia, including giving notice to our JV partner of our intent to exit the venture. As a result, we recognized $1.8 million expense in cost of goods sold and in Selling, Administrative, and General expense, representing reserves against the risk of obsolescence of certain inventory destined for Russian customers and uncollectible receivables from Russian customers, respectively. We also wrote down the net book value of our investment in the</w:t>
      </w:r>
    </w:p>
    <w:p>
      <w:pPr>
        <w:jc w:val="both"/>
        <w:spacing w:after="0" w:line="237" w:lineRule="auto"/>
        <w:rPr>
          <w:sz w:val="20"/>
          <w:szCs w:val="20"/>
          <w:color w:val="auto"/>
        </w:rPr>
      </w:pPr>
      <w:r>
        <w:rPr>
          <w:rFonts w:ascii="Arial" w:cs="Arial" w:eastAsia="Arial" w:hAnsi="Arial"/>
          <w:sz w:val="18"/>
          <w:szCs w:val="18"/>
          <w:color w:val="auto"/>
        </w:rPr>
        <w:t>aforementioned JV to reflect our intent to exit such venture, resulting in $0.8 million impairment loss included in Other (income)/expense, net during the first quarter of 2022.</w:t>
      </w:r>
    </w:p>
    <w:p>
      <w:pPr>
        <w:spacing w:after="0" w:line="1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anticipate approximately $10.0 million reduction in future annual net sales in the MC segment, due to our cessation of doing business in Russia.</w:t>
      </w:r>
    </w:p>
    <w:p>
      <w:pPr>
        <w:spacing w:after="0" w:line="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first six months of 2022, energy costs soared, the supply market continued to tighten against strong demands and global logistics challenges persisted.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MC segment has continued experiencing input cost pressures. Raw material costs increased due to higher crude oil and natural gas prices, coupled by non-contractual vendor surcharges to sustain price pressure and maintain their operations. Supply limitation and high energy costs continue to put upward pressure on indirect supply costs. Lastly, logistics costs remained elevated, due to higher fuel prices and limited availability.</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ultimate financial impact due to the war between Russia and Ukraine, the ongoing COVID-19 pandemic, and inflationary environment is difficult to predict. After consideration of possible offsets through corresponding price increases to our customers and productivity improvements, we estimate a net increase to the MC segment input costs of between $8.0 million and $10.0 million for the year ending December 31, 2022, or an unfavorable impact to the segment gross margin of up to 140 basis points for the year ending December 31, 2022.</w:t>
      </w:r>
    </w:p>
    <w:p>
      <w:pPr>
        <w:spacing w:after="0" w:line="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Albany Engineered Composites segment does not have significant direct exposure in Russia. However, it has not been immune from supply chain disruptions due to raw material shortages, abnormally high commodity prices, labor shortages, and logistic constraints. Due to the nature of AEC’s contracts with its customers, we currently anticipate passing through a majority of such cost increases to the customers.</w:t>
      </w:r>
    </w:p>
    <w:p>
      <w:pPr>
        <w:spacing w:after="0" w:line="6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Until the effects of the war between Russia and Ukraine, as well as the COVID-19 pandemic, on the economic and global financial markets subside, there can be no assurance that our input costs will not continue to rise beyond our current estimate, thus unfavorably impacting our future results of operations, financial position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68319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4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3"/>
          </w:tcPr>
          <w:p>
            <w:pPr>
              <w:jc w:val="right"/>
              <w:ind w:right="1001"/>
              <w:spacing w:after="0"/>
              <w:rPr>
                <w:sz w:val="20"/>
                <w:szCs w:val="20"/>
                <w:color w:val="auto"/>
              </w:rPr>
            </w:pPr>
            <w:r>
              <w:rPr>
                <w:rFonts w:ascii="Arial" w:cs="Arial" w:eastAsia="Arial" w:hAnsi="Arial"/>
                <w:sz w:val="14"/>
                <w:szCs w:val="14"/>
                <w:b w:val="1"/>
                <w:bCs w:val="1"/>
                <w:color w:val="auto"/>
              </w:rPr>
              <w:t>Three months ended June 30,</w:t>
            </w:r>
          </w:p>
        </w:tc>
        <w:tc>
          <w:tcPr>
            <w:tcW w:w="3560" w:type="dxa"/>
            <w:vAlign w:val="bottom"/>
            <w:tcBorders>
              <w:bottom w:val="single" w:sz="8" w:color="auto"/>
            </w:tcBorders>
            <w:gridSpan w:val="3"/>
          </w:tcPr>
          <w:p>
            <w:pPr>
              <w:jc w:val="right"/>
              <w:ind w:right="881"/>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5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4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 Change</w:t>
            </w: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 Change</w:t>
            </w:r>
          </w:p>
        </w:tc>
      </w:tr>
      <w:tr>
        <w:trPr>
          <w:trHeight w:val="210"/>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580" w:type="dxa"/>
            <w:vAlign w:val="bottom"/>
            <w:shd w:val="clear" w:color="auto" w:fill="CCEEFF"/>
          </w:tcPr>
          <w:p>
            <w:pPr>
              <w:jc w:val="right"/>
              <w:ind w:right="183"/>
              <w:spacing w:after="0"/>
              <w:rPr>
                <w:sz w:val="20"/>
                <w:szCs w:val="20"/>
                <w:color w:val="auto"/>
              </w:rPr>
            </w:pPr>
            <w:r>
              <w:rPr>
                <w:rFonts w:ascii="Arial" w:cs="Arial" w:eastAsia="Arial" w:hAnsi="Arial"/>
                <w:sz w:val="16"/>
                <w:szCs w:val="16"/>
                <w:b w:val="1"/>
                <w:bCs w:val="1"/>
                <w:color w:val="auto"/>
              </w:rPr>
              <w:t>$151,670</w:t>
            </w: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$159,921</w:t>
            </w:r>
          </w:p>
        </w:tc>
        <w:tc>
          <w:tcPr>
            <w:tcW w:w="14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-5.2 %</w:t>
            </w:r>
          </w:p>
        </w:tc>
        <w:tc>
          <w:tcPr>
            <w:tcW w:w="1200" w:type="dxa"/>
            <w:vAlign w:val="bottom"/>
            <w:shd w:val="clear" w:color="auto" w:fill="CCEEFF"/>
          </w:tcPr>
          <w:p>
            <w:pPr>
              <w:jc w:val="right"/>
              <w:ind w:right="183"/>
              <w:spacing w:after="0"/>
              <w:rPr>
                <w:sz w:val="20"/>
                <w:szCs w:val="20"/>
                <w:color w:val="auto"/>
              </w:rPr>
            </w:pPr>
            <w:r>
              <w:rPr>
                <w:rFonts w:ascii="Arial" w:cs="Arial" w:eastAsia="Arial" w:hAnsi="Arial"/>
                <w:sz w:val="16"/>
                <w:szCs w:val="16"/>
                <w:b w:val="1"/>
                <w:bCs w:val="1"/>
                <w:color w:val="auto"/>
              </w:rPr>
              <w:t>$305,732</w:t>
            </w: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$308,127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4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158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rPr>
              <w:t>109,699</w:t>
            </w: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74,598</w:t>
            </w:r>
          </w:p>
        </w:tc>
        <w:tc>
          <w:tcPr>
            <w:tcW w:w="14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47.1 %</w:t>
            </w:r>
          </w:p>
        </w:tc>
        <w:tc>
          <w:tcPr>
            <w:tcW w:w="120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rPr>
              <w:t>199,806</w:t>
            </w: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148,753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34.3 %</w:t>
            </w:r>
          </w:p>
        </w:tc>
      </w:tr>
      <w:tr>
        <w:trPr>
          <w:trHeight w:val="209"/>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6"/>
                <w:szCs w:val="16"/>
                <w:b w:val="1"/>
                <w:bCs w:val="1"/>
                <w:color w:val="auto"/>
              </w:rPr>
              <w:t>$261,369</w:t>
            </w: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$234,519</w:t>
            </w:r>
          </w:p>
        </w:tc>
        <w:tc>
          <w:tcPr>
            <w:tcW w:w="14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11.4 %</w:t>
            </w:r>
          </w:p>
        </w:tc>
        <w:tc>
          <w:tcPr>
            <w:tcW w:w="12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6"/>
                <w:szCs w:val="16"/>
                <w:b w:val="1"/>
                <w:bCs w:val="1"/>
                <w:color w:val="auto"/>
              </w:rPr>
              <w:t>$505,538</w:t>
            </w: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$456,880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10.7 %</w:t>
            </w:r>
          </w:p>
        </w:tc>
      </w:tr>
    </w:tbl>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a comparison of 2022 Net sales, excluding the impact of currency translation effects, to 2021 Net sales: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4"/>
                <w:szCs w:val="14"/>
                <w:b w:val="1"/>
                <w:bCs w:val="1"/>
                <w:color w:val="auto"/>
              </w:rPr>
              <w:t>Decrease due to</w:t>
            </w: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Q2 2022 sales on</w:t>
            </w: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rPr>
              <w:t>Net sales as</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23"/>
              <w:spacing w:after="0" w:line="145" w:lineRule="exact"/>
              <w:rPr>
                <w:sz w:val="20"/>
                <w:szCs w:val="20"/>
                <w:color w:val="auto"/>
              </w:rPr>
            </w:pPr>
            <w:r>
              <w:rPr>
                <w:rFonts w:ascii="Arial" w:cs="Arial" w:eastAsia="Arial" w:hAnsi="Arial"/>
                <w:sz w:val="14"/>
                <w:szCs w:val="14"/>
                <w:b w:val="1"/>
                <w:bCs w:val="1"/>
                <w:color w:val="auto"/>
              </w:rPr>
              <w:t>same basis as Q2</w:t>
            </w:r>
          </w:p>
        </w:tc>
        <w:tc>
          <w:tcPr>
            <w:tcW w:w="120" w:type="dxa"/>
            <w:vAlign w:val="bottom"/>
          </w:tcPr>
          <w:p>
            <w:pPr>
              <w:spacing w:after="0"/>
              <w:rPr>
                <w:sz w:val="12"/>
                <w:szCs w:val="12"/>
                <w:color w:val="auto"/>
              </w:rPr>
            </w:pPr>
          </w:p>
        </w:tc>
        <w:tc>
          <w:tcPr>
            <w:tcW w:w="13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Net sales as</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6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changes in currency</w:t>
            </w:r>
          </w:p>
        </w:tc>
        <w:tc>
          <w:tcPr>
            <w:tcW w:w="120" w:type="dxa"/>
            <w:vAlign w:val="bottom"/>
          </w:tcPr>
          <w:p>
            <w:pPr>
              <w:spacing w:after="0"/>
              <w:rPr>
                <w:sz w:val="12"/>
                <w:szCs w:val="12"/>
                <w:color w:val="auto"/>
              </w:rPr>
            </w:pPr>
          </w:p>
        </w:tc>
        <w:tc>
          <w:tcPr>
            <w:tcW w:w="13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rPr>
              <w:t>2021 currency</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 Q2 2021, excluding</w:t>
            </w: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reported, Q2 2022</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translation rates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translation rates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reported, Q2 2021</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151,670</w:t>
            </w: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157,117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159,921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4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6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109,699</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(1,994)</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111,693</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74,598</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49.7 %</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261,369</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268,810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234,519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Decrease due to</w:t>
            </w:r>
          </w:p>
        </w:tc>
        <w:tc>
          <w:tcPr>
            <w:tcW w:w="14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YTD 2022 sales on</w:t>
            </w: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rPr>
              <w:t>Net sales as</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same basis as 2021</w:t>
            </w:r>
          </w:p>
        </w:tc>
        <w:tc>
          <w:tcPr>
            <w:tcW w:w="120" w:type="dxa"/>
            <w:vAlign w:val="bottom"/>
          </w:tcPr>
          <w:p>
            <w:pPr>
              <w:spacing w:after="0"/>
              <w:rPr>
                <w:sz w:val="12"/>
                <w:szCs w:val="12"/>
                <w:color w:val="auto"/>
              </w:rPr>
            </w:pPr>
          </w:p>
        </w:tc>
        <w:tc>
          <w:tcPr>
            <w:tcW w:w="13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Net sales as</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6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900" w:type="dxa"/>
            <w:vAlign w:val="bottom"/>
            <w:gridSpan w:val="4"/>
          </w:tcPr>
          <w:p>
            <w:pPr>
              <w:ind w:left="40"/>
              <w:spacing w:after="0" w:line="145" w:lineRule="exact"/>
              <w:rPr>
                <w:sz w:val="20"/>
                <w:szCs w:val="20"/>
                <w:color w:val="auto"/>
              </w:rPr>
            </w:pPr>
            <w:r>
              <w:rPr>
                <w:rFonts w:ascii="Arial" w:cs="Arial" w:eastAsia="Arial" w:hAnsi="Arial"/>
                <w:sz w:val="14"/>
                <w:szCs w:val="14"/>
                <w:b w:val="1"/>
                <w:bCs w:val="1"/>
                <w:color w:val="auto"/>
              </w:rPr>
              <w:t>changes in currency currency translation</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to 2021, excluding</w:t>
            </w: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rPr>
              <w:t>reported, YTD 2022</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translation rates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rates</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reported, YTD 2021</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305,732</w:t>
            </w: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313,707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308,127</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4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6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199,806</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(3,152)</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202,958</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148,753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36.4 %</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505,538</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516,665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456,880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17" w:lineRule="exact"/>
        <w:rPr>
          <w:sz w:val="20"/>
          <w:szCs w:val="20"/>
          <w:color w:val="auto"/>
        </w:rPr>
      </w:pPr>
    </w:p>
    <w:p>
      <w:pPr>
        <w:ind w:left="660" w:hanging="328"/>
        <w:spacing w:after="0" w:line="287" w:lineRule="auto"/>
        <w:tabs>
          <w:tab w:leader="none" w:pos="655"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Changes in currency translation rates had the effect of decreasing Net sales by $7.4 million during the second quarter of 2022, as compared to 2021, principally due to a weaker Euro in 2022.</w:t>
      </w:r>
    </w:p>
    <w:p>
      <w:pPr>
        <w:spacing w:after="0" w:line="44"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Net sales increased 14.6% compared to the same period in 2021.</w:t>
      </w:r>
    </w:p>
    <w:p>
      <w:pPr>
        <w:spacing w:after="0" w:line="117" w:lineRule="exact"/>
        <w:rPr>
          <w:rFonts w:ascii="Arial" w:cs="Arial" w:eastAsia="Arial" w:hAnsi="Arial"/>
          <w:sz w:val="18"/>
          <w:szCs w:val="18"/>
          <w:color w:val="auto"/>
        </w:rPr>
      </w:pPr>
    </w:p>
    <w:p>
      <w:pPr>
        <w:ind w:left="980" w:right="20" w:hanging="324"/>
        <w:spacing w:after="0" w:line="287" w:lineRule="auto"/>
        <w:tabs>
          <w:tab w:leader="none" w:pos="975"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Net sales in MC decreased 1.8% compared to the second quarter of 2021, driven by declines in sales for engineered fabrics and tissue grades, partially due to our previously announced cessation of doing business in Russia.</w:t>
      </w:r>
    </w:p>
    <w:p>
      <w:pPr>
        <w:spacing w:after="0" w:line="44" w:lineRule="exact"/>
        <w:rPr>
          <w:rFonts w:ascii="Arial" w:cs="Arial" w:eastAsia="Arial" w:hAnsi="Arial"/>
          <w:sz w:val="18"/>
          <w:szCs w:val="18"/>
          <w:b w:val="1"/>
          <w:bCs w:val="1"/>
          <w:color w:val="auto"/>
        </w:rPr>
      </w:pPr>
    </w:p>
    <w:p>
      <w:pPr>
        <w:ind w:left="980" w:hanging="324"/>
        <w:spacing w:after="0"/>
        <w:tabs>
          <w:tab w:leader="none" w:pos="98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Net sales in AEC increased 49.7%, mainly due to growth on CH-53K and LEAP programs.</w:t>
      </w:r>
    </w:p>
    <w:p>
      <w:pPr>
        <w:spacing w:after="0" w:line="200" w:lineRule="exact"/>
        <w:rPr>
          <w:sz w:val="20"/>
          <w:szCs w:val="20"/>
          <w:color w:val="auto"/>
        </w:rPr>
      </w:pPr>
    </w:p>
    <w:p>
      <w:pPr>
        <w:spacing w:after="0" w:line="241" w:lineRule="exact"/>
        <w:rPr>
          <w:sz w:val="20"/>
          <w:szCs w:val="20"/>
          <w:color w:val="auto"/>
        </w:rPr>
      </w:pPr>
    </w:p>
    <w:p>
      <w:pPr>
        <w:ind w:left="660" w:right="20" w:hanging="328"/>
        <w:spacing w:after="0" w:line="287"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currency translation rates had the effect of decreasing Net sales by $11.1 million during the first six months of 2022, as compared to 2021, principally due to a weaker Euro in 2022.</w:t>
      </w:r>
    </w:p>
    <w:p>
      <w:pPr>
        <w:spacing w:after="0" w:line="44"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Net sales increased 13.1% compared to the same period in 2021.</w:t>
      </w:r>
    </w:p>
    <w:p>
      <w:pPr>
        <w:spacing w:after="0" w:line="117" w:lineRule="exact"/>
        <w:rPr>
          <w:rFonts w:ascii="Arial" w:cs="Arial" w:eastAsia="Arial" w:hAnsi="Arial"/>
          <w:sz w:val="18"/>
          <w:szCs w:val="18"/>
          <w:color w:val="auto"/>
        </w:rPr>
      </w:pPr>
    </w:p>
    <w:p>
      <w:pPr>
        <w:ind w:left="980" w:hanging="324"/>
        <w:spacing w:after="0" w:line="287" w:lineRule="auto"/>
        <w:tabs>
          <w:tab w:leader="none" w:pos="975"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Net sales in MC increased 1.8% compared to the first six months of 2021, primarily due to growth in sales for pulp and publication grades.</w:t>
      </w:r>
    </w:p>
    <w:p>
      <w:pPr>
        <w:spacing w:after="0" w:line="44" w:lineRule="exact"/>
        <w:rPr>
          <w:rFonts w:ascii="Arial" w:cs="Arial" w:eastAsia="Arial" w:hAnsi="Arial"/>
          <w:sz w:val="18"/>
          <w:szCs w:val="18"/>
          <w:b w:val="1"/>
          <w:bCs w:val="1"/>
          <w:color w:val="auto"/>
        </w:rPr>
      </w:pPr>
    </w:p>
    <w:p>
      <w:pPr>
        <w:ind w:left="980" w:hanging="324"/>
        <w:spacing w:after="0"/>
        <w:tabs>
          <w:tab w:leader="none" w:pos="980"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Net sales in AEC increased 36.4%, primarily due to growth on CH-53K and LEAP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80" w:type="dxa"/>
            <w:vAlign w:val="bottom"/>
            <w:tcBorders>
              <w:top w:val="single" w:sz="8" w:color="auto"/>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211"/>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78,857</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84,597</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158,202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160,990</w:t>
            </w:r>
          </w:p>
        </w:tc>
      </w:tr>
      <w:tr>
        <w:trPr>
          <w:trHeight w:val="24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21,736</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17,131</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33,995</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29,284</w:t>
            </w:r>
          </w:p>
        </w:tc>
      </w:tr>
      <w:tr>
        <w:trPr>
          <w:trHeight w:val="209"/>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100,593</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101,728</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192,197</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190,274</w:t>
            </w:r>
          </w:p>
        </w:tc>
      </w:tr>
      <w:tr>
        <w:trPr>
          <w:trHeight w:val="237"/>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sales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38.5 %</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43.4 %</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38.0 %</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41.6 %</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decrease in second quarter 2022 Gross profit, as compared to the same period in 2021, was due to a decline in MC Gross profit, partially offset by an increase at AEC. Gross profit as a percentage of sales:</w:t>
      </w:r>
    </w:p>
    <w:p>
      <w:pPr>
        <w:spacing w:after="0" w:line="4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Decreased from 52.9% in 2021 to 52.0% in 2022 in MC, due to an increase in input costs.</w:t>
      </w:r>
    </w:p>
    <w:p>
      <w:pPr>
        <w:spacing w:after="0" w:line="117" w:lineRule="exact"/>
        <w:rPr>
          <w:rFonts w:ascii="Arial" w:cs="Arial" w:eastAsia="Arial" w:hAnsi="Arial"/>
          <w:sz w:val="18"/>
          <w:szCs w:val="18"/>
          <w:b w:val="1"/>
          <w:bCs w:val="1"/>
          <w:color w:val="auto"/>
        </w:rPr>
      </w:pPr>
    </w:p>
    <w:p>
      <w:pPr>
        <w:jc w:val="both"/>
        <w:ind w:left="980" w:hanging="324"/>
        <w:spacing w:after="0" w:line="268" w:lineRule="auto"/>
        <w:tabs>
          <w:tab w:leader="none" w:pos="975"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Decreased from 23.0% in 2021 to 19.8% in 2022 in AEC, principally due to a smaller impact from changes in the estimated profitability of long-term contracts, which increased Gross profit by $1.2 million for the second quarter of 2022, compared to an increase of $4.3 million for the second quarter of 2021.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17"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increase in Gross profit during the first half of 2022, as compared to the same period in 2021, was due to an increase in AEC Gross profit, partially offset by a decline in Gross profit in MC. Gross profit as a percentage of sales:</w:t>
      </w:r>
    </w:p>
    <w:p>
      <w:pPr>
        <w:spacing w:after="0" w:line="4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Decreased from 52.2% in 2021 to 51.7% in 2022 in MC, due to an increase in input costs.</w:t>
      </w:r>
    </w:p>
    <w:p>
      <w:pPr>
        <w:spacing w:after="0" w:line="117" w:lineRule="exact"/>
        <w:rPr>
          <w:rFonts w:ascii="Arial" w:cs="Arial" w:eastAsia="Arial" w:hAnsi="Arial"/>
          <w:sz w:val="18"/>
          <w:szCs w:val="18"/>
          <w:b w:val="1"/>
          <w:bCs w:val="1"/>
          <w:color w:val="auto"/>
        </w:rPr>
      </w:pPr>
    </w:p>
    <w:p>
      <w:pPr>
        <w:jc w:val="both"/>
        <w:ind w:left="980" w:hanging="324"/>
        <w:spacing w:after="0" w:line="262" w:lineRule="auto"/>
        <w:tabs>
          <w:tab w:leader="none" w:pos="975"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Decreased from 19.7% in 2021 to 17.0% in 2022 in AEC, driven by changes in the estimated profitability of long-term contracts, which decreased Gross profit by $0.6 million in the first half of 2022, as compared to an increase in Gross profit of $3.7 million in the first half of 2021. In addition, during the first quarter, reserves were recorded on inventory that was damaged at an off-site storage facility, further reducing gross profit as a percent of sales.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STG&amp;R expenses by business segment: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80" w:type="dxa"/>
            <w:vAlign w:val="bottom"/>
            <w:tcBorders>
              <w:top w:val="single" w:sz="8" w:color="auto"/>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210"/>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24,009</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28,685</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53,486</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54,784</w:t>
            </w:r>
          </w:p>
        </w:tc>
      </w:tr>
      <w:tr>
        <w:trPr>
          <w:trHeight w:val="243"/>
        </w:trPr>
        <w:tc>
          <w:tcPr>
            <w:tcW w:w="42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20" w:type="dxa"/>
            <w:vAlign w:val="bottom"/>
          </w:tcPr>
          <w:p>
            <w:pPr>
              <w:spacing w:after="0"/>
              <w:rPr>
                <w:sz w:val="21"/>
                <w:szCs w:val="21"/>
                <w:color w:val="auto"/>
              </w:rPr>
            </w:pPr>
          </w:p>
        </w:tc>
        <w:tc>
          <w:tcPr>
            <w:tcW w:w="1140" w:type="dxa"/>
            <w:vAlign w:val="bottom"/>
          </w:tcPr>
          <w:p>
            <w:pPr>
              <w:jc w:val="right"/>
              <w:ind w:right="142"/>
              <w:spacing w:after="0"/>
              <w:rPr>
                <w:sz w:val="20"/>
                <w:szCs w:val="20"/>
                <w:color w:val="auto"/>
              </w:rPr>
            </w:pPr>
            <w:r>
              <w:rPr>
                <w:rFonts w:ascii="Arial" w:cs="Arial" w:eastAsia="Arial" w:hAnsi="Arial"/>
                <w:sz w:val="16"/>
                <w:szCs w:val="16"/>
                <w:b w:val="1"/>
                <w:bCs w:val="1"/>
                <w:color w:val="auto"/>
              </w:rPr>
              <w:t>12,202</w:t>
            </w:r>
          </w:p>
        </w:tc>
        <w:tc>
          <w:tcPr>
            <w:tcW w:w="300" w:type="dxa"/>
            <w:vAlign w:val="bottom"/>
          </w:tcPr>
          <w:p>
            <w:pPr>
              <w:spacing w:after="0"/>
              <w:rPr>
                <w:sz w:val="21"/>
                <w:szCs w:val="21"/>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10,014</w:t>
            </w:r>
          </w:p>
        </w:tc>
        <w:tc>
          <w:tcPr>
            <w:tcW w:w="260" w:type="dxa"/>
            <w:vAlign w:val="bottom"/>
          </w:tcPr>
          <w:p>
            <w:pPr>
              <w:spacing w:after="0"/>
              <w:rPr>
                <w:sz w:val="21"/>
                <w:szCs w:val="21"/>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b w:val="1"/>
                <w:bCs w:val="1"/>
                <w:color w:val="auto"/>
              </w:rPr>
              <w:t>23,266</w:t>
            </w:r>
          </w:p>
        </w:tc>
        <w:tc>
          <w:tcPr>
            <w:tcW w:w="300" w:type="dxa"/>
            <w:vAlign w:val="bottom"/>
          </w:tcPr>
          <w:p>
            <w:pPr>
              <w:spacing w:after="0"/>
              <w:rPr>
                <w:sz w:val="21"/>
                <w:szCs w:val="21"/>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19,140</w:t>
            </w: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13,695</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13,071</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25,750</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24,522</w:t>
            </w:r>
          </w:p>
        </w:tc>
      </w:tr>
      <w:tr>
        <w:trPr>
          <w:trHeight w:val="236"/>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49,906</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51,770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102,502</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98,446</w:t>
            </w:r>
          </w:p>
        </w:tc>
      </w:tr>
      <w:tr>
        <w:trPr>
          <w:trHeight w:val="210"/>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19.1 %</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20.3 %</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21.5 %</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overall decrease in STG&amp;R expenses in the second quarter of 2022, compared to the same period in 2021, was due to the net effect of the following:</w:t>
      </w:r>
    </w:p>
    <w:p>
      <w:pPr>
        <w:spacing w:after="0" w:line="45" w:lineRule="exact"/>
        <w:rPr>
          <w:sz w:val="20"/>
          <w:szCs w:val="20"/>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MC, changes in currency translation rates had the effect of decreasing STG&amp;R by $1.8 million during 2022, driven by the weaker Euro, as compared to an increase to expense by $1.9 million during 2021.</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AEC, selling and general expenses increased $1.4 million due to investment in business development activities, and research expense increased $0.8 million over the prior year.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17"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overall increase in STG&amp;R expenses in the first six months of 2022, compared to the same period in 2021, was due to the net effect of the following:</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6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MC, changes in currency translation rates had the effect of decreasing STG&amp;R by $0.8 million during 2022, driven by the weaker Euro, as compared to an increase to expense by $1.4 million during 2021. This favorability was partially offset by customer credit loss reserve increases related to our dissolution of business relationships in Russia.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AEC, selling and general expenses increased $2.3 million, and research expense increased $1.8 million over the prior year.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 net</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expenses, as summarized in the following table:</w:t>
      </w:r>
    </w:p>
    <w:p>
      <w:pPr>
        <w:spacing w:after="0" w:line="57"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48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r>
      <w:tr>
        <w:trPr>
          <w:trHeight w:val="211"/>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center"/>
              <w:ind w:left="541"/>
              <w:spacing w:after="0"/>
              <w:rPr>
                <w:sz w:val="20"/>
                <w:szCs w:val="20"/>
                <w:color w:val="auto"/>
              </w:rPr>
            </w:pPr>
            <w:r>
              <w:rPr>
                <w:rFonts w:ascii="Arial" w:cs="Arial" w:eastAsia="Arial" w:hAnsi="Arial"/>
                <w:sz w:val="16"/>
                <w:szCs w:val="16"/>
                <w:color w:val="auto"/>
              </w:rPr>
              <w:t>(58)</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960" w:type="dxa"/>
            <w:vAlign w:val="bottom"/>
          </w:tcPr>
          <w:p>
            <w:pPr>
              <w:jc w:val="center"/>
              <w:ind w:left="541"/>
              <w:spacing w:after="0"/>
              <w:rPr>
                <w:sz w:val="20"/>
                <w:szCs w:val="20"/>
                <w:color w:val="auto"/>
              </w:rPr>
            </w:pPr>
            <w:r>
              <w:rPr>
                <w:rFonts w:ascii="Arial" w:cs="Arial" w:eastAsia="Arial" w:hAnsi="Arial"/>
                <w:sz w:val="16"/>
                <w:szCs w:val="16"/>
                <w:color w:val="auto"/>
              </w:rPr>
              <w:t>41</w:t>
            </w:r>
          </w:p>
        </w:tc>
      </w:tr>
      <w:tr>
        <w:trPr>
          <w:trHeight w:val="216"/>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541"/>
              <w:spacing w:after="0"/>
              <w:rPr>
                <w:sz w:val="20"/>
                <w:szCs w:val="20"/>
                <w:color w:val="auto"/>
              </w:rPr>
            </w:pPr>
            <w:r>
              <w:rPr>
                <w:rFonts w:ascii="Arial" w:cs="Arial" w:eastAsia="Arial" w:hAnsi="Arial"/>
                <w:sz w:val="16"/>
                <w:szCs w:val="16"/>
                <w:color w:val="auto"/>
              </w:rPr>
              <w:t>60</w:t>
            </w:r>
          </w:p>
        </w:tc>
      </w:tr>
      <w:tr>
        <w:trPr>
          <w:trHeight w:val="209"/>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226</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center"/>
              <w:ind w:left="541"/>
              <w:spacing w:after="0"/>
              <w:rPr>
                <w:sz w:val="20"/>
                <w:szCs w:val="20"/>
                <w:color w:val="auto"/>
              </w:rPr>
            </w:pPr>
            <w:r>
              <w:rPr>
                <w:rFonts w:ascii="Arial" w:cs="Arial" w:eastAsia="Arial" w:hAnsi="Arial"/>
                <w:sz w:val="16"/>
                <w:szCs w:val="16"/>
                <w:color w:val="auto"/>
              </w:rPr>
              <w:t>43</w:t>
            </w:r>
          </w:p>
        </w:tc>
      </w:tr>
    </w:tbl>
    <w:p>
      <w:pPr>
        <w:spacing w:after="0" w:line="200" w:lineRule="exact"/>
        <w:rPr>
          <w:sz w:val="20"/>
          <w:szCs w:val="20"/>
          <w:color w:val="auto"/>
        </w:rPr>
      </w:pPr>
    </w:p>
    <w:p>
      <w:pPr>
        <w:spacing w:after="0" w:line="240"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Restructuring expense, net was insignificant in both the current and prior year, and was related primarily to the winding down of restructuring actions taken in prior periods.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340" w:type="dxa"/>
            <w:vAlign w:val="bottom"/>
            <w:tcBorders>
              <w:top w:val="single" w:sz="8" w:color="auto"/>
              <w:bottom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54,861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55,902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104,505</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106,264</w:t>
            </w:r>
          </w:p>
        </w:tc>
      </w:tr>
      <w:tr>
        <w:trPr>
          <w:trHeight w:val="216"/>
        </w:trPr>
        <w:tc>
          <w:tcPr>
            <w:tcW w:w="61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9,535</w:t>
            </w:r>
          </w:p>
        </w:tc>
        <w:tc>
          <w:tcPr>
            <w:tcW w:w="2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7,164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10,730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10,102</w:t>
            </w:r>
          </w:p>
        </w:tc>
      </w:tr>
      <w:tr>
        <w:trPr>
          <w:trHeight w:val="216"/>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(13,681)</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(13,100)</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(25,766)</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(24,581)</w:t>
            </w:r>
          </w:p>
        </w:tc>
      </w:tr>
      <w:tr>
        <w:trPr>
          <w:trHeight w:val="21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50,715</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49,966</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89,469</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91,785</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3,933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7,542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7,787</w:t>
            </w:r>
          </w:p>
        </w:tc>
      </w:tr>
      <w:tr>
        <w:trPr>
          <w:trHeight w:val="216"/>
        </w:trPr>
        <w:tc>
          <w:tcPr>
            <w:tcW w:w="5400" w:type="dxa"/>
            <w:vAlign w:val="bottom"/>
          </w:tcPr>
          <w:p>
            <w:pPr>
              <w:ind w:left="20"/>
              <w:spacing w:after="0"/>
              <w:rPr>
                <w:sz w:val="20"/>
                <w:szCs w:val="20"/>
                <w:color w:val="auto"/>
              </w:rPr>
            </w:pPr>
            <w:r>
              <w:rPr>
                <w:rFonts w:ascii="Arial" w:cs="Arial" w:eastAsia="Arial" w:hAnsi="Arial"/>
                <w:sz w:val="16"/>
                <w:szCs w:val="16"/>
                <w:color w:val="auto"/>
              </w:rPr>
              <w:t>Other (income)/expense, net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(7,045)</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862</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(10,973)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1,462</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14,458</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13,446</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25,456</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23,486</w:t>
            </w:r>
          </w:p>
        </w:tc>
      </w:tr>
      <w:tr>
        <w:trPr>
          <w:trHeight w:val="216"/>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506</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Interest expense, net, was largely in line with the prior year. See the Working Capital, Liquidity and Capital Structure section for further discussion of borrowings and interest rates.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pacing w:after="0" w:line="117"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Other (income)/expense, net, included foreign currency related transactions which resulted in gains of $7.3 million and $11.0 million in the three and six month periods ended June 30, 2022, respectively, as compared to losses of $0.2 million</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and $0.3 million in the three and six month periods ended June 30, 2021, respectively. The weaker Euro during the three and six month periods ended June 30, 2022 led to the gains on foreign currency related transactions during such periods.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3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tax rate is affected by recurring items, such as the income tax rate in the U.S. and non-U.S. jurisdictions and the mix of income earned in those jurisdictions. The tax rate is also affected by U.S. tax costs on foreign earnings, and by discrete items that may occur in any given year but are not consistent from year to year. The Company’s effective tax rates for the second quarter of 2022 was 26.9%, lower compared to 30.0% for the same period in 2021, mainly due to favorable discrete tax adjustments in the current period. For the first half of 2022, the Company’s effective tax rate was 27.4%, lower compared to 28.5% for the same period in 2021, mainly due to a lower forecasted annual effective tax run rate. The decrease in the forecasted annual effective tax run rate is mainly attributable to a change in forecasted earnings mix and the foreign exchange loss on previously taxed income targeted for future repatriation.</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income tax, see Note 5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Machine Clothing is our primary business segment and accounted for 60% of our consolidated revenues during the six months of 2022. MC products are purchased primarily by manufacturers of paper and paperboard. We feel we are well-positioned in these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 Additionally, we face pricing pressures in all of our markets.</w:t>
      </w:r>
    </w:p>
    <w:p>
      <w:pPr>
        <w:spacing w:after="0" w:line="7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6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have incurred significant restructuring charges in recent years as we reduced MC manufacturing capacity and administrative positions in various countries.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Six months ended June 30,</w:t>
            </w:r>
          </w:p>
        </w:tc>
      </w:tr>
      <w:tr>
        <w:trPr>
          <w:trHeight w:val="211"/>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151,670</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159,921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305,732</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308,127</w:t>
            </w:r>
          </w:p>
        </w:tc>
      </w:tr>
      <w:tr>
        <w:trPr>
          <w:trHeight w:val="243"/>
        </w:trPr>
        <w:tc>
          <w:tcPr>
            <w:tcW w:w="39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21"/>
                <w:szCs w:val="21"/>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b w:val="1"/>
                <w:bCs w:val="1"/>
                <w:color w:val="auto"/>
              </w:rPr>
              <w:t>78,857</w:t>
            </w:r>
          </w:p>
        </w:tc>
        <w:tc>
          <w:tcPr>
            <w:tcW w:w="320" w:type="dxa"/>
            <w:vAlign w:val="bottom"/>
          </w:tcPr>
          <w:p>
            <w:pPr>
              <w:spacing w:after="0"/>
              <w:rPr>
                <w:sz w:val="21"/>
                <w:szCs w:val="21"/>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84,597</w:t>
            </w:r>
          </w:p>
        </w:tc>
        <w:tc>
          <w:tcPr>
            <w:tcW w:w="280" w:type="dxa"/>
            <w:vAlign w:val="bottom"/>
          </w:tcPr>
          <w:p>
            <w:pPr>
              <w:spacing w:after="0"/>
              <w:rPr>
                <w:sz w:val="21"/>
                <w:szCs w:val="21"/>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158,202</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160,990</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52.0 %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52.9 %</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51.7 %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52.2 %</w:t>
            </w:r>
          </w:p>
        </w:tc>
      </w:tr>
      <w:tr>
        <w:trPr>
          <w:trHeight w:val="243"/>
        </w:trPr>
        <w:tc>
          <w:tcPr>
            <w:tcW w:w="390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260" w:type="dxa"/>
            <w:vAlign w:val="bottom"/>
          </w:tcPr>
          <w:p>
            <w:pPr>
              <w:spacing w:after="0"/>
              <w:rPr>
                <w:sz w:val="21"/>
                <w:szCs w:val="21"/>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b w:val="1"/>
                <w:bCs w:val="1"/>
                <w:color w:val="auto"/>
              </w:rPr>
              <w:t>24,009</w:t>
            </w:r>
          </w:p>
        </w:tc>
        <w:tc>
          <w:tcPr>
            <w:tcW w:w="320" w:type="dxa"/>
            <w:vAlign w:val="bottom"/>
          </w:tcPr>
          <w:p>
            <w:pPr>
              <w:spacing w:after="0"/>
              <w:rPr>
                <w:sz w:val="21"/>
                <w:szCs w:val="21"/>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28,685</w:t>
            </w:r>
          </w:p>
        </w:tc>
        <w:tc>
          <w:tcPr>
            <w:tcW w:w="280" w:type="dxa"/>
            <w:vAlign w:val="bottom"/>
          </w:tcPr>
          <w:p>
            <w:pPr>
              <w:spacing w:after="0"/>
              <w:rPr>
                <w:sz w:val="21"/>
                <w:szCs w:val="21"/>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53,486</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54,784</w:t>
            </w:r>
          </w:p>
        </w:tc>
      </w:tr>
      <w:tr>
        <w:trPr>
          <w:trHeight w:val="216"/>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54,861</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55,902</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104,505</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106,264</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Net sales decreased by 5.2%.</w:t>
      </w:r>
    </w:p>
    <w:p>
      <w:pPr>
        <w:spacing w:after="0" w:line="117" w:lineRule="exact"/>
        <w:rPr>
          <w:rFonts w:ascii="Arial" w:cs="Arial" w:eastAsia="Arial" w:hAnsi="Arial"/>
          <w:sz w:val="18"/>
          <w:szCs w:val="18"/>
          <w:b w:val="1"/>
          <w:bCs w:val="1"/>
          <w:color w:val="auto"/>
        </w:rPr>
      </w:pPr>
    </w:p>
    <w:p>
      <w:pPr>
        <w:ind w:left="660" w:right="440" w:hanging="328"/>
        <w:spacing w:after="0" w:line="287"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Changes in currency translation rates, driven by a weaker Euro, had the effect of decreasing second-quarter 2022 sales by $5.4 million.</w:t>
      </w:r>
    </w:p>
    <w:p>
      <w:pPr>
        <w:spacing w:after="0" w:line="44" w:lineRule="exact"/>
        <w:rPr>
          <w:rFonts w:ascii="Arial" w:cs="Arial" w:eastAsia="Arial" w:hAnsi="Arial"/>
          <w:sz w:val="18"/>
          <w:szCs w:val="18"/>
          <w:b w:val="1"/>
          <w:bCs w:val="1"/>
          <w:color w:val="auto"/>
        </w:rPr>
      </w:pPr>
    </w:p>
    <w:p>
      <w:pPr>
        <w:jc w:val="both"/>
        <w:ind w:left="660" w:right="260" w:hanging="328"/>
        <w:spacing w:after="0" w:line="268"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Excluding the effect of changes in currency translation rates, Net sales in MC decreased 1.8% compared to the second quarter of 2021, driven by declines in sales for engineered fabrics and tissue grades, partially due to our decision to cease doing business in Russia.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sales decreased by 0.8%.</w:t>
      </w:r>
    </w:p>
    <w:p>
      <w:pPr>
        <w:spacing w:after="0" w:line="117"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Changes in currency translation rates, driven by a weaker Euro, had the effect of decreasing 2022 sales by $8.0 million compared to the same period in 2021.</w:t>
      </w:r>
    </w:p>
    <w:p>
      <w:pPr>
        <w:spacing w:after="0" w:line="44" w:lineRule="exact"/>
        <w:rPr>
          <w:rFonts w:ascii="Arial" w:cs="Arial" w:eastAsia="Arial" w:hAnsi="Arial"/>
          <w:sz w:val="18"/>
          <w:szCs w:val="18"/>
          <w:b w:val="1"/>
          <w:bCs w:val="1"/>
          <w:color w:val="auto"/>
        </w:rPr>
      </w:pPr>
    </w:p>
    <w:p>
      <w:pPr>
        <w:ind w:left="660" w:right="60" w:hanging="328"/>
        <w:spacing w:after="0" w:line="287" w:lineRule="auto"/>
        <w:tabs>
          <w:tab w:leader="none" w:pos="65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Excluding the effect of changes in currency translation rates, Net sales in MC increased 1.8% compared to 2021, driven by growth in sales for pulp and publication grades.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For the three and six month periods ended June 30, 2022, the decrease in MC Gross profit was primarily due to lower sales as noted above, as well as increases in input costs.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reduction in Operating income was driven by lower gross profit, partially offset by the effect of currency translation rates, most notably the weaker Euro, reducing STG&amp;R expenses.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Albany Engineered Composites segment, including Albany Safran Composites, LLC, in which our customer SAFRAN Group owns a 10 percent noncontrolling interest, provides highly engineered advanced composite structures to customers primarily in the aerospace (both commercial and defense) industry. AEC’s largest program relates to CFM International’s LEAP engine. AEC, through ASC, is the exclusive supplier of advanced composite fan blades and cases for this program under a long-term supply contract. The LEAP engine is used on the Airbus A320neo, Boeing 737 MAX, and COMAC 919 aircraft. Other significant AEC programs include CH-53K, F-35, JASSM, and Boeing 787 programs.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Six months ended June 30,</w:t>
            </w:r>
          </w:p>
        </w:tc>
      </w:tr>
      <w:tr>
        <w:trPr>
          <w:trHeight w:val="211"/>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109,699</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74,598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199,806</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148,753</w:t>
            </w:r>
          </w:p>
        </w:tc>
      </w:tr>
      <w:tr>
        <w:trPr>
          <w:trHeight w:val="243"/>
        </w:trPr>
        <w:tc>
          <w:tcPr>
            <w:tcW w:w="44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1"/>
                <w:szCs w:val="21"/>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b w:val="1"/>
                <w:bCs w:val="1"/>
                <w:color w:val="auto"/>
              </w:rPr>
              <w:t>21,736</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17,131</w:t>
            </w:r>
          </w:p>
        </w:tc>
        <w:tc>
          <w:tcPr>
            <w:tcW w:w="280" w:type="dxa"/>
            <w:vAlign w:val="bottom"/>
          </w:tcPr>
          <w:p>
            <w:pPr>
              <w:spacing w:after="0"/>
              <w:rPr>
                <w:sz w:val="21"/>
                <w:szCs w:val="21"/>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b w:val="1"/>
                <w:bCs w:val="1"/>
                <w:color w:val="auto"/>
              </w:rPr>
              <w:t>33,995</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29,284</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23.0 %</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19.7 %</w:t>
            </w:r>
          </w:p>
        </w:tc>
      </w:tr>
      <w:tr>
        <w:trPr>
          <w:trHeight w:val="243"/>
        </w:trPr>
        <w:tc>
          <w:tcPr>
            <w:tcW w:w="446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240" w:type="dxa"/>
            <w:vAlign w:val="bottom"/>
          </w:tcPr>
          <w:p>
            <w:pPr>
              <w:spacing w:after="0"/>
              <w:rPr>
                <w:sz w:val="21"/>
                <w:szCs w:val="21"/>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b w:val="1"/>
                <w:bCs w:val="1"/>
                <w:color w:val="auto"/>
              </w:rPr>
              <w:t>12,202</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10,014</w:t>
            </w:r>
          </w:p>
        </w:tc>
        <w:tc>
          <w:tcPr>
            <w:tcW w:w="280" w:type="dxa"/>
            <w:vAlign w:val="bottom"/>
          </w:tcPr>
          <w:p>
            <w:pPr>
              <w:spacing w:after="0"/>
              <w:rPr>
                <w:sz w:val="21"/>
                <w:szCs w:val="21"/>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b w:val="1"/>
                <w:bCs w:val="1"/>
                <w:color w:val="auto"/>
              </w:rPr>
              <w:t>23,266</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19,140</w:t>
            </w:r>
          </w:p>
        </w:tc>
      </w:tr>
      <w:tr>
        <w:trPr>
          <w:trHeight w:val="216"/>
        </w:trPr>
        <w:tc>
          <w:tcPr>
            <w:tcW w:w="4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9,535</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7,164</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10,730</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10,102</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7"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For the three and six month periods ended June 30, 2022, the increase in Net sales was mainly due to growth on CH-53K and LEAP programs.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the three and six month periods ended June 30, 2022, the decrease in Gross profit was primarily driven by changes in the estimated profitability of long-term contracts, which were more muted during 2022, as compared to larger favorable changes in the prior year. We recognized $ 0.6 million net unfavorable change in the estimated profitability of long-term contracts during the first six months of 2022, as compared to a favorable change of $3.7 million in the first six months of 2021. In addition, incremental reserves in excess of $2 million were recorded on inventory that was damaged at an off-site storage facility, decreasing Gross profit during 2022.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17"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cost-plus-fee agreement. Revenue earned under these arrangements accounted for approximately 40 percent of segment revenue for each of the first six months of 2022 and 2021. LEAP engines are currently used on the Airbus A320neo, Boeing 737 MAX, and COMAC 919 aircraft.</w:t>
      </w:r>
    </w:p>
    <w:p>
      <w:pPr>
        <w:spacing w:after="0" w:line="6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administrative cost allocations, which are treated as period expenses. Expected losses on projects include losses on contract options that are probable of exercise, excluding profitable options that often follow.</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Operating income was driven by higher gross profit, partially offset by higher research and selling expense.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Liquidity and Capital 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r>
      <w:tr>
        <w:trPr>
          <w:trHeight w:val="211"/>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r>
      <w:tr>
        <w:trPr>
          <w:trHeight w:val="211"/>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67,444</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59,050</w:t>
            </w:r>
          </w:p>
        </w:tc>
      </w:tr>
      <w:tr>
        <w:trPr>
          <w:trHeight w:val="216"/>
        </w:trPr>
        <w:tc>
          <w:tcPr>
            <w:tcW w:w="86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34,874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37,133</w:t>
            </w:r>
          </w:p>
        </w:tc>
      </w:tr>
      <w:tr>
        <w:trPr>
          <w:trHeight w:val="216"/>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working capital (a)</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(63,679)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r>
      <w:tr>
        <w:trPr>
          <w:trHeight w:val="216"/>
        </w:trPr>
        <w:tc>
          <w:tcPr>
            <w:tcW w:w="8620" w:type="dxa"/>
            <w:vAlign w:val="bottom"/>
          </w:tcPr>
          <w:p>
            <w:pPr>
              <w:ind w:left="140"/>
              <w:spacing w:after="0"/>
              <w:rPr>
                <w:sz w:val="20"/>
                <w:szCs w:val="20"/>
                <w:color w:val="auto"/>
              </w:rPr>
            </w:pPr>
            <w:r>
              <w:rPr>
                <w:rFonts w:ascii="Arial" w:cs="Arial" w:eastAsia="Arial" w:hAnsi="Arial"/>
                <w:sz w:val="16"/>
                <w:szCs w:val="16"/>
                <w:color w:val="auto"/>
              </w:rPr>
              <w:t>Changes in other noncurrent liabilities and deferred taxes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(656)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1,153</w:t>
            </w:r>
          </w:p>
        </w:tc>
      </w:tr>
      <w:tr>
        <w:trPr>
          <w:trHeight w:val="216"/>
        </w:trPr>
        <w:tc>
          <w:tcPr>
            <w:tcW w:w="8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operating items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(270)</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w:t>
            </w:r>
          </w:p>
        </w:tc>
      </w:tr>
      <w:tr>
        <w:trPr>
          <w:trHeight w:val="236"/>
        </w:trPr>
        <w:tc>
          <w:tcPr>
            <w:tcW w:w="86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37,713</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95,640</w:t>
            </w: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(36,025)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(23,124)</w:t>
            </w:r>
          </w:p>
        </w:tc>
      </w:tr>
      <w:tr>
        <w:trPr>
          <w:trHeight w:val="243"/>
        </w:trPr>
        <w:tc>
          <w:tcPr>
            <w:tcW w:w="8620" w:type="dxa"/>
            <w:vAlign w:val="bottom"/>
          </w:tcPr>
          <w:p>
            <w:pPr>
              <w:ind w:left="20"/>
              <w:spacing w:after="0"/>
              <w:rPr>
                <w:sz w:val="20"/>
                <w:szCs w:val="20"/>
                <w:color w:val="auto"/>
              </w:rPr>
            </w:pPr>
            <w:r>
              <w:rPr>
                <w:rFonts w:ascii="Arial" w:cs="Arial" w:eastAsia="Arial" w:hAnsi="Arial"/>
                <w:sz w:val="16"/>
                <w:szCs w:val="16"/>
                <w:color w:val="auto"/>
              </w:rPr>
              <w:t>Net cash provided by/(used in) financing activities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35,404</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(62,504)</w:t>
            </w:r>
          </w:p>
        </w:tc>
      </w:tr>
      <w:tr>
        <w:trPr>
          <w:trHeight w:val="216"/>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(18,258)</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w:t>
            </w:r>
          </w:p>
        </w:tc>
      </w:tr>
      <w:tr>
        <w:trPr>
          <w:trHeight w:val="237"/>
        </w:trPr>
        <w:tc>
          <w:tcPr>
            <w:tcW w:w="8620" w:type="dxa"/>
            <w:vAlign w:val="bottom"/>
          </w:tcPr>
          <w:p>
            <w:pPr>
              <w:ind w:left="20"/>
              <w:spacing w:after="0"/>
              <w:rPr>
                <w:sz w:val="20"/>
                <w:szCs w:val="20"/>
                <w:color w:val="auto"/>
              </w:rPr>
            </w:pPr>
            <w:r>
              <w:rPr>
                <w:rFonts w:ascii="Arial" w:cs="Arial" w:eastAsia="Arial" w:hAnsi="Arial"/>
                <w:sz w:val="16"/>
                <w:szCs w:val="16"/>
                <w:color w:val="auto"/>
              </w:rPr>
              <w:t>Increase in cash and cash equivalents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18,834</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12,014</w:t>
            </w:r>
          </w:p>
        </w:tc>
      </w:tr>
      <w:tr>
        <w:trPr>
          <w:trHeight w:val="216"/>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302,036</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241,316</w:t>
            </w:r>
          </w:p>
        </w:tc>
      </w:tr>
      <w:tr>
        <w:trPr>
          <w:trHeight w:val="237"/>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320,870</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253,330</w:t>
            </w:r>
          </w:p>
        </w:tc>
      </w:tr>
    </w:tbl>
    <w:p>
      <w:pPr>
        <w:spacing w:after="0" w:line="80"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Accounts receivable, Contract assets, Inventories, Accounts payable, and Accrued liabilities.</w:t>
      </w:r>
    </w:p>
    <w:p>
      <w:pPr>
        <w:spacing w:after="0" w:line="1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Cash provided in operating activities was $37.7 million in the first six months of 2022, compared to $95.6 million in the same period last year. AEC experienced particularly strong working capital cash flows in Accounts receivable and Contract assets during 2021, driven by significant deliveries of LEAP components throughout the year. In addition, during second quarter of 2022, the Company made necessary investments in working capital as it prepared to execute on its recently expanded CH-53K scope of work. Customer payment is expected to be collected in a later period. In addition, the timing of customer and vendor invoice payments, as well as higher incentive compensation payouts during the first six months in 2022 compared to the same period in 2021, contributed to reduced net cash provided by operating activities.</w:t>
      </w:r>
    </w:p>
    <w:p>
      <w:pPr>
        <w:spacing w:after="0" w:line="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strategically deploy our cash with a focus on investing in our business and new technologies to provide our customers with enhanced capabilities, to increase shareholder value, and to position ourselves to take advantage of new business opportunities as they arise. Based on such strategy, we have continued to invest in our business and technologies through capital expenditures, research and development, and when appropriate, selective business acquisitions. Our capital expenditures totaled $36.0 million and $23.1 million for the first six months ended June 30, 2022 and 2021, respectively, comprised of both sustaining and return seeking projects. In the recent past, a portion of our capital expenditures consist of investments which improve operational productivity, in addition to producing a meaningful impact on energy and resource efficiency.</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Net cash provided by financing activities during 2022 was $ 35.4 million compared to net cash used in financing activities of $62.5 million in 2021, driven by increased borrowings during the current year that were partially used to fund repurchases of shares.</w:t>
      </w:r>
    </w:p>
    <w:p>
      <w:pPr>
        <w:spacing w:after="0" w:line="4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w:t>
      </w:r>
    </w:p>
    <w:p>
      <w:pPr>
        <w:spacing w:after="0" w:line="6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$485 million of borrowings were outstanding as of June 30, 2022. The applicable interest rate</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borrowings was LIBOR plus a spread, based on our leverage ratio at the time of borrowing. At the time of the last borrowing on June 27, 2022, the spread was 1.625%. The spread was based on a pricing grid, which ranged from 1.500% to 2.000%, based on our leverage ratio. Based on our maximum leverage ratio and our Consolidated Adjusted EBITDA (as defined in the Credit Agreement), and without modification to any other credit agreements, as of June 30, 2022, we would have been able to borrow an additional $215 million under the Agreement. We were in compliance with all debt covenants as of June 30, 2022.</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see Note 13 to the Consolidated Financial Statements.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believe cash flows from operations and availability under our Credit Agreement will be adequate to cover our operations and business needs over the next twelve months. As of June 30, 2022, we had cash and cash equivalents of approximately $321 million and availability under our Credit Agreement of $215 million, for a total liquidity of approximately $536 million.</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2022, $288.5 million of our total cash and cash equivalents was held by non-U.S. subsidiaries. The accumulated undistributed earnings of the Company’s foreign operations not targeted for repatriation to the U.S. were approximately $190.2 million at June 30, 2022,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 can be no assurance that we will be able to cost effectively repatriate funds in the future. Repatriating such cash from certain jurisdictions may also result in additional withholding taxes.</w:t>
      </w:r>
    </w:p>
    <w:p>
      <w:pPr>
        <w:spacing w:after="0" w:line="7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have also returned cash to shareholders through dividends and share repurchases. During the first six months of 2022, we paid $13 million in dividends and repurchased 1 million shares of our Class A Common shares at a cost of $85 million under the $200 million share repurchase program that our Board approved in October 2021.</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2022, we have no off-balance sheet arrangements required to be disclosed pursuant to Item 303(a)(4) of Regulation 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Pronouncements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March 9, 2022, the SEC issued a proposed rule to enhance and standardize disclosures regarding cybersecurity risk management, strategy, governance, and incident reporting by public companies. The proposed rules are intended to provide more consistent, comparable and decision-useful information so that investors can better evaluate the Company’s exposure to cybersecurity risks, incidents, and strategies to mitigate risks and incidents. We will continue to monitor developments around this proposed rule.</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21, 2022, the SEC issued a proposed rule that would enhance and standardize the climate-related disclosures provided by public companies. Under the proposed rule, we would be required to provide quantitative and qualitative disclosures in registration statements and annual reports that include climate-related financial impact and expenditure metrics as well as a discussion of climate-related impacts on financial estimates and assumptions, all of which would be presented in a footnote to the financials statements. Such disclosures would also be subject to management's internal control over financial reporting ("ICFR") and external audit.</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Company, we have long been committed to sustainable practices and corporate social responsibility and have more recently taken steps to articulate our values and goals, some of which are summarized in our published sustainability report that is included at our website www.albint.com. In 2020, we began establishing more formalized and scalable approaches to our sustainability practices, reporting and systems, in order to ensure we prioritize efforts that are impactful to our business and stakeholders. We have begun to incorporate certain climate-related disclosures and risk factors in our existing disclosures to this point. We will continue to monitor developments around this proposed rule, which once finalized, is expected to allow for a multi-year phased transition to achieving compliance.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This Form 10-Q contains certain non-GAAP measures, including: Net sales, and percent change in Net sales, excluding the impact of currency translation effects (for each segment and on a consolidated basis); EBITDA and Adjusted EBITDA (for each segment and on a consolidated basis, represented in dollars or as a percentage of net sales); Net debt; Net leverage ratio; and Adjusted earnings per share (or Adjusted EPS). Such items are provided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because management believes that they provide additional useful information to investors regarding the Company’s operational performance.</w:t>
      </w:r>
    </w:p>
    <w:p>
      <w:pPr>
        <w:spacing w:after="0" w:line="4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Presenting Net sales and increases or decreases in Net sales, after currency effects are excluded, can give management and investors insight into underlying sales trends. EBITDA, Adjusted EBITDA and Adjusted EPS are performance measures that relate to the Company’s continuing operations.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quarter of specific restructuring costs, former CEO termination costs, acquisition/integrations costs, currency revaluation, pension settlement/curtailment charges,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quarters in which such items had a greater or lesser effect, or no effect. Restructuring expenses, while frequent in recent years, are reflective of significant reductions in manufacturing capacity and associated headcount in response to shifting markets, and not of the profitability of the business going forward as restructured.</w:t>
      </w:r>
    </w:p>
    <w:p>
      <w:pPr>
        <w:spacing w:after="0" w:line="7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sales, or percent changes in Net sales, excluding currency rate effects, are calculated by converting amounts reported in local currencies into U.S. dollars at the exchange rate of a prior period. These amounts are then compared to the U.S. dollar amount as reported in the current period. The Company calculates EBITDA by removing the following from Net income: Interest expense net, Income tax expense, and Depreciation and amortization expense. Adjusted EBITDA is calculated by: adding to EBITDA costs associated with restructuring, former CEO termination costs, and inventory write-offs associated with discontinued businesses; adding charges and credits related to pension plan settlements and curtailments; adding (or subtracting) revaluation losses (or gains); subtracting (or adding) gains (or losses) from the sale of buildings or investments; adding acquisition/integration costs and subtracting (or adding) Income (or loss) attributable to the non-controlling interest in Albany Safran Composites (ASC). Adjusted earnings per share (Adjusted EPS) is calculated by adding to (or subtracting from) net income attributable to the Company per share, on an after-tax basis: restructuring charges; former CEO severance costs; inventory write-offs associated with discontinued businesses; charges and credits related to pension settlements and curtailments; foreign currency revaluation losses (or gains); and acquisition-related expenses.</w:t>
      </w:r>
    </w:p>
    <w:p>
      <w:pPr>
        <w:spacing w:after="0" w:line="7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EBITDA, Adjusted EBITDA, and Adjusted earnings per share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June 30,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4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ind w:right="140"/>
              <w:spacing w:after="0" w:line="144"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jc w:val="right"/>
              <w:ind w:right="420"/>
              <w:spacing w:after="0" w:line="144"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9"/>
        </w:trPr>
        <w:tc>
          <w:tcPr>
            <w:tcW w:w="34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54,861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9,535</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(13,681)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50,715</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(11,346)</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(11,346)</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54,861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9,535</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(25,027)</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39,369</w:t>
            </w:r>
          </w:p>
        </w:tc>
        <w:tc>
          <w:tcPr>
            <w:tcW w:w="0" w:type="dxa"/>
            <w:vAlign w:val="bottom"/>
          </w:tcPr>
          <w:p>
            <w:pPr>
              <w:spacing w:after="0"/>
              <w:rPr>
                <w:sz w:val="1"/>
                <w:szCs w:val="1"/>
                <w:color w:val="auto"/>
              </w:rPr>
            </w:pPr>
          </w:p>
        </w:tc>
      </w:tr>
      <w:tr>
        <w:trPr>
          <w:trHeight w:val="215"/>
        </w:trPr>
        <w:tc>
          <w:tcPr>
            <w:tcW w:w="34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3,933</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3,933</w:t>
            </w: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14,458</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14,458</w:t>
            </w:r>
          </w:p>
        </w:tc>
        <w:tc>
          <w:tcPr>
            <w:tcW w:w="0" w:type="dxa"/>
            <w:vAlign w:val="bottom"/>
          </w:tcPr>
          <w:p>
            <w:pPr>
              <w:spacing w:after="0"/>
              <w:rPr>
                <w:sz w:val="1"/>
                <w:szCs w:val="1"/>
                <w:color w:val="auto"/>
              </w:rPr>
            </w:pPr>
          </w:p>
        </w:tc>
      </w:tr>
      <w:tr>
        <w:trPr>
          <w:trHeight w:val="21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4,880</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11,450</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17,112</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59,741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20,985</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(5,854)</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74,872</w:t>
            </w:r>
          </w:p>
        </w:tc>
        <w:tc>
          <w:tcPr>
            <w:tcW w:w="0" w:type="dxa"/>
            <w:vAlign w:val="bottom"/>
          </w:tcPr>
          <w:p>
            <w:pPr>
              <w:spacing w:after="0"/>
              <w:rPr>
                <w:sz w:val="1"/>
                <w:szCs w:val="1"/>
                <w:color w:val="auto"/>
              </w:rPr>
            </w:pPr>
          </w:p>
        </w:tc>
      </w:tr>
      <w:tr>
        <w:trPr>
          <w:trHeight w:val="215"/>
        </w:trPr>
        <w:tc>
          <w:tcPr>
            <w:tcW w:w="348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(7,271)</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(8,877)</w:t>
            </w:r>
          </w:p>
        </w:tc>
        <w:tc>
          <w:tcPr>
            <w:tcW w:w="0" w:type="dxa"/>
            <w:vAlign w:val="bottom"/>
          </w:tcPr>
          <w:p>
            <w:pPr>
              <w:spacing w:after="0"/>
              <w:rPr>
                <w:sz w:val="1"/>
                <w:szCs w:val="1"/>
                <w:color w:val="auto"/>
              </w:rPr>
            </w:pPr>
          </w:p>
        </w:tc>
      </w:tr>
      <w:tr>
        <w:trPr>
          <w:trHeight w:val="215"/>
        </w:trPr>
        <w:tc>
          <w:tcPr>
            <w:tcW w:w="348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269</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163"/>
        </w:trPr>
        <w:tc>
          <w:tcPr>
            <w:tcW w:w="34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Pre-tax (income) attributable to noncontrolling</w:t>
            </w:r>
          </w:p>
        </w:tc>
        <w:tc>
          <w:tcPr>
            <w:tcW w:w="34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320" w:type="dxa"/>
            <w:vAlign w:val="bottom"/>
            <w:shd w:val="clear" w:color="auto" w:fill="CCEEFF"/>
          </w:tcPr>
          <w:p>
            <w:pPr>
              <w:spacing w:after="0"/>
              <w:rPr>
                <w:sz w:val="14"/>
                <w:szCs w:val="14"/>
                <w:color w:val="auto"/>
              </w:rPr>
            </w:pPr>
          </w:p>
        </w:tc>
        <w:tc>
          <w:tcPr>
            <w:tcW w:w="2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5"/>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57,895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21,259</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(13,123)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66,031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June 30,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55,902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7,164</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(13,100)</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49,966</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(18,526)</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(18,526)</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55,902</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7,164</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(31,626)</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31,440</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4,218</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13,446</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13,446</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5,138</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12,194</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18,251</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61,040</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19,358</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(13,043)</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67,355</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(48)</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300</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63"/>
        </w:trPr>
        <w:tc>
          <w:tcPr>
            <w:tcW w:w="35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Pre-tax (income) attributable to noncontrolling</w:t>
            </w:r>
          </w:p>
        </w:tc>
        <w:tc>
          <w:tcPr>
            <w:tcW w:w="32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320" w:type="dxa"/>
            <w:vAlign w:val="bottom"/>
            <w:shd w:val="clear" w:color="auto" w:fill="CCEEFF"/>
          </w:tcPr>
          <w:p>
            <w:pPr>
              <w:spacing w:after="0"/>
              <w:rPr>
                <w:sz w:val="14"/>
                <w:szCs w:val="14"/>
                <w:color w:val="auto"/>
              </w:rPr>
            </w:pPr>
          </w:p>
        </w:tc>
        <w:tc>
          <w:tcPr>
            <w:tcW w:w="2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19,301</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(12,840)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69,419</w:t>
            </w:r>
          </w:p>
        </w:tc>
        <w:tc>
          <w:tcPr>
            <w:tcW w:w="0" w:type="dxa"/>
            <w:vAlign w:val="bottom"/>
          </w:tcPr>
          <w:p>
            <w:pPr>
              <w:spacing w:after="0"/>
              <w:rPr>
                <w:sz w:val="1"/>
                <w:szCs w:val="1"/>
                <w:color w:val="auto"/>
              </w:rPr>
            </w:pPr>
          </w:p>
        </w:tc>
      </w:tr>
      <w:tr>
        <w:trPr>
          <w:trHeight w:val="115"/>
        </w:trPr>
        <w:tc>
          <w:tcPr>
            <w:tcW w:w="3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Six months ended June 30, 2022</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15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Pr>
          <w:p>
            <w:pPr>
              <w:spacing w:after="0"/>
              <w:rPr>
                <w:sz w:val="12"/>
                <w:szCs w:val="12"/>
                <w:color w:val="auto"/>
              </w:rPr>
            </w:pPr>
          </w:p>
        </w:tc>
        <w:tc>
          <w:tcPr>
            <w:tcW w:w="15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Pr>
          <w:p>
            <w:pPr>
              <w:spacing w:after="0"/>
              <w:rPr>
                <w:sz w:val="12"/>
                <w:szCs w:val="12"/>
                <w:color w:val="auto"/>
              </w:rPr>
            </w:pPr>
          </w:p>
        </w:tc>
        <w:tc>
          <w:tcPr>
            <w:tcW w:w="208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Pr>
          <w:p>
            <w:pPr>
              <w:spacing w:after="0"/>
              <w:rPr>
                <w:sz w:val="12"/>
                <w:szCs w:val="12"/>
                <w:color w:val="auto"/>
              </w:rPr>
            </w:pPr>
          </w:p>
        </w:tc>
        <w:tc>
          <w:tcPr>
            <w:tcW w:w="150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104,505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10,730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(25,766)</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89,469</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(22,025)</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(22,025)</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104,505</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10,730</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(47,791)</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67,444</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7,542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7,542</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25,456</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25,456</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9,803</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23,489</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34,874</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114,308</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34,219</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(13,211)</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135,316</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213</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(11,011)</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(11,137)</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1,787</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781</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2,568</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162"/>
        </w:trPr>
        <w:tc>
          <w:tcPr>
            <w:tcW w:w="3500" w:type="dxa"/>
            <w:vAlign w:val="bottom"/>
          </w:tcPr>
          <w:p>
            <w:pPr>
              <w:ind w:left="20"/>
              <w:spacing w:after="0" w:line="162" w:lineRule="exact"/>
              <w:rPr>
                <w:sz w:val="20"/>
                <w:szCs w:val="20"/>
                <w:color w:val="auto"/>
              </w:rPr>
            </w:pPr>
            <w:r>
              <w:rPr>
                <w:rFonts w:ascii="Arial" w:cs="Arial" w:eastAsia="Arial" w:hAnsi="Arial"/>
                <w:sz w:val="16"/>
                <w:szCs w:val="16"/>
                <w:color w:val="auto"/>
              </w:rPr>
              <w:t>Pre-tax (income) attributable to noncontrolling</w:t>
            </w:r>
          </w:p>
        </w:tc>
        <w:tc>
          <w:tcPr>
            <w:tcW w:w="32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(457)</w:t>
            </w:r>
          </w:p>
        </w:tc>
        <w:tc>
          <w:tcPr>
            <w:tcW w:w="320" w:type="dxa"/>
            <w:vAlign w:val="bottom"/>
          </w:tcPr>
          <w:p>
            <w:pPr>
              <w:spacing w:after="0"/>
              <w:rPr>
                <w:sz w:val="14"/>
                <w:szCs w:val="14"/>
                <w:color w:val="auto"/>
              </w:rPr>
            </w:pPr>
          </w:p>
        </w:tc>
        <w:tc>
          <w:tcPr>
            <w:tcW w:w="2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115,549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34,946</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(23,428)</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127,067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5"/>
        </w:trPr>
        <w:tc>
          <w:tcPr>
            <w:tcW w:w="34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106,264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10,102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(24,581)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91,785</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(32,735)</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(32,735)</w:t>
            </w: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106,264</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10,102</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(57,316)</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59,050</w:t>
            </w:r>
          </w:p>
        </w:tc>
        <w:tc>
          <w:tcPr>
            <w:tcW w:w="0" w:type="dxa"/>
            <w:vAlign w:val="bottom"/>
          </w:tcPr>
          <w:p>
            <w:pPr>
              <w:spacing w:after="0"/>
              <w:rPr>
                <w:sz w:val="1"/>
                <w:szCs w:val="1"/>
                <w:color w:val="auto"/>
              </w:rPr>
            </w:pPr>
          </w:p>
        </w:tc>
      </w:tr>
      <w:tr>
        <w:trPr>
          <w:trHeight w:val="215"/>
        </w:trPr>
        <w:tc>
          <w:tcPr>
            <w:tcW w:w="34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7,787</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7,787</w:t>
            </w: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23,486</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23,486</w:t>
            </w:r>
          </w:p>
        </w:tc>
        <w:tc>
          <w:tcPr>
            <w:tcW w:w="0" w:type="dxa"/>
            <w:vAlign w:val="bottom"/>
          </w:tcPr>
          <w:p>
            <w:pPr>
              <w:spacing w:after="0"/>
              <w:rPr>
                <w:sz w:val="1"/>
                <w:szCs w:val="1"/>
                <w:color w:val="auto"/>
              </w:rPr>
            </w:pPr>
          </w:p>
        </w:tc>
      </w:tr>
      <w:tr>
        <w:trPr>
          <w:trHeight w:val="21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10,258</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25,061</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37,133</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116,522</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35,163</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(24,229)</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127,456</w:t>
            </w:r>
          </w:p>
        </w:tc>
        <w:tc>
          <w:tcPr>
            <w:tcW w:w="0" w:type="dxa"/>
            <w:vAlign w:val="bottom"/>
          </w:tcPr>
          <w:p>
            <w:pPr>
              <w:spacing w:after="0"/>
              <w:rPr>
                <w:sz w:val="1"/>
                <w:szCs w:val="1"/>
                <w:color w:val="auto"/>
              </w:rPr>
            </w:pPr>
          </w:p>
        </w:tc>
      </w:tr>
      <w:tr>
        <w:trPr>
          <w:trHeight w:val="215"/>
        </w:trPr>
        <w:tc>
          <w:tcPr>
            <w:tcW w:w="348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0" w:type="dxa"/>
            <w:vAlign w:val="bottom"/>
          </w:tcPr>
          <w:p>
            <w:pPr>
              <w:spacing w:after="0"/>
              <w:rPr>
                <w:sz w:val="1"/>
                <w:szCs w:val="1"/>
                <w:color w:val="auto"/>
              </w:rPr>
            </w:pPr>
          </w:p>
        </w:tc>
      </w:tr>
      <w:tr>
        <w:trPr>
          <w:trHeight w:val="215"/>
        </w:trPr>
        <w:tc>
          <w:tcPr>
            <w:tcW w:w="348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614</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163"/>
        </w:trPr>
        <w:tc>
          <w:tcPr>
            <w:tcW w:w="34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Pre-tax (income) attributable to noncontrolling</w:t>
            </w:r>
          </w:p>
        </w:tc>
        <w:tc>
          <w:tcPr>
            <w:tcW w:w="34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320" w:type="dxa"/>
            <w:vAlign w:val="bottom"/>
            <w:shd w:val="clear" w:color="auto" w:fill="CCEEFF"/>
          </w:tcPr>
          <w:p>
            <w:pPr>
              <w:spacing w:after="0"/>
              <w:rPr>
                <w:sz w:val="14"/>
                <w:szCs w:val="14"/>
                <w:color w:val="auto"/>
              </w:rPr>
            </w:pPr>
          </w:p>
        </w:tc>
        <w:tc>
          <w:tcPr>
            <w:tcW w:w="2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5"/>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117,879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36,039</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(23,828)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130,090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quarterly earnings and are financial performance metrics commonly used by investors. The Company calculates the quarterly per-share amount for items included in continuing operations by using the income tax rate based on either the tax rates in specific countries or the estimated tax rate applied to total company results. The after-tax amount is then divided by the weighted-average number of shares outstanding for each period. Year-to-date earnings per-share effects are determined by adding the amounts calculated at each reporting period.</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June 30, 2022</w:t>
            </w:r>
          </w:p>
        </w:tc>
        <w:tc>
          <w:tcPr>
            <w:tcW w:w="2780" w:type="dxa"/>
            <w:vAlign w:val="bottom"/>
            <w:tcBorders>
              <w:top w:val="single" w:sz="8" w:color="auto"/>
            </w:tcBorders>
          </w:tcPr>
          <w:p>
            <w:pPr>
              <w:jc w:val="center"/>
              <w:ind w:left="1308"/>
              <w:spacing w:after="0"/>
              <w:rPr>
                <w:sz w:val="20"/>
                <w:szCs w:val="20"/>
                <w:color w:val="auto"/>
              </w:rPr>
            </w:pPr>
            <w:r>
              <w:rPr>
                <w:rFonts w:ascii="Arial" w:cs="Arial" w:eastAsia="Arial" w:hAnsi="Arial"/>
                <w:sz w:val="14"/>
                <w:szCs w:val="14"/>
                <w:b w:val="1"/>
                <w:bCs w:val="1"/>
                <w:color w:val="auto"/>
              </w:rPr>
              <w:t>Pre tax</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Tax</w:t>
            </w: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After tax</w:t>
            </w: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780" w:type="dxa"/>
            <w:vAlign w:val="bottom"/>
          </w:tcPr>
          <w:p>
            <w:pPr>
              <w:jc w:val="center"/>
              <w:ind w:left="1288"/>
              <w:spacing w:after="0"/>
              <w:rPr>
                <w:sz w:val="20"/>
                <w:szCs w:val="20"/>
                <w:color w:val="auto"/>
              </w:rPr>
            </w:pPr>
            <w:r>
              <w:rPr>
                <w:rFonts w:ascii="Arial" w:cs="Arial" w:eastAsia="Arial" w:hAnsi="Arial"/>
                <w:sz w:val="14"/>
                <w:szCs w:val="14"/>
                <w:b w:val="1"/>
                <w:bCs w:val="1"/>
                <w:color w:val="auto"/>
              </w:rPr>
              <w:t>Amounts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5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center"/>
              <w:ind w:left="562"/>
              <w:spacing w:after="0"/>
              <w:rPr>
                <w:sz w:val="20"/>
                <w:szCs w:val="20"/>
                <w:color w:val="auto"/>
              </w:rPr>
            </w:pPr>
            <w:r>
              <w:rPr>
                <w:rFonts w:ascii="Arial" w:cs="Arial" w:eastAsia="Arial" w:hAnsi="Arial"/>
                <w:sz w:val="16"/>
                <w:szCs w:val="16"/>
                <w:color w:val="auto"/>
                <w:w w:val="96"/>
              </w:rPr>
              <w:t>0.00</w:t>
            </w:r>
          </w:p>
        </w:tc>
      </w:tr>
      <w:tr>
        <w:trPr>
          <w:trHeight w:val="215"/>
        </w:trPr>
        <w:tc>
          <w:tcPr>
            <w:tcW w:w="46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(8,877)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(2,492)</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(6,385)</w:t>
            </w:r>
          </w:p>
        </w:tc>
        <w:tc>
          <w:tcPr>
            <w:tcW w:w="220" w:type="dxa"/>
            <w:vAlign w:val="bottom"/>
          </w:tcPr>
          <w:p>
            <w:pPr>
              <w:spacing w:after="0"/>
              <w:rPr>
                <w:sz w:val="18"/>
                <w:szCs w:val="18"/>
                <w:color w:val="auto"/>
              </w:rPr>
            </w:pPr>
          </w:p>
        </w:tc>
        <w:tc>
          <w:tcPr>
            <w:tcW w:w="1100" w:type="dxa"/>
            <w:vAlign w:val="bottom"/>
          </w:tcPr>
          <w:p>
            <w:pPr>
              <w:jc w:val="center"/>
              <w:ind w:left="542"/>
              <w:spacing w:after="0"/>
              <w:rPr>
                <w:sz w:val="20"/>
                <w:szCs w:val="20"/>
                <w:color w:val="auto"/>
              </w:rPr>
            </w:pPr>
            <w:r>
              <w:rPr>
                <w:rFonts w:ascii="Arial" w:cs="Arial" w:eastAsia="Arial" w:hAnsi="Arial"/>
                <w:sz w:val="16"/>
                <w:szCs w:val="16"/>
                <w:color w:val="auto"/>
              </w:rPr>
              <w:t>(0.20)</w:t>
            </w:r>
          </w:p>
        </w:tc>
      </w:tr>
      <w:tr>
        <w:trPr>
          <w:trHeight w:val="243"/>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15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80</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ind w:left="562"/>
              <w:spacing w:after="0"/>
              <w:rPr>
                <w:sz w:val="20"/>
                <w:szCs w:val="20"/>
                <w:color w:val="auto"/>
              </w:rPr>
            </w:pPr>
            <w:r>
              <w:rPr>
                <w:rFonts w:ascii="Arial" w:cs="Arial" w:eastAsia="Arial" w:hAnsi="Arial"/>
                <w:sz w:val="16"/>
                <w:szCs w:val="16"/>
                <w:color w:val="auto"/>
                <w:w w:val="96"/>
              </w:rPr>
              <w:t>0.01</w:t>
            </w:r>
          </w:p>
        </w:tc>
      </w:tr>
      <w:tr>
        <w:trPr>
          <w:trHeight w:val="454"/>
        </w:trPr>
        <w:tc>
          <w:tcPr>
            <w:tcW w:w="46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46"/>
        </w:trPr>
        <w:tc>
          <w:tcPr>
            <w:tcW w:w="468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Three months ended June 30, 2021</w:t>
            </w:r>
          </w:p>
        </w:tc>
        <w:tc>
          <w:tcPr>
            <w:tcW w:w="1540" w:type="dxa"/>
            <w:vAlign w:val="bottom"/>
          </w:tcPr>
          <w:p>
            <w:pPr>
              <w:spacing w:after="0"/>
              <w:rPr>
                <w:sz w:val="12"/>
                <w:szCs w:val="12"/>
                <w:color w:val="auto"/>
              </w:rPr>
            </w:pPr>
          </w:p>
        </w:tc>
        <w:tc>
          <w:tcPr>
            <w:tcW w:w="1080" w:type="dxa"/>
            <w:vAlign w:val="bottom"/>
          </w:tcPr>
          <w:p>
            <w:pPr>
              <w:jc w:val="center"/>
              <w:ind w:right="122"/>
              <w:spacing w:after="0" w:line="147" w:lineRule="exact"/>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2"/>
                <w:szCs w:val="12"/>
                <w:color w:val="auto"/>
              </w:rPr>
            </w:pPr>
          </w:p>
        </w:tc>
        <w:tc>
          <w:tcPr>
            <w:tcW w:w="1020" w:type="dxa"/>
            <w:vAlign w:val="bottom"/>
          </w:tcPr>
          <w:p>
            <w:pPr>
              <w:jc w:val="center"/>
              <w:ind w:right="222"/>
              <w:spacing w:after="0" w:line="147" w:lineRule="exact"/>
              <w:rPr>
                <w:sz w:val="20"/>
                <w:szCs w:val="20"/>
                <w:color w:val="auto"/>
              </w:rPr>
            </w:pPr>
            <w:r>
              <w:rPr>
                <w:rFonts w:ascii="Arial" w:cs="Arial" w:eastAsia="Arial" w:hAnsi="Arial"/>
                <w:sz w:val="14"/>
                <w:szCs w:val="14"/>
                <w:b w:val="1"/>
                <w:bCs w:val="1"/>
                <w:color w:val="auto"/>
                <w:w w:val="99"/>
              </w:rPr>
              <w:t>Tax</w:t>
            </w:r>
          </w:p>
        </w:tc>
        <w:tc>
          <w:tcPr>
            <w:tcW w:w="240" w:type="dxa"/>
            <w:vAlign w:val="bottom"/>
          </w:tcPr>
          <w:p>
            <w:pPr>
              <w:spacing w:after="0"/>
              <w:rPr>
                <w:sz w:val="12"/>
                <w:szCs w:val="12"/>
                <w:color w:val="auto"/>
              </w:rPr>
            </w:pPr>
          </w:p>
        </w:tc>
        <w:tc>
          <w:tcPr>
            <w:tcW w:w="1060" w:type="dxa"/>
            <w:vAlign w:val="bottom"/>
          </w:tcPr>
          <w:p>
            <w:pPr>
              <w:jc w:val="center"/>
              <w:ind w:right="162"/>
              <w:spacing w:after="0" w:line="147" w:lineRule="exact"/>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2"/>
                <w:szCs w:val="12"/>
                <w:color w:val="auto"/>
              </w:rPr>
            </w:pPr>
          </w:p>
        </w:tc>
        <w:tc>
          <w:tcPr>
            <w:tcW w:w="1100" w:type="dxa"/>
            <w:vAlign w:val="bottom"/>
          </w:tcPr>
          <w:p>
            <w:pPr>
              <w:jc w:val="center"/>
              <w:ind w:right="122"/>
              <w:spacing w:after="0" w:line="147" w:lineRule="exact"/>
              <w:rPr>
                <w:sz w:val="20"/>
                <w:szCs w:val="20"/>
                <w:color w:val="auto"/>
              </w:rPr>
            </w:pPr>
            <w:r>
              <w:rPr>
                <w:rFonts w:ascii="Arial" w:cs="Arial" w:eastAsia="Arial" w:hAnsi="Arial"/>
                <w:sz w:val="14"/>
                <w:szCs w:val="14"/>
                <w:b w:val="1"/>
                <w:bCs w:val="1"/>
                <w:color w:val="auto"/>
              </w:rPr>
              <w:t>Per share</w:t>
            </w:r>
          </w:p>
        </w:tc>
      </w:tr>
      <w:tr>
        <w:trPr>
          <w:trHeight w:val="18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6"/>
              </w:rPr>
              <w:t>0.00</w:t>
            </w:r>
          </w:p>
        </w:tc>
      </w:tr>
      <w:tr>
        <w:trPr>
          <w:trHeight w:val="215"/>
        </w:trPr>
        <w:tc>
          <w:tcPr>
            <w:tcW w:w="46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1,838</w:t>
            </w:r>
          </w:p>
        </w:tc>
        <w:tc>
          <w:tcPr>
            <w:tcW w:w="3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781</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1,057</w:t>
            </w:r>
          </w:p>
        </w:tc>
        <w:tc>
          <w:tcPr>
            <w:tcW w:w="220" w:type="dxa"/>
            <w:vAlign w:val="bottom"/>
          </w:tcPr>
          <w:p>
            <w:pPr>
              <w:spacing w:after="0"/>
              <w:rPr>
                <w:sz w:val="18"/>
                <w:szCs w:val="18"/>
                <w:color w:val="auto"/>
              </w:rPr>
            </w:pPr>
          </w:p>
        </w:tc>
        <w:tc>
          <w:tcPr>
            <w:tcW w:w="1100" w:type="dxa"/>
            <w:vAlign w:val="bottom"/>
          </w:tcPr>
          <w:p>
            <w:pPr>
              <w:jc w:val="center"/>
              <w:ind w:left="562"/>
              <w:spacing w:after="0"/>
              <w:rPr>
                <w:sz w:val="20"/>
                <w:szCs w:val="20"/>
                <w:color w:val="auto"/>
              </w:rPr>
            </w:pPr>
            <w:r>
              <w:rPr>
                <w:rFonts w:ascii="Arial" w:cs="Arial" w:eastAsia="Arial" w:hAnsi="Arial"/>
                <w:sz w:val="16"/>
                <w:szCs w:val="16"/>
                <w:color w:val="auto"/>
                <w:w w:val="96"/>
              </w:rPr>
              <w:t>0.03</w:t>
            </w:r>
          </w:p>
        </w:tc>
      </w:tr>
      <w:tr>
        <w:trPr>
          <w:trHeight w:val="216"/>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1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90</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62"/>
              <w:spacing w:after="0"/>
              <w:rPr>
                <w:sz w:val="20"/>
                <w:szCs w:val="20"/>
                <w:color w:val="auto"/>
              </w:rPr>
            </w:pPr>
            <w:r>
              <w:rPr>
                <w:rFonts w:ascii="Arial" w:cs="Arial" w:eastAsia="Arial" w:hAnsi="Arial"/>
                <w:sz w:val="16"/>
                <w:szCs w:val="16"/>
                <w:color w:val="auto"/>
                <w:w w:val="96"/>
              </w:rPr>
              <w:t>0.01</w:t>
            </w:r>
          </w:p>
        </w:tc>
      </w:tr>
      <w:tr>
        <w:trPr>
          <w:trHeight w:val="224"/>
        </w:trPr>
        <w:tc>
          <w:tcPr>
            <w:tcW w:w="4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46"/>
        </w:trPr>
        <w:tc>
          <w:tcPr>
            <w:tcW w:w="468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Six months ended June 30, 2022</w:t>
            </w:r>
          </w:p>
        </w:tc>
        <w:tc>
          <w:tcPr>
            <w:tcW w:w="1540" w:type="dxa"/>
            <w:vAlign w:val="bottom"/>
          </w:tcPr>
          <w:p>
            <w:pPr>
              <w:spacing w:after="0"/>
              <w:rPr>
                <w:sz w:val="12"/>
                <w:szCs w:val="12"/>
                <w:color w:val="auto"/>
              </w:rPr>
            </w:pPr>
          </w:p>
        </w:tc>
        <w:tc>
          <w:tcPr>
            <w:tcW w:w="1080" w:type="dxa"/>
            <w:vAlign w:val="bottom"/>
          </w:tcPr>
          <w:p>
            <w:pPr>
              <w:jc w:val="center"/>
              <w:ind w:right="122"/>
              <w:spacing w:after="0" w:line="147" w:lineRule="exact"/>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2"/>
                <w:szCs w:val="12"/>
                <w:color w:val="auto"/>
              </w:rPr>
            </w:pPr>
          </w:p>
        </w:tc>
        <w:tc>
          <w:tcPr>
            <w:tcW w:w="1020" w:type="dxa"/>
            <w:vAlign w:val="bottom"/>
          </w:tcPr>
          <w:p>
            <w:pPr>
              <w:jc w:val="center"/>
              <w:ind w:right="222"/>
              <w:spacing w:after="0" w:line="147" w:lineRule="exact"/>
              <w:rPr>
                <w:sz w:val="20"/>
                <w:szCs w:val="20"/>
                <w:color w:val="auto"/>
              </w:rPr>
            </w:pPr>
            <w:r>
              <w:rPr>
                <w:rFonts w:ascii="Arial" w:cs="Arial" w:eastAsia="Arial" w:hAnsi="Arial"/>
                <w:sz w:val="14"/>
                <w:szCs w:val="14"/>
                <w:b w:val="1"/>
                <w:bCs w:val="1"/>
                <w:color w:val="auto"/>
                <w:w w:val="99"/>
              </w:rPr>
              <w:t>Tax</w:t>
            </w:r>
          </w:p>
        </w:tc>
        <w:tc>
          <w:tcPr>
            <w:tcW w:w="240" w:type="dxa"/>
            <w:vAlign w:val="bottom"/>
          </w:tcPr>
          <w:p>
            <w:pPr>
              <w:spacing w:after="0"/>
              <w:rPr>
                <w:sz w:val="12"/>
                <w:szCs w:val="12"/>
                <w:color w:val="auto"/>
              </w:rPr>
            </w:pPr>
          </w:p>
        </w:tc>
        <w:tc>
          <w:tcPr>
            <w:tcW w:w="1060" w:type="dxa"/>
            <w:vAlign w:val="bottom"/>
          </w:tcPr>
          <w:p>
            <w:pPr>
              <w:jc w:val="center"/>
              <w:ind w:right="162"/>
              <w:spacing w:after="0" w:line="147" w:lineRule="exact"/>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2"/>
                <w:szCs w:val="12"/>
                <w:color w:val="auto"/>
              </w:rPr>
            </w:pPr>
          </w:p>
        </w:tc>
        <w:tc>
          <w:tcPr>
            <w:tcW w:w="1100" w:type="dxa"/>
            <w:vAlign w:val="bottom"/>
          </w:tcPr>
          <w:p>
            <w:pPr>
              <w:jc w:val="center"/>
              <w:ind w:right="122"/>
              <w:spacing w:after="0" w:line="147" w:lineRule="exact"/>
              <w:rPr>
                <w:sz w:val="20"/>
                <w:szCs w:val="20"/>
                <w:color w:val="auto"/>
              </w:rPr>
            </w:pPr>
            <w:r>
              <w:rPr>
                <w:rFonts w:ascii="Arial" w:cs="Arial" w:eastAsia="Arial" w:hAnsi="Arial"/>
                <w:sz w:val="14"/>
                <w:szCs w:val="14"/>
                <w:b w:val="1"/>
                <w:bCs w:val="1"/>
                <w:color w:val="auto"/>
              </w:rPr>
              <w:t>Per share</w:t>
            </w:r>
          </w:p>
        </w:tc>
      </w:tr>
      <w:tr>
        <w:trPr>
          <w:trHeight w:val="18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6"/>
              </w:rPr>
              <w:t>0.01</w:t>
            </w:r>
          </w:p>
        </w:tc>
      </w:tr>
      <w:tr>
        <w:trPr>
          <w:trHeight w:val="215"/>
        </w:trPr>
        <w:tc>
          <w:tcPr>
            <w:tcW w:w="46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(11,137)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(3,135)</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(8,002)</w:t>
            </w:r>
          </w:p>
        </w:tc>
        <w:tc>
          <w:tcPr>
            <w:tcW w:w="220" w:type="dxa"/>
            <w:vAlign w:val="bottom"/>
          </w:tcPr>
          <w:p>
            <w:pPr>
              <w:spacing w:after="0"/>
              <w:rPr>
                <w:sz w:val="18"/>
                <w:szCs w:val="18"/>
                <w:color w:val="auto"/>
              </w:rPr>
            </w:pPr>
          </w:p>
        </w:tc>
        <w:tc>
          <w:tcPr>
            <w:tcW w:w="1100" w:type="dxa"/>
            <w:vAlign w:val="bottom"/>
          </w:tcPr>
          <w:p>
            <w:pPr>
              <w:jc w:val="center"/>
              <w:ind w:left="542"/>
              <w:spacing w:after="0"/>
              <w:rPr>
                <w:sz w:val="20"/>
                <w:szCs w:val="20"/>
                <w:color w:val="auto"/>
              </w:rPr>
            </w:pPr>
            <w:r>
              <w:rPr>
                <w:rFonts w:ascii="Arial" w:cs="Arial" w:eastAsia="Arial" w:hAnsi="Arial"/>
                <w:sz w:val="16"/>
                <w:szCs w:val="16"/>
                <w:color w:val="auto"/>
              </w:rPr>
              <w:t>(0.25)</w:t>
            </w:r>
          </w:p>
        </w:tc>
      </w:tr>
      <w:tr>
        <w:trPr>
          <w:trHeight w:val="244"/>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1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332</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6"/>
              </w:rPr>
              <w:t>0.07</w:t>
            </w:r>
          </w:p>
        </w:tc>
      </w:tr>
      <w:tr>
        <w:trPr>
          <w:trHeight w:val="242"/>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15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164</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562"/>
              <w:spacing w:after="0"/>
              <w:rPr>
                <w:sz w:val="20"/>
                <w:szCs w:val="20"/>
                <w:color w:val="auto"/>
              </w:rPr>
            </w:pPr>
            <w:r>
              <w:rPr>
                <w:rFonts w:ascii="Arial" w:cs="Arial" w:eastAsia="Arial" w:hAnsi="Arial"/>
                <w:sz w:val="16"/>
                <w:szCs w:val="16"/>
                <w:color w:val="auto"/>
                <w:w w:val="96"/>
              </w:rPr>
              <w:t>0.02</w:t>
            </w:r>
          </w:p>
        </w:tc>
      </w:tr>
      <w:tr>
        <w:trPr>
          <w:trHeight w:val="224"/>
        </w:trPr>
        <w:tc>
          <w:tcPr>
            <w:tcW w:w="4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42"/>
        </w:trPr>
        <w:tc>
          <w:tcPr>
            <w:tcW w:w="4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Six months ended June 30, 2021</w:t>
            </w:r>
          </w:p>
        </w:tc>
        <w:tc>
          <w:tcPr>
            <w:tcW w:w="1540" w:type="dxa"/>
            <w:vAlign w:val="bottom"/>
          </w:tcPr>
          <w:p>
            <w:pPr>
              <w:spacing w:after="0"/>
              <w:rPr>
                <w:sz w:val="12"/>
                <w:szCs w:val="12"/>
                <w:color w:val="auto"/>
              </w:rPr>
            </w:pPr>
          </w:p>
        </w:tc>
        <w:tc>
          <w:tcPr>
            <w:tcW w:w="1080" w:type="dxa"/>
            <w:vAlign w:val="bottom"/>
          </w:tcPr>
          <w:p>
            <w:pPr>
              <w:jc w:val="center"/>
              <w:ind w:right="122"/>
              <w:spacing w:after="0" w:line="142" w:lineRule="exact"/>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2"/>
                <w:szCs w:val="12"/>
                <w:color w:val="auto"/>
              </w:rPr>
            </w:pPr>
          </w:p>
        </w:tc>
        <w:tc>
          <w:tcPr>
            <w:tcW w:w="1020" w:type="dxa"/>
            <w:vAlign w:val="bottom"/>
          </w:tcPr>
          <w:p>
            <w:pPr>
              <w:jc w:val="center"/>
              <w:ind w:right="222"/>
              <w:spacing w:after="0" w:line="142" w:lineRule="exact"/>
              <w:rPr>
                <w:sz w:val="20"/>
                <w:szCs w:val="20"/>
                <w:color w:val="auto"/>
              </w:rPr>
            </w:pPr>
            <w:r>
              <w:rPr>
                <w:rFonts w:ascii="Arial" w:cs="Arial" w:eastAsia="Arial" w:hAnsi="Arial"/>
                <w:sz w:val="14"/>
                <w:szCs w:val="14"/>
                <w:b w:val="1"/>
                <w:bCs w:val="1"/>
                <w:color w:val="auto"/>
                <w:w w:val="99"/>
              </w:rPr>
              <w:t>Tax</w:t>
            </w:r>
          </w:p>
        </w:tc>
        <w:tc>
          <w:tcPr>
            <w:tcW w:w="240" w:type="dxa"/>
            <w:vAlign w:val="bottom"/>
          </w:tcPr>
          <w:p>
            <w:pPr>
              <w:spacing w:after="0"/>
              <w:rPr>
                <w:sz w:val="12"/>
                <w:szCs w:val="12"/>
                <w:color w:val="auto"/>
              </w:rPr>
            </w:pPr>
          </w:p>
        </w:tc>
        <w:tc>
          <w:tcPr>
            <w:tcW w:w="1060" w:type="dxa"/>
            <w:vAlign w:val="bottom"/>
          </w:tcPr>
          <w:p>
            <w:pPr>
              <w:jc w:val="center"/>
              <w:ind w:right="162"/>
              <w:spacing w:after="0" w:line="142" w:lineRule="exact"/>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2"/>
                <w:szCs w:val="12"/>
                <w:color w:val="auto"/>
              </w:rPr>
            </w:pPr>
          </w:p>
        </w:tc>
        <w:tc>
          <w:tcPr>
            <w:tcW w:w="1100" w:type="dxa"/>
            <w:vAlign w:val="bottom"/>
          </w:tcPr>
          <w:p>
            <w:pPr>
              <w:jc w:val="center"/>
              <w:ind w:right="122"/>
              <w:spacing w:after="0" w:line="142" w:lineRule="exact"/>
              <w:rPr>
                <w:sz w:val="20"/>
                <w:szCs w:val="20"/>
                <w:color w:val="auto"/>
              </w:rPr>
            </w:pPr>
            <w:r>
              <w:rPr>
                <w:rFonts w:ascii="Arial" w:cs="Arial" w:eastAsia="Arial" w:hAnsi="Arial"/>
                <w:sz w:val="14"/>
                <w:szCs w:val="14"/>
                <w:b w:val="1"/>
                <w:bCs w:val="1"/>
                <w:color w:val="auto"/>
              </w:rPr>
              <w:t>Per share</w:t>
            </w:r>
          </w:p>
        </w:tc>
      </w:tr>
      <w:tr>
        <w:trPr>
          <w:trHeight w:val="189"/>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6"/>
              </w:rPr>
              <w:t>0.00</w:t>
            </w:r>
          </w:p>
        </w:tc>
      </w:tr>
      <w:tr>
        <w:trPr>
          <w:trHeight w:val="215"/>
        </w:trPr>
        <w:tc>
          <w:tcPr>
            <w:tcW w:w="46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2,088</w:t>
            </w:r>
          </w:p>
        </w:tc>
        <w:tc>
          <w:tcPr>
            <w:tcW w:w="3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646</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1,442</w:t>
            </w:r>
          </w:p>
        </w:tc>
        <w:tc>
          <w:tcPr>
            <w:tcW w:w="220" w:type="dxa"/>
            <w:vAlign w:val="bottom"/>
          </w:tcPr>
          <w:p>
            <w:pPr>
              <w:spacing w:after="0"/>
              <w:rPr>
                <w:sz w:val="18"/>
                <w:szCs w:val="18"/>
                <w:color w:val="auto"/>
              </w:rPr>
            </w:pPr>
          </w:p>
        </w:tc>
        <w:tc>
          <w:tcPr>
            <w:tcW w:w="1100" w:type="dxa"/>
            <w:vAlign w:val="bottom"/>
          </w:tcPr>
          <w:p>
            <w:pPr>
              <w:jc w:val="center"/>
              <w:ind w:left="562"/>
              <w:spacing w:after="0"/>
              <w:rPr>
                <w:sz w:val="20"/>
                <w:szCs w:val="20"/>
                <w:color w:val="auto"/>
              </w:rPr>
            </w:pPr>
            <w:r>
              <w:rPr>
                <w:rFonts w:ascii="Arial" w:cs="Arial" w:eastAsia="Arial" w:hAnsi="Arial"/>
                <w:sz w:val="16"/>
                <w:szCs w:val="16"/>
                <w:color w:val="auto"/>
                <w:w w:val="96"/>
              </w:rPr>
              <w:t>0.04</w:t>
            </w:r>
          </w:p>
        </w:tc>
      </w:tr>
      <w:tr>
        <w:trPr>
          <w:trHeight w:val="216"/>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1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184</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62"/>
              <w:spacing w:after="0"/>
              <w:rPr>
                <w:sz w:val="20"/>
                <w:szCs w:val="20"/>
                <w:color w:val="auto"/>
              </w:rPr>
            </w:pPr>
            <w:r>
              <w:rPr>
                <w:rFonts w:ascii="Arial" w:cs="Arial" w:eastAsia="Arial" w:hAnsi="Arial"/>
                <w:sz w:val="16"/>
                <w:szCs w:val="16"/>
                <w:color w:val="auto"/>
                <w:w w:val="96"/>
              </w:rPr>
              <w:t>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the calculation of Adjusted EPS: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r>
      <w:tr>
        <w:trPr>
          <w:trHeight w:val="211"/>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 amounts (Basic)</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(GAAP)</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center"/>
              <w:ind w:left="541"/>
              <w:spacing w:after="0"/>
              <w:rPr>
                <w:sz w:val="20"/>
                <w:szCs w:val="20"/>
                <w:color w:val="auto"/>
              </w:rPr>
            </w:pPr>
            <w:r>
              <w:rPr>
                <w:rFonts w:ascii="Arial" w:cs="Arial" w:eastAsia="Arial" w:hAnsi="Arial"/>
                <w:sz w:val="16"/>
                <w:szCs w:val="16"/>
                <w:b w:val="1"/>
                <w:bCs w:val="1"/>
                <w:color w:val="auto"/>
              </w:rPr>
              <w:t>2.12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35"/>
        </w:trPr>
        <w:tc>
          <w:tcPr>
            <w:tcW w:w="5920" w:type="dxa"/>
            <w:vAlign w:val="bottom"/>
          </w:tcPr>
          <w:p>
            <w:pPr>
              <w:ind w:left="20"/>
              <w:spacing w:after="0"/>
              <w:rPr>
                <w:sz w:val="20"/>
                <w:szCs w:val="20"/>
                <w:color w:val="auto"/>
              </w:rPr>
            </w:pPr>
            <w:r>
              <w:rPr>
                <w:rFonts w:ascii="Arial" w:cs="Arial" w:eastAsia="Arial" w:hAnsi="Arial"/>
                <w:sz w:val="16"/>
                <w:szCs w:val="16"/>
                <w:color w:val="auto"/>
              </w:rPr>
              <w:t>Adjustments, after tax:</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4"/>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41"/>
              <w:spacing w:after="0"/>
              <w:rPr>
                <w:sz w:val="20"/>
                <w:szCs w:val="20"/>
                <w:color w:val="auto"/>
              </w:rPr>
            </w:pPr>
            <w:r>
              <w:rPr>
                <w:rFonts w:ascii="Arial" w:cs="Arial" w:eastAsia="Arial" w:hAnsi="Arial"/>
                <w:sz w:val="16"/>
                <w:szCs w:val="16"/>
                <w:b w:val="1"/>
                <w:bCs w:val="1"/>
                <w:color w:val="auto"/>
              </w:rPr>
              <w:t>0.01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92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(0.20)</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0.03</w:t>
            </w:r>
          </w:p>
        </w:tc>
        <w:tc>
          <w:tcPr>
            <w:tcW w:w="260" w:type="dxa"/>
            <w:vAlign w:val="bottom"/>
          </w:tcPr>
          <w:p>
            <w:pPr>
              <w:spacing w:after="0"/>
              <w:rPr>
                <w:sz w:val="21"/>
                <w:szCs w:val="21"/>
                <w:color w:val="auto"/>
              </w:rPr>
            </w:pPr>
          </w:p>
        </w:tc>
        <w:tc>
          <w:tcPr>
            <w:tcW w:w="1060" w:type="dxa"/>
            <w:vAlign w:val="bottom"/>
          </w:tcPr>
          <w:p>
            <w:pPr>
              <w:jc w:val="center"/>
              <w:ind w:left="521"/>
              <w:spacing w:after="0"/>
              <w:rPr>
                <w:sz w:val="20"/>
                <w:szCs w:val="20"/>
                <w:color w:val="auto"/>
              </w:rPr>
            </w:pPr>
            <w:r>
              <w:rPr>
                <w:rFonts w:ascii="Arial" w:cs="Arial" w:eastAsia="Arial" w:hAnsi="Arial"/>
                <w:sz w:val="16"/>
                <w:szCs w:val="16"/>
                <w:b w:val="1"/>
                <w:bCs w:val="1"/>
                <w:color w:val="auto"/>
              </w:rPr>
              <w:t>(0.25)</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left="541"/>
              <w:spacing w:after="0"/>
              <w:rPr>
                <w:sz w:val="20"/>
                <w:szCs w:val="20"/>
                <w:color w:val="auto"/>
              </w:rPr>
            </w:pPr>
            <w:r>
              <w:rPr>
                <w:rFonts w:ascii="Arial" w:cs="Arial" w:eastAsia="Arial" w:hAnsi="Arial"/>
                <w:sz w:val="16"/>
                <w:szCs w:val="16"/>
                <w:b w:val="1"/>
                <w:bCs w:val="1"/>
                <w:color w:val="auto"/>
              </w:rPr>
              <w:t>0.07</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0.01</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left="541"/>
              <w:spacing w:after="0"/>
              <w:rPr>
                <w:sz w:val="20"/>
                <w:szCs w:val="20"/>
                <w:color w:val="auto"/>
              </w:rPr>
            </w:pPr>
            <w:r>
              <w:rPr>
                <w:rFonts w:ascii="Arial" w:cs="Arial" w:eastAsia="Arial" w:hAnsi="Arial"/>
                <w:sz w:val="16"/>
                <w:szCs w:val="16"/>
                <w:b w:val="1"/>
                <w:bCs w:val="1"/>
                <w:color w:val="auto"/>
              </w:rPr>
              <w:t>0.02</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r>
      <w:tr>
        <w:trPr>
          <w:trHeight w:val="209"/>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Adjusted Earnings per share (non-GAAP)</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center"/>
              <w:ind w:left="541"/>
              <w:spacing w:after="0"/>
              <w:rPr>
                <w:sz w:val="20"/>
                <w:szCs w:val="20"/>
                <w:color w:val="auto"/>
              </w:rPr>
            </w:pPr>
            <w:r>
              <w:rPr>
                <w:rFonts w:ascii="Arial" w:cs="Arial" w:eastAsia="Arial" w:hAnsi="Arial"/>
                <w:sz w:val="16"/>
                <w:szCs w:val="16"/>
                <w:b w:val="1"/>
                <w:bCs w:val="1"/>
                <w:color w:val="auto"/>
              </w:rPr>
              <w:t>1.97</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r>
    </w:tbl>
    <w:p>
      <w:pPr>
        <w:spacing w:after="0" w:line="200" w:lineRule="exact"/>
        <w:rPr>
          <w:sz w:val="20"/>
          <w:szCs w:val="20"/>
          <w:color w:val="auto"/>
        </w:rPr>
      </w:pPr>
    </w:p>
    <w:p>
      <w:pPr>
        <w:spacing w:after="0" w:line="2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66694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December 31,</w:t>
            </w:r>
          </w:p>
        </w:tc>
      </w:tr>
      <w:tr>
        <w:trPr>
          <w:trHeight w:val="21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2022</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maturities of long-term debt</w:t>
            </w:r>
          </w:p>
        </w:tc>
        <w:tc>
          <w:tcPr>
            <w:tcW w:w="26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 $</w:t>
            </w:r>
          </w:p>
        </w:tc>
        <w:tc>
          <w:tcPr>
            <w:tcW w:w="106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42"/>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w:t>
            </w:r>
          </w:p>
        </w:tc>
        <w:tc>
          <w:tcPr>
            <w:tcW w:w="26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485,000</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427,000</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350,000</w:t>
            </w:r>
          </w:p>
        </w:tc>
      </w:tr>
      <w:tr>
        <w:trPr>
          <w:trHeight w:val="211"/>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w:t>
            </w:r>
          </w:p>
        </w:tc>
        <w:tc>
          <w:tcPr>
            <w:tcW w:w="26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485,000</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427,000</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350,000</w:t>
            </w:r>
          </w:p>
        </w:tc>
      </w:tr>
      <w:tr>
        <w:trPr>
          <w:trHeight w:val="235"/>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w:t>
            </w:r>
          </w:p>
        </w:tc>
        <w:tc>
          <w:tcPr>
            <w:tcW w:w="2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320,870</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307,415</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302,036</w:t>
            </w:r>
          </w:p>
        </w:tc>
      </w:tr>
      <w:tr>
        <w:trPr>
          <w:trHeight w:val="211"/>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debt (non GAAP)</w:t>
            </w:r>
          </w:p>
        </w:tc>
        <w:tc>
          <w:tcPr>
            <w:tcW w:w="26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164,130</w:t>
            </w:r>
          </w:p>
        </w:tc>
        <w:tc>
          <w:tcPr>
            <w:tcW w:w="3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119,585</w:t>
            </w:r>
          </w:p>
        </w:tc>
        <w:tc>
          <w:tcPr>
            <w:tcW w:w="2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47,964</w:t>
            </w:r>
          </w:p>
        </w:tc>
      </w:tr>
    </w:tbl>
    <w:p>
      <w:pPr>
        <w:spacing w:after="0" w:line="200" w:lineRule="exact"/>
        <w:rPr>
          <w:sz w:val="20"/>
          <w:szCs w:val="20"/>
          <w:color w:val="auto"/>
        </w:rPr>
      </w:pPr>
    </w:p>
    <w:p>
      <w:pPr>
        <w:spacing w:after="0" w:line="21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leverage ratio informs the investors of the Company's financial leverage at the end of the reporting period, providing an indicator of the Company's ability to repay its debt. The Company calculates net leverage ratio by subtracting cash and cash equivalents from total debt, and then dividing by trailing twelve months Adjusted EBITDA.</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calculation of net leverage ratio as of June 30, 2022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69005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Company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79"/>
              <w:spacing w:after="0" w:line="155" w:lineRule="exact"/>
              <w:rPr>
                <w:sz w:val="20"/>
                <w:szCs w:val="20"/>
                <w:color w:val="auto"/>
              </w:rPr>
            </w:pPr>
            <w:r>
              <w:rPr>
                <w:rFonts w:ascii="Arial" w:cs="Arial" w:eastAsia="Arial" w:hAnsi="Arial"/>
                <w:sz w:val="16"/>
                <w:szCs w:val="16"/>
                <w:b w:val="1"/>
                <w:bCs w:val="1"/>
                <w:color w:val="auto"/>
                <w:w w:val="98"/>
              </w:rPr>
              <w:t>Twelve months</w:t>
            </w:r>
          </w:p>
        </w:tc>
        <w:tc>
          <w:tcPr>
            <w:tcW w:w="16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4"/>
            <w:vMerge w:val="restart"/>
          </w:tcPr>
          <w:p>
            <w:pPr>
              <w:jc w:val="right"/>
              <w:ind w:right="659"/>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center"/>
              <w:ind w:right="119"/>
              <w:spacing w:after="0" w:line="155" w:lineRule="exact"/>
              <w:rPr>
                <w:sz w:val="20"/>
                <w:szCs w:val="20"/>
                <w:color w:val="auto"/>
              </w:rPr>
            </w:pPr>
            <w:r>
              <w:rPr>
                <w:rFonts w:ascii="Arial" w:cs="Arial" w:eastAsia="Arial" w:hAnsi="Arial"/>
                <w:sz w:val="16"/>
                <w:szCs w:val="16"/>
                <w:b w:val="1"/>
                <w:bCs w:val="1"/>
                <w:color w:val="auto"/>
              </w:rPr>
              <w:t>Trailing twelve</w:t>
            </w:r>
          </w:p>
        </w:tc>
        <w:tc>
          <w:tcPr>
            <w:tcW w:w="0" w:type="dxa"/>
            <w:vAlign w:val="bottom"/>
          </w:tcPr>
          <w:p>
            <w:pPr>
              <w:spacing w:after="0"/>
              <w:rPr>
                <w:sz w:val="1"/>
                <w:szCs w:val="1"/>
                <w:color w:val="auto"/>
              </w:rPr>
            </w:pPr>
          </w:p>
        </w:tc>
      </w:tr>
      <w:tr>
        <w:trPr>
          <w:trHeight w:val="215"/>
        </w:trPr>
        <w:tc>
          <w:tcPr>
            <w:tcW w:w="4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7"/>
              </w:rPr>
              <w:t>ended</w:t>
            </w:r>
          </w:p>
        </w:tc>
        <w:tc>
          <w:tcPr>
            <w:tcW w:w="160" w:type="dxa"/>
            <w:vAlign w:val="bottom"/>
          </w:tcPr>
          <w:p>
            <w:pPr>
              <w:spacing w:after="0"/>
              <w:rPr>
                <w:sz w:val="18"/>
                <w:szCs w:val="18"/>
                <w:color w:val="auto"/>
              </w:rPr>
            </w:pPr>
          </w:p>
        </w:tc>
        <w:tc>
          <w:tcPr>
            <w:tcW w:w="274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rPr>
              <w:t>months ended</w:t>
            </w:r>
          </w:p>
        </w:tc>
        <w:tc>
          <w:tcPr>
            <w:tcW w:w="0" w:type="dxa"/>
            <w:vAlign w:val="bottom"/>
          </w:tcPr>
          <w:p>
            <w:pPr>
              <w:spacing w:after="0"/>
              <w:rPr>
                <w:sz w:val="1"/>
                <w:szCs w:val="1"/>
                <w:color w:val="auto"/>
              </w:rPr>
            </w:pPr>
          </w:p>
        </w:tc>
      </w:tr>
      <w:tr>
        <w:trPr>
          <w:trHeight w:val="163"/>
        </w:trPr>
        <w:tc>
          <w:tcPr>
            <w:tcW w:w="4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00" w:type="dxa"/>
            <w:vAlign w:val="bottom"/>
            <w:gridSpan w:val="2"/>
            <w:vMerge w:val="restart"/>
          </w:tcPr>
          <w:p>
            <w:pPr>
              <w:jc w:val="center"/>
              <w:ind w:left="339"/>
              <w:spacing w:after="0"/>
              <w:rPr>
                <w:sz w:val="20"/>
                <w:szCs w:val="20"/>
                <w:color w:val="auto"/>
              </w:rPr>
            </w:pPr>
            <w:r>
              <w:rPr>
                <w:rFonts w:ascii="Arial" w:cs="Arial" w:eastAsia="Arial" w:hAnsi="Arial"/>
                <w:sz w:val="16"/>
                <w:szCs w:val="16"/>
                <w:b w:val="1"/>
                <w:bCs w:val="1"/>
                <w:color w:val="auto"/>
              </w:rPr>
              <w:t>December 31, 2021</w:t>
            </w:r>
          </w:p>
        </w:tc>
        <w:tc>
          <w:tcPr>
            <w:tcW w:w="160" w:type="dxa"/>
            <w:vAlign w:val="bottom"/>
          </w:tcPr>
          <w:p>
            <w:pPr>
              <w:spacing w:after="0"/>
              <w:rPr>
                <w:sz w:val="14"/>
                <w:szCs w:val="14"/>
                <w:color w:val="auto"/>
              </w:rPr>
            </w:pPr>
          </w:p>
        </w:tc>
        <w:tc>
          <w:tcPr>
            <w:tcW w:w="1300" w:type="dxa"/>
            <w:vAlign w:val="bottom"/>
            <w:gridSpan w:val="2"/>
            <w:vMerge w:val="restart"/>
          </w:tcPr>
          <w:p>
            <w:pPr>
              <w:jc w:val="right"/>
              <w:ind w:right="119"/>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14"/>
                <w:szCs w:val="14"/>
                <w:color w:val="auto"/>
              </w:rPr>
            </w:pPr>
          </w:p>
        </w:tc>
        <w:tc>
          <w:tcPr>
            <w:tcW w:w="1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June 30, 2022</w:t>
            </w:r>
          </w:p>
        </w:tc>
        <w:tc>
          <w:tcPr>
            <w:tcW w:w="168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rPr>
              <w:t>June 30, 2022 (non-</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vMerge w:val="continue"/>
          </w:tcPr>
          <w:p>
            <w:pPr>
              <w:spacing w:after="0"/>
              <w:rPr>
                <w:sz w:val="18"/>
                <w:szCs w:val="18"/>
                <w:color w:val="auto"/>
              </w:rPr>
            </w:pPr>
          </w:p>
        </w:tc>
        <w:tc>
          <w:tcPr>
            <w:tcW w:w="20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GAAP) (a)</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178,011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91,785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89,469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175,695</w:t>
            </w:r>
          </w:p>
        </w:tc>
        <w:tc>
          <w:tcPr>
            <w:tcW w:w="0" w:type="dxa"/>
            <w:vAlign w:val="bottom"/>
          </w:tcPr>
          <w:p>
            <w:pPr>
              <w:spacing w:after="0"/>
              <w:rPr>
                <w:sz w:val="1"/>
                <w:szCs w:val="1"/>
                <w:color w:val="auto"/>
              </w:rPr>
            </w:pPr>
          </w:p>
        </w:tc>
      </w:tr>
      <w:tr>
        <w:trPr>
          <w:trHeight w:val="215"/>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(59,243)</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(32,735)</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(22,025)</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(48,533)</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5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118,768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59,050</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67,444</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127,162</w:t>
            </w:r>
          </w:p>
        </w:tc>
        <w:tc>
          <w:tcPr>
            <w:tcW w:w="0" w:type="dxa"/>
            <w:vAlign w:val="bottom"/>
          </w:tcPr>
          <w:p>
            <w:pPr>
              <w:spacing w:after="0"/>
              <w:rPr>
                <w:sz w:val="1"/>
                <w:szCs w:val="1"/>
                <w:color w:val="auto"/>
              </w:rPr>
            </w:pPr>
          </w:p>
        </w:tc>
      </w:tr>
      <w:tr>
        <w:trPr>
          <w:trHeight w:val="215"/>
        </w:trPr>
        <w:tc>
          <w:tcPr>
            <w:tcW w:w="43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14,891</w:t>
            </w: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7,787</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7,542</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14,646</w:t>
            </w: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5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47,163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23,486</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25,456</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49,133</w:t>
            </w:r>
          </w:p>
        </w:tc>
        <w:tc>
          <w:tcPr>
            <w:tcW w:w="0" w:type="dxa"/>
            <w:vAlign w:val="bottom"/>
          </w:tcPr>
          <w:p>
            <w:pPr>
              <w:spacing w:after="0"/>
              <w:rPr>
                <w:sz w:val="1"/>
                <w:szCs w:val="1"/>
                <w:color w:val="auto"/>
              </w:rPr>
            </w:pPr>
          </w:p>
        </w:tc>
      </w:tr>
      <w:tr>
        <w:trPr>
          <w:trHeight w:val="215"/>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74,255</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37,133</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34,874</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71,996</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5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255,077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127,456</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135,316</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262,937</w:t>
            </w:r>
          </w:p>
        </w:tc>
        <w:tc>
          <w:tcPr>
            <w:tcW w:w="0" w:type="dxa"/>
            <w:vAlign w:val="bottom"/>
          </w:tcPr>
          <w:p>
            <w:pPr>
              <w:spacing w:after="0"/>
              <w:rPr>
                <w:sz w:val="1"/>
                <w:szCs w:val="1"/>
                <w:color w:val="auto"/>
              </w:rPr>
            </w:pPr>
          </w:p>
        </w:tc>
      </w:tr>
      <w:tr>
        <w:trPr>
          <w:trHeight w:val="242"/>
        </w:trPr>
        <w:tc>
          <w:tcPr>
            <w:tcW w:w="43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5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1,331</w:t>
            </w:r>
          </w:p>
        </w:tc>
        <w:tc>
          <w:tcPr>
            <w:tcW w:w="16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226</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44"/>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5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(11,137)</w:t>
            </w: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(14,667)</w:t>
            </w:r>
          </w:p>
        </w:tc>
        <w:tc>
          <w:tcPr>
            <w:tcW w:w="0" w:type="dxa"/>
            <w:vAlign w:val="bottom"/>
          </w:tcPr>
          <w:p>
            <w:pPr>
              <w:spacing w:after="0"/>
              <w:rPr>
                <w:sz w:val="1"/>
                <w:szCs w:val="1"/>
                <w:color w:val="auto"/>
              </w:rPr>
            </w:pPr>
          </w:p>
        </w:tc>
      </w:tr>
      <w:tr>
        <w:trPr>
          <w:trHeight w:val="242"/>
        </w:trPr>
        <w:tc>
          <w:tcPr>
            <w:tcW w:w="4300" w:type="dxa"/>
            <w:vAlign w:val="bottom"/>
          </w:tcPr>
          <w:p>
            <w:pPr>
              <w:ind w:left="20"/>
              <w:spacing w:after="0"/>
              <w:rPr>
                <w:sz w:val="20"/>
                <w:szCs w:val="20"/>
                <w:color w:val="auto"/>
              </w:rPr>
            </w:pPr>
            <w:r>
              <w:rPr>
                <w:rFonts w:ascii="Arial" w:cs="Arial" w:eastAsia="Arial" w:hAnsi="Arial"/>
                <w:sz w:val="16"/>
                <w:szCs w:val="16"/>
                <w:color w:val="auto"/>
              </w:rPr>
              <w:t>Aviation Manufacturing Job Protection (AMJP) grant</w:t>
            </w:r>
          </w:p>
        </w:tc>
        <w:tc>
          <w:tcPr>
            <w:tcW w:w="5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(4,731)</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(4,731)</w:t>
            </w:r>
          </w:p>
        </w:tc>
        <w:tc>
          <w:tcPr>
            <w:tcW w:w="0" w:type="dxa"/>
            <w:vAlign w:val="bottom"/>
          </w:tcPr>
          <w:p>
            <w:pPr>
              <w:spacing w:after="0"/>
              <w:rPr>
                <w:sz w:val="1"/>
                <w:szCs w:val="1"/>
                <w:color w:val="auto"/>
              </w:rPr>
            </w:pPr>
          </w:p>
        </w:tc>
      </w:tr>
      <w:tr>
        <w:trPr>
          <w:trHeight w:val="244"/>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5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0" w:type="dxa"/>
            <w:vAlign w:val="bottom"/>
          </w:tcPr>
          <w:p>
            <w:pPr>
              <w:spacing w:after="0"/>
              <w:rPr>
                <w:sz w:val="1"/>
                <w:szCs w:val="1"/>
                <w:color w:val="auto"/>
              </w:rPr>
            </w:pPr>
          </w:p>
        </w:tc>
      </w:tr>
      <w:tr>
        <w:trPr>
          <w:trHeight w:val="242"/>
        </w:trPr>
        <w:tc>
          <w:tcPr>
            <w:tcW w:w="430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5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1,166</w:t>
            </w:r>
          </w:p>
        </w:tc>
        <w:tc>
          <w:tcPr>
            <w:tcW w:w="16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614</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551</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Pre-tax (income) attributable to noncontrolling interest</w:t>
            </w:r>
          </w:p>
        </w:tc>
        <w:tc>
          <w:tcPr>
            <w:tcW w:w="5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11"/>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250,891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130,090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127,067</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247,868</w:t>
            </w:r>
          </w:p>
        </w:tc>
        <w:tc>
          <w:tcPr>
            <w:tcW w:w="0" w:type="dxa"/>
            <w:vAlign w:val="bottom"/>
          </w:tcPr>
          <w:p>
            <w:pPr>
              <w:spacing w:after="0"/>
              <w:rPr>
                <w:sz w:val="1"/>
                <w:szCs w:val="1"/>
                <w:color w:val="auto"/>
              </w:rPr>
            </w:pPr>
          </w:p>
        </w:tc>
      </w:tr>
      <w:tr>
        <w:trPr>
          <w:trHeight w:val="358"/>
        </w:trPr>
        <w:tc>
          <w:tcPr>
            <w:tcW w:w="4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8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for net leverage ratio)</w:t>
            </w:r>
          </w:p>
        </w:tc>
        <w:tc>
          <w:tcPr>
            <w:tcW w:w="58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June 30, 2022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debt (non-GAAP)</w:t>
            </w:r>
          </w:p>
        </w:tc>
        <w:tc>
          <w:tcPr>
            <w:tcW w:w="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164,130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Trailing twelve months Adjusted EBITDA (non-GAAP)</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247,868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leverage ratio (non-GAAP)</w:t>
            </w:r>
          </w:p>
        </w:tc>
        <w:tc>
          <w:tcPr>
            <w:tcW w:w="5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0.66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20" w:right="820" w:firstLine="6"/>
        <w:spacing w:after="0"/>
        <w:tabs>
          <w:tab w:leader="none" w:pos="2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Calculated as amounts incurred during the twelve months ended December 31, 2021, less those incurred during the six months ended June 30, 2021, plus those incurred during the six months ended June 30, 2022.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and communicated to the Company’s management, including its principal executive officer and principal financial officer as appropriate, to allow timely decisions regarding required disclosure.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information set forth above under Note 15 in Item 1, “Notes to Consolidated Financial Statements” is incorporated herein by reference.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in risks since December 31, 2021, except as discussed below.</w:t>
      </w:r>
    </w:p>
    <w:p>
      <w:pPr>
        <w:spacing w:after="0" w:line="239" w:lineRule="exact"/>
        <w:rPr>
          <w:sz w:val="20"/>
          <w:szCs w:val="20"/>
          <w:color w:val="auto"/>
        </w:rPr>
      </w:pPr>
    </w:p>
    <w:p>
      <w:pPr>
        <w:ind w:right="80" w:firstLine="324"/>
        <w:spacing w:after="0" w:line="237" w:lineRule="auto"/>
        <w:rPr>
          <w:sz w:val="20"/>
          <w:szCs w:val="20"/>
          <w:color w:val="auto"/>
        </w:rPr>
      </w:pPr>
      <w:r>
        <w:rPr>
          <w:rFonts w:ascii="Arial" w:cs="Arial" w:eastAsia="Arial" w:hAnsi="Arial"/>
          <w:sz w:val="18"/>
          <w:szCs w:val="18"/>
          <w:color w:val="101820"/>
        </w:rPr>
        <w:t>The military invasion of Ukraine by Russia, and the ensuing sanctions are likely to continue to have an impact on our business. We have already stopped shipping our products to Russia and are in the process of winding down a small joint venture in that country which supplied</w:t>
      </w:r>
    </w:p>
    <w:p>
      <w:pPr>
        <w:spacing w:after="0" w:line="1"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101820"/>
        </w:rPr>
        <w:t>dryer fabrics to local papermakers, resulting in lost sales and possible future write-offs. However, we also expect that there could be further indirect impacts. For instance, the conflict has already caused disruption in the availability of shipping options between Asia and Europe. Supply chain disruptions could make it more difficult to find favorable pricing and reliable sources for the raw materials we need, putting upward pressure on our costs and increasing the risk that we may be unable to acquire the materials or services we need to continue to</w:t>
      </w:r>
    </w:p>
    <w:p>
      <w:pPr>
        <w:spacing w:after="0" w:line="1"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101820"/>
        </w:rPr>
        <w:t>make and deliver certain products. Moreover, these same pressures could hinder our customers’ ability to source materials needed for their own manufacturing efforts, thereby reducing or slowing their demand for our products. There can be no assurance that we will be able to pass through these cost increases to our customers or to fully offset them via operational efficiencies. If we are unsuccessful in managing such cost increases, they could have a material adverse effect on our business, financial position, results of operations, and liquidity.</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discussion of risk factors, refer to Item 1A of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Issuer Purchases of Equity Securities during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680" w:type="dxa"/>
            <w:vAlign w:val="bottom"/>
            <w:vMerge w:val="restart"/>
          </w:tcPr>
          <w:p>
            <w:pPr>
              <w:jc w:val="right"/>
              <w:ind w:right="110"/>
              <w:spacing w:after="0"/>
              <w:rPr>
                <w:sz w:val="20"/>
                <w:szCs w:val="20"/>
                <w:color w:val="auto"/>
              </w:rPr>
            </w:pPr>
            <w:r>
              <w:rPr>
                <w:rFonts w:ascii="Arial" w:cs="Arial" w:eastAsia="Arial" w:hAnsi="Arial"/>
                <w:sz w:val="18"/>
                <w:szCs w:val="18"/>
                <w:color w:val="auto"/>
              </w:rPr>
              <w:t>Total number of</w:t>
            </w:r>
          </w:p>
        </w:tc>
        <w:tc>
          <w:tcPr>
            <w:tcW w:w="160" w:type="dxa"/>
            <w:vAlign w:val="bottom"/>
          </w:tcPr>
          <w:p>
            <w:pPr>
              <w:spacing w:after="0"/>
              <w:rPr>
                <w:sz w:val="17"/>
                <w:szCs w:val="17"/>
                <w:color w:val="auto"/>
              </w:rPr>
            </w:pPr>
          </w:p>
        </w:tc>
        <w:tc>
          <w:tcPr>
            <w:tcW w:w="1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Average price</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Total number of shares purchased</w:t>
            </w:r>
          </w:p>
        </w:tc>
        <w:tc>
          <w:tcPr>
            <w:tcW w:w="180" w:type="dxa"/>
            <w:vAlign w:val="bottom"/>
          </w:tcPr>
          <w:p>
            <w:pPr>
              <w:spacing w:after="0"/>
              <w:rPr>
                <w:sz w:val="17"/>
                <w:szCs w:val="17"/>
                <w:color w:val="auto"/>
              </w:rPr>
            </w:pPr>
          </w:p>
        </w:tc>
        <w:tc>
          <w:tcPr>
            <w:tcW w:w="2940" w:type="dxa"/>
            <w:vAlign w:val="bottom"/>
          </w:tcPr>
          <w:p>
            <w:pPr>
              <w:jc w:val="center"/>
              <w:ind w:right="70"/>
              <w:spacing w:after="0"/>
              <w:rPr>
                <w:sz w:val="20"/>
                <w:szCs w:val="20"/>
                <w:color w:val="auto"/>
              </w:rPr>
            </w:pPr>
            <w:r>
              <w:rPr>
                <w:rFonts w:ascii="Arial" w:cs="Arial" w:eastAsia="Arial" w:hAnsi="Arial"/>
                <w:sz w:val="18"/>
                <w:szCs w:val="18"/>
                <w:color w:val="auto"/>
              </w:rPr>
              <w:t>Approx. dollar value of shares that</w:t>
            </w:r>
          </w:p>
        </w:tc>
        <w:tc>
          <w:tcPr>
            <w:tcW w:w="0" w:type="dxa"/>
            <w:vAlign w:val="bottom"/>
          </w:tcPr>
          <w:p>
            <w:pPr>
              <w:spacing w:after="0"/>
              <w:rPr>
                <w:sz w:val="1"/>
                <w:szCs w:val="1"/>
                <w:color w:val="auto"/>
              </w:rPr>
            </w:pPr>
          </w:p>
        </w:tc>
      </w:tr>
      <w:tr>
        <w:trPr>
          <w:trHeight w:val="181"/>
        </w:trPr>
        <w:tc>
          <w:tcPr>
            <w:tcW w:w="1960" w:type="dxa"/>
            <w:vAlign w:val="bottom"/>
            <w:vMerge w:val="restart"/>
          </w:tcPr>
          <w:p>
            <w:pPr>
              <w:ind w:left="720"/>
              <w:spacing w:after="0"/>
              <w:rPr>
                <w:sz w:val="20"/>
                <w:szCs w:val="20"/>
                <w:color w:val="auto"/>
              </w:rPr>
            </w:pPr>
            <w:r>
              <w:rPr>
                <w:rFonts w:ascii="Arial" w:cs="Arial" w:eastAsia="Arial" w:hAnsi="Arial"/>
                <w:sz w:val="18"/>
                <w:szCs w:val="18"/>
                <w:color w:val="auto"/>
              </w:rPr>
              <w:t>Period</w:t>
            </w:r>
          </w:p>
        </w:tc>
        <w:tc>
          <w:tcPr>
            <w:tcW w:w="1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840" w:type="dxa"/>
            <w:vAlign w:val="bottom"/>
          </w:tcPr>
          <w:p>
            <w:pPr>
              <w:jc w:val="center"/>
              <w:spacing w:after="0" w:line="181" w:lineRule="exact"/>
              <w:rPr>
                <w:sz w:val="20"/>
                <w:szCs w:val="20"/>
                <w:color w:val="auto"/>
              </w:rPr>
            </w:pPr>
            <w:r>
              <w:rPr>
                <w:rFonts w:ascii="Arial" w:cs="Arial" w:eastAsia="Arial" w:hAnsi="Arial"/>
                <w:sz w:val="18"/>
                <w:szCs w:val="18"/>
                <w:color w:val="auto"/>
                <w:w w:val="99"/>
              </w:rPr>
              <w:t>as part of publicly announced</w:t>
            </w:r>
          </w:p>
        </w:tc>
        <w:tc>
          <w:tcPr>
            <w:tcW w:w="180" w:type="dxa"/>
            <w:vAlign w:val="bottom"/>
          </w:tcPr>
          <w:p>
            <w:pPr>
              <w:spacing w:after="0"/>
              <w:rPr>
                <w:sz w:val="15"/>
                <w:szCs w:val="15"/>
                <w:color w:val="auto"/>
              </w:rPr>
            </w:pPr>
          </w:p>
        </w:tc>
        <w:tc>
          <w:tcPr>
            <w:tcW w:w="2940" w:type="dxa"/>
            <w:vAlign w:val="bottom"/>
          </w:tcPr>
          <w:p>
            <w:pPr>
              <w:jc w:val="center"/>
              <w:ind w:right="70"/>
              <w:spacing w:after="0" w:line="181" w:lineRule="exact"/>
              <w:rPr>
                <w:sz w:val="20"/>
                <w:szCs w:val="20"/>
                <w:color w:val="auto"/>
              </w:rPr>
            </w:pPr>
            <w:r>
              <w:rPr>
                <w:rFonts w:ascii="Arial" w:cs="Arial" w:eastAsia="Arial" w:hAnsi="Arial"/>
                <w:sz w:val="18"/>
                <w:szCs w:val="18"/>
                <w:color w:val="auto"/>
                <w:w w:val="99"/>
              </w:rPr>
              <w:t>may yet be purchased under the</w:t>
            </w:r>
          </w:p>
        </w:tc>
        <w:tc>
          <w:tcPr>
            <w:tcW w:w="0" w:type="dxa"/>
            <w:vAlign w:val="bottom"/>
          </w:tcPr>
          <w:p>
            <w:pPr>
              <w:spacing w:after="0"/>
              <w:rPr>
                <w:sz w:val="1"/>
                <w:szCs w:val="1"/>
                <w:color w:val="auto"/>
              </w:rPr>
            </w:pPr>
          </w:p>
        </w:tc>
      </w:tr>
      <w:tr>
        <w:trPr>
          <w:trHeight w:val="224"/>
        </w:trPr>
        <w:tc>
          <w:tcPr>
            <w:tcW w:w="1960" w:type="dxa"/>
            <w:vAlign w:val="bottom"/>
            <w:vMerge w:val="continue"/>
          </w:tcPr>
          <w:p>
            <w:pPr>
              <w:spacing w:after="0"/>
              <w:rPr>
                <w:sz w:val="19"/>
                <w:szCs w:val="19"/>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shares purchased</w:t>
            </w:r>
          </w:p>
        </w:tc>
        <w:tc>
          <w:tcPr>
            <w:tcW w:w="16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w w:val="97"/>
              </w:rPr>
              <w:t>paid per share</w:t>
            </w:r>
          </w:p>
        </w:tc>
        <w:tc>
          <w:tcPr>
            <w:tcW w:w="2840" w:type="dxa"/>
            <w:vAlign w:val="bottom"/>
          </w:tcPr>
          <w:p>
            <w:pPr>
              <w:jc w:val="center"/>
              <w:spacing w:after="0"/>
              <w:rPr>
                <w:sz w:val="20"/>
                <w:szCs w:val="20"/>
                <w:color w:val="auto"/>
              </w:rPr>
            </w:pPr>
            <w:r>
              <w:rPr>
                <w:rFonts w:ascii="Arial" w:cs="Arial" w:eastAsia="Arial" w:hAnsi="Arial"/>
                <w:sz w:val="18"/>
                <w:szCs w:val="18"/>
                <w:color w:val="auto"/>
              </w:rPr>
              <w:t>program</w:t>
            </w:r>
          </w:p>
        </w:tc>
        <w:tc>
          <w:tcPr>
            <w:tcW w:w="180" w:type="dxa"/>
            <w:vAlign w:val="bottom"/>
          </w:tcPr>
          <w:p>
            <w:pPr>
              <w:spacing w:after="0"/>
              <w:rPr>
                <w:sz w:val="19"/>
                <w:szCs w:val="19"/>
                <w:color w:val="auto"/>
              </w:rPr>
            </w:pPr>
          </w:p>
        </w:tc>
        <w:tc>
          <w:tcPr>
            <w:tcW w:w="2940" w:type="dxa"/>
            <w:vAlign w:val="bottom"/>
          </w:tcPr>
          <w:p>
            <w:pPr>
              <w:jc w:val="center"/>
              <w:ind w:right="70"/>
              <w:spacing w:after="0"/>
              <w:rPr>
                <w:sz w:val="20"/>
                <w:szCs w:val="20"/>
                <w:color w:val="auto"/>
              </w:rPr>
            </w:pPr>
            <w:r>
              <w:rPr>
                <w:rFonts w:ascii="Arial" w:cs="Arial" w:eastAsia="Arial" w:hAnsi="Arial"/>
                <w:sz w:val="18"/>
                <w:szCs w:val="18"/>
                <w:color w:val="auto"/>
                <w:w w:val="99"/>
              </w:rPr>
              <w:t>program (thousands)</w:t>
            </w:r>
          </w:p>
        </w:tc>
        <w:tc>
          <w:tcPr>
            <w:tcW w:w="0" w:type="dxa"/>
            <w:vAlign w:val="bottom"/>
          </w:tcPr>
          <w:p>
            <w:pPr>
              <w:spacing w:after="0"/>
              <w:rPr>
                <w:sz w:val="1"/>
                <w:szCs w:val="1"/>
                <w:color w:val="auto"/>
              </w:rPr>
            </w:pPr>
          </w:p>
        </w:tc>
      </w:tr>
      <w:tr>
        <w:trPr>
          <w:trHeight w:val="189"/>
        </w:trPr>
        <w:tc>
          <w:tcPr>
            <w:tcW w:w="1960" w:type="dxa"/>
            <w:vAlign w:val="bottom"/>
          </w:tcPr>
          <w:p>
            <w:pPr>
              <w:spacing w:after="0" w:line="189" w:lineRule="exact"/>
              <w:rPr>
                <w:sz w:val="20"/>
                <w:szCs w:val="20"/>
                <w:color w:val="auto"/>
              </w:rPr>
            </w:pPr>
            <w:r>
              <w:rPr>
                <w:rFonts w:ascii="Arial" w:cs="Arial" w:eastAsia="Arial" w:hAnsi="Arial"/>
                <w:sz w:val="18"/>
                <w:szCs w:val="18"/>
                <w:color w:val="auto"/>
              </w:rPr>
              <w:t>January 1 to January</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140,879</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85.24</w:t>
            </w:r>
          </w:p>
        </w:tc>
        <w:tc>
          <w:tcPr>
            <w:tcW w:w="2840" w:type="dxa"/>
            <w:vAlign w:val="bottom"/>
            <w:vMerge w:val="restart"/>
          </w:tcPr>
          <w:p>
            <w:pPr>
              <w:jc w:val="right"/>
              <w:spacing w:after="0"/>
              <w:rPr>
                <w:sz w:val="20"/>
                <w:szCs w:val="20"/>
                <w:color w:val="auto"/>
              </w:rPr>
            </w:pPr>
            <w:r>
              <w:rPr>
                <w:rFonts w:ascii="Arial" w:cs="Arial" w:eastAsia="Arial" w:hAnsi="Arial"/>
                <w:sz w:val="18"/>
                <w:szCs w:val="18"/>
                <w:color w:val="auto"/>
              </w:rPr>
              <w:t>140,879</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940" w:type="dxa"/>
            <w:vAlign w:val="bottom"/>
            <w:vMerge w:val="restart"/>
          </w:tcPr>
          <w:p>
            <w:pPr>
              <w:jc w:val="right"/>
              <w:spacing w:after="0"/>
              <w:rPr>
                <w:sz w:val="20"/>
                <w:szCs w:val="20"/>
                <w:color w:val="auto"/>
              </w:rPr>
            </w:pPr>
            <w:r>
              <w:rPr>
                <w:rFonts w:ascii="Arial" w:cs="Arial" w:eastAsia="Arial" w:hAnsi="Arial"/>
                <w:sz w:val="18"/>
                <w:szCs w:val="18"/>
                <w:color w:val="auto"/>
              </w:rPr>
              <w:t>163,722</w:t>
            </w: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Arial" w:cs="Arial" w:eastAsia="Arial" w:hAnsi="Arial"/>
                <w:sz w:val="18"/>
                <w:szCs w:val="18"/>
                <w:color w:val="auto"/>
              </w:rPr>
              <w:t>31, 2022</w:t>
            </w:r>
          </w:p>
        </w:tc>
        <w:tc>
          <w:tcPr>
            <w:tcW w:w="16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28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line="189" w:lineRule="exact"/>
              <w:rPr>
                <w:sz w:val="20"/>
                <w:szCs w:val="20"/>
                <w:color w:val="auto"/>
              </w:rPr>
            </w:pPr>
            <w:r>
              <w:rPr>
                <w:rFonts w:ascii="Arial" w:cs="Arial" w:eastAsia="Arial" w:hAnsi="Arial"/>
                <w:sz w:val="18"/>
                <w:szCs w:val="18"/>
                <w:color w:val="auto"/>
              </w:rPr>
              <w:t>February 1 to February</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145,164</w:t>
            </w:r>
          </w:p>
        </w:tc>
        <w:tc>
          <w:tcPr>
            <w:tcW w:w="16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86.29</w:t>
            </w:r>
          </w:p>
        </w:tc>
        <w:tc>
          <w:tcPr>
            <w:tcW w:w="2840" w:type="dxa"/>
            <w:vAlign w:val="bottom"/>
            <w:vMerge w:val="restart"/>
          </w:tcPr>
          <w:p>
            <w:pPr>
              <w:jc w:val="right"/>
              <w:spacing w:after="0"/>
              <w:rPr>
                <w:sz w:val="20"/>
                <w:szCs w:val="20"/>
                <w:color w:val="auto"/>
              </w:rPr>
            </w:pPr>
            <w:r>
              <w:rPr>
                <w:rFonts w:ascii="Arial" w:cs="Arial" w:eastAsia="Arial" w:hAnsi="Arial"/>
                <w:sz w:val="18"/>
                <w:szCs w:val="18"/>
                <w:color w:val="auto"/>
              </w:rPr>
              <w:t>145,164</w:t>
            </w:r>
          </w:p>
        </w:tc>
        <w:tc>
          <w:tcPr>
            <w:tcW w:w="180" w:type="dxa"/>
            <w:vAlign w:val="bottom"/>
          </w:tcPr>
          <w:p>
            <w:pPr>
              <w:spacing w:after="0"/>
              <w:rPr>
                <w:sz w:val="16"/>
                <w:szCs w:val="16"/>
                <w:color w:val="auto"/>
              </w:rPr>
            </w:pPr>
          </w:p>
        </w:tc>
        <w:tc>
          <w:tcPr>
            <w:tcW w:w="2940" w:type="dxa"/>
            <w:vAlign w:val="bottom"/>
            <w:vMerge w:val="restart"/>
          </w:tcPr>
          <w:p>
            <w:pPr>
              <w:jc w:val="right"/>
              <w:spacing w:after="0"/>
              <w:rPr>
                <w:sz w:val="20"/>
                <w:szCs w:val="20"/>
                <w:color w:val="auto"/>
              </w:rPr>
            </w:pPr>
            <w:r>
              <w:rPr>
                <w:rFonts w:ascii="Arial" w:cs="Arial" w:eastAsia="Arial" w:hAnsi="Arial"/>
                <w:sz w:val="18"/>
                <w:szCs w:val="18"/>
                <w:color w:val="auto"/>
              </w:rPr>
              <w:t>151,244</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28, 2022</w:t>
            </w:r>
          </w:p>
        </w:tc>
        <w:tc>
          <w:tcPr>
            <w:tcW w:w="16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28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line="189" w:lineRule="exact"/>
              <w:rPr>
                <w:sz w:val="20"/>
                <w:szCs w:val="20"/>
                <w:color w:val="auto"/>
              </w:rPr>
            </w:pPr>
            <w:r>
              <w:rPr>
                <w:rFonts w:ascii="Arial" w:cs="Arial" w:eastAsia="Arial" w:hAnsi="Arial"/>
                <w:sz w:val="18"/>
                <w:szCs w:val="18"/>
                <w:color w:val="auto"/>
              </w:rPr>
              <w:t>March 1 to March 31,</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228,643</w:t>
            </w:r>
          </w:p>
        </w:tc>
        <w:tc>
          <w:tcPr>
            <w:tcW w:w="16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85.51</w:t>
            </w:r>
          </w:p>
        </w:tc>
        <w:tc>
          <w:tcPr>
            <w:tcW w:w="2840" w:type="dxa"/>
            <w:vAlign w:val="bottom"/>
            <w:vMerge w:val="restart"/>
          </w:tcPr>
          <w:p>
            <w:pPr>
              <w:jc w:val="right"/>
              <w:spacing w:after="0"/>
              <w:rPr>
                <w:sz w:val="20"/>
                <w:szCs w:val="20"/>
                <w:color w:val="auto"/>
              </w:rPr>
            </w:pPr>
            <w:r>
              <w:rPr>
                <w:rFonts w:ascii="Arial" w:cs="Arial" w:eastAsia="Arial" w:hAnsi="Arial"/>
                <w:sz w:val="18"/>
                <w:szCs w:val="18"/>
                <w:color w:val="auto"/>
              </w:rPr>
              <w:t>228,643</w:t>
            </w:r>
          </w:p>
        </w:tc>
        <w:tc>
          <w:tcPr>
            <w:tcW w:w="180" w:type="dxa"/>
            <w:vAlign w:val="bottom"/>
          </w:tcPr>
          <w:p>
            <w:pPr>
              <w:spacing w:after="0"/>
              <w:rPr>
                <w:sz w:val="16"/>
                <w:szCs w:val="16"/>
                <w:color w:val="auto"/>
              </w:rPr>
            </w:pPr>
          </w:p>
        </w:tc>
        <w:tc>
          <w:tcPr>
            <w:tcW w:w="2940" w:type="dxa"/>
            <w:vAlign w:val="bottom"/>
            <w:vMerge w:val="restart"/>
          </w:tcPr>
          <w:p>
            <w:pPr>
              <w:jc w:val="right"/>
              <w:spacing w:after="0"/>
              <w:rPr>
                <w:sz w:val="20"/>
                <w:szCs w:val="20"/>
                <w:color w:val="auto"/>
              </w:rPr>
            </w:pPr>
            <w:r>
              <w:rPr>
                <w:rFonts w:ascii="Arial" w:cs="Arial" w:eastAsia="Arial" w:hAnsi="Arial"/>
                <w:sz w:val="18"/>
                <w:szCs w:val="18"/>
                <w:color w:val="auto"/>
              </w:rPr>
              <w:t>131,688</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2022</w:t>
            </w:r>
          </w:p>
        </w:tc>
        <w:tc>
          <w:tcPr>
            <w:tcW w:w="16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28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Arial" w:cs="Arial" w:eastAsia="Arial" w:hAnsi="Arial"/>
                <w:sz w:val="18"/>
                <w:szCs w:val="18"/>
                <w:color w:val="auto"/>
              </w:rPr>
              <w:t>April 1 to April 30, 2022</w:t>
            </w:r>
          </w:p>
        </w:tc>
        <w:tc>
          <w:tcPr>
            <w:tcW w:w="1680" w:type="dxa"/>
            <w:vAlign w:val="bottom"/>
          </w:tcPr>
          <w:p>
            <w:pPr>
              <w:jc w:val="right"/>
              <w:spacing w:after="0"/>
              <w:rPr>
                <w:sz w:val="20"/>
                <w:szCs w:val="20"/>
                <w:color w:val="auto"/>
              </w:rPr>
            </w:pPr>
            <w:r>
              <w:rPr>
                <w:rFonts w:ascii="Arial" w:cs="Arial" w:eastAsia="Arial" w:hAnsi="Arial"/>
                <w:sz w:val="18"/>
                <w:szCs w:val="18"/>
                <w:color w:val="auto"/>
              </w:rPr>
              <w:t>236,091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82.21</w:t>
            </w:r>
          </w:p>
        </w:tc>
        <w:tc>
          <w:tcPr>
            <w:tcW w:w="2840" w:type="dxa"/>
            <w:vAlign w:val="bottom"/>
          </w:tcPr>
          <w:p>
            <w:pPr>
              <w:jc w:val="right"/>
              <w:spacing w:after="0"/>
              <w:rPr>
                <w:sz w:val="20"/>
                <w:szCs w:val="20"/>
                <w:color w:val="auto"/>
              </w:rPr>
            </w:pPr>
            <w:r>
              <w:rPr>
                <w:rFonts w:ascii="Arial" w:cs="Arial" w:eastAsia="Arial" w:hAnsi="Arial"/>
                <w:sz w:val="18"/>
                <w:szCs w:val="18"/>
                <w:color w:val="auto"/>
              </w:rPr>
              <w:t>236,091</w:t>
            </w:r>
          </w:p>
        </w:tc>
        <w:tc>
          <w:tcPr>
            <w:tcW w:w="18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112,418</w:t>
            </w: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Arial" w:cs="Arial" w:eastAsia="Arial" w:hAnsi="Arial"/>
                <w:sz w:val="18"/>
                <w:szCs w:val="18"/>
                <w:color w:val="auto"/>
              </w:rPr>
              <w:t>May 1 to May 31, 2022</w:t>
            </w:r>
          </w:p>
        </w:tc>
        <w:tc>
          <w:tcPr>
            <w:tcW w:w="1680" w:type="dxa"/>
            <w:vAlign w:val="bottom"/>
          </w:tcPr>
          <w:p>
            <w:pPr>
              <w:jc w:val="right"/>
              <w:spacing w:after="0"/>
              <w:rPr>
                <w:sz w:val="20"/>
                <w:szCs w:val="20"/>
                <w:color w:val="auto"/>
              </w:rPr>
            </w:pPr>
            <w:r>
              <w:rPr>
                <w:rFonts w:ascii="Arial" w:cs="Arial" w:eastAsia="Arial" w:hAnsi="Arial"/>
                <w:sz w:val="18"/>
                <w:szCs w:val="18"/>
                <w:color w:val="auto"/>
              </w:rPr>
              <w:t>271,940</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80.98</w:t>
            </w:r>
          </w:p>
        </w:tc>
        <w:tc>
          <w:tcPr>
            <w:tcW w:w="2840" w:type="dxa"/>
            <w:vAlign w:val="bottom"/>
          </w:tcPr>
          <w:p>
            <w:pPr>
              <w:jc w:val="right"/>
              <w:spacing w:after="0"/>
              <w:rPr>
                <w:sz w:val="20"/>
                <w:szCs w:val="20"/>
                <w:color w:val="auto"/>
              </w:rPr>
            </w:pPr>
            <w:r>
              <w:rPr>
                <w:rFonts w:ascii="Arial" w:cs="Arial" w:eastAsia="Arial" w:hAnsi="Arial"/>
                <w:sz w:val="18"/>
                <w:szCs w:val="18"/>
                <w:color w:val="auto"/>
              </w:rPr>
              <w:t>271,940</w:t>
            </w:r>
          </w:p>
        </w:tc>
        <w:tc>
          <w:tcPr>
            <w:tcW w:w="18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90,561</w:t>
            </w:r>
          </w:p>
        </w:tc>
        <w:tc>
          <w:tcPr>
            <w:tcW w:w="0" w:type="dxa"/>
            <w:vAlign w:val="bottom"/>
          </w:tcPr>
          <w:p>
            <w:pPr>
              <w:spacing w:after="0"/>
              <w:rPr>
                <w:sz w:val="1"/>
                <w:szCs w:val="1"/>
                <w:color w:val="auto"/>
              </w:rPr>
            </w:pPr>
          </w:p>
        </w:tc>
      </w:tr>
      <w:tr>
        <w:trPr>
          <w:trHeight w:val="235"/>
        </w:trPr>
        <w:tc>
          <w:tcPr>
            <w:tcW w:w="1960" w:type="dxa"/>
            <w:vAlign w:val="bottom"/>
          </w:tcPr>
          <w:p>
            <w:pPr>
              <w:spacing w:after="0"/>
              <w:rPr>
                <w:sz w:val="20"/>
                <w:szCs w:val="20"/>
                <w:color w:val="auto"/>
              </w:rPr>
            </w:pPr>
            <w:r>
              <w:rPr>
                <w:rFonts w:ascii="Arial" w:cs="Arial" w:eastAsia="Arial" w:hAnsi="Arial"/>
                <w:sz w:val="18"/>
                <w:szCs w:val="18"/>
                <w:color w:val="auto"/>
              </w:rPr>
              <w:t>June 1 to June 30, 2022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1,022,717</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1,022,717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90,587</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On October 25, 2021, 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We purchased 1,308,003 shares of our Class A Common Stock since the Board repurchase authorization in 2021, 1,022,717 of which were purchased during the first six months of 2022.</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ind w:left="20"/>
              <w:spacing w:after="0"/>
              <w:rPr>
                <w:sz w:val="20"/>
                <w:szCs w:val="20"/>
                <w:color w:val="auto"/>
              </w:rPr>
            </w:pPr>
            <w:r>
              <w:rPr>
                <w:rFonts w:ascii="Arial" w:cs="Arial" w:eastAsia="Arial" w:hAnsi="Arial"/>
                <w:sz w:val="16"/>
                <w:szCs w:val="16"/>
                <w:color w:val="auto"/>
              </w:rPr>
              <w:t>Exhibit No.</w:t>
            </w:r>
          </w:p>
        </w:tc>
        <w:tc>
          <w:tcPr>
            <w:tcW w:w="9980" w:type="dxa"/>
            <w:vAlign w:val="bottom"/>
            <w:gridSpan w:val="6"/>
          </w:tcPr>
          <w:p>
            <w:pPr>
              <w:spacing w:after="0"/>
              <w:rPr>
                <w:sz w:val="20"/>
                <w:szCs w:val="20"/>
                <w:color w:val="auto"/>
              </w:rPr>
            </w:pPr>
            <w:r>
              <w:rPr>
                <w:rFonts w:ascii="Arial" w:cs="Arial" w:eastAsia="Arial" w:hAnsi="Arial"/>
                <w:sz w:val="16"/>
                <w:szCs w:val="16"/>
                <w:color w:val="auto"/>
              </w:rPr>
              <w:t>Description</w:t>
            </w:r>
          </w:p>
        </w:tc>
      </w:tr>
      <w:tr>
        <w:trPr>
          <w:trHeight w:val="197"/>
        </w:trPr>
        <w:tc>
          <w:tcPr>
            <w:tcW w:w="126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31.1</w:t>
            </w:r>
          </w:p>
        </w:tc>
        <w:tc>
          <w:tcPr>
            <w:tcW w:w="7280" w:type="dxa"/>
            <w:vAlign w:val="bottom"/>
            <w:tcBorders>
              <w:bottom w:val="single" w:sz="8" w:color="0000FF"/>
            </w:tcBorders>
            <w:gridSpan w:val="4"/>
            <w:shd w:val="clear" w:color="auto" w:fill="CCEEFF"/>
          </w:tcPr>
          <w:p>
            <w:pPr>
              <w:spacing w:after="0" w:line="177" w:lineRule="exact"/>
              <w:rPr>
                <w:sz w:val="20"/>
                <w:szCs w:val="20"/>
                <w:color w:val="auto"/>
              </w:rPr>
            </w:pPr>
            <w:r>
              <w:rPr>
                <w:rFonts w:ascii="Arial" w:cs="Arial" w:eastAsia="Arial" w:hAnsi="Arial"/>
                <w:sz w:val="16"/>
                <w:szCs w:val="16"/>
                <w:color w:val="0000FF"/>
              </w:rPr>
              <w:t>Certification of the Chief Executive Officer pursuant to Rule 13a-14(a)/15d-14(a) of the Exchange Act.</w:t>
            </w:r>
          </w:p>
        </w:tc>
        <w:tc>
          <w:tcPr>
            <w:tcW w:w="270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126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9980" w:type="dxa"/>
            <w:vAlign w:val="bottom"/>
            <w:gridSpan w:val="6"/>
          </w:tcPr>
          <w:p>
            <w:pPr>
              <w:spacing w:after="0" w:line="175" w:lineRule="exact"/>
              <w:rPr>
                <w:sz w:val="20"/>
                <w:szCs w:val="20"/>
                <w:color w:val="auto"/>
              </w:rPr>
            </w:pPr>
            <w:r>
              <w:rPr>
                <w:rFonts w:ascii="Arial" w:cs="Arial" w:eastAsia="Arial" w:hAnsi="Arial"/>
                <w:sz w:val="16"/>
                <w:szCs w:val="16"/>
                <w:color w:val="0000FF"/>
              </w:rPr>
              <w:t>Certification of the Chief Financial Officer pursuant to Rule 13a-14(a)/15d-14(a) of the Exchange Act.</w:t>
            </w:r>
          </w:p>
        </w:tc>
      </w:tr>
      <w:tr>
        <w:trPr>
          <w:trHeight w:val="21"/>
        </w:trPr>
        <w:tc>
          <w:tcPr>
            <w:tcW w:w="126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48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2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32.1</w:t>
            </w:r>
          </w:p>
        </w:tc>
        <w:tc>
          <w:tcPr>
            <w:tcW w:w="9980" w:type="dxa"/>
            <w:vAlign w:val="bottom"/>
            <w:gridSpan w:val="6"/>
            <w:shd w:val="clear" w:color="auto" w:fill="CCEEFF"/>
          </w:tcPr>
          <w:p>
            <w:pPr>
              <w:spacing w:after="0" w:line="175" w:lineRule="exact"/>
              <w:rPr>
                <w:sz w:val="20"/>
                <w:szCs w:val="20"/>
                <w:color w:val="auto"/>
              </w:rPr>
            </w:pPr>
            <w:r>
              <w:rPr>
                <w:rFonts w:ascii="Arial" w:cs="Arial" w:eastAsia="Arial" w:hAnsi="Arial"/>
                <w:sz w:val="16"/>
                <w:szCs w:val="16"/>
                <w:color w:val="0000FF"/>
              </w:rPr>
              <w:t>Certification pursuant to Section 906 of the Sarbanes-Oxley Act of 2002 (Subsections (a) and (b) of Section 1350, Chapter 63 of Title 18,</w:t>
            </w:r>
          </w:p>
        </w:tc>
      </w:tr>
      <w:tr>
        <w:trPr>
          <w:trHeight w:val="163"/>
        </w:trPr>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0000FF"/>
              <w:bottom w:val="single" w:sz="8" w:color="0000FF"/>
            </w:tcBorders>
            <w:shd w:val="clear" w:color="auto" w:fill="CCEEFF"/>
          </w:tcPr>
          <w:p>
            <w:pPr>
              <w:spacing w:after="0" w:line="142" w:lineRule="exact"/>
              <w:rPr>
                <w:sz w:val="20"/>
                <w:szCs w:val="20"/>
                <w:color w:val="auto"/>
              </w:rPr>
            </w:pPr>
            <w:r>
              <w:rPr>
                <w:rFonts w:ascii="Arial" w:cs="Arial" w:eastAsia="Arial" w:hAnsi="Arial"/>
                <w:sz w:val="16"/>
                <w:szCs w:val="16"/>
                <w:color w:val="0000FF"/>
              </w:rPr>
              <w:t>United States Code).</w:t>
            </w:r>
          </w:p>
        </w:tc>
        <w:tc>
          <w:tcPr>
            <w:tcW w:w="826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260" w:type="dxa"/>
            <w:vAlign w:val="bottom"/>
          </w:tcPr>
          <w:p>
            <w:pPr>
              <w:ind w:left="20"/>
              <w:spacing w:after="0" w:line="175" w:lineRule="exact"/>
              <w:rPr>
                <w:sz w:val="20"/>
                <w:szCs w:val="20"/>
                <w:color w:val="auto"/>
              </w:rPr>
            </w:pPr>
            <w:r>
              <w:rPr>
                <w:rFonts w:ascii="Arial" w:cs="Arial" w:eastAsia="Arial" w:hAnsi="Arial"/>
                <w:sz w:val="16"/>
                <w:szCs w:val="16"/>
                <w:color w:val="auto"/>
              </w:rPr>
              <w:t>99.1</w:t>
            </w:r>
          </w:p>
        </w:tc>
        <w:tc>
          <w:tcPr>
            <w:tcW w:w="9980" w:type="dxa"/>
            <w:vAlign w:val="bottom"/>
            <w:gridSpan w:val="6"/>
          </w:tcPr>
          <w:p>
            <w:pPr>
              <w:spacing w:after="0" w:line="175" w:lineRule="exact"/>
              <w:rPr>
                <w:sz w:val="20"/>
                <w:szCs w:val="20"/>
                <w:color w:val="auto"/>
              </w:rPr>
            </w:pPr>
            <w:r>
              <w:rPr>
                <w:rFonts w:ascii="Arial" w:cs="Arial" w:eastAsia="Arial" w:hAnsi="Arial"/>
                <w:sz w:val="16"/>
                <w:szCs w:val="16"/>
                <w:color w:val="0000FF"/>
              </w:rPr>
              <w:t>Quantitative and qualitative disclosures about market risks as reported at June 30, 2022.</w:t>
            </w:r>
          </w:p>
        </w:tc>
      </w:tr>
      <w:tr>
        <w:trPr>
          <w:trHeight w:val="21"/>
        </w:trPr>
        <w:tc>
          <w:tcPr>
            <w:tcW w:w="126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482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2"/>
        </w:trPr>
        <w:tc>
          <w:tcPr>
            <w:tcW w:w="12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101.INS</w:t>
            </w:r>
          </w:p>
        </w:tc>
        <w:tc>
          <w:tcPr>
            <w:tcW w:w="9980" w:type="dxa"/>
            <w:vAlign w:val="bottom"/>
            <w:gridSpan w:val="6"/>
            <w:shd w:val="clear" w:color="auto" w:fill="CCEEFF"/>
          </w:tcPr>
          <w:p>
            <w:pPr>
              <w:spacing w:after="0" w:line="162" w:lineRule="exact"/>
              <w:rPr>
                <w:sz w:val="20"/>
                <w:szCs w:val="20"/>
                <w:color w:val="auto"/>
              </w:rPr>
            </w:pPr>
            <w:r>
              <w:rPr>
                <w:rFonts w:ascii="Arial" w:cs="Arial" w:eastAsia="Arial" w:hAnsi="Arial"/>
                <w:sz w:val="16"/>
                <w:szCs w:val="16"/>
                <w:color w:val="auto"/>
              </w:rPr>
              <w:t>XBRL Instance Document- the instance document does not appear in the Interactive Data File because its XBRL tags are embedded</w:t>
            </w:r>
          </w:p>
        </w:tc>
      </w:tr>
      <w:tr>
        <w:trPr>
          <w:trHeight w:val="216"/>
        </w:trPr>
        <w:tc>
          <w:tcPr>
            <w:tcW w:w="1260" w:type="dxa"/>
            <w:vAlign w:val="bottom"/>
            <w:shd w:val="clear" w:color="auto" w:fill="CCEEFF"/>
          </w:tcPr>
          <w:p>
            <w:pPr>
              <w:spacing w:after="0"/>
              <w:rPr>
                <w:sz w:val="18"/>
                <w:szCs w:val="18"/>
                <w:color w:val="auto"/>
              </w:rPr>
            </w:pP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within the Inline XBRL document.</w:t>
            </w:r>
          </w:p>
        </w:tc>
      </w:tr>
      <w:tr>
        <w:trPr>
          <w:trHeight w:val="215"/>
        </w:trPr>
        <w:tc>
          <w:tcPr>
            <w:tcW w:w="1260" w:type="dxa"/>
            <w:vAlign w:val="bottom"/>
          </w:tcPr>
          <w:p>
            <w:pPr>
              <w:ind w:left="20"/>
              <w:spacing w:after="0"/>
              <w:rPr>
                <w:sz w:val="20"/>
                <w:szCs w:val="20"/>
                <w:color w:val="auto"/>
              </w:rPr>
            </w:pPr>
            <w:r>
              <w:rPr>
                <w:rFonts w:ascii="Arial" w:cs="Arial" w:eastAsia="Arial" w:hAnsi="Arial"/>
                <w:sz w:val="16"/>
                <w:szCs w:val="16"/>
                <w:color w:val="auto"/>
              </w:rPr>
              <w:t>101.SCH</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7"/>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101.CAL</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5"/>
        </w:trPr>
        <w:tc>
          <w:tcPr>
            <w:tcW w:w="1260" w:type="dxa"/>
            <w:vAlign w:val="bottom"/>
          </w:tcPr>
          <w:p>
            <w:pPr>
              <w:ind w:left="20"/>
              <w:spacing w:after="0"/>
              <w:rPr>
                <w:sz w:val="20"/>
                <w:szCs w:val="20"/>
                <w:color w:val="auto"/>
              </w:rPr>
            </w:pPr>
            <w:r>
              <w:rPr>
                <w:rFonts w:ascii="Arial" w:cs="Arial" w:eastAsia="Arial" w:hAnsi="Arial"/>
                <w:sz w:val="16"/>
                <w:szCs w:val="16"/>
                <w:color w:val="auto"/>
              </w:rPr>
              <w:t>101.DEF</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7"/>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101.LAB</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5"/>
        </w:trPr>
        <w:tc>
          <w:tcPr>
            <w:tcW w:w="1260" w:type="dxa"/>
            <w:vAlign w:val="bottom"/>
          </w:tcPr>
          <w:p>
            <w:pPr>
              <w:ind w:left="20"/>
              <w:spacing w:after="0"/>
              <w:rPr>
                <w:sz w:val="20"/>
                <w:szCs w:val="20"/>
                <w:color w:val="auto"/>
              </w:rPr>
            </w:pPr>
            <w:r>
              <w:rPr>
                <w:rFonts w:ascii="Arial" w:cs="Arial" w:eastAsia="Arial" w:hAnsi="Arial"/>
                <w:sz w:val="16"/>
                <w:szCs w:val="16"/>
                <w:color w:val="auto"/>
              </w:rPr>
              <w:t>101.PRE</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7"/>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104</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Cover page formatted as Inline XBRL and contained in Exhibit 101</w:t>
            </w:r>
          </w:p>
        </w:tc>
      </w:tr>
      <w:tr>
        <w:trPr>
          <w:trHeight w:val="1006"/>
        </w:trPr>
        <w:tc>
          <w:tcPr>
            <w:tcW w:w="1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ALBANY INTERNATIONAL CORP.</w:t>
      </w:r>
    </w:p>
    <w:p>
      <w:pPr>
        <w:spacing w:after="0" w:line="39"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(Registrant)</w:t>
      </w:r>
    </w:p>
    <w:p>
      <w:pPr>
        <w:spacing w:after="0" w:line="282" w:lineRule="exact"/>
        <w:rPr>
          <w:sz w:val="20"/>
          <w:szCs w:val="20"/>
          <w:color w:val="auto"/>
        </w:rPr>
      </w:pPr>
    </w:p>
    <w:p>
      <w:pPr>
        <w:ind w:left="20"/>
        <w:spacing w:after="0"/>
        <w:tabs>
          <w:tab w:leader="none" w:pos="4080" w:val="left"/>
          <w:tab w:leader="none" w:pos="4540" w:val="left"/>
        </w:tabs>
        <w:rPr>
          <w:sz w:val="20"/>
          <w:szCs w:val="20"/>
          <w:color w:val="auto"/>
        </w:rPr>
      </w:pPr>
      <w:r>
        <w:rPr>
          <w:rFonts w:ascii="Arial" w:cs="Arial" w:eastAsia="Arial" w:hAnsi="Arial"/>
          <w:sz w:val="16"/>
          <w:szCs w:val="16"/>
          <w:color w:val="auto"/>
        </w:rPr>
        <w:t>Date: July 26, 2022</w:t>
      </w:r>
      <w:r>
        <w:rPr>
          <w:sz w:val="20"/>
          <w:szCs w:val="20"/>
          <w:color w:val="auto"/>
        </w:rPr>
        <w:tab/>
      </w:r>
      <w:r>
        <w:rPr>
          <w:rFonts w:ascii="Arial" w:cs="Arial" w:eastAsia="Arial" w:hAnsi="Arial"/>
          <w:sz w:val="16"/>
          <w:szCs w:val="16"/>
          <w:color w:val="auto"/>
        </w:rPr>
        <w:t>By</w:t>
        <w:tab/>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20955</wp:posOffset>
            </wp:positionV>
            <wp:extent cx="41065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06545" cy="8255"/>
                    </a:xfrm>
                    <a:prstGeom prst="rect">
                      <a:avLst/>
                    </a:prstGeom>
                    <a:noFill/>
                  </pic:spPr>
                </pic:pic>
              </a:graphicData>
            </a:graphic>
          </wp:anchor>
        </w:drawing>
      </w:r>
    </w:p>
    <w:p>
      <w:pPr>
        <w:spacing w:after="0" w:line="20"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Stephen M. Nolan</w:t>
      </w:r>
    </w:p>
    <w:p>
      <w:pPr>
        <w:ind w:left="4560"/>
        <w:spacing w:after="0" w:line="211" w:lineRule="auto"/>
        <w:rPr>
          <w:sz w:val="20"/>
          <w:szCs w:val="20"/>
          <w:color w:val="auto"/>
        </w:rPr>
      </w:pPr>
      <w:r>
        <w:rPr>
          <w:rFonts w:ascii="Arial" w:cs="Arial" w:eastAsia="Arial" w:hAnsi="Arial"/>
          <w:sz w:val="16"/>
          <w:szCs w:val="16"/>
          <w:color w:val="auto"/>
        </w:rPr>
        <w:t>Chief Financial Officer and Treasurer</w:t>
      </w:r>
    </w:p>
    <w:p>
      <w:pPr>
        <w:ind w:left="456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20"/>
          </w:cols>
          <w:pgMar w:left="320" w:top="124" w:right="3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A. William Higgins, certify that:</w:t>
      </w:r>
    </w:p>
    <w:p>
      <w:pPr>
        <w:spacing w:after="0" w:line="11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right="20" w:hanging="328"/>
        <w:spacing w:after="0" w:line="268"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July 26, 2022</w:t>
      </w:r>
      <w:r>
        <w:rPr>
          <w:sz w:val="20"/>
          <w:szCs w:val="20"/>
          <w:color w:val="auto"/>
        </w:rPr>
        <w:tab/>
      </w:r>
      <w:r>
        <w:rPr>
          <w:rFonts w:ascii="Arial" w:cs="Arial" w:eastAsia="Arial" w:hAnsi="Arial"/>
          <w:sz w:val="18"/>
          <w:szCs w:val="18"/>
          <w:color w:val="auto"/>
        </w:rPr>
        <w:t>By</w:t>
        <w:tab/>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17780</wp:posOffset>
            </wp:positionV>
            <wp:extent cx="41833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 William Higgins</w:t>
      </w:r>
    </w:p>
    <w:p>
      <w:pPr>
        <w:ind w:left="4620"/>
        <w:spacing w:after="0" w:line="203" w:lineRule="auto"/>
        <w:rPr>
          <w:sz w:val="20"/>
          <w:szCs w:val="20"/>
          <w:color w:val="auto"/>
        </w:rPr>
      </w:pPr>
      <w:r>
        <w:rPr>
          <w:rFonts w:ascii="Arial" w:cs="Arial" w:eastAsia="Arial" w:hAnsi="Arial"/>
          <w:sz w:val="18"/>
          <w:szCs w:val="18"/>
          <w:color w:val="auto"/>
        </w:rPr>
        <w:t>President and Chief Executive Officer</w:t>
      </w: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Stephen M. Nolan, certify that:</w:t>
      </w:r>
    </w:p>
    <w:p>
      <w:pPr>
        <w:spacing w:after="0" w:line="117"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right="20" w:hanging="328"/>
        <w:spacing w:after="0" w:line="268"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July 26,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17780</wp:posOffset>
            </wp:positionV>
            <wp:extent cx="41833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Stephen M. Nolan</w:t>
      </w:r>
    </w:p>
    <w:p>
      <w:pPr>
        <w:ind w:left="4620"/>
        <w:spacing w:after="0" w:line="203" w:lineRule="auto"/>
        <w:rPr>
          <w:sz w:val="20"/>
          <w:szCs w:val="20"/>
          <w:color w:val="auto"/>
        </w:rPr>
      </w:pPr>
      <w:r>
        <w:rPr>
          <w:rFonts w:ascii="Arial" w:cs="Arial" w:eastAsia="Arial" w:hAnsi="Arial"/>
          <w:sz w:val="18"/>
          <w:szCs w:val="18"/>
          <w:color w:val="auto"/>
        </w:rPr>
        <w:t>Chief Financial Officer and Treasurer</w:t>
      </w: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0"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June 30, 2022, as filed with the Securities and Exchange Commission on the date hereof (the Report), A. William Higgins, President and Chief Executive Officer, and Stephen M. Nolan, Chief Financial Officer and Treasurer of the Company, certify, pursuant to 18 U.S.C. § 1350, as adopted pursuant to §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17" w:lineRule="exact"/>
        <w:rPr>
          <w:rFonts w:ascii="Arial" w:cs="Arial" w:eastAsia="Arial" w:hAnsi="Arial"/>
          <w:sz w:val="18"/>
          <w:szCs w:val="18"/>
          <w:color w:val="auto"/>
        </w:rPr>
      </w:pPr>
    </w:p>
    <w:p>
      <w:pPr>
        <w:ind w:left="340" w:hanging="332"/>
        <w:spacing w:after="0" w:line="287" w:lineRule="auto"/>
        <w:tabs>
          <w:tab w:leader="none" w:pos="3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2" w:lineRule="exact"/>
        <w:rPr>
          <w:sz w:val="20"/>
          <w:szCs w:val="20"/>
          <w:color w:val="auto"/>
        </w:rPr>
      </w:pPr>
    </w:p>
    <w:p>
      <w:pPr>
        <w:ind w:left="1040"/>
        <w:spacing w:after="0"/>
        <w:tabs>
          <w:tab w:leader="none" w:pos="4860" w:val="left"/>
        </w:tabs>
        <w:rPr>
          <w:sz w:val="20"/>
          <w:szCs w:val="20"/>
          <w:color w:val="auto"/>
        </w:rPr>
      </w:pPr>
      <w:r>
        <w:rPr>
          <w:rFonts w:ascii="Arial" w:cs="Arial" w:eastAsia="Arial" w:hAnsi="Arial"/>
          <w:sz w:val="18"/>
          <w:szCs w:val="18"/>
          <w:color w:val="auto"/>
        </w:rPr>
        <w:t>Date: July 26, 2022</w:t>
      </w:r>
      <w:r>
        <w:rPr>
          <w:sz w:val="20"/>
          <w:szCs w:val="20"/>
          <w:color w:val="auto"/>
        </w:rPr>
        <w:tab/>
      </w:r>
      <w:r>
        <w:rPr>
          <w:rFonts w:ascii="Arial" w:cs="Arial" w:eastAsia="Arial" w:hAnsi="Arial"/>
          <w:sz w:val="17"/>
          <w:szCs w:val="17"/>
          <w:color w:val="auto"/>
        </w:rPr>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17780</wp:posOffset>
            </wp:positionV>
            <wp:extent cx="34118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 William Higgins</w:t>
      </w:r>
    </w:p>
    <w:p>
      <w:pPr>
        <w:ind w:left="4880"/>
        <w:spacing w:after="0" w:line="203" w:lineRule="auto"/>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8"/>
          <w:szCs w:val="18"/>
          <w:color w:val="auto"/>
        </w:rPr>
        <w:t>(Principal Executive Officer)</w:t>
      </w:r>
    </w:p>
    <w:p>
      <w:pPr>
        <w:spacing w:after="0" w:line="11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17780</wp:posOffset>
            </wp:positionV>
            <wp:extent cx="34118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Stephen M. Nolan</w:t>
      </w:r>
    </w:p>
    <w:p>
      <w:pPr>
        <w:ind w:left="4880"/>
        <w:spacing w:after="0" w:line="203" w:lineRule="auto"/>
        <w:rPr>
          <w:sz w:val="20"/>
          <w:szCs w:val="20"/>
          <w:color w:val="auto"/>
        </w:rPr>
      </w:pPr>
      <w:r>
        <w:rPr>
          <w:rFonts w:ascii="Arial" w:cs="Arial" w:eastAsia="Arial" w:hAnsi="Arial"/>
          <w:sz w:val="18"/>
          <w:szCs w:val="18"/>
          <w:color w:val="auto"/>
        </w:rPr>
        <w:t>Chief Financial Officer and Treasurer</w:t>
      </w:r>
    </w:p>
    <w:p>
      <w:pPr>
        <w:ind w:left="4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0"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SENSITIVITY – As of June 30, 2022</w:t>
      </w:r>
    </w:p>
    <w:p>
      <w:pPr>
        <w:spacing w:after="0" w:line="234"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$663.1 million. The potential loss in fair value resulting from a hypothetical 10% adverse change in quoted foreign currency exchange rates amounts to $66.3 million. Furthermore, related to foreign currency transactions, we have exposure to various nonfunctional currency balances totaling $178.1 million. This amount includes, on an absolute basis, exposures to assets and liabilities held in currencies other than our local entity’s functional currency. On a net basis, we had $160.1 million of foreign currency liabilities as of June 30, 2022. As currency rates change, these nonfunctional currency balances are revalued, and the corresponding adjustment is recorded in the income statement. A hypothetical change of 10% in currency rates could result in an adjustment to the income statement of approximately $16.0 million. Actual results may differ.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30, 2022,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w:t>
      </w:r>
    </w:p>
    <w:tbl>
      <w:tblPr>
        <w:tblLayout w:type="fixed"/>
        <w:tblInd w:w="0" w:type="dxa"/>
        <w:tblCellMar>
          <w:top w:w="0" w:type="dxa"/>
          <w:left w:w="0" w:type="dxa"/>
          <w:bottom w:w="0" w:type="dxa"/>
          <w:right w:w="0" w:type="dxa"/>
        </w:tblCellMar>
      </w:tblPr>
      <w:tr>
        <w:trPr>
          <w:trHeight w:val="200"/>
        </w:trPr>
        <w:tc>
          <w:tcPr>
            <w:tcW w:w="9100" w:type="dxa"/>
            <w:vAlign w:val="bottom"/>
            <w:shd w:val="clear" w:color="auto" w:fill="BFE4FF"/>
          </w:tcPr>
          <w:p>
            <w:pPr>
              <w:ind w:left="20"/>
              <w:spacing w:after="0" w:line="200" w:lineRule="exact"/>
              <w:rPr>
                <w:sz w:val="20"/>
                <w:szCs w:val="20"/>
                <w:color w:val="auto"/>
              </w:rPr>
            </w:pPr>
            <w:r>
              <w:rPr>
                <w:rFonts w:ascii="Arial" w:cs="Arial" w:eastAsia="Arial" w:hAnsi="Arial"/>
                <w:sz w:val="18"/>
                <w:szCs w:val="18"/>
                <w:color w:val="auto"/>
              </w:rPr>
              <w:t>Credit agreement with borrowings outstanding, net of fixed rate portion, at an end of period interest rate of</w:t>
            </w:r>
          </w:p>
        </w:tc>
        <w:tc>
          <w:tcPr>
            <w:tcW w:w="2140" w:type="dxa"/>
            <w:vAlign w:val="bottom"/>
            <w:vMerge w:val="restart"/>
            <w:shd w:val="clear" w:color="auto" w:fill="BFE4FF"/>
          </w:tcPr>
          <w:p>
            <w:pPr>
              <w:jc w:val="right"/>
              <w:ind w:right="65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43"/>
        </w:trPr>
        <w:tc>
          <w:tcPr>
            <w:tcW w:w="910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2.95% in 2022, due in 2024</w:t>
            </w:r>
          </w:p>
        </w:tc>
        <w:tc>
          <w:tcPr>
            <w:tcW w:w="2140" w:type="dxa"/>
            <w:vAlign w:val="bottom"/>
            <w:tcBorders>
              <w:bottom w:val="single" w:sz="8" w:color="auto"/>
            </w:tcBorders>
            <w:vMerge w:val="continue"/>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$1.4 million. To manage interest rate risk, we may periodically enter into interest rate swap agreements to effectively fix the interest rates on variable debt to a specific rate for a period of time. (See Note 13 to the Consolidated Financial Statements in Item 1, which is incorporated herein by reference).</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decimal"/>
      <w:start w:val="15"/>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lvl w:ilvl="1">
      <w:lvlJc w:val="left"/>
      <w:lvlText w:val="•"/>
      <w:numFmt w:val="bullet"/>
      <w:start w:val="1"/>
    </w:lvl>
  </w:abstractNum>
  <w:abstractNum w:abstractNumId="10">
    <w:nsid w:val="4E6AFB66"/>
    <w:multiLevelType w:val="hybridMultilevel"/>
    <w:lvl w:ilvl="0">
      <w:lvlJc w:val="left"/>
      <w:lvlText w:val="•"/>
      <w:numFmt w:val="bullet"/>
      <w:start w:val="1"/>
    </w:lvl>
    <w:lvl w:ilvl="1">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2022-07-26T10:21:05Z</dcterms:created>
  <dcterms:modified xsi:type="dcterms:W3CDTF">2022-07-26T10:21:05Z</dcterms:modified>
</cp:coreProperties>
</file>