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1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June 30, 2025</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26670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6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34925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0"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40"/>
        <w:spacing w:after="0" w:line="23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 w:lineRule="exact"/>
        <w:rPr>
          <w:sz w:val="24"/>
          <w:szCs w:val="24"/>
          <w:color w:val="auto"/>
        </w:rPr>
      </w:pPr>
    </w:p>
    <w:p>
      <w:pPr>
        <w:ind w:right="2220"/>
        <w:spacing w:after="0" w:line="23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29.5 million shares of Class A Common Stock outstanding as of July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Page</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42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94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20" w:type="dxa"/>
            <w:vAlign w:val="bottom"/>
            <w:gridSpan w:val="34"/>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100" w:type="dxa"/>
            <w:vAlign w:val="bottom"/>
            <w:tcBorders>
              <w:right w:val="single" w:sz="8" w:color="B2B2B2"/>
            </w:tcBorders>
            <w:shd w:val="clear" w:color="auto" w:fill="B2B2B2"/>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three and six months ended </w:t>
            </w:r>
            <w:r>
              <w:rPr>
                <w:rFonts w:ascii="Arial" w:cs="Arial" w:eastAsia="Arial" w:hAnsi="Arial"/>
                <w:sz w:val="16"/>
                <w:szCs w:val="16"/>
                <w:color w:val="000000"/>
              </w:rPr>
              <w:t>June 30, 2025</w:t>
            </w:r>
            <w:r>
              <w:rPr>
                <w:rFonts w:ascii="Arial" w:cs="Arial" w:eastAsia="Arial" w:hAnsi="Arial"/>
                <w:sz w:val="16"/>
                <w:szCs w:val="16"/>
                <w:color w:val="0000FF"/>
              </w:rPr>
              <w:t xml:space="preserve"> and </w:t>
            </w:r>
            <w:r>
              <w:rPr>
                <w:rFonts w:ascii="Arial" w:cs="Arial" w:eastAsia="Arial" w:hAnsi="Arial"/>
                <w:sz w:val="16"/>
                <w:szCs w:val="16"/>
                <w:color w:val="000000"/>
              </w:rPr>
              <w:t>2024</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1</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0000FF"/>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 and 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2025</w:t>
            </w:r>
            <w:r>
              <w:rPr>
                <w:rFonts w:ascii="Arial" w:cs="Arial" w:eastAsia="Arial" w:hAnsi="Arial"/>
                <w:sz w:val="16"/>
                <w:szCs w:val="16"/>
                <w:color w:val="0000FF"/>
              </w:rPr>
              <w:t xml:space="preserve"> and </w:t>
            </w:r>
            <w:r>
              <w:rPr>
                <w:rFonts w:ascii="Arial" w:cs="Arial" w:eastAsia="Arial" w:hAnsi="Arial"/>
                <w:sz w:val="16"/>
                <w:szCs w:val="16"/>
                <w:color w:val="000000"/>
              </w:rPr>
              <w:t>2024</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June 30, 2025</w:t>
            </w:r>
            <w:r>
              <w:rPr>
                <w:rFonts w:ascii="Arial" w:cs="Arial" w:eastAsia="Arial" w:hAnsi="Arial"/>
                <w:sz w:val="16"/>
                <w:szCs w:val="16"/>
                <w:color w:val="0000FF"/>
              </w:rPr>
              <w:t xml:space="preserve"> and </w:t>
            </w:r>
            <w:r>
              <w:rPr>
                <w:rFonts w:ascii="Arial" w:cs="Arial" w:eastAsia="Arial" w:hAnsi="Arial"/>
                <w:sz w:val="16"/>
                <w:szCs w:val="16"/>
                <w:color w:val="000000"/>
              </w:rPr>
              <w:t>December 31, 2024</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2025</w:t>
            </w:r>
            <w:r>
              <w:rPr>
                <w:rFonts w:ascii="Arial" w:cs="Arial" w:eastAsia="Arial" w:hAnsi="Arial"/>
                <w:sz w:val="16"/>
                <w:szCs w:val="16"/>
                <w:color w:val="0000FF"/>
              </w:rPr>
              <w:t xml:space="preserve"> and </w:t>
            </w:r>
            <w:r>
              <w:rPr>
                <w:rFonts w:ascii="Arial" w:cs="Arial" w:eastAsia="Arial" w:hAnsi="Arial"/>
                <w:sz w:val="16"/>
                <w:szCs w:val="16"/>
                <w:color w:val="000000"/>
              </w:rPr>
              <w:t>2024</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4</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5</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25</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25</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20" w:type="dxa"/>
            <w:vAlign w:val="bottom"/>
            <w:gridSpan w:val="34"/>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Risk Factors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Defaults upon Senior Securities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780" w:type="dxa"/>
            <w:vAlign w:val="bottom"/>
            <w:gridSpan w:val="31"/>
          </w:tcPr>
          <w:p>
            <w:pPr>
              <w:ind w:left="120"/>
              <w:spacing w:after="0"/>
              <w:rPr>
                <w:sz w:val="20"/>
                <w:szCs w:val="20"/>
                <w:color w:val="auto"/>
              </w:rPr>
            </w:pPr>
            <w:r>
              <w:rPr>
                <w:rFonts w:ascii="Arial" w:cs="Arial" w:eastAsia="Arial" w:hAnsi="Arial"/>
                <w:sz w:val="16"/>
                <w:szCs w:val="16"/>
                <w:color w:val="0000FF"/>
              </w:rPr>
              <w:t>Other Information</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780" w:type="dxa"/>
            <w:vAlign w:val="bottom"/>
            <w:gridSpan w:val="31"/>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40</w:t>
            </w:r>
          </w:p>
        </w:tc>
        <w:tc>
          <w:tcPr>
            <w:tcW w:w="60" w:type="dxa"/>
            <w:vAlign w:val="bottom"/>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42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4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400" w:type="dxa"/>
            <w:vAlign w:val="bottom"/>
            <w:tcBorders>
              <w:top w:val="single" w:sz="8" w:color="B2B2B2"/>
              <w:bottom w:val="single" w:sz="8" w:color="9A9A9A"/>
            </w:tcBorders>
          </w:tcPr>
          <w:p>
            <w:pPr>
              <w:spacing w:after="0"/>
              <w:rPr>
                <w:sz w:val="24"/>
                <w:szCs w:val="24"/>
                <w:color w:val="auto"/>
              </w:rPr>
            </w:pPr>
          </w:p>
        </w:tc>
        <w:tc>
          <w:tcPr>
            <w:tcW w:w="46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10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9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6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645,324</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424,255</w:t>
            </w:r>
          </w:p>
        </w:tc>
      </w:tr>
      <w:tr>
        <w:trPr>
          <w:trHeight w:val="237"/>
        </w:trPr>
        <w:tc>
          <w:tcPr>
            <w:tcW w:w="6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97,507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193,993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221,069</w:t>
            </w: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110,350</w:t>
            </w: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24,525</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81,882</w:t>
            </w: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6,269</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expense/(income),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72,938</w:t>
            </w:r>
          </w:p>
        </w:tc>
      </w:tr>
      <w:tr>
        <w:trPr>
          <w:trHeight w:val="21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20,849</w:t>
            </w:r>
          </w:p>
        </w:tc>
      </w:tr>
      <w:tr>
        <w:trPr>
          <w:trHeight w:val="237"/>
        </w:trPr>
        <w:tc>
          <w:tcPr>
            <w:tcW w:w="6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52,089</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0"/>
        </w:trPr>
        <w:tc>
          <w:tcPr>
            <w:tcW w:w="618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51,915</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6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57"/>
        </w:trPr>
        <w:tc>
          <w:tcPr>
            <w:tcW w:w="6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57"/>
        </w:trPr>
        <w:tc>
          <w:tcPr>
            <w:tcW w:w="6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31,225</w:t>
            </w:r>
          </w:p>
        </w:tc>
      </w:tr>
      <w:tr>
        <w:trPr>
          <w:trHeight w:val="257"/>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31,316</w:t>
            </w:r>
          </w:p>
        </w:tc>
      </w:tr>
      <w:tr>
        <w:trPr>
          <w:trHeight w:val="257"/>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Class A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6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52,089</w:t>
            </w:r>
          </w:p>
        </w:tc>
      </w:tr>
      <w:tr>
        <w:trPr>
          <w:trHeight w:val="256"/>
        </w:trPr>
        <w:tc>
          <w:tcPr>
            <w:tcW w:w="6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40,149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53,272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(28,968)</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6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620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(8,218)</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1,633</w:t>
            </w:r>
          </w:p>
        </w:tc>
      </w:tr>
      <w:tr>
        <w:trPr>
          <w:trHeight w:val="257"/>
        </w:trPr>
        <w:tc>
          <w:tcPr>
            <w:tcW w:w="6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44"/>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9"/>
        </w:trPr>
        <w:tc>
          <w:tcPr>
            <w:tcW w:w="620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47,191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78,379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18,350</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the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46,887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78,291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18,496</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2025</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3"/>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106,689</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115,283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263,132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246,688</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184,961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166,557</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161,862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145,845</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18,240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19,187</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40,221</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37,132</w:t>
            </w:r>
          </w:p>
        </w:tc>
        <w:tc>
          <w:tcPr>
            <w:tcW w:w="0" w:type="dxa"/>
            <w:vAlign w:val="bottom"/>
          </w:tcPr>
          <w:p>
            <w:pPr>
              <w:spacing w:after="0"/>
              <w:rPr>
                <w:sz w:val="1"/>
                <w:szCs w:val="1"/>
                <w:color w:val="auto"/>
              </w:rPr>
            </w:pPr>
          </w:p>
        </w:tc>
      </w:tr>
      <w:tr>
        <w:trPr>
          <w:trHeight w:val="192"/>
        </w:trPr>
        <w:tc>
          <w:tcPr>
            <w:tcW w:w="838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775,105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730,692</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578,579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563,431</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38,127</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184,333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176,261</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28,757</w:t>
            </w: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112,294</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111,428</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1,723,453</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1,648,696</w:t>
            </w:r>
          </w:p>
        </w:tc>
        <w:tc>
          <w:tcPr>
            <w:tcW w:w="0" w:type="dxa"/>
            <w:vAlign w:val="bottom"/>
          </w:tcPr>
          <w:p>
            <w:pPr>
              <w:spacing w:after="0"/>
              <w:rPr>
                <w:sz w:val="1"/>
                <w:szCs w:val="1"/>
                <w:color w:val="auto"/>
              </w:rPr>
            </w:pPr>
          </w:p>
        </w:tc>
      </w:tr>
      <w:tr>
        <w:trPr>
          <w:trHeight w:val="200"/>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96,788</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66,095</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121,330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141,904</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r>
        <w:trPr>
          <w:trHeight w:val="192"/>
        </w:trPr>
        <w:tc>
          <w:tcPr>
            <w:tcW w:w="83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220,762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226,366</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444,686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318,531</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144,622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138,830</w:t>
            </w:r>
          </w:p>
        </w:tc>
        <w:tc>
          <w:tcPr>
            <w:tcW w:w="0" w:type="dxa"/>
            <w:vAlign w:val="bottom"/>
          </w:tcPr>
          <w:p>
            <w:pPr>
              <w:spacing w:after="0"/>
              <w:rPr>
                <w:sz w:val="1"/>
                <w:szCs w:val="1"/>
                <w:color w:val="auto"/>
              </w:rPr>
            </w:pPr>
          </w:p>
        </w:tc>
      </w:tr>
      <w:tr>
        <w:trPr>
          <w:trHeight w:val="19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Deferred taxes and other liabilities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19,274</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16,022</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829,344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699,749</w:t>
            </w:r>
          </w:p>
        </w:tc>
        <w:tc>
          <w:tcPr>
            <w:tcW w:w="0" w:type="dxa"/>
            <w:vAlign w:val="bottom"/>
          </w:tcPr>
          <w:p>
            <w:pPr>
              <w:spacing w:after="0"/>
              <w:rPr>
                <w:sz w:val="1"/>
                <w:szCs w:val="1"/>
                <w:color w:val="auto"/>
              </w:rPr>
            </w:pPr>
          </w:p>
        </w:tc>
      </w:tr>
      <w:tr>
        <w:trPr>
          <w:trHeight w:val="92"/>
        </w:trPr>
        <w:tc>
          <w:tcPr>
            <w:tcW w:w="8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17)</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8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6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3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Class A Common Stock, par value $0.001 per share; authorized 100,000,000 shares; 40,983,660 issued in 2025</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40,917,539 in 2024</w:t>
            </w:r>
          </w:p>
        </w:tc>
        <w:tc>
          <w:tcPr>
            <w:tcW w:w="1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456,587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452,933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1,075,934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1,065,763</w:t>
            </w:r>
          </w:p>
        </w:tc>
        <w:tc>
          <w:tcPr>
            <w:tcW w:w="0" w:type="dxa"/>
            <w:vAlign w:val="bottom"/>
          </w:tcPr>
          <w:p>
            <w:pPr>
              <w:spacing w:after="0"/>
              <w:rPr>
                <w:sz w:val="1"/>
                <w:szCs w:val="1"/>
                <w:color w:val="auto"/>
              </w:rPr>
            </w:pPr>
          </w:p>
        </w:tc>
      </w:tr>
      <w:tr>
        <w:trPr>
          <w:trHeight w:val="198"/>
        </w:trPr>
        <w:tc>
          <w:tcPr>
            <w:tcW w:w="838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(125,584)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(181,555)</w:t>
            </w:r>
          </w:p>
        </w:tc>
        <w:tc>
          <w:tcPr>
            <w:tcW w:w="0" w:type="dxa"/>
            <w:vAlign w:val="bottom"/>
          </w:tcPr>
          <w:p>
            <w:pPr>
              <w:spacing w:after="0"/>
              <w:rPr>
                <w:sz w:val="1"/>
                <w:szCs w:val="1"/>
                <w:color w:val="auto"/>
              </w:rPr>
            </w:pPr>
          </w:p>
        </w:tc>
      </w:tr>
      <w:tr>
        <w:trPr>
          <w:trHeight w:val="199"/>
        </w:trPr>
        <w:tc>
          <w:tcPr>
            <w:tcW w:w="838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(17,845)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(14,328)</w:t>
            </w: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11,515,604 shares in 2025 and 9,844,746 in 2024</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(499,658)</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(379,210)</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shareholders' equity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888,612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943,538</w:t>
            </w: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5,497</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5,409</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894,109</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948,947</w:t>
            </w:r>
          </w:p>
        </w:tc>
        <w:tc>
          <w:tcPr>
            <w:tcW w:w="0" w:type="dxa"/>
            <w:vAlign w:val="bottom"/>
          </w:tcPr>
          <w:p>
            <w:pPr>
              <w:spacing w:after="0"/>
              <w:rPr>
                <w:sz w:val="1"/>
                <w:szCs w:val="1"/>
                <w:color w:val="auto"/>
              </w:rPr>
            </w:pPr>
          </w:p>
        </w:tc>
      </w:tr>
      <w:tr>
        <w:trPr>
          <w:trHeight w:val="200"/>
        </w:trPr>
        <w:tc>
          <w:tcPr>
            <w:tcW w:w="838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1,723,453</w:t>
            </w:r>
          </w:p>
        </w:tc>
        <w:tc>
          <w:tcPr>
            <w:tcW w:w="14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1,648,696</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8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26,681</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52,089</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40,085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41,247</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(2,761)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(2,391)</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Provision/(recovery) for credit losses from uncollected receivables and contract assets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loss/(gain) on intercompany loans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contracts</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3,109</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on sale of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r>
      <w:tr>
        <w:trPr>
          <w:trHeight w:val="108"/>
        </w:trPr>
        <w:tc>
          <w:tcPr>
            <w:tcW w:w="8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(4,490)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4,929</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3,062</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Income taxes prepaid and receivable</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873</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26,878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17,679</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(15,367)</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(5,599)</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Noncurrent receivables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34,833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92,989</w:t>
            </w:r>
          </w:p>
        </w:tc>
      </w:tr>
      <w:tr>
        <w:trPr>
          <w:trHeight w:val="92"/>
        </w:trPr>
        <w:tc>
          <w:tcPr>
            <w:tcW w:w="8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9"/>
        </w:trPr>
        <w:tc>
          <w:tcPr>
            <w:tcW w:w="8120" w:type="dxa"/>
            <w:vAlign w:val="bottom"/>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(29,526)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(46,616)</w:t>
            </w:r>
          </w:p>
        </w:tc>
      </w:tr>
      <w:tr>
        <w:trPr>
          <w:trHeight w:val="20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Purchased software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Proceeds received from sale of assets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(27,288)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(45,627)</w:t>
            </w:r>
          </w:p>
        </w:tc>
      </w:tr>
      <w:tr>
        <w:trPr>
          <w:trHeight w:val="92"/>
        </w:trPr>
        <w:tc>
          <w:tcPr>
            <w:tcW w:w="8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171,995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43,282</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(122,828)</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Purchase of Treasury shares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(120,448)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Dividends paid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(16,233)</w:t>
            </w:r>
          </w:p>
        </w:tc>
      </w:tr>
      <w:tr>
        <w:trPr>
          <w:trHeight w:val="19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(24,508)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(98,225)</w:t>
            </w:r>
          </w:p>
        </w:tc>
      </w:tr>
      <w:tr>
        <w:trPr>
          <w:trHeight w:val="92"/>
        </w:trPr>
        <w:tc>
          <w:tcPr>
            <w:tcW w:w="8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192"/>
        </w:trPr>
        <w:tc>
          <w:tcPr>
            <w:tcW w:w="8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8,369</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(6,118)</w:t>
            </w:r>
          </w:p>
        </w:tc>
      </w:tr>
      <w:tr>
        <w:trPr>
          <w:trHeight w:val="92"/>
        </w:trPr>
        <w:tc>
          <w:tcPr>
            <w:tcW w:w="8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(56,981)</w:t>
            </w:r>
          </w:p>
        </w:tc>
      </w:tr>
      <w:tr>
        <w:trPr>
          <w:trHeight w:val="19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115,283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173,420</w:t>
            </w:r>
          </w:p>
        </w:tc>
      </w:tr>
      <w:tr>
        <w:trPr>
          <w:trHeight w:val="225"/>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106,689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116,439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ind w:right="8340" w:firstLine="8"/>
        <w:spacing w:after="0" w:line="374"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required by the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stock-based compensation,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ASU 2023-09 should be applied on a prospective basis, but retrospective application is permitted. We are currently evaluating the potential impact of adopting this new guidance on our consolidated financial statements and related disclosures.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2024, the FASB issued Accounting Standards Update No. 2024-01, "Compensation - Stock Compensation (Topic 718): Scope Application of Profits Interest and Similar Awards" (ASU 2024-01), which clarifies how an entity determines whether profits interest or similar awards should be considered within the scope of ASC 718 as a share-based payment arrangement or under ASC 710 or other ASC topics in a manner similar to a cash bonus or profit-sharing arrangement. The guidance is effective for annual periods beginning after December 15, 2024, and interim periods beginning within those annual periods. Early adoption is permitted for both interim and annual financial statements that have not yet been issued or made available for issuance. ASU 2024-01 should be applied either (1) retrospectively to all prior periods presented in the financial statements or (2) prospectively to profits interest and similar awards granted or modified on or after the date at which the entity first applies the amendments. The adoption of this standard on January 1, 2025 did not have any impact on our consolidated financial statements and related disclosures.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FASB issued Accounting Standards Update No. 2024-03, "Income Statement – Reporting Comprehensive Income – Expense Disaggregation Disclosures (Subtopic 220-40): Disaggregation of Income Statement Expenses" (ASU 2024-03), which requires a public business entity to disclose specific information about certain costs and expenses in the notes to the financial statements for interim and annual reporting periods. The objective of the disclosure requirements is to provide disaggregated information of the public entity's expenses to help investors better understand the entity's performance; better assess the entity's prospects for future cash flows; and compare an entity's performance over time and with that of other entities. The disaggregation of relevant expense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captions presented on the face of the income statement may include but is not limited to the following natural expenses: (1) purchases of inventory, (2) employee compensation, (3) depreciation, (4) intangible asset amortization, and (5) depreciation, depletion, and amortization. The guidance is effective for annual periods beginning after December 15, 2026, and for interim periods beginning after December 15, 2027. Early adoption is permitted. We are currently evaluating the potential impact of adopting this new guidance on our consolidated financial statements and related disclosures.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2024, the U.S. Securities and Exchange Commission ("SEC") adopted the final rule under SEC Release No. 33-11275, "The Enhancement and Standardization of Climate-Related Disclosures for Investors". This rule would require registrants to disclose certain climate-related information in registration statements and annual reports. In April 2024, the SEC voluntarily stayed the final rule as a result of legal challenges that are pending judicial review. The disclosure requirements would apply to the Company's fiscal year beginning January 1, 2025, pending resolution of the stay. While there has been no resolution of the stay, the Company is currently evaluating the final rule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Annual incentive targets are established for the segment presidents based on these metrics, in addition to cash flows, which are reviewed in summary each month, and in more depth each quarter. The Company has not aggregated operating segments for purposes of identifying reportable segments. Effective December 31, 2024, the Company adopted provisions of ASU 2023-07, which expanded the content and frequency of segment disclosures required under ASC 280.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tissue and towel products, nonwovens, fiber cement and for several other industrial applications. We sell our MC products directly to customer end-users in countries across the globe. Our products, manufacturing processes, and distribution channels are substantially the same in each region of the world in which we operate.</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design, manufacture, and market paper machine clothing (used in the manufacture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Albany Engineered Composites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LEAP engine is used on the Airbus A320neo, A321neo, Boeing 737 MAX, and COMAC 919 aircraft. AEC's largest aerospace customer is the SAFRAN Group and sales to SAFRAN (consisting primarily of fan blades and cases for CFM International's LEAP engine). AEC net sales to SAFRAN were $ 44.4 million and $51.2 million for the three months ended June 30, 2025 and 2024, respectively and $ 83.8 million and $101.3 million in the first six months of 2025 and 2024, respectively. The total of Accounts receivable, Contract assets and Noncurrent receivables due from SAFRAN amounted to $67.5 million and $85.8 million as of June 30, 2025 and December 31, 2024, respectively.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2024, approximately 36 percent of AEC's revenues were related to U.S. government contracts or programs.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show data by reportable segment that is regularly provided to the CODM, reconciled to consolidated totals included in the financial statements along with other segment data: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Revenues to Operating Income(loss):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 June 30, 2025</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240" w:type="dxa"/>
            <w:vAlign w:val="bottom"/>
          </w:tcPr>
          <w:p>
            <w:pPr>
              <w:spacing w:after="0"/>
              <w:rPr>
                <w:sz w:val="17"/>
                <w:szCs w:val="17"/>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AEC</w:t>
            </w: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b w:val="1"/>
                <w:bCs w:val="1"/>
                <w:color w:val="auto"/>
              </w:rPr>
              <w:t>Total</w:t>
            </w:r>
          </w:p>
        </w:tc>
      </w:tr>
      <w:tr>
        <w:trPr>
          <w:trHeight w:val="211"/>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180,926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130,473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311,399</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97,167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116,725</w:t>
            </w:r>
          </w:p>
        </w:tc>
        <w:tc>
          <w:tcPr>
            <w:tcW w:w="80" w:type="dxa"/>
            <w:vAlign w:val="bottom"/>
          </w:tcPr>
          <w:p>
            <w:pPr>
              <w:spacing w:after="0"/>
              <w:rPr>
                <w:sz w:val="18"/>
                <w:szCs w:val="18"/>
                <w:color w:val="auto"/>
              </w:rPr>
            </w:pPr>
          </w:p>
        </w:tc>
        <w:tc>
          <w:tcPr>
            <w:tcW w:w="1240" w:type="dxa"/>
            <w:vAlign w:val="bottom"/>
          </w:tcPr>
          <w:p>
            <w:pPr>
              <w:jc w:val="right"/>
              <w:ind w:right="1041"/>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213,892</w:t>
            </w:r>
          </w:p>
        </w:tc>
      </w:tr>
      <w:tr>
        <w:trPr>
          <w:trHeight w:val="209"/>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83,759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13,748</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97,507</w:t>
            </w: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sect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Technical and research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expenses,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income/(loss)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35,669</w:t>
            </w:r>
          </w:p>
        </w:tc>
        <w:tc>
          <w:tcPr>
            <w:tcW w:w="6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11,777</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11,056</w:t>
            </w:r>
          </w:p>
        </w:tc>
        <w:tc>
          <w:tcPr>
            <w:tcW w:w="60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58,502</w:t>
            </w:r>
          </w:p>
        </w:tc>
      </w:tr>
      <w:tr>
        <w:trPr>
          <w:trHeight w:val="216"/>
        </w:trPr>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7,373</w:t>
            </w:r>
          </w:p>
        </w:tc>
        <w:tc>
          <w:tcPr>
            <w:tcW w:w="6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4,125</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1,054</w:t>
            </w:r>
          </w:p>
        </w:tc>
        <w:tc>
          <w:tcPr>
            <w:tcW w:w="60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12,552</w:t>
            </w:r>
          </w:p>
        </w:tc>
      </w:tr>
      <w:tr>
        <w:trPr>
          <w:trHeight w:val="217"/>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3,015</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520</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648</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4,183</w:t>
            </w:r>
          </w:p>
        </w:tc>
      </w:tr>
      <w:tr>
        <w:trPr>
          <w:trHeight w:val="209"/>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37,702</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(12,758)</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22,270</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-454025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-179070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124" w:right="339" w:bottom="1440" w:gutter="0" w:footer="0" w:header="0"/>
          <w:type w:val="continuous"/>
        </w:sect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 June 30, 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240" w:type="dxa"/>
            <w:vAlign w:val="bottom"/>
          </w:tcPr>
          <w:p>
            <w:pPr>
              <w:spacing w:after="0"/>
              <w:rPr>
                <w:sz w:val="17"/>
                <w:szCs w:val="17"/>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AEC</w:t>
            </w: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b w:val="1"/>
                <w:bCs w:val="1"/>
                <w:color w:val="auto"/>
              </w:rPr>
              <w:t>Total</w:t>
            </w:r>
          </w:p>
        </w:tc>
      </w:tr>
      <w:tr>
        <w:trPr>
          <w:trHeight w:val="211"/>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193,578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138,416</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331,994</w:t>
            </w: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104,705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114,906</w:t>
            </w:r>
          </w:p>
        </w:tc>
        <w:tc>
          <w:tcPr>
            <w:tcW w:w="80" w:type="dxa"/>
            <w:vAlign w:val="bottom"/>
          </w:tcPr>
          <w:p>
            <w:pPr>
              <w:spacing w:after="0"/>
              <w:rPr>
                <w:sz w:val="18"/>
                <w:szCs w:val="18"/>
                <w:color w:val="auto"/>
              </w:rPr>
            </w:pP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219,611</w:t>
            </w: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88,873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23,510</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112,383</w:t>
            </w: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Technical and research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expenses,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income/(loss)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30,569</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12,786</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12,160</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55,515</w:t>
            </w:r>
          </w:p>
        </w:tc>
      </w:tr>
      <w:tr>
        <w:trPr>
          <w:trHeight w:val="215"/>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7,504</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4,356</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11,860</w:t>
            </w:r>
          </w:p>
        </w:tc>
      </w:tr>
      <w:tr>
        <w:trPr>
          <w:trHeight w:val="217"/>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1,066</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r>
      <w:tr>
        <w:trPr>
          <w:trHeight w:val="210"/>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49,734</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5,446</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(12,275)</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42,905</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-453390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-179070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124" w:right="339" w:bottom="1440" w:gutter="0" w:footer="0" w:header="0"/>
          <w:type w:val="continuous"/>
        </w:sect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Six Months Ended June 30, 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28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AEC</w:t>
            </w:r>
          </w:p>
        </w:tc>
        <w:tc>
          <w:tcPr>
            <w:tcW w:w="1220" w:type="dxa"/>
            <w:vAlign w:val="bottom"/>
          </w:tcPr>
          <w:p>
            <w:pPr>
              <w:jc w:val="right"/>
              <w:ind w:right="21"/>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355,623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244,550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600,173</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191,962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b w:val="1"/>
                <w:bCs w:val="1"/>
                <w:color w:val="auto"/>
              </w:rPr>
              <w:t>214,218</w:t>
            </w:r>
          </w:p>
        </w:tc>
        <w:tc>
          <w:tcPr>
            <w:tcW w:w="80" w:type="dxa"/>
            <w:vAlign w:val="bottom"/>
          </w:tcPr>
          <w:p>
            <w:pPr>
              <w:spacing w:after="0"/>
              <w:rPr>
                <w:sz w:val="18"/>
                <w:szCs w:val="18"/>
                <w:color w:val="auto"/>
              </w:rPr>
            </w:pPr>
          </w:p>
        </w:tc>
        <w:tc>
          <w:tcPr>
            <w:tcW w:w="1220" w:type="dxa"/>
            <w:vAlign w:val="bottom"/>
          </w:tcPr>
          <w:p>
            <w:pPr>
              <w:jc w:val="right"/>
              <w:ind w:right="1021"/>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406,180</w:t>
            </w: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163,661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30,332</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193,993</w:t>
            </w: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Technical and research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expenses,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income/(loss)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68,550</w:t>
            </w:r>
          </w:p>
        </w:tc>
        <w:tc>
          <w:tcPr>
            <w:tcW w:w="6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21,903</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21,861</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112,314</w:t>
            </w:r>
          </w:p>
        </w:tc>
      </w:tr>
      <w:tr>
        <w:trPr>
          <w:trHeight w:val="216"/>
        </w:trPr>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14,616</w:t>
            </w:r>
          </w:p>
        </w:tc>
        <w:tc>
          <w:tcPr>
            <w:tcW w:w="6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7,799</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2,033</w:t>
            </w:r>
          </w:p>
        </w:tc>
        <w:tc>
          <w:tcPr>
            <w:tcW w:w="5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24,448</w:t>
            </w:r>
          </w:p>
        </w:tc>
      </w:tr>
      <w:tr>
        <w:trPr>
          <w:trHeight w:val="217"/>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4,362</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1,688</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648</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6,698</w:t>
            </w:r>
          </w:p>
        </w:tc>
      </w:tr>
      <w:tr>
        <w:trPr>
          <w:trHeight w:val="209"/>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76,133</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(1,058)</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(24,542)</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50,533</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-453390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-179070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124" w:right="339" w:bottom="1440" w:gutter="0" w:footer="0" w:header="0"/>
          <w:type w:val="continuous"/>
        </w:sect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Six Months Ended June 30, 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28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AEC</w:t>
            </w:r>
          </w:p>
        </w:tc>
        <w:tc>
          <w:tcPr>
            <w:tcW w:w="1220" w:type="dxa"/>
            <w:vAlign w:val="bottom"/>
          </w:tcPr>
          <w:p>
            <w:pPr>
              <w:jc w:val="right"/>
              <w:ind w:right="21"/>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378,795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266,529</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645,324</w:t>
            </w: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205,267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218,988</w:t>
            </w:r>
          </w:p>
        </w:tc>
        <w:tc>
          <w:tcPr>
            <w:tcW w:w="80" w:type="dxa"/>
            <w:vAlign w:val="bottom"/>
          </w:tcPr>
          <w:p>
            <w:pPr>
              <w:spacing w:after="0"/>
              <w:rPr>
                <w:sz w:val="18"/>
                <w:szCs w:val="18"/>
                <w:color w:val="auto"/>
              </w:rPr>
            </w:pP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424,255</w:t>
            </w: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173,528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47,541</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221,069</w:t>
            </w: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Technical and research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expenses,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income/(loss)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63,336</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24,326</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22,688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110,350</w:t>
            </w:r>
          </w:p>
        </w:tc>
      </w:tr>
      <w:tr>
        <w:trPr>
          <w:trHeight w:val="215"/>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15,024</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9,501</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24,525</w:t>
            </w:r>
          </w:p>
        </w:tc>
      </w:tr>
      <w:tr>
        <w:trPr>
          <w:trHeight w:val="217"/>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1,087</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3,110</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r>
      <w:tr>
        <w:trPr>
          <w:trHeight w:val="210"/>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94,081</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10,604</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(22,803)</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81,882</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-453390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-179705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42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Depreciation and Amortization Expenses: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r>
      <w:tr>
        <w:trPr>
          <w:trHeight w:val="21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7,973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8,498</w:t>
            </w:r>
          </w:p>
        </w:tc>
        <w:tc>
          <w:tcPr>
            <w:tcW w:w="3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15,679</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17,009</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13,455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13,601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26,750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27,104</w:t>
            </w:r>
          </w:p>
        </w:tc>
      </w:tr>
      <w:tr>
        <w:trPr>
          <w:trHeight w:val="21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613</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580</w:t>
            </w:r>
          </w:p>
        </w:tc>
      </w:tr>
      <w:tr>
        <w:trPr>
          <w:trHeight w:val="209"/>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depreciation and amortization</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21,751</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22,389</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43,042</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44,693</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 to Income before income 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37,702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49,734</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76,133</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94,081</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(2,674)</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(1,058)</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10,604</w:t>
            </w:r>
          </w:p>
        </w:tc>
      </w:tr>
      <w:tr>
        <w:trPr>
          <w:trHeight w:val="21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(12,758)</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(24,542)</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(22,803)</w:t>
            </w:r>
          </w:p>
        </w:tc>
      </w:tr>
      <w:tr>
        <w:trPr>
          <w:trHeight w:val="209"/>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Operating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22,270</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42,905</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50,533</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81,882</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(3,043)</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6,555</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3,909</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11,848</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8,351</w:t>
            </w:r>
          </w:p>
        </w:tc>
      </w:tr>
      <w:tr>
        <w:trPr>
          <w:trHeight w:val="216"/>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3,534</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4,517</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r>
      <w:tr>
        <w:trPr>
          <w:trHeight w:val="20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13,586</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34,298</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37,211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72,938</w:t>
            </w:r>
          </w:p>
        </w:tc>
      </w:tr>
    </w:tbl>
    <w:p>
      <w:pPr>
        <w:spacing w:after="0" w:line="200" w:lineRule="exact"/>
        <w:rPr>
          <w:sz w:val="20"/>
          <w:szCs w:val="20"/>
          <w:color w:val="auto"/>
        </w:rPr>
      </w:pPr>
    </w:p>
    <w:p>
      <w:pPr>
        <w:spacing w:after="0" w:line="3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For the three months ended June 30, 2025, Selling, general and administrative expenses include global information system costs of $ 3.9 million, $3.8 million, and $0.9 million for MC, AEC and Corporate, respectively. For the three months ended June 30, 2024, Selling, general and administrative expenses include global information system costs of $3.9 million, $4.0 million, and $0.2 million for MC, AEC and Corporate, respectively. For the six months ended June 30, 2025, Selling, general and administrative expenses include global information system costs of $7.9 million, $7.7 million, and $1.3 million for MC, AEC and Corporate, respectively. For the six months ended June 30, 2024, Selling, general and administrative expenses include global information system costs of $7.7 million, $8.0 million, and $0.6 million for MC, AEC and Corporate,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assets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assets</w:t>
            </w:r>
          </w:p>
        </w:tc>
        <w:tc>
          <w:tcPr>
            <w:tcW w:w="1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641,199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600,603</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769,069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736,306</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106,689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115,283</w:t>
            </w:r>
          </w:p>
        </w:tc>
      </w:tr>
      <w:tr>
        <w:trPr>
          <w:trHeight w:val="216"/>
        </w:trPr>
        <w:tc>
          <w:tcPr>
            <w:tcW w:w="6300" w:type="dxa"/>
            <w:vAlign w:val="bottom"/>
          </w:tcPr>
          <w:p>
            <w:pPr>
              <w:ind w:left="140"/>
              <w:spacing w:after="0"/>
              <w:rPr>
                <w:sz w:val="20"/>
                <w:szCs w:val="20"/>
                <w:color w:val="auto"/>
              </w:rPr>
            </w:pPr>
            <w:r>
              <w:rPr>
                <w:rFonts w:ascii="Arial" w:cs="Arial" w:eastAsia="Arial" w:hAnsi="Arial"/>
                <w:sz w:val="16"/>
                <w:szCs w:val="16"/>
                <w:color w:val="auto"/>
              </w:rPr>
              <w:t>Income taxes prepaid and receivable, and Deferred income taxes</w:t>
            </w:r>
          </w:p>
        </w:tc>
        <w:tc>
          <w:tcPr>
            <w:tcW w:w="17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53,981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47,944</w:t>
            </w:r>
          </w:p>
        </w:tc>
      </w:tr>
      <w:tr>
        <w:trPr>
          <w:trHeight w:val="216"/>
        </w:trPr>
        <w:tc>
          <w:tcPr>
            <w:tcW w:w="6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 and Other assets</w:t>
            </w:r>
          </w:p>
        </w:tc>
        <w:tc>
          <w:tcPr>
            <w:tcW w:w="17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152,515</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148,560</w:t>
            </w:r>
          </w:p>
        </w:tc>
      </w:tr>
      <w:tr>
        <w:trPr>
          <w:trHeight w:val="21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 assets</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1,723,453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1,648,696</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2024</w:t>
            </w: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and purchased software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13,010</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12,092</w:t>
            </w:r>
          </w:p>
        </w:tc>
      </w:tr>
      <w:tr>
        <w:trPr>
          <w:trHeight w:val="216"/>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17,521</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34,564</w:t>
            </w:r>
          </w:p>
        </w:tc>
      </w:tr>
      <w:tr>
        <w:trPr>
          <w:trHeight w:val="21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capital expenditures and purchased software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30,531</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46,656</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materially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material costs, factors affecting the supply chain, changes in the evaluation of contract risks and opportunities, or other factors. The cumulative changes in the estimated profitability of long-term contracts decreased operating income by $7.2 million during the second quarter of 2025 and $14.2 million for the first six months of 2025. The negative cumulative change in profitability during the second quarter of 2025 was primarily driven by a few large complex programs, including $8.1 million for various CH-53K programs, $0.8 million on our F-35 program, offset by a gain of $1.6 million on our Gulfstream program and a $0.1 million, net gain on all other programs. The negative cumulative change in profitability during the six months ended June 2025 was driven by $10.1 million for various CH-53K programs, $2.1 million on our F-35 program, and $2.0 million, net on all other programs. Adjustments in the estimated profitability of long-term contracts decreased operating income by $5.0 million during the second quarter of 2024 and $7.6 million for the first six months of 2024.</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 June 30,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June 30, 2025</w:t>
            </w:r>
          </w:p>
        </w:tc>
        <w:tc>
          <w:tcPr>
            <w:tcW w:w="1020" w:type="dxa"/>
            <w:vAlign w:val="bottom"/>
            <w:tcBorders>
              <w:top w:val="single" w:sz="8" w:color="auto"/>
              <w:bottom w:val="single" w:sz="8" w:color="auto"/>
            </w:tcBorders>
          </w:tcPr>
          <w:p>
            <w:pPr>
              <w:spacing w:after="0"/>
              <w:rPr>
                <w:sz w:val="18"/>
                <w:szCs w:val="18"/>
                <w:color w:val="auto"/>
              </w:rPr>
            </w:pPr>
          </w:p>
        </w:tc>
      </w:tr>
      <w:tr>
        <w:trPr>
          <w:trHeight w:val="188"/>
        </w:trPr>
        <w:tc>
          <w:tcPr>
            <w:tcW w:w="64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179,904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180,926</w:t>
            </w:r>
          </w:p>
        </w:tc>
      </w:tr>
      <w:tr>
        <w:trPr>
          <w:trHeight w:val="129"/>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44,846</w:t>
            </w:r>
          </w:p>
        </w:tc>
        <w:tc>
          <w:tcPr>
            <w:tcW w:w="42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44,846</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3,060</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82,567</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85,627</w:t>
            </w: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127,413</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130,473</w:t>
            </w:r>
          </w:p>
        </w:tc>
      </w:tr>
      <w:tr>
        <w:trPr>
          <w:trHeight w:val="236"/>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182,964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128,435</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311,399</w:t>
            </w: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 June 30,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 2024</w:t>
            </w:r>
          </w:p>
        </w:tc>
        <w:tc>
          <w:tcPr>
            <w:tcW w:w="1020" w:type="dxa"/>
            <w:vAlign w:val="bottom"/>
            <w:tcBorders>
              <w:top w:val="single" w:sz="8" w:color="auto"/>
              <w:bottom w:val="single" w:sz="8" w:color="auto"/>
            </w:tcBorders>
          </w:tcPr>
          <w:p>
            <w:pPr>
              <w:spacing w:after="0"/>
              <w:rPr>
                <w:sz w:val="18"/>
                <w:szCs w:val="18"/>
                <w:color w:val="auto"/>
              </w:rPr>
            </w:pPr>
          </w:p>
        </w:tc>
      </w:tr>
      <w:tr>
        <w:trPr>
          <w:trHeight w:val="188"/>
        </w:trPr>
        <w:tc>
          <w:tcPr>
            <w:tcW w:w="650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192,596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193,578</w:t>
            </w:r>
          </w:p>
        </w:tc>
      </w:tr>
      <w:tr>
        <w:trPr>
          <w:trHeight w:val="129"/>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2"/>
        </w:trPr>
        <w:tc>
          <w:tcPr>
            <w:tcW w:w="6500" w:type="dxa"/>
            <w:vAlign w:val="bottom"/>
          </w:tcPr>
          <w:p>
            <w:pPr>
              <w:ind w:left="2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50,292</w:t>
            </w:r>
          </w:p>
        </w:tc>
        <w:tc>
          <w:tcPr>
            <w:tcW w:w="44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50,292</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6,008</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82,116</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88,124</w:t>
            </w:r>
          </w:p>
        </w:tc>
      </w:tr>
      <w:tr>
        <w:trPr>
          <w:trHeight w:val="22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6,008</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132,408</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138,416</w:t>
            </w:r>
          </w:p>
        </w:tc>
      </w:tr>
      <w:tr>
        <w:trPr>
          <w:trHeight w:val="238"/>
        </w:trPr>
        <w:tc>
          <w:tcPr>
            <w:tcW w:w="65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r>
      <w:tr>
        <w:trPr>
          <w:trHeight w:val="23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198,604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133,390</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331,994</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six months ended June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 2025</w:t>
            </w: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auto"/>
              </w:rPr>
              <w:t>Over Time Revenue</w:t>
            </w:r>
          </w:p>
        </w:tc>
        <w:tc>
          <w:tcPr>
            <w:tcW w:w="380" w:type="dxa"/>
            <w:vAlign w:val="bottom"/>
          </w:tcPr>
          <w:p>
            <w:pPr>
              <w:spacing w:after="0"/>
              <w:rPr>
                <w:sz w:val="12"/>
                <w:szCs w:val="12"/>
                <w:color w:val="auto"/>
              </w:rPr>
            </w:pPr>
          </w:p>
        </w:tc>
        <w:tc>
          <w:tcPr>
            <w:tcW w:w="10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355,623</w:t>
            </w: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83,766</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83,766</w:t>
            </w: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7,137</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153,647</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160,784</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7,137</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237,413</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244,550</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239,456</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600,173</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six months ended June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 2024</w:t>
            </w: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Over Time Revenue</w:t>
            </w:r>
          </w:p>
        </w:tc>
        <w:tc>
          <w:tcPr>
            <w:tcW w:w="380" w:type="dxa"/>
            <w:vAlign w:val="bottom"/>
          </w:tcPr>
          <w:p>
            <w:pPr>
              <w:spacing w:after="0"/>
              <w:rPr>
                <w:sz w:val="12"/>
                <w:szCs w:val="12"/>
                <w:color w:val="auto"/>
              </w:rPr>
            </w:pPr>
          </w:p>
        </w:tc>
        <w:tc>
          <w:tcPr>
            <w:tcW w:w="10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6"/>
                <w:szCs w:val="16"/>
                <w:color w:val="auto"/>
              </w:rPr>
            </w:pPr>
          </w:p>
        </w:tc>
        <w:tc>
          <w:tcPr>
            <w:tcW w:w="1500" w:type="dxa"/>
            <w:vAlign w:val="bottom"/>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376,831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378,795</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100,031</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100,031</w:t>
            </w: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11,766</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154,732</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166,498</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11,766</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254,763</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266,529</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256,727</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645,324</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r>
      <w:tr>
        <w:trPr>
          <w:trHeight w:val="211"/>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87,488</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88,533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170,334</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172,034</w:t>
            </w:r>
          </w:p>
        </w:tc>
      </w:tr>
      <w:tr>
        <w:trPr>
          <w:trHeight w:val="243"/>
        </w:trPr>
        <w:tc>
          <w:tcPr>
            <w:tcW w:w="592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71,161</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78,519</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139,358</w:t>
            </w: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154,709</w:t>
            </w:r>
          </w:p>
        </w:tc>
      </w:tr>
      <w:tr>
        <w:trPr>
          <w:trHeight w:val="216"/>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22,277</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26,526</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45,931</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52,052</w:t>
            </w:r>
          </w:p>
        </w:tc>
      </w:tr>
      <w:tr>
        <w:trPr>
          <w:trHeight w:val="237"/>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180,926</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193,578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355,623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378,795</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$1.0 billion and $1.1 billion as of June 30, 2025 and 2024, respectively, and related primarily to firm fixed price contracts in the AEC segment. Of the remaining performance obligations as of June 30, 2025, we expect to recognize as revenue approximately $84.6 million during 2025, $153.7 million during 2026, $142.1 million during 2027, and the remainder thereafter.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cost/(income) for the six months ended June 30, 2025 and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2024</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552</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(2,250)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(2,698)</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Settlement cost/(income)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2,170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benefit cost/(credit)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net benefit cost/(credit) is determined at the beginning of each year and generally only varies from quarter to quarter when a significant event occurs, such as a curtailment or a settlement. In the first six months of 2025, we took action to settle certain pension plan liabilities related to an MC pension plan in Switzerland. This resulted in a net gain totaling $1.6 million related to curtailments and settlements. There were no material curtailments or settlements during the six months ended June 30, 2024.</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At MC, restructuring actions were taken in 2025 and 2024 to cease operations at five facilities.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 ended June 30, 2025, these actions related to workforce reductions of $3.0 million. For the three month ended June 30, 2024, these actions related to workforce reductions and inventory write-off costs totaling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 ended June 30, 2025, these actions related to workforce reductions, fixed asset impairments and related costs and inventory write-off costs of $6.1 million offset by a $1.8 million pension curtailment gain, For the six month ended June 30, 2024 these actions related to workforce reductions and write-off of inventory of $1.1 million.</w:t>
      </w:r>
    </w:p>
    <w:p>
      <w:pPr>
        <w:spacing w:after="0" w:line="200" w:lineRule="exact"/>
        <w:rPr>
          <w:sz w:val="20"/>
          <w:szCs w:val="20"/>
          <w:color w:val="auto"/>
        </w:rPr>
      </w:pP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AEC, restructuring activities were related to reorganizational and workforce reduction costs, which resulted in restructuring expenses of $0.5 million for the three months ended June 30, 2025 and $0.9 million for the three months ended June 30, 2024. For the six months ended June 30, 2025 and June 30, 2024, restructuring expenses were related to reductions in workforce and totaled $1.7 million and $3.1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top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3,015</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1,087</w:t>
            </w:r>
          </w:p>
        </w:tc>
      </w:t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922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1,688</w:t>
            </w:r>
          </w:p>
        </w:tc>
        <w:tc>
          <w:tcPr>
            <w:tcW w:w="3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3,110</w:t>
            </w:r>
          </w:p>
        </w:tc>
      </w:tr>
      <w:tr>
        <w:trPr>
          <w:trHeight w:val="21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w:t>
            </w:r>
          </w:p>
        </w:tc>
      </w:tr>
      <w:tr>
        <w:trPr>
          <w:trHeight w:val="20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4,183</w:t>
            </w:r>
          </w:p>
        </w:tc>
        <w:tc>
          <w:tcPr>
            <w:tcW w:w="106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6,698</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4,312</w:t>
            </w:r>
          </w:p>
        </w:tc>
      </w:tr>
    </w:tbl>
    <w:p>
      <w:pPr>
        <w:spacing w:after="0" w:line="17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tables summarize charges by type of expense reported in the Consolidated Statements of Income under "Restructuring expenses, net" and "Cost of goods sold":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6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tcPr>
          <w:p>
            <w:pPr>
              <w:jc w:val="center"/>
              <w:ind w:left="728"/>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Termination</w:t>
            </w:r>
          </w:p>
        </w:tc>
        <w:tc>
          <w:tcPr>
            <w:tcW w:w="19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Pension Curtailment</w:t>
            </w:r>
          </w:p>
        </w:tc>
        <w:tc>
          <w:tcPr>
            <w:tcW w:w="0" w:type="dxa"/>
            <w:vAlign w:val="bottom"/>
          </w:tcPr>
          <w:p>
            <w:pPr>
              <w:spacing w:after="0"/>
              <w:rPr>
                <w:sz w:val="1"/>
                <w:szCs w:val="1"/>
                <w:color w:val="auto"/>
              </w:rPr>
            </w:pPr>
          </w:p>
        </w:tc>
      </w:tr>
      <w:tr>
        <w:trPr>
          <w:trHeight w:val="144"/>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2025</w:t>
            </w:r>
          </w:p>
        </w:tc>
        <w:tc>
          <w:tcPr>
            <w:tcW w:w="2600" w:type="dxa"/>
            <w:vAlign w:val="bottom"/>
          </w:tcPr>
          <w:p>
            <w:pPr>
              <w:jc w:val="center"/>
              <w:ind w:left="728"/>
              <w:spacing w:after="0" w:line="145" w:lineRule="exact"/>
              <w:rPr>
                <w:sz w:val="20"/>
                <w:szCs w:val="20"/>
                <w:color w:val="auto"/>
              </w:rPr>
            </w:pPr>
            <w:r>
              <w:rPr>
                <w:rFonts w:ascii="Arial" w:cs="Arial" w:eastAsia="Arial" w:hAnsi="Arial"/>
                <w:sz w:val="14"/>
                <w:szCs w:val="14"/>
                <w:b w:val="1"/>
                <w:bCs w:val="1"/>
                <w:color w:val="auto"/>
              </w:rPr>
              <w:t>restructuring</w:t>
            </w:r>
          </w:p>
        </w:tc>
        <w:tc>
          <w:tcPr>
            <w:tcW w:w="154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and other</w:t>
            </w:r>
          </w:p>
        </w:tc>
        <w:tc>
          <w:tcPr>
            <w:tcW w:w="1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Impairment of assets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2600" w:type="dxa"/>
            <w:vAlign w:val="bottom"/>
          </w:tcPr>
          <w:p>
            <w:pPr>
              <w:jc w:val="center"/>
              <w:ind w:left="728"/>
              <w:spacing w:after="0"/>
              <w:rPr>
                <w:sz w:val="20"/>
                <w:szCs w:val="20"/>
                <w:color w:val="auto"/>
              </w:rPr>
            </w:pPr>
            <w:r>
              <w:rPr>
                <w:rFonts w:ascii="Arial" w:cs="Arial" w:eastAsia="Arial" w:hAnsi="Arial"/>
                <w:sz w:val="14"/>
                <w:szCs w:val="14"/>
                <w:b w:val="1"/>
                <w:bCs w:val="1"/>
                <w:color w:val="auto"/>
              </w:rPr>
              <w:t>costs incurred</w:t>
            </w:r>
          </w:p>
        </w:tc>
        <w:tc>
          <w:tcPr>
            <w:tcW w:w="1540" w:type="dxa"/>
            <w:vAlign w:val="bottom"/>
          </w:tcPr>
          <w:p>
            <w:pPr>
              <w:jc w:val="center"/>
              <w:ind w:left="48"/>
              <w:spacing w:after="0"/>
              <w:rPr>
                <w:sz w:val="20"/>
                <w:szCs w:val="20"/>
                <w:color w:val="auto"/>
              </w:rPr>
            </w:pPr>
            <w:r>
              <w:rPr>
                <w:rFonts w:ascii="Arial" w:cs="Arial" w:eastAsia="Arial" w:hAnsi="Arial"/>
                <w:sz w:val="14"/>
                <w:szCs w:val="14"/>
                <w:b w:val="1"/>
                <w:bCs w:val="1"/>
                <w:color w:val="auto"/>
              </w:rPr>
              <w:t>costs</w:t>
            </w:r>
          </w:p>
        </w:tc>
        <w:tc>
          <w:tcPr>
            <w:tcW w:w="1900" w:type="dxa"/>
            <w:vAlign w:val="bottom"/>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5,399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b w:val="1"/>
                <w:bCs w:val="1"/>
                <w:color w:val="auto"/>
              </w:rPr>
              <w:t>(1,760)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1,688</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1,688</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6,698</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(1,760)</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jc w:val="center"/>
              <w:ind w:right="101"/>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440" w:type="dxa"/>
            <w:vAlign w:val="bottom"/>
          </w:tcPr>
          <w:p>
            <w:pPr>
              <w:jc w:val="center"/>
              <w:ind w:right="181"/>
              <w:spacing w:after="0" w:line="142"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Curtailment</w:t>
            </w:r>
          </w:p>
        </w:tc>
        <w:tc>
          <w:tcPr>
            <w:tcW w:w="0" w:type="dxa"/>
            <w:vAlign w:val="bottom"/>
          </w:tcPr>
          <w:p>
            <w:pPr>
              <w:spacing w:after="0"/>
              <w:rPr>
                <w:sz w:val="1"/>
                <w:szCs w:val="1"/>
                <w:color w:val="auto"/>
              </w:rPr>
            </w:pPr>
          </w:p>
        </w:tc>
      </w:tr>
      <w:tr>
        <w:trPr>
          <w:trHeight w:val="148"/>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2024</w:t>
            </w:r>
          </w:p>
        </w:tc>
        <w:tc>
          <w:tcPr>
            <w:tcW w:w="1240" w:type="dxa"/>
            <w:vAlign w:val="bottom"/>
          </w:tcPr>
          <w:p>
            <w:pPr>
              <w:spacing w:after="0"/>
              <w:rPr>
                <w:sz w:val="12"/>
                <w:szCs w:val="12"/>
                <w:color w:val="auto"/>
              </w:rPr>
            </w:pPr>
          </w:p>
        </w:tc>
        <w:tc>
          <w:tcPr>
            <w:tcW w:w="14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restructuring</w:t>
            </w:r>
          </w:p>
        </w:tc>
        <w:tc>
          <w:tcPr>
            <w:tcW w:w="320" w:type="dxa"/>
            <w:vAlign w:val="bottom"/>
          </w:tcPr>
          <w:p>
            <w:pPr>
              <w:spacing w:after="0"/>
              <w:rPr>
                <w:sz w:val="12"/>
                <w:szCs w:val="12"/>
                <w:color w:val="auto"/>
              </w:rPr>
            </w:pPr>
          </w:p>
        </w:tc>
        <w:tc>
          <w:tcPr>
            <w:tcW w:w="14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16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Impairment of assets</w:t>
            </w: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jc w:val="center"/>
              <w:ind w:right="121"/>
              <w:spacing w:after="0"/>
              <w:rPr>
                <w:sz w:val="20"/>
                <w:szCs w:val="20"/>
                <w:color w:val="auto"/>
              </w:rPr>
            </w:pPr>
            <w:r>
              <w:rPr>
                <w:rFonts w:ascii="Arial" w:cs="Arial" w:eastAsia="Arial" w:hAnsi="Arial"/>
                <w:sz w:val="14"/>
                <w:szCs w:val="14"/>
                <w:b w:val="1"/>
                <w:bCs w:val="1"/>
                <w:color w:val="auto"/>
              </w:rPr>
              <w:t>costs incurred</w:t>
            </w:r>
          </w:p>
        </w:tc>
        <w:tc>
          <w:tcPr>
            <w:tcW w:w="320" w:type="dxa"/>
            <w:vAlign w:val="bottom"/>
          </w:tcPr>
          <w:p>
            <w:pPr>
              <w:spacing w:after="0"/>
              <w:rPr>
                <w:sz w:val="16"/>
                <w:szCs w:val="16"/>
                <w:color w:val="auto"/>
              </w:rPr>
            </w:pPr>
          </w:p>
        </w:tc>
        <w:tc>
          <w:tcPr>
            <w:tcW w:w="1440" w:type="dxa"/>
            <w:vAlign w:val="bottom"/>
          </w:tcPr>
          <w:p>
            <w:pPr>
              <w:jc w:val="center"/>
              <w:ind w:right="181"/>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ind w:left="34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3,110</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3,110</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year-to-date changes in restructuring liabilities for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Restructuring</w:t>
            </w: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Payments and</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ind w:right="384"/>
              <w:spacing w:after="0"/>
              <w:rPr>
                <w:sz w:val="20"/>
                <w:szCs w:val="20"/>
                <w:color w:val="auto"/>
              </w:rPr>
            </w:pPr>
            <w:r>
              <w:rPr>
                <w:rFonts w:ascii="Arial" w:cs="Arial" w:eastAsia="Arial" w:hAnsi="Arial"/>
                <w:sz w:val="14"/>
                <w:szCs w:val="14"/>
                <w:b w:val="1"/>
                <w:bCs w:val="1"/>
                <w:color w:val="auto"/>
              </w:rPr>
              <w:t>June 30, 2025</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2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charges accrued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other</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termination and other costs</w:t>
            </w:r>
          </w:p>
        </w:tc>
        <w:tc>
          <w:tcPr>
            <w:tcW w:w="1480" w:type="dxa"/>
            <w:vAlign w:val="bottom"/>
            <w:shd w:val="clear" w:color="auto" w:fill="CCEEFF"/>
          </w:tcPr>
          <w:p>
            <w:pPr>
              <w:jc w:val="right"/>
              <w:ind w:right="364"/>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4,996</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60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7,735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(8,185)</w:t>
            </w: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gridSpan w:val="3"/>
            <w:vMerge w:val="restart"/>
          </w:tcPr>
          <w:p>
            <w:pPr>
              <w:jc w:val="right"/>
              <w:ind w:right="162"/>
              <w:spacing w:after="0"/>
              <w:rPr>
                <w:sz w:val="20"/>
                <w:szCs w:val="20"/>
                <w:color w:val="auto"/>
              </w:rPr>
            </w:pPr>
            <w:r>
              <w:rPr>
                <w:rFonts w:ascii="Arial" w:cs="Arial" w:eastAsia="Arial" w:hAnsi="Arial"/>
                <w:sz w:val="14"/>
                <w:szCs w:val="14"/>
                <w:b w:val="1"/>
                <w:bCs w:val="1"/>
                <w:color w:val="auto"/>
              </w:rPr>
              <w:t>December 31, 2023</w:t>
            </w:r>
          </w:p>
        </w:tc>
        <w:tc>
          <w:tcPr>
            <w:tcW w:w="1600" w:type="dxa"/>
            <w:vAlign w:val="bottom"/>
          </w:tcPr>
          <w:p>
            <w:pPr>
              <w:ind w:left="260"/>
              <w:spacing w:after="0" w:line="147" w:lineRule="exact"/>
              <w:rPr>
                <w:sz w:val="20"/>
                <w:szCs w:val="20"/>
                <w:color w:val="auto"/>
              </w:rPr>
            </w:pPr>
            <w:r>
              <w:rPr>
                <w:rFonts w:ascii="Arial" w:cs="Arial" w:eastAsia="Arial" w:hAnsi="Arial"/>
                <w:sz w:val="14"/>
                <w:szCs w:val="14"/>
                <w:b w:val="1"/>
                <w:bCs w:val="1"/>
                <w:color w:val="auto"/>
              </w:rPr>
              <w:t>Restructuring</w:t>
            </w:r>
          </w:p>
        </w:tc>
        <w:tc>
          <w:tcPr>
            <w:tcW w:w="2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Payments and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185"/>
        </w:trPr>
        <w:tc>
          <w:tcPr>
            <w:tcW w:w="332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charges accrued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termination and other costs</w:t>
            </w:r>
          </w:p>
        </w:tc>
        <w:tc>
          <w:tcPr>
            <w:tcW w:w="148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200"/>
              <w:spacing w:after="0"/>
              <w:rPr>
                <w:sz w:val="20"/>
                <w:szCs w:val="20"/>
                <w:color w:val="auto"/>
              </w:rPr>
            </w:pPr>
            <w:r>
              <w:rPr>
                <w:rFonts w:ascii="Arial" w:cs="Arial" w:eastAsia="Arial" w:hAnsi="Arial"/>
                <w:sz w:val="16"/>
                <w:szCs w:val="16"/>
                <w:color w:val="auto"/>
                <w:w w:val="94"/>
              </w:rPr>
              <w:t>4,312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(income)/expense, net 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5940" w:type="dxa"/>
            <w:vAlign w:val="bottom"/>
          </w:tcPr>
          <w:p>
            <w:pPr>
              <w:ind w:left="20"/>
              <w:spacing w:after="0"/>
              <w:rPr>
                <w:sz w:val="20"/>
                <w:szCs w:val="20"/>
                <w:color w:val="auto"/>
              </w:rPr>
            </w:pPr>
            <w:r>
              <w:rPr>
                <w:rFonts w:ascii="Arial" w:cs="Arial" w:eastAsia="Arial" w:hAnsi="Arial"/>
                <w:sz w:val="16"/>
                <w:szCs w:val="16"/>
                <w:color w:val="auto"/>
              </w:rPr>
              <w:t>Currency transaction losses/(gains)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5,654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8,806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361"/>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 losses/(gains)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(3,261)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w w:val="99"/>
              </w:rPr>
              <w:t>4,273</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Arial" w:cs="Arial" w:eastAsia="Arial" w:hAnsi="Arial"/>
                <w:sz w:val="16"/>
                <w:szCs w:val="16"/>
                <w:color w:val="auto"/>
              </w:rPr>
              <w:t>Components of net periodic pension and postretirement cost other than service</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(498)</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664</w:t>
            </w: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w:t>
            </w:r>
          </w:p>
        </w:tc>
        <w:tc>
          <w:tcPr>
            <w:tcW w:w="320" w:type="dxa"/>
            <w:vAlign w:val="bottom"/>
          </w:tcPr>
          <w:p>
            <w:pPr>
              <w:spacing w:after="0"/>
              <w:rPr>
                <w:sz w:val="14"/>
                <w:szCs w:val="14"/>
                <w:color w:val="auto"/>
              </w:rPr>
            </w:pPr>
          </w:p>
        </w:tc>
        <w:tc>
          <w:tcPr>
            <w:tcW w:w="1000" w:type="dxa"/>
            <w:vAlign w:val="bottom"/>
            <w:vMerge w:val="restart"/>
          </w:tcPr>
          <w:p>
            <w:pPr>
              <w:jc w:val="center"/>
              <w:ind w:left="361"/>
              <w:spacing w:after="0"/>
              <w:rPr>
                <w:sz w:val="20"/>
                <w:szCs w:val="20"/>
                <w:color w:val="auto"/>
              </w:rPr>
            </w:pPr>
            <w:r>
              <w:rPr>
                <w:rFonts w:ascii="Arial" w:cs="Arial" w:eastAsia="Arial" w:hAnsi="Arial"/>
                <w:sz w:val="16"/>
                <w:szCs w:val="16"/>
                <w:color w:val="auto"/>
                <w:w w:val="99"/>
              </w:rPr>
              <w:t>1,332</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cost</w:t>
            </w: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(income)/expense,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b w:val="1"/>
                <w:bCs w:val="1"/>
                <w:color w:val="auto"/>
                <w:w w:val="99"/>
              </w:rPr>
              <w:t>2,675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(income)/expense, net, included foreign currency related transactions which resulted in losses of $5.7 million and $8.8 million in the three and six months ended June 30, 2025, as compared to losses of $0.2 million and gains of $1.1 million in the same periods last year. These changes were the result of unrealized losses on intercompany loans. In addition, changes in the fair value of derivative instruments included gains of $0.7 million and $3.3 million in the three and six months ended June 30, 2025, as compared to losses of $4.4 million and $4.3 million for the three and six months ended June 30, 2024, driven by currency rate movements, most notably the Brazilian Real and Mexican Peso. Other also included net gains of $1.6 million from the divestiture of Arcari during the three and six months ended June 30, 2025, offset by amortization of debt issuance costs and other non-operating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for the three and six months ended June 30, 2025 and 2024,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Three months ended June 30,</w:t>
            </w:r>
          </w:p>
        </w:tc>
        <w:tc>
          <w:tcPr>
            <w:tcW w:w="2620" w:type="dxa"/>
            <w:vAlign w:val="bottom"/>
            <w:tcBorders>
              <w:top w:val="single" w:sz="8" w:color="auto"/>
              <w:bottom w:val="single" w:sz="8" w:color="auto"/>
            </w:tcBorders>
            <w:gridSpan w:val="2"/>
          </w:tcPr>
          <w:p>
            <w:pPr>
              <w:jc w:val="right"/>
              <w:ind w:right="42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2024</w:t>
            </w:r>
          </w:p>
        </w:tc>
        <w:tc>
          <w:tcPr>
            <w:tcW w:w="146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10"/>
        </w:trPr>
        <w:tc>
          <w:tcPr>
            <w:tcW w:w="6400" w:type="dxa"/>
            <w:vAlign w:val="bottom"/>
            <w:tcBorders>
              <w:bottom w:val="single" w:sz="8" w:color="auto"/>
            </w:tcBorders>
            <w:gridSpan w:val="2"/>
            <w:shd w:val="clear" w:color="auto" w:fill="CCEEFF"/>
          </w:tcPr>
          <w:p>
            <w:pPr>
              <w:jc w:val="right"/>
              <w:ind w:right="4528"/>
              <w:spacing w:after="0"/>
              <w:rPr>
                <w:sz w:val="20"/>
                <w:szCs w:val="20"/>
                <w:color w:val="auto"/>
              </w:rPr>
            </w:pPr>
            <w:r>
              <w:rPr>
                <w:rFonts w:ascii="Arial" w:cs="Arial" w:eastAsia="Arial" w:hAnsi="Arial"/>
                <w:sz w:val="16"/>
                <w:szCs w:val="16"/>
                <w:color w:val="auto"/>
              </w:rPr>
              <w:t>Effective income tax rate</w:t>
            </w:r>
          </w:p>
        </w:tc>
        <w:tc>
          <w:tcPr>
            <w:tcW w:w="8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31.3 %</w:t>
            </w:r>
          </w:p>
        </w:tc>
        <w:tc>
          <w:tcPr>
            <w:tcW w:w="140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6"/>
                <w:szCs w:val="16"/>
                <w:color w:val="auto"/>
              </w:rPr>
              <w:t>27.9 %</w:t>
            </w:r>
          </w:p>
        </w:tc>
        <w:tc>
          <w:tcPr>
            <w:tcW w:w="14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b w:val="1"/>
                <w:bCs w:val="1"/>
                <w:color w:val="auto"/>
              </w:rPr>
              <w:t>28.3 %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28.6 %</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2025 estimated annual effective tax rate primarily reflects the 21% federal tax rate, the impact of state and local taxation, the impact of taxation upon foreign operations, and forecasted permanent differences. Our actual effective tax rates were 31.3% and 27.9% for the three months ended June 30, 2025 and 2024, respectively. Our actual effective tax rates were 28.3% and 28.6% for the six months ended June 30, 2025 and 2024, respectively.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for the three months ended June 30, 2025 included a net discrete tax benefit of $0.3 million. This discrete tax benefit is mostly attributable to the true-up for prior year's estimated taxes. The rate for the three months ended June 30, 2025 was higher than the three months ended June 30, 2024 mainly due to a significant favorable discrete tax adjustment in the quarter ended June 30, 2024 related to the release of uncertain tax positions as compared to the current period.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for the six months ended June 30, 2025 included a net discrete tax benefit of $1.6 million. This discrete tax benefit is mostly attributable to the true-up for prior year's estimated taxes, a net decrease in valuation allowances and a net decrease in uncertain tax positions. The rate for the six months ended June 30, 2025 was lower than the six months ended June 30, 2024 mainly due to the favorable discrete tax adjustment related to a decrease in valuation allowance in the current period.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subject to audit in the U.S. and various foreign jurisdictions. Our open tax years for major jurisdictions generally range from 2013-2024. We believe appropriate provisions for all outstanding tax issues have been made for all jurisdictions and all open years. Audit outcomes and the timing of audit settlements are subject to significant uncertainty. It is reasonably possible that within the next 12 months, unrecognized tax benefits could decrease by up to $2.4 million based on current estimates.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earnings per share)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9,183</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24,624</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26,538</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51,915</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6"/>
                <w:szCs w:val="16"/>
                <w:color w:val="auto"/>
              </w:rPr>
              <w:t>income per share</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29,928</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31,242</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30,373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31,225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stock units and multi-year awards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Weighted average number of shares used in calculating diluted net</w:t>
            </w:r>
          </w:p>
        </w:tc>
        <w:tc>
          <w:tcPr>
            <w:tcW w:w="3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30,090</w:t>
            </w: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31,342</w:t>
            </w: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30,535</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31,316</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per share</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0.31</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0.79</w:t>
            </w:r>
          </w:p>
        </w:tc>
        <w:tc>
          <w:tcPr>
            <w:tcW w:w="3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0.87</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0.31</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0.87</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2024 to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(195,989)</w:t>
            </w: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55,971</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(2,699)</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w:t>
            </w:r>
          </w:p>
        </w:tc>
        <w:tc>
          <w:tcPr>
            <w:tcW w:w="16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52,752</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settlement/curtailment, net of tax</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6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6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55,971</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51,697</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2025</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(17,845)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2023 to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(124,901)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(17,346)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9,079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(133,168)</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(29,403)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w:t>
            </w:r>
          </w:p>
        </w:tc>
        <w:tc>
          <w:tcPr>
            <w:tcW w:w="2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1,231</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(27,737)</w:t>
            </w: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6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(29,403)</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(33,739)</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2024</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(154,304)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(16,718)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4,115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(166,907)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components of AOCI that are reclassified to the Consolidated Statements of Income relate to our pension and postretirement plans and interest rate swaps.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expense/(income) amounts reclassified from AOCI, and the line items of the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that were affected for the three and six months ended June 30,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7"/>
        </w:trPr>
        <w:tc>
          <w:tcPr>
            <w:tcW w:w="50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Interest (income)/expense, net related to interest rate swaps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6"/>
                <w:szCs w:val="16"/>
                <w:color w:val="auto"/>
              </w:rPr>
              <w:t>included in Income before taxes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(4,180)</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(3,200)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593</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Total pre-tax amount reclassified (a)</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(2,931)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(1,081)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763</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264</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55"/>
        </w:trPr>
        <w:tc>
          <w:tcPr>
            <w:tcW w:w="5080" w:type="dxa"/>
            <w:vAlign w:val="bottom"/>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(2,168)</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(817)</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hanging="652"/>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These accumulated other comprehensive income components are included in the computation of net periodic pension cost (see </w:t>
      </w:r>
      <w:r>
        <w:rPr>
          <w:rFonts w:ascii="Arial" w:cs="Arial" w:eastAsia="Arial" w:hAnsi="Arial"/>
          <w:sz w:val="16"/>
          <w:szCs w:val="16"/>
          <w:i w:val="1"/>
          <w:iCs w:val="1"/>
          <w:color w:val="auto"/>
        </w:rPr>
        <w:t>Note 4. Pensions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Postretirement Benefit Plans</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31, 2013, Safran S.A. (Safran) acquired a 10 percent equity interest in Albany Safran Composites, LLC ("ASC").</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1, 2025, Heimbach sold its 85% controlling interest in Arcari to the minority shareholder and recorded a gain of $1.6 million included in Other (Income) expense on the sale. In connection with the sale, the corresponding value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non-controlling interest was reduced to zero. The Company did not retain any ownership in Arcari as a result of the sale and accordingly there was no impact on operating results during the second quarter of 2025.</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ASC Noncontrolling Interest</w:t>
            </w:r>
          </w:p>
        </w:tc>
        <w:tc>
          <w:tcPr>
            <w:tcW w:w="142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2024</w:t>
            </w: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3,175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1,841</w:t>
            </w: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892</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589</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2,283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1,252</w:t>
            </w: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228</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125</w:t>
            </w:r>
          </w:p>
        </w:tc>
      </w:tr>
      <w:tr>
        <w:trPr>
          <w:trHeight w:val="237"/>
        </w:trPr>
        <w:tc>
          <w:tcPr>
            <w:tcW w:w="6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4,983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5,423</w:t>
            </w:r>
          </w:p>
        </w:tc>
      </w:tr>
      <w:tr>
        <w:trPr>
          <w:trHeight w:val="216"/>
        </w:trPr>
        <w:tc>
          <w:tcPr>
            <w:tcW w:w="69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42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b w:val="1"/>
                <w:bCs w:val="1"/>
                <w:color w:val="auto"/>
              </w:rPr>
              <w:t>228</w:t>
            </w: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125</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286</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(304)</w:t>
            </w: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ASC Noncontrolling interest, end of interim period</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5,497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5,244</w:t>
            </w:r>
          </w:p>
        </w:tc>
      </w:tr>
      <w:tr>
        <w:trPr>
          <w:trHeight w:val="237"/>
        </w:trPr>
        <w:tc>
          <w:tcPr>
            <w:tcW w:w="69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Arcari Noncontrolling interest, end of interim period</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562</w:t>
            </w:r>
          </w:p>
        </w:tc>
      </w:tr>
      <w:tr>
        <w:trPr>
          <w:trHeight w:val="250"/>
        </w:trPr>
        <w:tc>
          <w:tcPr>
            <w:tcW w:w="69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r>
      <w:tr>
        <w:trPr>
          <w:trHeight w:val="210"/>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Noncontrolling interest, end of interim period</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5,497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5,806</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June 30, 2025 and December 31, 2024, Accounts receivable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2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248,700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231,136</w:t>
            </w: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27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19,771</w:t>
            </w:r>
          </w:p>
        </w:tc>
        <w:tc>
          <w:tcPr>
            <w:tcW w:w="18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19,637</w:t>
            </w: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27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(5,339)</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2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263,132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246,688</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June 30, 2025 and December 31, 2024, the Company had trade accounts receivable from SAFRAN of $68.0 million and $77.7 million, respectively.</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June 30, 2025 and December 31, 2024, the Company did not have any Noncurrent receivables and related Allowance for expected credit losses.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and December 31, 2024, Contract assets and Contract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8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185,884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167,397</w:t>
            </w:r>
          </w:p>
        </w:tc>
      </w:tr>
      <w:tr>
        <w:trPr>
          <w:trHeight w:val="24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28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w:t>
            </w: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r>
      <w:tr>
        <w:trPr>
          <w:trHeight w:val="20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2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184,961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166,557</w:t>
            </w:r>
          </w:p>
        </w:tc>
      </w:tr>
      <w:tr>
        <w:trPr>
          <w:trHeight w:val="237"/>
        </w:trPr>
        <w:tc>
          <w:tcPr>
            <w:tcW w:w="5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0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8,458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6,085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net increased $18.4 million during the six months ended June 30, 2025. The increase was</w:t>
      </w:r>
    </w:p>
    <w:p>
      <w:pPr>
        <w:spacing w:after="0" w:line="2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primarily due to an increase in unbilled revenue, primarily related to commercial and defense programs. There were no impairment losses related to our Contract assets during the six months ended June 30, 2025 and June 30, 2024.</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liabilities increased $2.4 million for the period ended June 30, 2025 compared to December 31, 2024, primarily due to the amounts invoiced to customers for contracts that were in a contract liability position exceeding the revenue recognized from satisfied performance obligations. Revenue recognized for the six months ended June 30, 2025 and 2024 that was included in the Contract liability balance at the beginning of the year was $4.8 million and $3.8 million, respectively.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and December 31, 2024, Inventories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82,480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76,559</w:t>
            </w:r>
          </w:p>
        </w:tc>
      </w:tr>
      <w:tr>
        <w:trPr>
          <w:trHeight w:val="243"/>
        </w:trPr>
        <w:tc>
          <w:tcPr>
            <w:tcW w:w="44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5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63,600</w:t>
            </w:r>
          </w:p>
        </w:tc>
        <w:tc>
          <w:tcPr>
            <w:tcW w:w="180" w:type="dxa"/>
            <w:vAlign w:val="bottom"/>
          </w:tcPr>
          <w:p>
            <w:pPr>
              <w:spacing w:after="0"/>
              <w:rPr>
                <w:sz w:val="21"/>
                <w:szCs w:val="21"/>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54,917</w:t>
            </w:r>
          </w:p>
        </w:tc>
      </w:tr>
      <w:tr>
        <w:trPr>
          <w:trHeight w:val="216"/>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5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15,782</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14,369</w:t>
            </w:r>
          </w:p>
        </w:tc>
      </w:tr>
      <w:tr>
        <w:trPr>
          <w:trHeight w:val="23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161,862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145,845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gross carrying value, accumulated amortization and net values of intangible assets and goodwill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 and December 31,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June 30, 2025</w:t>
            </w:r>
          </w:p>
        </w:tc>
        <w:tc>
          <w:tcPr>
            <w:tcW w:w="1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gridSpan w:val="2"/>
            <w:shd w:val="clear" w:color="auto" w:fill="CCEEFF"/>
          </w:tcPr>
          <w:p>
            <w:pPr>
              <w:jc w:val="center"/>
              <w:spacing w:after="0" w:line="147" w:lineRule="exact"/>
              <w:rPr>
                <w:sz w:val="20"/>
                <w:szCs w:val="20"/>
                <w:color w:val="auto"/>
              </w:rPr>
            </w:pPr>
            <w:r>
              <w:rPr>
                <w:rFonts w:ascii="Arial" w:cs="Arial" w:eastAsia="Arial" w:hAnsi="Arial"/>
                <w:sz w:val="14"/>
                <w:szCs w:val="14"/>
                <w:b w:val="1"/>
                <w:bCs w:val="1"/>
                <w:color w:val="auto"/>
              </w:rPr>
              <w:t>Amortization</w:t>
            </w:r>
          </w:p>
        </w:tc>
        <w:tc>
          <w:tcPr>
            <w:tcW w:w="180" w:type="dxa"/>
            <w:vAlign w:val="bottom"/>
            <w:shd w:val="clear" w:color="auto" w:fill="CCEEFF"/>
          </w:tcPr>
          <w:p>
            <w:pPr>
              <w:spacing w:after="0"/>
              <w:rPr>
                <w:sz w:val="12"/>
                <w:szCs w:val="12"/>
                <w:color w:val="auto"/>
              </w:rPr>
            </w:pPr>
          </w:p>
        </w:tc>
        <w:tc>
          <w:tcPr>
            <w:tcW w:w="1860" w:type="dxa"/>
            <w:vAlign w:val="bottom"/>
            <w:vMerge w:val="restart"/>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Gross carrying amount</w:t>
            </w:r>
          </w:p>
        </w:tc>
        <w:tc>
          <w:tcPr>
            <w:tcW w:w="2320" w:type="dxa"/>
            <w:vAlign w:val="bottom"/>
            <w:gridSpan w:val="2"/>
            <w:shd w:val="clear" w:color="auto" w:fill="CCEEFF"/>
          </w:tcPr>
          <w:p>
            <w:pPr>
              <w:jc w:val="center"/>
              <w:spacing w:after="0" w:line="147" w:lineRule="exact"/>
              <w:rPr>
                <w:sz w:val="20"/>
                <w:szCs w:val="20"/>
                <w:color w:val="auto"/>
              </w:rPr>
            </w:pPr>
            <w:r>
              <w:rPr>
                <w:rFonts w:ascii="Arial" w:cs="Arial" w:eastAsia="Arial" w:hAnsi="Arial"/>
                <w:sz w:val="14"/>
                <w:szCs w:val="14"/>
                <w:b w:val="1"/>
                <w:bCs w:val="1"/>
                <w:color w:val="auto"/>
              </w:rPr>
              <w:t>Accumulated amortization and</w:t>
            </w:r>
          </w:p>
        </w:tc>
        <w:tc>
          <w:tcPr>
            <w:tcW w:w="1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3240" w:type="dxa"/>
            <w:vAlign w:val="bottom"/>
            <w:tcBorders>
              <w:bottom w:val="single" w:sz="8" w:color="auto"/>
            </w:tcBorders>
            <w:vMerge w:val="continue"/>
            <w:shd w:val="clear" w:color="auto" w:fill="CCEEFF"/>
          </w:tcPr>
          <w:p>
            <w:pPr>
              <w:spacing w:after="0"/>
              <w:rPr>
                <w:sz w:val="16"/>
                <w:szCs w:val="16"/>
                <w:color w:val="auto"/>
              </w:rPr>
            </w:pPr>
          </w:p>
        </w:tc>
        <w:tc>
          <w:tcPr>
            <w:tcW w:w="1820" w:type="dxa"/>
            <w:vAlign w:val="bottom"/>
            <w:tcBorders>
              <w:bottom w:val="single" w:sz="8" w:color="auto"/>
            </w:tcBorders>
            <w:gridSpan w:val="2"/>
            <w:shd w:val="clear" w:color="auto" w:fill="CCEEFF"/>
          </w:tcPr>
          <w:p>
            <w:pPr>
              <w:jc w:val="center"/>
              <w:ind w:left="2"/>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ind w:right="820"/>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800" w:type="dxa"/>
            <w:vAlign w:val="bottom"/>
          </w:tcPr>
          <w:p>
            <w:pPr>
              <w:jc w:val="center"/>
              <w:ind w:left="42"/>
              <w:spacing w:after="0"/>
              <w:rPr>
                <w:sz w:val="20"/>
                <w:szCs w:val="20"/>
                <w:color w:val="auto"/>
              </w:rPr>
            </w:pPr>
            <w:r>
              <w:rPr>
                <w:rFonts w:ascii="Arial" w:cs="Arial" w:eastAsia="Arial" w:hAnsi="Arial"/>
                <w:sz w:val="16"/>
                <w:szCs w:val="16"/>
                <w:color w:val="auto"/>
                <w:w w:val="99"/>
              </w:rPr>
              <w:t>6-15</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920" w:type="dxa"/>
            <w:vAlign w:val="bottom"/>
          </w:tcPr>
          <w:p>
            <w:pPr>
              <w:jc w:val="right"/>
              <w:ind w:right="70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80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10-15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6,531</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(3,810)</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2,721</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786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80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99"/>
              </w:rPr>
              <w:t>8-15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69,561</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(49,195)</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20,366</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800" w:type="dxa"/>
            <w:vAlign w:val="bottom"/>
            <w:tcBorders>
              <w:bottom w:val="single" w:sz="8" w:color="CCEEFF"/>
            </w:tcBorders>
          </w:tcPr>
          <w:p>
            <w:pPr>
              <w:jc w:val="center"/>
              <w:ind w:left="22"/>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9,282</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(2,217)</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86,832</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(55,889)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30,943</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6,458</w:t>
            </w:r>
          </w:p>
        </w:tc>
        <w:tc>
          <w:tcPr>
            <w:tcW w:w="920" w:type="dxa"/>
            <w:vAlign w:val="bottom"/>
          </w:tcPr>
          <w:p>
            <w:pPr>
              <w:jc w:val="right"/>
              <w:ind w:right="701"/>
              <w:spacing w:after="0"/>
              <w:rPr>
                <w:sz w:val="20"/>
                <w:szCs w:val="20"/>
                <w:color w:val="auto"/>
              </w:rPr>
            </w:pPr>
            <w:r>
              <w:rPr>
                <w:rFonts w:ascii="Arial" w:cs="Arial" w:eastAsia="Arial" w:hAnsi="Arial"/>
                <w:sz w:val="16"/>
                <w:szCs w:val="16"/>
                <w:b w:val="1"/>
                <w:bCs w:val="1"/>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6,458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69,901</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69,901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114,432</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114,432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190,791</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190,791</w:t>
            </w:r>
          </w:p>
        </w:tc>
        <w:tc>
          <w:tcPr>
            <w:tcW w:w="0" w:type="dxa"/>
            <w:vAlign w:val="bottom"/>
          </w:tcPr>
          <w:p>
            <w:pPr>
              <w:spacing w:after="0"/>
              <w:rPr>
                <w:sz w:val="1"/>
                <w:szCs w:val="1"/>
                <w:color w:val="auto"/>
              </w:rPr>
            </w:pPr>
          </w:p>
        </w:tc>
      </w:tr>
      <w:tr>
        <w:trPr>
          <w:trHeight w:val="290"/>
        </w:trPr>
        <w:tc>
          <w:tcPr>
            <w:tcW w:w="3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December 31, 2024</w:t>
            </w:r>
          </w:p>
        </w:tc>
        <w:tc>
          <w:tcPr>
            <w:tcW w:w="1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gridSpan w:val="2"/>
            <w:shd w:val="clear" w:color="auto" w:fill="CCEEFF"/>
          </w:tcPr>
          <w:p>
            <w:pPr>
              <w:jc w:val="center"/>
              <w:spacing w:after="0" w:line="147" w:lineRule="exact"/>
              <w:rPr>
                <w:sz w:val="20"/>
                <w:szCs w:val="20"/>
                <w:color w:val="auto"/>
              </w:rPr>
            </w:pPr>
            <w:r>
              <w:rPr>
                <w:rFonts w:ascii="Arial" w:cs="Arial" w:eastAsia="Arial" w:hAnsi="Arial"/>
                <w:sz w:val="14"/>
                <w:szCs w:val="14"/>
                <w:b w:val="1"/>
                <w:bCs w:val="1"/>
                <w:color w:val="auto"/>
              </w:rPr>
              <w:t>Amortization</w:t>
            </w:r>
          </w:p>
        </w:tc>
        <w:tc>
          <w:tcPr>
            <w:tcW w:w="180" w:type="dxa"/>
            <w:vAlign w:val="bottom"/>
            <w:shd w:val="clear" w:color="auto" w:fill="CCEEFF"/>
          </w:tcPr>
          <w:p>
            <w:pPr>
              <w:spacing w:after="0"/>
              <w:rPr>
                <w:sz w:val="12"/>
                <w:szCs w:val="12"/>
                <w:color w:val="auto"/>
              </w:rPr>
            </w:pPr>
          </w:p>
        </w:tc>
        <w:tc>
          <w:tcPr>
            <w:tcW w:w="1860" w:type="dxa"/>
            <w:vAlign w:val="bottom"/>
            <w:vMerge w:val="restart"/>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Gross carrying amount</w:t>
            </w:r>
          </w:p>
        </w:tc>
        <w:tc>
          <w:tcPr>
            <w:tcW w:w="2320" w:type="dxa"/>
            <w:vAlign w:val="bottom"/>
            <w:gridSpan w:val="2"/>
            <w:shd w:val="clear" w:color="auto" w:fill="CCEEFF"/>
          </w:tcPr>
          <w:p>
            <w:pPr>
              <w:jc w:val="center"/>
              <w:spacing w:after="0" w:line="147" w:lineRule="exact"/>
              <w:rPr>
                <w:sz w:val="20"/>
                <w:szCs w:val="20"/>
                <w:color w:val="auto"/>
              </w:rPr>
            </w:pPr>
            <w:r>
              <w:rPr>
                <w:rFonts w:ascii="Arial" w:cs="Arial" w:eastAsia="Arial" w:hAnsi="Arial"/>
                <w:sz w:val="14"/>
                <w:szCs w:val="14"/>
                <w:b w:val="1"/>
                <w:bCs w:val="1"/>
                <w:color w:val="auto"/>
              </w:rPr>
              <w:t>Accumulated amortization and</w:t>
            </w:r>
          </w:p>
        </w:tc>
        <w:tc>
          <w:tcPr>
            <w:tcW w:w="1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3240" w:type="dxa"/>
            <w:vAlign w:val="bottom"/>
            <w:tcBorders>
              <w:bottom w:val="single" w:sz="8" w:color="auto"/>
            </w:tcBorders>
            <w:vMerge w:val="continue"/>
            <w:shd w:val="clear" w:color="auto" w:fill="CCEEFF"/>
          </w:tcPr>
          <w:p>
            <w:pPr>
              <w:spacing w:after="0"/>
              <w:rPr>
                <w:sz w:val="16"/>
                <w:szCs w:val="16"/>
                <w:color w:val="auto"/>
              </w:rPr>
            </w:pPr>
          </w:p>
        </w:tc>
        <w:tc>
          <w:tcPr>
            <w:tcW w:w="1820" w:type="dxa"/>
            <w:vAlign w:val="bottom"/>
            <w:tcBorders>
              <w:bottom w:val="single" w:sz="8" w:color="auto"/>
            </w:tcBorders>
            <w:gridSpan w:val="2"/>
            <w:shd w:val="clear" w:color="auto" w:fill="CCEEFF"/>
          </w:tcPr>
          <w:p>
            <w:pPr>
              <w:jc w:val="center"/>
              <w:ind w:left="2"/>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center"/>
              <w:ind w:right="80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800" w:type="dxa"/>
            <w:vAlign w:val="bottom"/>
          </w:tcPr>
          <w:p>
            <w:pPr>
              <w:jc w:val="center"/>
              <w:ind w:left="2"/>
              <w:spacing w:after="0"/>
              <w:rPr>
                <w:sz w:val="20"/>
                <w:szCs w:val="20"/>
                <w:color w:val="auto"/>
              </w:rPr>
            </w:pPr>
            <w:r>
              <w:rPr>
                <w:rFonts w:ascii="Arial" w:cs="Arial" w:eastAsia="Arial" w:hAnsi="Arial"/>
                <w:sz w:val="16"/>
                <w:szCs w:val="16"/>
                <w:color w:val="auto"/>
                <w:w w:val="99"/>
              </w:rPr>
              <w:t>6-15</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208</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80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10-15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1,250</w:t>
            </w:r>
          </w:p>
        </w:tc>
        <w:tc>
          <w:tcPr>
            <w:tcW w:w="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(422)</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8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9"/>
              </w:rPr>
              <w:t>8-15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69,175</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(47,283)</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21,892</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800" w:type="dxa"/>
            <w:vAlign w:val="bottom"/>
            <w:tcBorders>
              <w:bottom w:val="single" w:sz="8" w:color="CCEEFF"/>
            </w:tcBorders>
          </w:tcPr>
          <w:p>
            <w:pPr>
              <w:jc w:val="center"/>
              <w:ind w:left="22"/>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8,547</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assets</w:t>
            </w:r>
          </w:p>
        </w:tc>
        <w:tc>
          <w:tcPr>
            <w:tcW w:w="18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32,415</w:t>
            </w: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5,712</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63,988</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63,988</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8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112,273</w:t>
            </w: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112,273</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8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181,973</w:t>
            </w:r>
          </w:p>
        </w:tc>
        <w:tc>
          <w:tcPr>
            <w:tcW w:w="92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intangible assets, net and goodwill from December 31, 2024 to June 30, 2025,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4"/>
                <w:szCs w:val="14"/>
                <w:b w:val="1"/>
                <w:bCs w:val="1"/>
                <w:color w:val="auto"/>
              </w:rPr>
              <w:t>December 31, 2024</w:t>
            </w:r>
          </w:p>
        </w:tc>
        <w:tc>
          <w:tcPr>
            <w:tcW w:w="120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Currency</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340"/>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0" w:type="dxa"/>
            <w:vAlign w:val="bottom"/>
          </w:tcPr>
          <w:p>
            <w:pPr>
              <w:jc w:val="right"/>
              <w:ind w:right="982"/>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ind w:left="200"/>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 $</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2,680</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2,721</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828</w:t>
            </w:r>
          </w:p>
        </w:tc>
        <w:tc>
          <w:tcPr>
            <w:tcW w:w="12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786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21,892</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20,366</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7,004</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(315)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873</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7,065</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32,415</w:t>
            </w:r>
          </w:p>
        </w:tc>
        <w:tc>
          <w:tcPr>
            <w:tcW w:w="120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(315)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30,943</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5,712</w:t>
            </w:r>
          </w:p>
        </w:tc>
        <w:tc>
          <w:tcPr>
            <w:tcW w:w="1200" w:type="dxa"/>
            <w:vAlign w:val="bottom"/>
          </w:tcPr>
          <w:p>
            <w:pPr>
              <w:jc w:val="right"/>
              <w:ind w:right="982"/>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ind w:left="200"/>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 $</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746</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6,458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63,988</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5,913</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69,901</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AEC Goodwill</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112,273</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2,159</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114,432</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Indefinite-lived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181,973</w:t>
            </w:r>
          </w:p>
        </w:tc>
        <w:tc>
          <w:tcPr>
            <w:tcW w:w="120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 $</w:t>
            </w:r>
          </w:p>
        </w:tc>
        <w:tc>
          <w:tcPr>
            <w:tcW w:w="14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8,818</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2025, management applied the qualitative assessment approach in performing its annual evaluation of goodwill for the Company's Machine Clothing reporting unit and AEC reporting unit and concluded that each reporting unit’s fair value continued to exceed its carrying value. Accordingly, no impairment charges were recorded.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Company's outstanding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June 30, 2025</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December 31, 2024</w:t>
            </w:r>
          </w:p>
        </w:tc>
      </w:tr>
      <w:tr>
        <w:trPr>
          <w:trHeight w:val="21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the Amended Credit Agreement (1)</w:t>
            </w:r>
          </w:p>
        </w:tc>
        <w:tc>
          <w:tcPr>
            <w:tcW w:w="2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USD borrowings</w:t>
            </w: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339,000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225,000</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 borrowings</w:t>
            </w:r>
          </w:p>
        </w:tc>
        <w:tc>
          <w:tcPr>
            <w:tcW w:w="2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105,686</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93,485</w:t>
            </w:r>
          </w:p>
        </w:tc>
      </w:tr>
      <w:tr>
        <w:trPr>
          <w:trHeight w:val="21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bank debt</w:t>
            </w:r>
          </w:p>
        </w:tc>
        <w:tc>
          <w:tcPr>
            <w:tcW w:w="2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bank debt</w:t>
            </w:r>
          </w:p>
        </w:tc>
        <w:tc>
          <w:tcPr>
            <w:tcW w:w="2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444,686</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318,531</w:t>
            </w:r>
          </w:p>
        </w:tc>
      </w:tr>
      <w:tr>
        <w:trPr>
          <w:trHeight w:val="21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maturities of long-term debt</w:t>
            </w:r>
          </w:p>
        </w:tc>
        <w:tc>
          <w:tcPr>
            <w:tcW w:w="2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444,686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318,531</w:t>
            </w:r>
          </w:p>
        </w:tc>
      </w:tr>
    </w:tbl>
    <w:p>
      <w:pPr>
        <w:jc w:val="both"/>
        <w:ind w:left="20" w:right="40" w:firstLine="6"/>
        <w:spacing w:after="0" w:line="233"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credit facility matures in August 2028. At the end of June 30, 2025 and December 31, 2024, the USD interest rate in effect was 5.92% and 5.77%, respectively, including the effect of interest rate swaps; at the end of June 30, 2025 and December 31, 2024, the EUR interest rate in effect was 3.72% and 4.09%, respectively, including the effect of interest rate swaps.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On August 16, 2023, we entered into a $800 million unsecured committed Five-Year Revolving Credit Facility Agreement, amended on June 28, 2024 (collectively, the “Amended Credit Agreement”), which matures in August of 2028.</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applicable interest rate for borrowings under the Amended Credit Agreement is based on both Term SOFR and EURIBOR plus a spread, which is based on our leverage ratio (as defined in the Amended Credit Agreement) at the time of a borrowing as follows: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Leverage Ratio</w:t>
            </w:r>
          </w:p>
        </w:tc>
        <w:tc>
          <w:tcPr>
            <w:tcW w:w="2680" w:type="dxa"/>
            <w:vAlign w:val="bottom"/>
            <w:tcBorders>
              <w:top w:val="single" w:sz="8" w:color="auto"/>
            </w:tcBorders>
            <w:vMerge w:val="restart"/>
          </w:tcPr>
          <w:p>
            <w:pPr>
              <w:jc w:val="center"/>
              <w:ind w:right="201"/>
              <w:spacing w:after="0"/>
              <w:rPr>
                <w:sz w:val="20"/>
                <w:szCs w:val="20"/>
                <w:color w:val="auto"/>
              </w:rPr>
            </w:pPr>
            <w:r>
              <w:rPr>
                <w:rFonts w:ascii="Arial" w:cs="Arial" w:eastAsia="Arial" w:hAnsi="Arial"/>
                <w:sz w:val="14"/>
                <w:szCs w:val="14"/>
                <w:b w:val="1"/>
                <w:bCs w:val="1"/>
                <w:color w:val="auto"/>
              </w:rPr>
              <w:t>Commitment Fee</w:t>
            </w:r>
          </w:p>
        </w:tc>
        <w:tc>
          <w:tcPr>
            <w:tcW w:w="2540" w:type="dxa"/>
            <w:vAlign w:val="bottom"/>
            <w:tcBorders>
              <w:top w:val="single" w:sz="8" w:color="auto"/>
            </w:tcBorders>
            <w:vMerge w:val="restart"/>
          </w:tcPr>
          <w:p>
            <w:pPr>
              <w:jc w:val="center"/>
              <w:ind w:left="21"/>
              <w:spacing w:after="0"/>
              <w:rPr>
                <w:sz w:val="20"/>
                <w:szCs w:val="20"/>
                <w:color w:val="auto"/>
              </w:rPr>
            </w:pPr>
            <w:r>
              <w:rPr>
                <w:rFonts w:ascii="Arial" w:cs="Arial" w:eastAsia="Arial" w:hAnsi="Arial"/>
                <w:sz w:val="14"/>
                <w:szCs w:val="14"/>
                <w:b w:val="1"/>
                <w:bCs w:val="1"/>
                <w:color w:val="auto"/>
              </w:rPr>
              <w:t>ABR Spread</w:t>
            </w:r>
          </w:p>
        </w:tc>
        <w:tc>
          <w:tcPr>
            <w:tcW w:w="3000" w:type="dxa"/>
            <w:vAlign w:val="bottom"/>
            <w:tcBorders>
              <w:top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Term Benchmark/ Daily</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Simple SOFR Spread</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rPr>
              <w:t>&lt;1.00:1.00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0.275%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0.500%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5"/>
        </w:trPr>
        <w:tc>
          <w:tcPr>
            <w:tcW w:w="3020" w:type="dxa"/>
            <w:vAlign w:val="bottom"/>
          </w:tcPr>
          <w:p>
            <w:pPr>
              <w:jc w:val="center"/>
              <w:ind w:right="121"/>
              <w:spacing w:after="0"/>
              <w:rPr>
                <w:sz w:val="20"/>
                <w:szCs w:val="20"/>
                <w:color w:val="auto"/>
              </w:rPr>
            </w:pPr>
            <w:r>
              <w:rPr>
                <w:rFonts w:ascii="Arial" w:cs="Arial" w:eastAsia="Arial" w:hAnsi="Arial"/>
                <w:sz w:val="16"/>
                <w:szCs w:val="16"/>
                <w:color w:val="auto"/>
              </w:rPr>
              <w:t>≥ 1.00:1.00 and &lt; 2.00:1.00</w:t>
            </w:r>
          </w:p>
        </w:tc>
        <w:tc>
          <w:tcPr>
            <w:tcW w:w="2680" w:type="dxa"/>
            <w:vAlign w:val="bottom"/>
          </w:tcPr>
          <w:p>
            <w:pPr>
              <w:jc w:val="center"/>
              <w:ind w:right="201"/>
              <w:spacing w:after="0"/>
              <w:rPr>
                <w:sz w:val="20"/>
                <w:szCs w:val="20"/>
                <w:color w:val="auto"/>
              </w:rPr>
            </w:pPr>
            <w:r>
              <w:rPr>
                <w:rFonts w:ascii="Arial" w:cs="Arial" w:eastAsia="Arial" w:hAnsi="Arial"/>
                <w:sz w:val="16"/>
                <w:szCs w:val="16"/>
                <w:color w:val="auto"/>
              </w:rPr>
              <w:t>0.300%</w:t>
            </w:r>
          </w:p>
        </w:tc>
        <w:tc>
          <w:tcPr>
            <w:tcW w:w="2540" w:type="dxa"/>
            <w:vAlign w:val="bottom"/>
          </w:tcPr>
          <w:p>
            <w:pPr>
              <w:jc w:val="center"/>
              <w:ind w:left="41"/>
              <w:spacing w:after="0"/>
              <w:rPr>
                <w:sz w:val="20"/>
                <w:szCs w:val="20"/>
                <w:color w:val="auto"/>
              </w:rPr>
            </w:pPr>
            <w:r>
              <w:rPr>
                <w:rFonts w:ascii="Arial" w:cs="Arial" w:eastAsia="Arial" w:hAnsi="Arial"/>
                <w:sz w:val="16"/>
                <w:szCs w:val="16"/>
                <w:color w:val="auto"/>
                <w:w w:val="99"/>
              </w:rPr>
              <w:t>0.625%</w:t>
            </w:r>
          </w:p>
        </w:tc>
        <w:tc>
          <w:tcPr>
            <w:tcW w:w="3000" w:type="dxa"/>
            <w:vAlign w:val="bottom"/>
          </w:tcPr>
          <w:p>
            <w:pPr>
              <w:jc w:val="center"/>
              <w:ind w:left="122"/>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rPr>
              <w:t>≥ 2.00:1.00 and &lt; 3.00:1.00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0.325%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0.750%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color w:val="auto"/>
              </w:rPr>
              <w:t>≥ 3.00:1.00</w:t>
            </w:r>
          </w:p>
        </w:tc>
        <w:tc>
          <w:tcPr>
            <w:tcW w:w="268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color w:val="auto"/>
              </w:rPr>
              <w:t>0.350%</w:t>
            </w:r>
          </w:p>
        </w:tc>
        <w:tc>
          <w:tcPr>
            <w:tcW w:w="254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w w:val="99"/>
              </w:rPr>
              <w:t>1.000%</w:t>
            </w: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the applicable interest rate for borrowings under the Amended Credit Agreement was based on one-month term SOFR and one-month EURIBOR plus the spread, which was 1.625%.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there was $444.7 million of borrowings outstanding under the Amended Credit Agreement and we had borrowings available of $355.3 million, based on our maximum leverage ratio and our Consolidated EBITDA (as defined in the Amended Credit Agreement).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our leverage ratio was 1.63 to 1.00 and our interest coverage ratio was 10.51 to 1.00. As of June 30, 2025, we were in compliance with all applicable covenants. We anticipate continued compliance in each of the next four quarters while continuing to monitor future compliance based on current and future economic conditions.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the Company enters into interest rate swap contracts to manage the interest rate risk associated with its outstanding variable-interest rate borrowings. Such contracts are intended to economically hedge the reference rate component of future interest payments associated with outstanding borrowings under the Company’s Amended Credit Agreement.</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2021, we entered into interest rate swap agreements for the period of October 17, 2022 through October 27, 2024, to hedge $350 million of variable-interest rate indebtedness.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These interest rate swaps are accounted for as a hedge of future cash flows, as further described in </w:t>
      </w:r>
      <w:r>
        <w:rPr>
          <w:rFonts w:ascii="Arial" w:cs="Arial" w:eastAsia="Arial" w:hAnsi="Arial"/>
          <w:sz w:val="18"/>
          <w:szCs w:val="18"/>
          <w:i w:val="1"/>
          <w:iCs w:val="1"/>
          <w:color w:val="auto"/>
        </w:rPr>
        <w:t>Note 16, Fair-Value Measurements</w:t>
      </w:r>
      <w:r>
        <w:rPr>
          <w:rFonts w:ascii="Arial" w:cs="Arial" w:eastAsia="Arial" w:hAnsi="Arial"/>
          <w:sz w:val="18"/>
          <w:szCs w:val="18"/>
          <w:color w:val="auto"/>
        </w:rPr>
        <w:t>. No cash collateral was received or pledged in relation to the swap agreements.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71" w:lineRule="exact"/>
        <w:rPr>
          <w:sz w:val="20"/>
          <w:szCs w:val="20"/>
          <w:color w:val="auto"/>
        </w:rPr>
      </w:pPr>
    </w:p>
    <w:p>
      <w:pPr>
        <w:ind w:left="5520" w:right="4800" w:hanging="5188"/>
        <w:spacing w:after="0" w:line="976" w:lineRule="auto"/>
        <w:tabs>
          <w:tab w:leader="none" w:pos="647"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in markets that are not active or other inputs that are observable or can be corroborated by observable market data.</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had no Level 3 financial assets or liabilities at June 30, 2025 or at December 31, 2024, other than certain pension assets as indicated in our December 31, 2024 Annual Report on Form 10-K.</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1141"/>
              <w:spacing w:after="0"/>
              <w:rPr>
                <w:sz w:val="20"/>
                <w:szCs w:val="20"/>
                <w:color w:val="auto"/>
              </w:rPr>
            </w:pPr>
            <w:r>
              <w:rPr>
                <w:rFonts w:ascii="Arial" w:cs="Arial" w:eastAsia="Arial" w:hAnsi="Arial"/>
                <w:sz w:val="14"/>
                <w:szCs w:val="14"/>
                <w:b w:val="1"/>
                <w:bCs w:val="1"/>
                <w:color w:val="auto"/>
              </w:rPr>
              <w:t>June 30, 2025</w:t>
            </w:r>
          </w:p>
        </w:tc>
        <w:tc>
          <w:tcPr>
            <w:tcW w:w="2500" w:type="dxa"/>
            <w:vAlign w:val="bottom"/>
            <w:tcBorders>
              <w:top w:val="single" w:sz="8" w:color="auto"/>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December 31, 2024</w:t>
            </w:r>
          </w:p>
        </w:tc>
      </w:tr>
      <w:tr>
        <w:trPr>
          <w:trHeight w:val="188"/>
        </w:trPr>
        <w:tc>
          <w:tcPr>
            <w:tcW w:w="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440" w:type="dxa"/>
            <w:vAlign w:val="bottom"/>
          </w:tcPr>
          <w:p>
            <w:pPr>
              <w:jc w:val="center"/>
              <w:ind w:right="461"/>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Significant</w:t>
            </w:r>
          </w:p>
        </w:tc>
      </w:tr>
      <w:tr>
        <w:trPr>
          <w:trHeight w:val="175"/>
        </w:trPr>
        <w:tc>
          <w:tcPr>
            <w:tcW w:w="6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r>
      <w:tr>
        <w:trPr>
          <w:trHeight w:val="162"/>
        </w:trPr>
        <w:tc>
          <w:tcPr>
            <w:tcW w:w="6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observable</w:t>
            </w:r>
          </w:p>
        </w:tc>
      </w:tr>
      <w:tr>
        <w:trPr>
          <w:trHeight w:val="196"/>
        </w:trPr>
        <w:tc>
          <w:tcPr>
            <w:tcW w:w="6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1"/>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inputs</w:t>
            </w:r>
          </w:p>
        </w:tc>
      </w:tr>
      <w:tr>
        <w:trPr>
          <w:trHeight w:val="239"/>
        </w:trPr>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14,725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11,273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35"/>
        </w:trPr>
        <w:tc>
          <w:tcPr>
            <w:tcW w:w="5680" w:type="dxa"/>
            <w:vAlign w:val="bottom"/>
            <w:gridSpan w:val="2"/>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731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631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149</w:t>
            </w:r>
          </w:p>
        </w:tc>
      </w:tr>
      <w:tr>
        <w:trPr>
          <w:trHeight w:val="244"/>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5680" w:type="dxa"/>
            <w:vAlign w:val="bottom"/>
            <w:gridSpan w:val="2"/>
          </w:tcPr>
          <w:p>
            <w:pPr>
              <w:ind w:left="2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40" w:type="dxa"/>
            <w:vAlign w:val="bottom"/>
          </w:tcPr>
          <w:p>
            <w:pPr>
              <w:jc w:val="right"/>
              <w:ind w:right="281"/>
              <w:spacing w:after="0"/>
              <w:rPr>
                <w:sz w:val="20"/>
                <w:szCs w:val="20"/>
                <w:color w:val="auto"/>
              </w:rPr>
            </w:pPr>
            <w:r>
              <w:rPr>
                <w:rFonts w:ascii="Arial" w:cs="Arial" w:eastAsia="Arial" w:hAnsi="Arial"/>
                <w:sz w:val="16"/>
                <w:szCs w:val="16"/>
                <w:b w:val="1"/>
                <w:bCs w:val="1"/>
                <w:color w:val="auto"/>
              </w:rPr>
              <w:t>(969)</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88"/>
        </w:trPr>
        <w:tc>
          <w:tcPr>
            <w:tcW w:w="600" w:type="dxa"/>
            <w:vAlign w:val="bottom"/>
          </w:tcPr>
          <w:p>
            <w:pPr>
              <w:spacing w:after="0"/>
              <w:rPr>
                <w:sz w:val="20"/>
                <w:szCs w:val="20"/>
                <w:color w:val="auto"/>
              </w:rPr>
            </w:pPr>
            <w:r>
              <w:rPr>
                <w:rFonts w:ascii="Arial" w:cs="Arial" w:eastAsia="Arial" w:hAnsi="Arial"/>
                <w:sz w:val="16"/>
                <w:szCs w:val="16"/>
                <w:color w:val="auto"/>
              </w:rPr>
              <w:t>(a)</w:t>
            </w:r>
          </w:p>
        </w:tc>
        <w:tc>
          <w:tcPr>
            <w:tcW w:w="5080" w:type="dxa"/>
            <w:vAlign w:val="bottom"/>
          </w:tcPr>
          <w:p>
            <w:pPr>
              <w:ind w:left="60"/>
              <w:spacing w:after="0"/>
              <w:rPr>
                <w:sz w:val="20"/>
                <w:szCs w:val="20"/>
                <w:color w:val="auto"/>
              </w:rPr>
            </w:pPr>
            <w:r>
              <w:rPr>
                <w:rFonts w:ascii="Arial" w:cs="Arial" w:eastAsia="Arial" w:hAnsi="Arial"/>
                <w:sz w:val="16"/>
                <w:szCs w:val="16"/>
                <w:color w:val="auto"/>
              </w:rPr>
              <w:t>Original cost basis $0.5 million.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interest rate swaps flow through the caption Derivative valuation adjustment in the Shareholders’ equity section of the Consolidated Balance Sheets. As of June 30, 2025, these interest rate swaps were determined to be highly effective hedges of interest rate cashflow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$(0.3) million for the six months ended June 30, 2025 and $(8.2) million for the six months ended June 30, 2024.</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and by monitoring the currency exchange and interest rate markets while reviewing the hedging risks and contracts to ensure compliance with our internal guidelines and policies.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32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gridSpan w:val="3"/>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2024</w:t>
            </w: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1600" w:type="dxa"/>
            <w:vAlign w:val="bottom"/>
            <w:tcBorders>
              <w:bottom w:val="single" w:sz="8" w:color="auto"/>
            </w:tcBorders>
          </w:tcPr>
          <w:p>
            <w:pPr>
              <w:jc w:val="right"/>
              <w:ind w:right="905"/>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w:t>
            </w:r>
          </w:p>
        </w:tc>
        <w:tc>
          <w:tcPr>
            <w:tcW w:w="110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4,391</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4,273</w:t>
            </w:r>
          </w:p>
        </w:tc>
      </w:tr>
    </w:tbl>
    <w:p>
      <w:pPr>
        <w:spacing w:after="0" w:line="375" w:lineRule="exact"/>
        <w:rPr>
          <w:sz w:val="20"/>
          <w:szCs w:val="20"/>
          <w:color w:val="auto"/>
        </w:rPr>
      </w:pPr>
    </w:p>
    <w:p>
      <w:pPr>
        <w:ind w:right="8080" w:firstLine="8"/>
        <w:spacing w:after="0" w:line="374" w:lineRule="auto"/>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3,660 claims as of June 30,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3620" w:type="dxa"/>
            <w:vAlign w:val="bottom"/>
          </w:tcPr>
          <w:p>
            <w:pPr>
              <w:spacing w:after="0"/>
              <w:rPr>
                <w:sz w:val="15"/>
                <w:szCs w:val="15"/>
                <w:color w:val="auto"/>
              </w:rPr>
            </w:pPr>
          </w:p>
        </w:tc>
        <w:tc>
          <w:tcPr>
            <w:tcW w:w="1840" w:type="dxa"/>
            <w:vAlign w:val="bottom"/>
          </w:tcPr>
          <w:p>
            <w:pPr>
              <w:jc w:val="center"/>
              <w:ind w:left="64"/>
              <w:spacing w:after="0"/>
              <w:rPr>
                <w:sz w:val="20"/>
                <w:szCs w:val="20"/>
                <w:color w:val="auto"/>
              </w:rPr>
            </w:pPr>
            <w:r>
              <w:rPr>
                <w:rFonts w:ascii="Arial" w:cs="Arial" w:eastAsia="Arial" w:hAnsi="Arial"/>
                <w:sz w:val="14"/>
                <w:szCs w:val="14"/>
                <w:b w:val="1"/>
                <w:bCs w:val="1"/>
                <w:color w:val="auto"/>
              </w:rPr>
              <w:t>Opening</w:t>
            </w:r>
          </w:p>
        </w:tc>
        <w:tc>
          <w:tcPr>
            <w:tcW w:w="1440" w:type="dxa"/>
            <w:vAlign w:val="bottom"/>
          </w:tcPr>
          <w:p>
            <w:pPr>
              <w:jc w:val="center"/>
              <w:ind w:right="205"/>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Amounts Paid to</w:t>
            </w:r>
          </w:p>
        </w:tc>
      </w:tr>
      <w:tr>
        <w:trPr>
          <w:trHeight w:val="176"/>
        </w:trPr>
        <w:tc>
          <w:tcPr>
            <w:tcW w:w="3620" w:type="dxa"/>
            <w:vAlign w:val="bottom"/>
          </w:tcPr>
          <w:p>
            <w:pPr>
              <w:spacing w:after="0"/>
              <w:rPr>
                <w:sz w:val="15"/>
                <w:szCs w:val="15"/>
                <w:color w:val="auto"/>
              </w:rPr>
            </w:pPr>
          </w:p>
        </w:tc>
        <w:tc>
          <w:tcPr>
            <w:tcW w:w="1840" w:type="dxa"/>
            <w:vAlign w:val="bottom"/>
          </w:tcPr>
          <w:p>
            <w:pPr>
              <w:jc w:val="center"/>
              <w:ind w:left="44"/>
              <w:spacing w:after="0"/>
              <w:rPr>
                <w:sz w:val="20"/>
                <w:szCs w:val="20"/>
                <w:color w:val="auto"/>
              </w:rPr>
            </w:pPr>
            <w:r>
              <w:rPr>
                <w:rFonts w:ascii="Arial" w:cs="Arial" w:eastAsia="Arial" w:hAnsi="Arial"/>
                <w:sz w:val="14"/>
                <w:szCs w:val="14"/>
                <w:b w:val="1"/>
                <w:bCs w:val="1"/>
                <w:color w:val="auto"/>
              </w:rPr>
              <w:t>Number of</w:t>
            </w: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Settle or</w:t>
            </w:r>
          </w:p>
        </w:tc>
      </w:tr>
      <w:tr>
        <w:trPr>
          <w:trHeight w:val="21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number of claims)</w:t>
            </w:r>
          </w:p>
        </w:tc>
        <w:tc>
          <w:tcPr>
            <w:tcW w:w="184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Claims</w:t>
            </w:r>
          </w:p>
        </w:tc>
        <w:tc>
          <w:tcPr>
            <w:tcW w:w="14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New Claims</w:t>
            </w: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Resolve</w:t>
            </w:r>
          </w:p>
        </w:tc>
      </w:tr>
      <w:tr>
        <w:trPr>
          <w:trHeight w:val="211"/>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period ended December 31, 2024</w:t>
            </w:r>
          </w:p>
        </w:tc>
        <w:tc>
          <w:tcPr>
            <w:tcW w:w="18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3,606</w:t>
            </w:r>
          </w:p>
        </w:tc>
        <w:tc>
          <w:tcPr>
            <w:tcW w:w="14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10</w:t>
            </w:r>
          </w:p>
        </w:tc>
        <w:tc>
          <w:tcPr>
            <w:tcW w:w="15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w:t>
            </w:r>
          </w:p>
        </w:tc>
      </w:tr>
      <w:tr>
        <w:trPr>
          <w:trHeight w:val="21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period ended June 30, 2025</w:t>
            </w:r>
          </w:p>
        </w:tc>
        <w:tc>
          <w:tcPr>
            <w:tcW w:w="18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3,646</w:t>
            </w: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19</w:t>
            </w:r>
          </w:p>
        </w:tc>
        <w:tc>
          <w:tcPr>
            <w:tcW w:w="15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105</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2025, we had resolved, by means of settlement or dismissal, 38,070 claims at a total cost of $10.8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7,675 claims as of June 30, 2025,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anticipate, based on currently available information, that the ultimate resolution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color w:val="auto"/>
        </w:rPr>
        <w:t>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Shareholders’ Equity for the period December 31, 2024 to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098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7"/>
              </w:rPr>
              <w:t>Accumulated items of</w:t>
            </w: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900" w:type="dxa"/>
            <w:vAlign w:val="bottom"/>
            <w:gridSpan w:val="3"/>
            <w:vMerge w:val="restart"/>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900" w:type="dxa"/>
            <w:vAlign w:val="bottom"/>
            <w:gridSpan w:val="3"/>
            <w:vMerge w:val="restart"/>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00" w:type="dxa"/>
            <w:vAlign w:val="bottom"/>
          </w:tcPr>
          <w:p>
            <w:pPr>
              <w:spacing w:after="0"/>
              <w:rPr>
                <w:sz w:val="7"/>
                <w:szCs w:val="7"/>
                <w:color w:val="auto"/>
              </w:rPr>
            </w:pPr>
          </w:p>
        </w:tc>
        <w:tc>
          <w:tcPr>
            <w:tcW w:w="1900" w:type="dxa"/>
            <w:vAlign w:val="bottom"/>
            <w:tcBorders>
              <w:bottom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ind w:right="46"/>
              <w:spacing w:after="0" w:line="88" w:lineRule="exact"/>
              <w:rPr>
                <w:sz w:val="20"/>
                <w:szCs w:val="20"/>
                <w:color w:val="auto"/>
              </w:rPr>
            </w:pPr>
            <w:r>
              <w:rPr>
                <w:rFonts w:ascii="Arial" w:cs="Arial" w:eastAsia="Arial" w:hAnsi="Arial"/>
                <w:sz w:val="10"/>
                <w:szCs w:val="10"/>
                <w:b w:val="1"/>
                <w:bCs w:val="1"/>
                <w:color w:val="auto"/>
              </w:rPr>
              <w:t>Additional paid-</w:t>
            </w:r>
          </w:p>
        </w:tc>
        <w:tc>
          <w:tcPr>
            <w:tcW w:w="160" w:type="dxa"/>
            <w:vAlign w:val="bottom"/>
          </w:tcPr>
          <w:p>
            <w:pPr>
              <w:spacing w:after="0"/>
              <w:rPr>
                <w:sz w:val="7"/>
                <w:szCs w:val="7"/>
                <w:color w:val="auto"/>
              </w:rPr>
            </w:pPr>
          </w:p>
        </w:tc>
        <w:tc>
          <w:tcPr>
            <w:tcW w:w="720" w:type="dxa"/>
            <w:vAlign w:val="bottom"/>
          </w:tcPr>
          <w:p>
            <w:pPr>
              <w:jc w:val="right"/>
              <w:ind w:right="166"/>
              <w:spacing w:after="0" w:line="88"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7"/>
                <w:szCs w:val="7"/>
                <w:color w:val="auto"/>
              </w:rPr>
            </w:pPr>
          </w:p>
        </w:tc>
        <w:tc>
          <w:tcPr>
            <w:tcW w:w="1320" w:type="dxa"/>
            <w:vAlign w:val="bottom"/>
          </w:tcPr>
          <w:p>
            <w:pPr>
              <w:jc w:val="center"/>
              <w:ind w:right="46"/>
              <w:spacing w:after="0" w:line="88" w:lineRule="exact"/>
              <w:rPr>
                <w:sz w:val="20"/>
                <w:szCs w:val="20"/>
                <w:color w:val="auto"/>
              </w:rPr>
            </w:pPr>
            <w:r>
              <w:rPr>
                <w:rFonts w:ascii="Arial" w:cs="Arial" w:eastAsia="Arial" w:hAnsi="Arial"/>
                <w:sz w:val="10"/>
                <w:szCs w:val="10"/>
                <w:b w:val="1"/>
                <w:bCs w:val="1"/>
                <w:color w:val="auto"/>
              </w:rPr>
              <w:t>other comprehensive</w:t>
            </w:r>
          </w:p>
        </w:tc>
        <w:tc>
          <w:tcPr>
            <w:tcW w:w="1900" w:type="dxa"/>
            <w:vAlign w:val="bottom"/>
            <w:tcBorders>
              <w:bottom w:val="single" w:sz="8" w:color="auto"/>
            </w:tcBorders>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jc w:val="right"/>
              <w:ind w:right="366"/>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income</w:t>
            </w: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40,917</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452,933</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1,065,763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(195,989)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9,845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(379,210)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5,409</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948,947</w:t>
            </w:r>
          </w:p>
        </w:tc>
        <w:tc>
          <w:tcPr>
            <w:tcW w:w="0" w:type="dxa"/>
            <w:vAlign w:val="bottom"/>
          </w:tcPr>
          <w:p>
            <w:pPr>
              <w:spacing w:after="0"/>
              <w:rPr>
                <w:sz w:val="1"/>
                <w:szCs w:val="1"/>
                <w:color w:val="auto"/>
              </w:rPr>
            </w:pPr>
          </w:p>
        </w:tc>
      </w:tr>
      <w:tr>
        <w:trPr>
          <w:trHeight w:val="152"/>
        </w:trPr>
        <w:tc>
          <w:tcPr>
            <w:tcW w:w="17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17,355</w:t>
            </w:r>
          </w:p>
        </w:tc>
        <w:tc>
          <w:tcPr>
            <w:tcW w:w="10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17,349</w:t>
            </w:r>
          </w:p>
        </w:tc>
        <w:tc>
          <w:tcPr>
            <w:tcW w:w="0" w:type="dxa"/>
            <w:vAlign w:val="bottom"/>
          </w:tcPr>
          <w:p>
            <w:pPr>
              <w:spacing w:after="0"/>
              <w:rPr>
                <w:sz w:val="1"/>
                <w:szCs w:val="1"/>
                <w:color w:val="auto"/>
              </w:rPr>
            </w:pPr>
          </w:p>
        </w:tc>
      </w:tr>
      <w:tr>
        <w:trPr>
          <w:trHeight w:val="118"/>
        </w:trPr>
        <w:tc>
          <w:tcPr>
            <w:tcW w:w="1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2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2,651</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2,651</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Purchase of Treasury shares (a)</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925</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(69,153)</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(69,153)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(8,262)</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(8,262)</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$0.27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Dividends paid to noncontrolling</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(88)</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interests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17,136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17,014</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color w:val="auto"/>
              </w:rPr>
              <w:t>(2,662)</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(2,662)</w:t>
            </w:r>
          </w:p>
        </w:tc>
        <w:tc>
          <w:tcPr>
            <w:tcW w:w="0" w:type="dxa"/>
            <w:vAlign w:val="bottom"/>
          </w:tcPr>
          <w:p>
            <w:pPr>
              <w:spacing w:after="0"/>
              <w:rPr>
                <w:sz w:val="1"/>
                <w:szCs w:val="1"/>
                <w:color w:val="auto"/>
              </w:rPr>
            </w:pPr>
          </w:p>
        </w:tc>
      </w:tr>
      <w:tr>
        <w:trPr>
          <w:trHeight w:val="152"/>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 adjustment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(628)</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and other</w:t>
            </w: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40,973</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455,584</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1,074,863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(182,150)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10,770</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(448,363)</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5,193</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905,168</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9,183</w:t>
            </w: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9,332</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243</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760</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Purchase of Treasury shares (a)</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746</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(51,295)</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(51,295)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(8,024)</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(8,024)</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$0.27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Arial" w:cs="Arial" w:eastAsia="Arial" w:hAnsi="Arial"/>
                <w:sz w:val="11"/>
                <w:szCs w:val="11"/>
                <w:color w:val="auto"/>
              </w:rPr>
              <w:t>38,835</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67</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38,902</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(855)</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color w:val="auto"/>
              </w:rPr>
              <w:t>(122)</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88</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and other</w:t>
            </w: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40,984</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456,587</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1,075,934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(144,292)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11,516</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(499,658)</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5,497</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894,109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changes in Shareholders’ Equity for the period December 31, 2023 to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900" w:type="dxa"/>
            <w:vAlign w:val="bottom"/>
            <w:gridSpan w:val="3"/>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2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8"/>
              </w:rPr>
              <w:t>Additional paid-</w:t>
            </w:r>
          </w:p>
        </w:tc>
        <w:tc>
          <w:tcPr>
            <w:tcW w:w="160" w:type="dxa"/>
            <w:vAlign w:val="bottom"/>
          </w:tcPr>
          <w:p>
            <w:pPr>
              <w:spacing w:after="0"/>
              <w:rPr>
                <w:sz w:val="2"/>
                <w:szCs w:val="2"/>
                <w:color w:val="auto"/>
              </w:rPr>
            </w:pP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2"/>
                <w:szCs w:val="2"/>
                <w:color w:val="auto"/>
              </w:rPr>
            </w:pPr>
          </w:p>
        </w:tc>
        <w:tc>
          <w:tcPr>
            <w:tcW w:w="140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Accumulated items of</w:t>
            </w: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8"/>
              </w:rPr>
              <w:t>Shareholders'</w:t>
            </w:r>
          </w:p>
        </w:tc>
        <w:tc>
          <w:tcPr>
            <w:tcW w:w="0" w:type="dxa"/>
            <w:vAlign w:val="bottom"/>
          </w:tcPr>
          <w:p>
            <w:pPr>
              <w:spacing w:after="0"/>
              <w:rPr>
                <w:sz w:val="1"/>
                <w:szCs w:val="1"/>
                <w:color w:val="auto"/>
              </w:rPr>
            </w:pPr>
          </w:p>
        </w:tc>
      </w:tr>
      <w:tr>
        <w:trPr>
          <w:trHeight w:val="88"/>
        </w:trPr>
        <w:tc>
          <w:tcPr>
            <w:tcW w:w="1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7"/>
                <w:szCs w:val="7"/>
                <w:color w:val="auto"/>
              </w:rPr>
            </w:pPr>
          </w:p>
        </w:tc>
        <w:tc>
          <w:tcPr>
            <w:tcW w:w="72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7"/>
                <w:szCs w:val="7"/>
                <w:color w:val="auto"/>
              </w:rPr>
            </w:pPr>
          </w:p>
        </w:tc>
        <w:tc>
          <w:tcPr>
            <w:tcW w:w="72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8"/>
              </w:rPr>
              <w:t>other comprehensive income</w:t>
            </w:r>
          </w:p>
        </w:tc>
        <w:tc>
          <w:tcPr>
            <w:tcW w:w="9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40,856</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448,218</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1,010,942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(133,168)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5,952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967,320</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27,291</w:t>
            </w: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27,369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810</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810</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(8,122)</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(8,122)</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Common Stock, $0.26 per share</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(12,116)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(12,070)</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382</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(2,124)</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40,898</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449,028</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1,030,111</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(147,026)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973,565</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24,624</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24,720</w:t>
            </w: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2,530</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2,530</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940" w:type="dxa"/>
            <w:vAlign w:val="bottom"/>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903</w:t>
            </w:r>
          </w:p>
        </w:tc>
        <w:tc>
          <w:tcPr>
            <w:tcW w:w="1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903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(8,123)</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(8,123)</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$0.26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(17,287)</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(366)</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(17,653)</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(2,840)</w:t>
            </w:r>
          </w:p>
        </w:tc>
        <w:tc>
          <w:tcPr>
            <w:tcW w:w="0" w:type="dxa"/>
            <w:vAlign w:val="bottom"/>
          </w:tcPr>
          <w:p>
            <w:pPr>
              <w:spacing w:after="0"/>
              <w:rPr>
                <w:sz w:val="1"/>
                <w:szCs w:val="1"/>
                <w:color w:val="auto"/>
              </w:rPr>
            </w:pPr>
          </w:p>
        </w:tc>
      </w:tr>
      <w:tr>
        <w:trPr>
          <w:trHeight w:val="155"/>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40,908</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452,461</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1,046,612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(166,907)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9,662</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(364,665)</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5,806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973,348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652"/>
        <w:spacing w:after="0" w:line="265"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2021, the Company's Board of Directors authorized the Company to repurchase shares of up to $200 million through open market purchases, privately negotiated transactions or otherwise, and to determine the prices, times and amounts. On February 21, 2025, the Company's Board of Directors authorized the Company to repurchase shares up to $250 million (excluding any fees, commissions, taxes or other expenses related to such purchases), which replaced the 2021 authorization. In 2025, the Company repurchased 1,670,858 shares totaling $120.4 million including excise taxes and fees.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Subsequent Events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evaluated subsequent events through the issuance date of these financial statements in Form 10-Q. No material subsequent events were identified that require disclosure.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5" w:lineRule="exact"/>
        <w:rPr>
          <w:sz w:val="20"/>
          <w:szCs w:val="20"/>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of the Company’s competitors in the Machine Clothing segment have the capability to make and sell paper machines and papermaking equipment as well as other engineered fabrics;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Machine Clothing and Albany Engineered Composites segments are subject to significant risks related to the potential manufacture and sale of defective or non-conforming products;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global economic conditions could have an adverse impact on the Company's segments and overall business and results of operations;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Albany Engineered Composites segment, new and unique risks introduced by the U.S. Government's Department of Defense ("DoD") Cybersecurity Maturity Model Certification ("CMMC") program;</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or logistics and costs due to supply chain constraints and inflationary pressures. These challenges have only increased as a result of the ongoing Russia-Ukraine war and the conflict in the Middle East;</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maintain effective systems of internal controls while consolidating dispersed corporate functions to our corporate headquarters in New Hampshire;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business and employees may depend on our reputation in the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Across both segments, potential port strikes could cause additional disruptions to our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 caused by changes in our relationships or contracts with suppliers and customers;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unanticipated reductions in demand, delays, technical difficulties, and cancellations in aerospace programs that are expected to generate revenue and drive long-term growth;</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geopolitical conditions impacting countries where the Company does or intends to do business, including the effects of the implementation of trade tariffs on imported goods;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insurance coverage may be inadequate to cover significant risk exposures;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achieve our strategic initiatives and other goals, including, but not limited to, our sustainability goals;</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Albany Engineered Composites segment, the estimates and expectations based on aircraft production rates provided by Airbus, Boeing and others;</w:t>
      </w:r>
    </w:p>
    <w:p>
      <w:pPr>
        <w:spacing w:after="0" w:line="44"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6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associated with changes in estimates and assumptions that could result in a decline in program gross margins or turn a profitable program into a loss program;</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impacts from inflation, an economic slowdown or recession and by disruption in capital and credit markets that might impede our access to credit, increase our borrowing costs and impair the financial soundness of our customers and suppliers;</w:t>
      </w:r>
    </w:p>
    <w:p>
      <w:pPr>
        <w:spacing w:after="0" w:line="44"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our ability to attract, motivate, and retain the workforce necessary to execute our business strategy and other goals;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impacts from fluctuations in foreign currency exchange rates;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Harm caused by customer purchase reductions, payment defaults or contract non-renewal;</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Albany Engineered Composites segment, future funding and compliance risks associated with our contracts with government entities, OEM customers or prime contractors on contracts with government entities;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Costly and disruptive legal disputes and settlements and the Company's ability to provide adequate insurance coverage;</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adverse outcomes from current or future patent infringement claims could materially affect our business operations and financial condition;</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defending or settling intellectual property disputes could be significant;</w:t>
      </w:r>
    </w:p>
    <w:p>
      <w:pPr>
        <w:spacing w:after="0" w:line="117"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operational and compliance costs associated with increasing environmental, social and governance regulatory requirements, as well as the risk of noncompliance;</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levels of indebtedness and capital expenditures;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goodwill and other intangible assets;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impacts from changes in tax legislation or challenges to our tax positions;</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incidents or significant computer system compromises or data breaches to our information technology systems, processes, sites and cloud-based providers;</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or challenges arising from the implementation or upgrading of new information technology systems;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advancements in artificial intelligence may introduce unforeseen regulatory, ethical, and operational challenges;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AI technologies may involve data privacy, security, and compliance risks;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Evolving legal frameworks around AI and IP protection could impact our competitive position and innovation strategies;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changes in critical estimates and assumptions related to pension and other post-retirement benefit costs and liabilities;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problems with information systems or networks;</w:t>
      </w:r>
    </w:p>
    <w:p>
      <w:pPr>
        <w:spacing w:after="0" w:line="117"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adequately integrate acquired companies into our business systems and processes within the expected timeframe or, failure to or delayed realization of anticipated benefits of the acquisition could adversely impact the Company’s business, financial condition and results of operations;</w:t>
      </w:r>
    </w:p>
    <w:p>
      <w:pPr>
        <w:spacing w:after="0" w:line="6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adequately protect our proprietary technology or intellectual property, which would allow competitors or others to take advantage of our research and development efforts;</w:t>
      </w:r>
    </w:p>
    <w:p>
      <w:pPr>
        <w:spacing w:after="0" w:line="200" w:lineRule="exact"/>
        <w:rPr>
          <w:sz w:val="20"/>
          <w:szCs w:val="20"/>
          <w:color w:val="auto"/>
        </w:rPr>
      </w:pPr>
    </w:p>
    <w:p>
      <w:pPr>
        <w:spacing w:after="0" w:line="33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39" w:right="339" w:bottom="1440" w:gutter="0" w:footer="0" w:header="0"/>
        </w:sectPr>
      </w:pPr>
    </w:p>
    <w:bookmarkStart w:id="28" w:name="page29"/>
    <w:bookmarkEnd w:id="28"/>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Impacts on our stock price and trading volume if securities or industry analysis do not publish research or publish inaccurate or unfavorable research about our business, or by future sales of shares by our existing stockholders and the impact of any changes in cash dividend payments;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shareholder activism on our operations, strategy, and overall performance;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 and other periodic reports.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 Segment</w:t>
      </w:r>
    </w:p>
    <w:p>
      <w:pPr>
        <w:spacing w:after="0" w:line="200" w:lineRule="exact"/>
        <w:rPr>
          <w:sz w:val="20"/>
          <w:szCs w:val="20"/>
          <w:color w:val="auto"/>
        </w:rPr>
      </w:pP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MC segment expects revenues to continue to decline for publication grade paper and continued softness in Asia into 2025 and beyond, however, we see an offsetting effect due to growth in demand across Europe for packaging, and to a lesser degree, tissue grade products. The MC segment's backlog continues to be stable.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MC believes it is well-positioned in key markets, with high-quality, low-cost production in growth markets, substantially lower fixed costs in mature markets, and continued strength in new product development, technical product support, and manufacturing technology. Some of the markets in which MC's products are sold are expected to have volume trends that are in line with global GDP. MC continues to face pricing pressures in all markets. Despite these market pressures on revenue growth, the MC segment is expected to improve earnings in the future through cost controls and manufacturing productivity efficiencies.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 Segment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AEC segment continues to ramp-up production levels on commercial, defense, and space programs. In the first six months of 2025, the Company updated its labor, material input and scrap assumptions and estimates of certain long-term programs that resulted in a negative cumulative change in estimated profitability in the amount of $ 7.2 million for the second quarter of 2025 and $ 14.2 million for the six months June 30, 2025. The negative cumulative change in profitability during the second quarter of 2025 was primarily driven by a few large complex programs, including $8.1 million for various CH-53K programs, $0.8 million on our F-35 program, offset by a gain of $1.6 million on our Gulfstream program and $0.1 million, net gain on all other programs. The negative cumulative change in profitability during the six months ended June 2025 was driven by $10.1 million for various CH-53K programs, $2.1 million on our F-35 program, and $2.0 million, net on all other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Also, please refer to the Business Environment Overview and Trends in the Management's Discussion and Analysis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8"/>
          <w:szCs w:val="18"/>
          <w:color w:val="auto"/>
        </w:rPr>
        <w:t>Financial Condition and Results of Operations in our Annual Report on Form 10-K for the year ended December 31, 2024. The Annual Report on Form 10-K, along with the Company's other filings, can be found on the Securities and Exchange Commission's website, www.sec.gov, as well as on the Company's website: www.albint.com.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revenues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bottom w:val="single" w:sz="8" w:color="auto"/>
            </w:tcBorders>
          </w:tcPr>
          <w:p>
            <w:pPr>
              <w:spacing w:after="0"/>
              <w:rPr>
                <w:sz w:val="18"/>
                <w:szCs w:val="18"/>
                <w:color w:val="auto"/>
              </w:rPr>
            </w:pPr>
          </w:p>
        </w:tc>
      </w:tr>
      <w:tr>
        <w:trPr>
          <w:trHeight w:val="22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2024</w:t>
            </w: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180,926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193,578</w:t>
            </w:r>
          </w:p>
        </w:tc>
        <w:tc>
          <w:tcPr>
            <w:tcW w:w="15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355,623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378,795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4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130,473</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138,416</w:t>
            </w:r>
          </w:p>
        </w:tc>
        <w:tc>
          <w:tcPr>
            <w:tcW w:w="15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(5.7)%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244,550</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266,529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311,399</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331,994</w:t>
            </w:r>
          </w:p>
        </w:tc>
        <w:tc>
          <w:tcPr>
            <w:tcW w:w="15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600,173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645,324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comparison of 2025 Net revenues, excluding currency translation effects, to 2024 Net revenues: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 increase</w:t>
            </w: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Q2 2025 revenues on</w:t>
            </w: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Net revenues as</w:t>
            </w:r>
          </w:p>
        </w:tc>
        <w:tc>
          <w:tcPr>
            <w:tcW w:w="160" w:type="dxa"/>
            <w:vAlign w:val="bottom"/>
          </w:tcPr>
          <w:p>
            <w:pPr>
              <w:spacing w:after="0"/>
              <w:rPr>
                <w:sz w:val="12"/>
                <w:szCs w:val="12"/>
                <w:color w:val="auto"/>
              </w:rPr>
            </w:pPr>
          </w:p>
        </w:tc>
        <w:tc>
          <w:tcPr>
            <w:tcW w:w="1380" w:type="dxa"/>
            <w:vAlign w:val="bottom"/>
          </w:tcPr>
          <w:p>
            <w:pPr>
              <w:jc w:val="center"/>
              <w:ind w:right="43"/>
              <w:spacing w:after="0" w:line="145" w:lineRule="exact"/>
              <w:rPr>
                <w:sz w:val="20"/>
                <w:szCs w:val="20"/>
                <w:color w:val="auto"/>
              </w:rPr>
            </w:pPr>
            <w:r>
              <w:rPr>
                <w:rFonts w:ascii="Arial" w:cs="Arial" w:eastAsia="Arial" w:hAnsi="Arial"/>
                <w:sz w:val="14"/>
                <w:szCs w:val="14"/>
                <w:b w:val="1"/>
                <w:bCs w:val="1"/>
                <w:color w:val="auto"/>
              </w:rPr>
              <w:t>due to changes in</w:t>
            </w:r>
          </w:p>
        </w:tc>
        <w:tc>
          <w:tcPr>
            <w:tcW w:w="120" w:type="dxa"/>
            <w:vAlign w:val="bottom"/>
          </w:tcPr>
          <w:p>
            <w:pPr>
              <w:spacing w:after="0"/>
              <w:rPr>
                <w:sz w:val="12"/>
                <w:szCs w:val="12"/>
                <w:color w:val="auto"/>
              </w:rPr>
            </w:pPr>
          </w:p>
        </w:tc>
        <w:tc>
          <w:tcPr>
            <w:tcW w:w="138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rPr>
              <w:t>same basis as Q2</w:t>
            </w:r>
          </w:p>
        </w:tc>
        <w:tc>
          <w:tcPr>
            <w:tcW w:w="120" w:type="dxa"/>
            <w:vAlign w:val="bottom"/>
          </w:tcPr>
          <w:p>
            <w:pPr>
              <w:spacing w:after="0"/>
              <w:rPr>
                <w:sz w:val="12"/>
                <w:szCs w:val="12"/>
                <w:color w:val="auto"/>
              </w:rPr>
            </w:pPr>
          </w:p>
        </w:tc>
        <w:tc>
          <w:tcPr>
            <w:tcW w:w="138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Net revenues as</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currency translation</w:t>
            </w:r>
          </w:p>
        </w:tc>
        <w:tc>
          <w:tcPr>
            <w:tcW w:w="120" w:type="dxa"/>
            <w:vAlign w:val="bottom"/>
          </w:tcPr>
          <w:p>
            <w:pPr>
              <w:spacing w:after="0"/>
              <w:rPr>
                <w:sz w:val="12"/>
                <w:szCs w:val="12"/>
                <w:color w:val="auto"/>
              </w:rPr>
            </w:pPr>
          </w:p>
        </w:tc>
        <w:tc>
          <w:tcPr>
            <w:tcW w:w="13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rPr>
              <w:t>2024 currency</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Q2 2024, excluding</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reported, Q2 2025</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rates</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reported, Q2 2024</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180,926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177,924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193,578</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130,473</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129,550</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138,416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311,399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307,474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331,994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 increase</w:t>
            </w:r>
          </w:p>
        </w:tc>
        <w:tc>
          <w:tcPr>
            <w:tcW w:w="14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YTD 2025 revenues</w:t>
            </w: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Net revenues as</w:t>
            </w:r>
          </w:p>
        </w:tc>
        <w:tc>
          <w:tcPr>
            <w:tcW w:w="160" w:type="dxa"/>
            <w:vAlign w:val="bottom"/>
          </w:tcPr>
          <w:p>
            <w:pPr>
              <w:spacing w:after="0"/>
              <w:rPr>
                <w:sz w:val="12"/>
                <w:szCs w:val="12"/>
                <w:color w:val="auto"/>
              </w:rPr>
            </w:pPr>
          </w:p>
        </w:tc>
        <w:tc>
          <w:tcPr>
            <w:tcW w:w="1380" w:type="dxa"/>
            <w:vAlign w:val="bottom"/>
          </w:tcPr>
          <w:p>
            <w:pPr>
              <w:jc w:val="center"/>
              <w:ind w:right="43"/>
              <w:spacing w:after="0" w:line="145" w:lineRule="exact"/>
              <w:rPr>
                <w:sz w:val="20"/>
                <w:szCs w:val="20"/>
                <w:color w:val="auto"/>
              </w:rPr>
            </w:pPr>
            <w:r>
              <w:rPr>
                <w:rFonts w:ascii="Arial" w:cs="Arial" w:eastAsia="Arial" w:hAnsi="Arial"/>
                <w:sz w:val="14"/>
                <w:szCs w:val="14"/>
                <w:b w:val="1"/>
                <w:bCs w:val="1"/>
                <w:color w:val="auto"/>
              </w:rPr>
              <w:t>due to changes in</w:t>
            </w:r>
          </w:p>
        </w:tc>
        <w:tc>
          <w:tcPr>
            <w:tcW w:w="140" w:type="dxa"/>
            <w:vAlign w:val="bottom"/>
          </w:tcPr>
          <w:p>
            <w:pPr>
              <w:spacing w:after="0"/>
              <w:rPr>
                <w:sz w:val="12"/>
                <w:szCs w:val="12"/>
                <w:color w:val="auto"/>
              </w:rPr>
            </w:pPr>
          </w:p>
        </w:tc>
        <w:tc>
          <w:tcPr>
            <w:tcW w:w="13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rPr>
              <w:t>on same basis as</w:t>
            </w:r>
          </w:p>
        </w:tc>
        <w:tc>
          <w:tcPr>
            <w:tcW w:w="180" w:type="dxa"/>
            <w:vAlign w:val="bottom"/>
          </w:tcPr>
          <w:p>
            <w:pPr>
              <w:spacing w:after="0"/>
              <w:rPr>
                <w:sz w:val="12"/>
                <w:szCs w:val="12"/>
                <w:color w:val="auto"/>
              </w:rPr>
            </w:pPr>
          </w:p>
        </w:tc>
        <w:tc>
          <w:tcPr>
            <w:tcW w:w="13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Net revenues as</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currency translation</w:t>
            </w:r>
          </w:p>
        </w:tc>
        <w:tc>
          <w:tcPr>
            <w:tcW w:w="14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rPr>
              <w:t>2024 currency</w:t>
            </w: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2024, excluding</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reported, YTD 2025</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rates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translation rates</w:t>
            </w:r>
          </w:p>
        </w:tc>
        <w:tc>
          <w:tcPr>
            <w:tcW w:w="154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reported, YTD 2024</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355,623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378,795</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244,550</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244,113</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266,529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600,173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599,227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645,324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revenues for the three months ended June 30, 2025 decreased 6.2% compared to the three months ended June 30, 2024, primarily driven by reduced demand in Asia, an unplanned equipment downtime in one of our production facilities within MC and a decrease in Net revenues in AEC due to a reduction in certain commercial and space programs.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MC's Net revenues for the three months ended June 30, 2025 decreased 6.5% compared to the three months ended June 30, 2024 primarily driven by reduced demand in Asia and an unplanned equipment downtime in one of our production facilities. In addition, changes in currency translation rates had the effect of decreasing Net revenues $3.0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AEC's Net revenues for the three months ended June 30, 2025 decreased 5.7% compared to the three months ended June 30, 2024, primarily driven by reductions on certain commercial and space programs, which was partially offset by higher revenues on CH-53K and other programs. Changes in currency translation rates had the effect of decreasing Net revenues $0.9 million.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revenues for the six months ended June 30, 2025 decreased 7.0% as compared to the six months ended June 30, 2024, primarily driven by reduced demand in Asia, an unplanned equipment downtime in one of our production facilities within MC and a decrease in Net revenues in AEC due to a reduction in certain commercial and space programs.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both"/>
        <w:spacing w:after="0" w:line="268" w:lineRule="auto"/>
        <w:rPr>
          <w:sz w:val="20"/>
          <w:szCs w:val="20"/>
          <w:color w:val="auto"/>
        </w:rPr>
      </w:pPr>
      <w:r>
        <w:rPr>
          <w:rFonts w:ascii="Arial" w:cs="Arial" w:eastAsia="Arial" w:hAnsi="Arial"/>
          <w:sz w:val="18"/>
          <w:szCs w:val="18"/>
          <w:color w:val="auto"/>
        </w:rPr>
        <w:t>MC's Net revenues for the six months ended June 30, 2025 decreased 6.1% as compared to the six months ended June 30, 2024, primarily driven by reduced demand in Asia and an unplanned equipment downtime in one of our production facilities. In addition, changes in currency translation rates had the effect of decreasing Net revenues $0.5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AEC's Net revenues for the six months ended June 30, 2025 decreased 8.2% as compared to the six months ended June 30, 2024, primarily driven by reductions on certain commercial and space programs, which was partially offset by higher revenues on CH-53K and other programs. Changes in currency translation rates had the effect of decreasing Net revenues $0.4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2024</w:t>
            </w: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83,759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88,873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163,661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173,528</w:t>
            </w:r>
          </w:p>
        </w:tc>
      </w:tr>
      <w:tr>
        <w:trPr>
          <w:trHeight w:val="24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13,748</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23,510</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30,332</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47,541</w:t>
            </w:r>
          </w:p>
        </w:tc>
      </w:tr>
      <w:tr>
        <w:trPr>
          <w:trHeight w:val="209"/>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97,507</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112,383</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193,993</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221,069</w:t>
            </w:r>
          </w:p>
        </w:tc>
      </w:tr>
      <w:tr>
        <w:trPr>
          <w:trHeight w:val="23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31.3 %</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33.9 %</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32.3 %</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gross profit for the three months ended June 30,2025, as compared to the three months ended June 30, 2024, was driven by increased cost assumptions that adjusted the expected profitability of certain long-term contracts in the AEC segment. Gross profit as a percentage of revenues by segment was as follows:</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MC's gross profit margin increased slightly from 45.9% in 2024 to 46.3% in 2025.</w:t>
      </w:r>
    </w:p>
    <w:p>
      <w:pPr>
        <w:spacing w:after="0" w:line="117" w:lineRule="exact"/>
        <w:rPr>
          <w:rFonts w:ascii="Arial" w:cs="Arial" w:eastAsia="Arial" w:hAnsi="Arial"/>
          <w:sz w:val="18"/>
          <w:szCs w:val="18"/>
          <w:b w:val="1"/>
          <w:bCs w:val="1"/>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AEC's gross profit margin decreased from 17.0% in 2024 to 10.5% in 2025, driven primarily by cumulative changes in the estimated profitability of long-term contracts, which decreased gross profit by $7.0 million in 2025, as compared to a decrease of $5.0 million in 2024.</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gross profit for the six months ended June 30, 2025, as compared to the six months ended June 30, 2024, was driven by increased cost assumptions that adjusted the expected profitability of certain long-term contracts in the AEC segment. Gross profit as a percentage of revenues by segment was as follows:</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MC's gross profit margin has increased slightly over the the prior year, from 45.8% in 2024 to 46.0% in 2025.</w:t>
      </w:r>
    </w:p>
    <w:p>
      <w:pPr>
        <w:spacing w:after="0" w:line="117" w:lineRule="exact"/>
        <w:rPr>
          <w:rFonts w:ascii="Arial" w:cs="Arial" w:eastAsia="Arial" w:hAnsi="Arial"/>
          <w:sz w:val="18"/>
          <w:szCs w:val="18"/>
          <w:b w:val="1"/>
          <w:bCs w:val="1"/>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AEC's gross profit margin decreased from 17.8% in 2024 to 12.4% in 2025, driven primarily by cumulative changes in the estimated profitability of long-term contracts, which decreased gross profit by $14.2 million in 2025, as compared to a decrease of $7.6 million during the six months ended June 30,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SG&amp;A expenses by business segment: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35,669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30,569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68,550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63,336</w:t>
            </w:r>
          </w:p>
        </w:tc>
      </w:tr>
      <w:tr>
        <w:trPr>
          <w:trHeight w:val="243"/>
        </w:trPr>
        <w:tc>
          <w:tcPr>
            <w:tcW w:w="48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60" w:type="dxa"/>
            <w:vAlign w:val="bottom"/>
          </w:tcPr>
          <w:p>
            <w:pPr>
              <w:spacing w:after="0"/>
              <w:rPr>
                <w:sz w:val="21"/>
                <w:szCs w:val="21"/>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b w:val="1"/>
                <w:bCs w:val="1"/>
                <w:color w:val="auto"/>
              </w:rPr>
              <w:t>11,777</w:t>
            </w:r>
          </w:p>
        </w:tc>
        <w:tc>
          <w:tcPr>
            <w:tcW w:w="380" w:type="dxa"/>
            <w:vAlign w:val="bottom"/>
          </w:tcPr>
          <w:p>
            <w:pPr>
              <w:spacing w:after="0"/>
              <w:rPr>
                <w:sz w:val="21"/>
                <w:szCs w:val="21"/>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12,786</w:t>
            </w:r>
          </w:p>
        </w:tc>
        <w:tc>
          <w:tcPr>
            <w:tcW w:w="400" w:type="dxa"/>
            <w:vAlign w:val="bottom"/>
          </w:tcPr>
          <w:p>
            <w:pPr>
              <w:spacing w:after="0"/>
              <w:rPr>
                <w:sz w:val="21"/>
                <w:szCs w:val="21"/>
                <w:color w:val="auto"/>
              </w:rPr>
            </w:pPr>
          </w:p>
        </w:tc>
        <w:tc>
          <w:tcPr>
            <w:tcW w:w="1300" w:type="dxa"/>
            <w:vAlign w:val="bottom"/>
          </w:tcPr>
          <w:p>
            <w:pPr>
              <w:jc w:val="right"/>
              <w:ind w:right="142"/>
              <w:spacing w:after="0"/>
              <w:rPr>
                <w:sz w:val="20"/>
                <w:szCs w:val="20"/>
                <w:color w:val="auto"/>
              </w:rPr>
            </w:pPr>
            <w:r>
              <w:rPr>
                <w:rFonts w:ascii="Arial" w:cs="Arial" w:eastAsia="Arial" w:hAnsi="Arial"/>
                <w:sz w:val="16"/>
                <w:szCs w:val="16"/>
                <w:b w:val="1"/>
                <w:bCs w:val="1"/>
                <w:color w:val="auto"/>
              </w:rPr>
              <w:t>21,903</w:t>
            </w:r>
          </w:p>
        </w:tc>
        <w:tc>
          <w:tcPr>
            <w:tcW w:w="340" w:type="dxa"/>
            <w:vAlign w:val="bottom"/>
          </w:tcPr>
          <w:p>
            <w:pPr>
              <w:spacing w:after="0"/>
              <w:rPr>
                <w:sz w:val="21"/>
                <w:szCs w:val="21"/>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24,326</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11,056</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12,160</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21,861</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22,688</w:t>
            </w:r>
          </w:p>
        </w:tc>
      </w:tr>
      <w:tr>
        <w:trPr>
          <w:trHeight w:val="23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58,502</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55,515</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112,314</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110,350</w:t>
            </w:r>
          </w:p>
        </w:tc>
      </w:tr>
      <w:tr>
        <w:trPr>
          <w:trHeight w:val="210"/>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18.8 %</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18.7 %</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r>
    </w:tbl>
    <w:p>
      <w:pPr>
        <w:spacing w:after="0" w:line="200" w:lineRule="exact"/>
        <w:rPr>
          <w:sz w:val="20"/>
          <w:szCs w:val="20"/>
          <w:color w:val="auto"/>
        </w:rPr>
      </w:pPr>
    </w:p>
    <w:p>
      <w:pPr>
        <w:sectPr>
          <w:pgSz w:w="11900" w:h="16838" w:orient="portrait"/>
          <w:cols w:equalWidth="0" w:num="1">
            <w:col w:w="11240"/>
          </w:cols>
          <w:pgMar w:left="320" w:top="10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Consolidated SG&amp;A expenses increased 5.4% as compared to the three months ended June 30, 2024, as a percentage of Net revenues, SG&amp;A expenses increased from 16.7% in 2024 to 18.8% in 2025.</w:t>
      </w:r>
    </w:p>
    <w:p>
      <w:pPr>
        <w:spacing w:after="0" w:line="45" w:lineRule="exact"/>
        <w:rPr>
          <w:sz w:val="20"/>
          <w:szCs w:val="20"/>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MC SG&amp;A expenses increased $5.1 million as compared to the three months ended June 30, 2024, primarily resulting from increases in unrealized gains and losses arising from the remeasurement of monetary assets and liabilities denominated in non-functional currencies (changes in currency translation rates), consulting costs and impacts of general inflationary pressures, offset by lower personnel-related costs.</w:t>
      </w:r>
    </w:p>
    <w:p>
      <w:pPr>
        <w:spacing w:after="0" w:line="68" w:lineRule="exact"/>
        <w:rPr>
          <w:rFonts w:ascii="Arial" w:cs="Arial" w:eastAsia="Arial" w:hAnsi="Arial"/>
          <w:sz w:val="18"/>
          <w:szCs w:val="18"/>
          <w:b w:val="1"/>
          <w:bCs w:val="1"/>
          <w:color w:val="auto"/>
        </w:rPr>
      </w:pPr>
    </w:p>
    <w:p>
      <w:pPr>
        <w:ind w:left="660" w:hanging="328"/>
        <w:spacing w:after="0" w:line="287"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AEC, SG&amp;A expenses decreased $1.0 million, compared to the three months ended June 30, 2024 primarily driven by lower incentive compensation and personnel-related costs.</w:t>
      </w:r>
    </w:p>
    <w:p>
      <w:pPr>
        <w:spacing w:after="0" w:line="44" w:lineRule="exact"/>
        <w:rPr>
          <w:rFonts w:ascii="Arial" w:cs="Arial" w:eastAsia="Arial" w:hAnsi="Arial"/>
          <w:sz w:val="18"/>
          <w:szCs w:val="18"/>
          <w:b w:val="1"/>
          <w:bCs w:val="1"/>
          <w:color w:val="auto"/>
        </w:rPr>
      </w:pPr>
    </w:p>
    <w:p>
      <w:pPr>
        <w:ind w:left="660" w:hanging="328"/>
        <w:spacing w:after="0" w:line="287"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Corporate SG&amp;A expenses decreased $1.1 million, compared to the three months ended June 30, 2024 principally due to lower incentive compensation and personnel-related costs, offset by a increase in professional fees.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Consolidated SG&amp;A expenses increased 1.8% as compared to the six months ended June 30, 2024, as a percentage of Net revenues, SG&amp;A expenses increased from 17.1% in 2024 to 18.7% in 2025.</w:t>
      </w:r>
    </w:p>
    <w:p>
      <w:pPr>
        <w:spacing w:after="0" w:line="45" w:lineRule="exact"/>
        <w:rPr>
          <w:sz w:val="20"/>
          <w:szCs w:val="20"/>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MC SG&amp;A expenses increased $5.2 million as compared to the six months ended June 30, 2024, primarily resulting from increases in unrealized gains and losses arising from the remeasurement of monetary assets and liabilities denominated in non-functional currencies (changes in currency translation rates), consulting costs and impacts of general inflationary pressures, offset by lower personnel-related costs.</w:t>
      </w:r>
    </w:p>
    <w:p>
      <w:pPr>
        <w:spacing w:after="0" w:line="68" w:lineRule="exact"/>
        <w:rPr>
          <w:rFonts w:ascii="Arial" w:cs="Arial" w:eastAsia="Arial" w:hAnsi="Arial"/>
          <w:sz w:val="18"/>
          <w:szCs w:val="18"/>
          <w:b w:val="1"/>
          <w:bCs w:val="1"/>
          <w:color w:val="auto"/>
        </w:rPr>
      </w:pPr>
    </w:p>
    <w:p>
      <w:pPr>
        <w:ind w:left="660" w:hanging="328"/>
        <w:spacing w:after="0" w:line="287"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 AEC, SG&amp;A expenses decreased $2.4 million, compared to the six months ended June 30, 2024 primarily driven by lower incentive compensation and personnel-related costs.</w:t>
      </w:r>
    </w:p>
    <w:p>
      <w:pPr>
        <w:spacing w:after="0" w:line="44" w:lineRule="exact"/>
        <w:rPr>
          <w:rFonts w:ascii="Arial" w:cs="Arial" w:eastAsia="Arial" w:hAnsi="Arial"/>
          <w:sz w:val="18"/>
          <w:szCs w:val="18"/>
          <w:b w:val="1"/>
          <w:bCs w:val="1"/>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Corporate SG&amp;A expenses decreased marginally $0.8 million, compared to the six months ended June 30, 2024 principally due lower incentive compensation and personnel-related costs, offset by a increase in professional fees and information technology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Research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technical and research expenses by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7,373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7,504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14,616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15,024</w:t>
            </w:r>
          </w:p>
        </w:tc>
      </w:tr>
      <w:tr>
        <w:trPr>
          <w:trHeight w:val="243"/>
        </w:trPr>
        <w:tc>
          <w:tcPr>
            <w:tcW w:w="55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80" w:type="dxa"/>
            <w:vAlign w:val="bottom"/>
          </w:tcPr>
          <w:p>
            <w:pPr>
              <w:spacing w:after="0"/>
              <w:rPr>
                <w:sz w:val="21"/>
                <w:szCs w:val="21"/>
                <w:color w:val="auto"/>
              </w:rPr>
            </w:pP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4,125</w:t>
            </w:r>
          </w:p>
        </w:tc>
        <w:tc>
          <w:tcPr>
            <w:tcW w:w="320" w:type="dxa"/>
            <w:vAlign w:val="bottom"/>
          </w:tcPr>
          <w:p>
            <w:pPr>
              <w:spacing w:after="0"/>
              <w:rPr>
                <w:sz w:val="21"/>
                <w:szCs w:val="21"/>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4,356</w:t>
            </w:r>
          </w:p>
        </w:tc>
        <w:tc>
          <w:tcPr>
            <w:tcW w:w="280" w:type="dxa"/>
            <w:vAlign w:val="bottom"/>
          </w:tcPr>
          <w:p>
            <w:pPr>
              <w:spacing w:after="0"/>
              <w:rPr>
                <w:sz w:val="21"/>
                <w:szCs w:val="21"/>
                <w:color w:val="auto"/>
              </w:rPr>
            </w:pPr>
          </w:p>
        </w:tc>
        <w:tc>
          <w:tcPr>
            <w:tcW w:w="1120" w:type="dxa"/>
            <w:vAlign w:val="bottom"/>
          </w:tcPr>
          <w:p>
            <w:pPr>
              <w:jc w:val="right"/>
              <w:ind w:right="142"/>
              <w:spacing w:after="0"/>
              <w:rPr>
                <w:sz w:val="20"/>
                <w:szCs w:val="20"/>
                <w:color w:val="auto"/>
              </w:rPr>
            </w:pPr>
            <w:r>
              <w:rPr>
                <w:rFonts w:ascii="Arial" w:cs="Arial" w:eastAsia="Arial" w:hAnsi="Arial"/>
                <w:sz w:val="16"/>
                <w:szCs w:val="16"/>
                <w:b w:val="1"/>
                <w:bCs w:val="1"/>
                <w:color w:val="auto"/>
              </w:rPr>
              <w:t>7,799</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9,501</w:t>
            </w: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1,054</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2,033</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3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12,552</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11,860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24,448</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24,525</w:t>
            </w:r>
          </w:p>
        </w:tc>
      </w:tr>
      <w:tr>
        <w:trPr>
          <w:trHeight w:val="21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4.0 %</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4.1 %</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Consolidated Technical and research expenses increased 5.8% as compared to the three months ended June 30, 2024 and as a percentage of Net revenues increased from 3.6% in 2024 to 4.0% in 2025.</w:t>
      </w:r>
    </w:p>
    <w:p>
      <w:pPr>
        <w:spacing w:after="0" w:line="37" w:lineRule="exact"/>
        <w:rPr>
          <w:sz w:val="20"/>
          <w:szCs w:val="20"/>
          <w:color w:val="auto"/>
        </w:rPr>
      </w:pPr>
    </w:p>
    <w:p>
      <w:pPr>
        <w:ind w:left="660" w:hanging="328"/>
        <w:spacing w:after="0" w:line="237" w:lineRule="auto"/>
        <w:tabs>
          <w:tab w:leader="none" w:pos="655"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MC Technical and research expenses decreased by $0.1 million as compared to the three months ended June 30, 2024 due to higher personnel and development related costs, offset by allocated costs to Corporate.</w:t>
      </w:r>
    </w:p>
    <w:p>
      <w:pPr>
        <w:spacing w:after="0" w:line="126" w:lineRule="exact"/>
        <w:rPr>
          <w:rFonts w:ascii="Arial" w:cs="Arial" w:eastAsia="Arial" w:hAnsi="Arial"/>
          <w:sz w:val="22"/>
          <w:szCs w:val="22"/>
          <w:b w:val="1"/>
          <w:bCs w:val="1"/>
          <w:color w:val="auto"/>
        </w:rPr>
      </w:pPr>
    </w:p>
    <w:p>
      <w:pPr>
        <w:ind w:left="660" w:right="20" w:hanging="328"/>
        <w:spacing w:after="0" w:line="237" w:lineRule="auto"/>
        <w:tabs>
          <w:tab w:leader="none" w:pos="655"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AEC Technical and research expenses decreased by $0.2 million as compared to the three months ended June 30, 2024, due to increases in research material and labor costs, offset by allocated costs to Corporate.</w:t>
      </w:r>
    </w:p>
    <w:p>
      <w:pPr>
        <w:spacing w:after="0" w:line="85" w:lineRule="exact"/>
        <w:rPr>
          <w:rFonts w:ascii="Arial" w:cs="Arial" w:eastAsia="Arial" w:hAnsi="Arial"/>
          <w:sz w:val="22"/>
          <w:szCs w:val="22"/>
          <w:b w:val="1"/>
          <w:bCs w:val="1"/>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expenses in the three months ended June 30, 2025 relate primarily to new business ventures initiatives and allocated costs from MC and AEC in 2025.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Consolidated Technical and research expenses remained relatively flat and increased by 0.3% compared to the six months ended June 30, 2024 and as a percentage of Net revenues increased from 3.8% in 2024 to 4.1% in 2025.</w:t>
      </w:r>
    </w:p>
    <w:p>
      <w:pPr>
        <w:sectPr>
          <w:pgSz w:w="11900" w:h="16838" w:orient="portrait"/>
          <w:cols w:equalWidth="0" w:num="1">
            <w:col w:w="11240"/>
          </w:cols>
          <w:pgMar w:left="320" w:top="102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32" w:name="page33"/>
    <w:bookmarkEnd w:id="32"/>
    <w:p>
      <w:pPr>
        <w:ind w:left="660" w:hanging="328"/>
        <w:spacing w:after="0" w:line="237" w:lineRule="auto"/>
        <w:tabs>
          <w:tab w:leader="none" w:pos="655"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MC Technical and research expenses decreased $0.4 million as compared to the six months ended June 30, 2024 primarily due to increased allocated costs to Corporate.</w:t>
      </w:r>
    </w:p>
    <w:p>
      <w:pPr>
        <w:spacing w:after="0" w:line="126" w:lineRule="exact"/>
        <w:rPr>
          <w:rFonts w:ascii="Arial" w:cs="Arial" w:eastAsia="Arial" w:hAnsi="Arial"/>
          <w:sz w:val="22"/>
          <w:szCs w:val="22"/>
          <w:b w:val="1"/>
          <w:bCs w:val="1"/>
          <w:color w:val="auto"/>
        </w:rPr>
      </w:pPr>
    </w:p>
    <w:p>
      <w:pPr>
        <w:ind w:left="660" w:right="20" w:hanging="328"/>
        <w:spacing w:after="0" w:line="237" w:lineRule="auto"/>
        <w:tabs>
          <w:tab w:leader="none" w:pos="655"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AEC Technical and research expenses decreased $1.7 million as compared to the six months ended June 30, 2024, due to decreases in research material and labor costs and increased allocated costs to Corporate.</w:t>
      </w:r>
    </w:p>
    <w:p>
      <w:pPr>
        <w:spacing w:after="0" w:line="85" w:lineRule="exact"/>
        <w:rPr>
          <w:rFonts w:ascii="Arial" w:cs="Arial" w:eastAsia="Arial" w:hAnsi="Arial"/>
          <w:sz w:val="22"/>
          <w:szCs w:val="22"/>
          <w:b w:val="1"/>
          <w:bCs w:val="1"/>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expenses in the six months ended June 30, 2025 relate primarily to new business ventures initiatives and allocated costs from MC and AEC in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the items discussed above affecting Gross profit, SG&amp;A and Technical and research expenses, Operating income was affected by Restructuring expense, net, of $4.2 million in the three months ended June 30, 2025, compared to $2.1 million in the three months ended June 30, 2024; and $6.7 million in the six months ended June 30, 2025, compared to $4.3 million in the six months ended June 30,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expenses, net by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r>
      <w:tr>
        <w:trPr>
          <w:trHeight w:val="211"/>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3,015</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1,087</w:t>
            </w:r>
          </w:p>
        </w:tc>
      </w:tr>
      <w:tr>
        <w:trPr>
          <w:trHeight w:val="216"/>
        </w:trPr>
        <w:tc>
          <w:tcPr>
            <w:tcW w:w="61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1,688</w:t>
            </w:r>
          </w:p>
        </w:tc>
        <w:tc>
          <w:tcPr>
            <w:tcW w:w="3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3,110</w:t>
            </w:r>
          </w:p>
        </w:tc>
      </w:tr>
      <w:tr>
        <w:trPr>
          <w:trHeight w:val="21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w:t>
            </w:r>
          </w:p>
        </w:tc>
      </w:tr>
      <w:tr>
        <w:trPr>
          <w:trHeight w:val="21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4,183</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6,698</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 MC, restructuring actions were taken in 2025 and 2024 to cease operations at five facilities.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three month ended June 30, 2025, these actions related to workforce reductions. For the three month ended June 30, 2024, these actions related to workforce reductions and inventory write-off costs.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 ended June 30, 2025, these actions related to workforce reductions, fixed asset impairments and related costs and inventory write-off costs of $6.1 million offset by a $1.8 million pension curtailment gain. For the six month ended June 30, 2024 these actions related to workforce reductions and write-off of inventory of $1.1 million.</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AEC, restructuring activities were related to reorganizational costs as well as a reduction in the workforce within AEC, which resulted in restructuring expenses of $0.5 million for the three months ended June 30, 2025 and $0.9 million for the three months ended June 30, 2024. For the six months ended June 30, 2025 and June 30, 2024, restructuring expenses were related to reductions in workforce and totaled $1.7 million and $3.1 million, respectively.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37,702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49,734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76,133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94,081</w:t>
            </w: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b w:val="1"/>
                <w:bCs w:val="1"/>
                <w:color w:val="auto"/>
              </w:rPr>
              <w:t>(2,674)</w:t>
            </w:r>
          </w:p>
        </w:tc>
        <w:tc>
          <w:tcPr>
            <w:tcW w:w="34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5,446</w:t>
            </w:r>
          </w:p>
        </w:tc>
        <w:tc>
          <w:tcPr>
            <w:tcW w:w="28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b w:val="1"/>
                <w:bCs w:val="1"/>
                <w:color w:val="auto"/>
              </w:rPr>
              <w:t>(1,058)</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10,604</w:t>
            </w:r>
          </w:p>
        </w:tc>
      </w:tr>
      <w:tr>
        <w:trPr>
          <w:trHeight w:val="216"/>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(12,758)</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(12,275)</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(24,542)</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(22,803)</w:t>
            </w:r>
          </w:p>
        </w:tc>
      </w:tr>
      <w:tr>
        <w:trPr>
          <w:trHeight w:val="20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22,270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42,905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50,533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81,882</w:t>
            </w: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7.2 %</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Changes in operating income were primarily attributable to the drivers noted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5,150</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8,805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6,269</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3,534</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5,657</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4,517</w:t>
            </w:r>
          </w:p>
        </w:tc>
        <w:tc>
          <w:tcPr>
            <w:tcW w:w="3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2,675</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10,530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20,849</w:t>
            </w:r>
          </w:p>
        </w:tc>
      </w:tr>
      <w:tr>
        <w:trPr>
          <w:trHeight w:val="21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Interest expense, net, increased over the prior year primarily due to higher average debt balances, in part offset by a larger amount of interest income earned on cash equivalents during the current year. See </w:t>
      </w:r>
      <w:r>
        <w:rPr>
          <w:rFonts w:ascii="Arial" w:cs="Arial" w:eastAsia="Arial" w:hAnsi="Arial"/>
          <w:sz w:val="18"/>
          <w:szCs w:val="18"/>
          <w:i w:val="1"/>
          <w:iCs w:val="1"/>
          <w:color w:val="auto"/>
        </w:rPr>
        <w:t>Note 15. Financial Instruments</w:t>
      </w:r>
      <w:r>
        <w:rPr>
          <w:rFonts w:ascii="Arial" w:cs="Arial" w:eastAsia="Arial" w:hAnsi="Arial"/>
          <w:sz w:val="18"/>
          <w:szCs w:val="18"/>
          <w:color w:val="auto"/>
        </w:rPr>
        <w:t xml:space="preserve"> in the Notes to Consolidated Financial Statements for further discussion of borrowings and interest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(income)/expense, net, included foreign currency related transactions, which resulted in losses of $5.7 million and $ 8.8 million in the three and six months ended June 30, 2025, as compared to losses of $0.2 million and gains of $1.1 million in the same period last year. These changes were the result of unrealized losses on intercompany loans. In addition, changes in the fair value of derivative instruments included gains of $0.7 million and $3.3 million in the three and six months ended March 31, 2025, as compared to losses of $4.4 million and $4.3 million for the three and six months ended June 30, 2024, driven by currency rate movements, most notably the Brazilian Real and Mexican Peso. Other (income)/expense, net, also included net gains of $1.6 million from the divestiture of Arcari during the three and six months ended June 30, 2025 along with amortization of debt issuance costs, and other non-operating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Three months ended June 30,</w:t>
            </w:r>
          </w:p>
        </w:tc>
        <w:tc>
          <w:tcPr>
            <w:tcW w:w="2620" w:type="dxa"/>
            <w:vAlign w:val="bottom"/>
            <w:tcBorders>
              <w:top w:val="single" w:sz="8" w:color="auto"/>
              <w:bottom w:val="single" w:sz="8" w:color="auto"/>
            </w:tcBorders>
            <w:gridSpan w:val="2"/>
          </w:tcPr>
          <w:p>
            <w:pPr>
              <w:jc w:val="right"/>
              <w:ind w:right="42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2024</w:t>
            </w:r>
          </w:p>
        </w:tc>
        <w:tc>
          <w:tcPr>
            <w:tcW w:w="146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24"/>
        </w:trPr>
        <w:tc>
          <w:tcPr>
            <w:tcW w:w="6400" w:type="dxa"/>
            <w:vAlign w:val="bottom"/>
            <w:gridSpan w:val="2"/>
            <w:shd w:val="clear" w:color="auto" w:fill="CCEEFF"/>
          </w:tcPr>
          <w:p>
            <w:pPr>
              <w:jc w:val="right"/>
              <w:ind w:right="4328"/>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31.3 %</w:t>
            </w:r>
          </w:p>
        </w:tc>
        <w:tc>
          <w:tcPr>
            <w:tcW w:w="14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27.9 %</w:t>
            </w:r>
          </w:p>
        </w:tc>
        <w:tc>
          <w:tcPr>
            <w:tcW w:w="1460" w:type="dxa"/>
            <w:vAlign w:val="bottom"/>
            <w:shd w:val="clear" w:color="auto" w:fill="CCEEFF"/>
          </w:tcPr>
          <w:p>
            <w:pPr>
              <w:jc w:val="right"/>
              <w:ind w:right="205"/>
              <w:spacing w:after="0"/>
              <w:rPr>
                <w:sz w:val="20"/>
                <w:szCs w:val="20"/>
                <w:color w:val="auto"/>
              </w:rPr>
            </w:pPr>
            <w:r>
              <w:rPr>
                <w:rFonts w:ascii="Arial" w:cs="Arial" w:eastAsia="Arial" w:hAnsi="Arial"/>
                <w:sz w:val="16"/>
                <w:szCs w:val="16"/>
                <w:b w:val="1"/>
                <w:bCs w:val="1"/>
                <w:color w:val="auto"/>
              </w:rPr>
              <w:t>28.3 %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28.6 %</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second quarter of 2025 was 31.3%, higher compared to 27.9% for the same period in 2024, mainly due to favorable discrete tax adjustments in the prior period exceeding favorable discrete tax adjustments in the current period. For more information, see </w:t>
      </w:r>
      <w:r>
        <w:rPr>
          <w:rFonts w:ascii="Arial" w:cs="Arial" w:eastAsia="Arial" w:hAnsi="Arial"/>
          <w:sz w:val="18"/>
          <w:szCs w:val="18"/>
          <w:i w:val="1"/>
          <w:iCs w:val="1"/>
          <w:color w:val="auto"/>
        </w:rPr>
        <w:t>Note 7, Income Taxes,</w:t>
      </w:r>
      <w:r>
        <w:rPr>
          <w:rFonts w:ascii="Arial" w:cs="Arial" w:eastAsia="Arial" w:hAnsi="Arial"/>
          <w:sz w:val="18"/>
          <w:szCs w:val="18"/>
          <w:color w:val="auto"/>
        </w:rPr>
        <w:t xml:space="preserve"> in the Notes to the Consolidated Financial Statements.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2025, there remains uncertainty as to the final Pillar Two model rules. We will continue to monitor U.S. and global legislative action related to Pillar Two for potential impacts.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both"/>
        <w:ind w:right="20"/>
        <w:spacing w:after="0" w:line="287" w:lineRule="auto"/>
        <w:rPr>
          <w:sz w:val="20"/>
          <w:szCs w:val="20"/>
          <w:color w:val="auto"/>
        </w:rPr>
      </w:pPr>
      <w:r>
        <w:rPr>
          <w:rFonts w:ascii="Arial" w:cs="Arial" w:eastAsia="Arial" w:hAnsi="Arial"/>
          <w:sz w:val="18"/>
          <w:szCs w:val="18"/>
          <w:color w:val="auto"/>
        </w:rPr>
        <w:t>On July 4, 2025, the One Big Beautiful Bill (OBBB) Act, which includes a broad range of tax reform provisions, was signed into law in the United States and we continue to assess its impact.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MC segment accounted for 58% and 59% of our consolidated revenues during the three and six months ended June 30, 2025. A summary of selected financial results for MC is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r>
      <w:tr>
        <w:trPr>
          <w:trHeight w:val="211"/>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180,926</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193,578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355,623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378,795</w:t>
            </w:r>
          </w:p>
        </w:tc>
      </w:tr>
      <w:tr>
        <w:trPr>
          <w:trHeight w:val="243"/>
        </w:trPr>
        <w:tc>
          <w:tcPr>
            <w:tcW w:w="55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1"/>
                <w:szCs w:val="21"/>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83,759</w:t>
            </w:r>
          </w:p>
        </w:tc>
        <w:tc>
          <w:tcPr>
            <w:tcW w:w="340" w:type="dxa"/>
            <w:vAlign w:val="bottom"/>
          </w:tcPr>
          <w:p>
            <w:pPr>
              <w:spacing w:after="0"/>
              <w:rPr>
                <w:sz w:val="21"/>
                <w:szCs w:val="21"/>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88,873</w:t>
            </w:r>
          </w:p>
        </w:tc>
        <w:tc>
          <w:tcPr>
            <w:tcW w:w="280" w:type="dxa"/>
            <w:vAlign w:val="bottom"/>
          </w:tcPr>
          <w:p>
            <w:pPr>
              <w:spacing w:after="0"/>
              <w:rPr>
                <w:sz w:val="21"/>
                <w:szCs w:val="21"/>
                <w:color w:val="auto"/>
              </w:rPr>
            </w:pP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163,661</w:t>
            </w:r>
          </w:p>
        </w:tc>
        <w:tc>
          <w:tcPr>
            <w:tcW w:w="320" w:type="dxa"/>
            <w:vAlign w:val="bottom"/>
          </w:tcPr>
          <w:p>
            <w:pPr>
              <w:spacing w:after="0"/>
              <w:rPr>
                <w:sz w:val="21"/>
                <w:szCs w:val="21"/>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173,528</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46.3 %</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r>
      <w:tr>
        <w:trPr>
          <w:trHeight w:val="243"/>
        </w:trPr>
        <w:tc>
          <w:tcPr>
            <w:tcW w:w="556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280" w:type="dxa"/>
            <w:vAlign w:val="bottom"/>
          </w:tcPr>
          <w:p>
            <w:pPr>
              <w:spacing w:after="0"/>
              <w:rPr>
                <w:sz w:val="21"/>
                <w:szCs w:val="21"/>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35,669</w:t>
            </w:r>
          </w:p>
        </w:tc>
        <w:tc>
          <w:tcPr>
            <w:tcW w:w="340" w:type="dxa"/>
            <w:vAlign w:val="bottom"/>
          </w:tcPr>
          <w:p>
            <w:pPr>
              <w:spacing w:after="0"/>
              <w:rPr>
                <w:sz w:val="21"/>
                <w:szCs w:val="21"/>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30,569</w:t>
            </w:r>
          </w:p>
        </w:tc>
        <w:tc>
          <w:tcPr>
            <w:tcW w:w="280" w:type="dxa"/>
            <w:vAlign w:val="bottom"/>
          </w:tcPr>
          <w:p>
            <w:pPr>
              <w:spacing w:after="0"/>
              <w:rPr>
                <w:sz w:val="21"/>
                <w:szCs w:val="21"/>
                <w:color w:val="auto"/>
              </w:rPr>
            </w:pP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68,550</w:t>
            </w:r>
          </w:p>
        </w:tc>
        <w:tc>
          <w:tcPr>
            <w:tcW w:w="320" w:type="dxa"/>
            <w:vAlign w:val="bottom"/>
          </w:tcPr>
          <w:p>
            <w:pPr>
              <w:spacing w:after="0"/>
              <w:rPr>
                <w:sz w:val="21"/>
                <w:szCs w:val="21"/>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63,336</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7,373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7,504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14,616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15,024</w:t>
            </w:r>
          </w:p>
        </w:tc>
      </w:tr>
      <w:tr>
        <w:trPr>
          <w:trHeight w:val="21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37,702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49,734</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76,133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94,081</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June 30, 2025, Net revenues decreased $12.7 million or 6.5% as compared to the three months ended June 30, 2024, driven by reduced demand in Asia, and an unplanned equipment downtime in one of our production facilities. In addition, changes in currency translation rates had the effect of decreasing Net revenues $(3.0) million.</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six months ended June 30, 2025, Net revenues decreased $23.2 million or 6.1% as compared to the six months ended June 30, 2024, driven by reduced demand in Asia, and an unplanned equipment downtime in one of our production facilities. In addition, changes in currency translation rates had the effect of decreasing Net revenues $0.5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June 30, 2025, Gross profit decreased by $5.1 million primarily the result of lower revenues during the second quarter of 2025, however the gross profit margin increased to 46.3% compared to 45.9% for the three months ended June 30, 2024.</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June 30, 2025, Gross profit decreased by $9.9 million primarily the result of lower revenues during the six months of 2025, however, the gross profit margin increased 46.0% compared to 45.8% for the six months ended June 30,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June 30, 2025, Operating income decreased as compared to the first three months of 2024, decreasing $12.0 million or 24.2%. The weaker Gross profit performance was slightly offset by lower Technical and Research expenses. SG&amp;A expenses increased $5.1 million as compared to 2024, primarily due to increases in unrealized gains and losses arising from the remeasurement of monetary assets and liabilities denominated in non-functional currencies (changes in currency translation rates), consulting costs and impacts of general inflationary pressures, offset by lower personnel-related costs. Technical and research expenses decreased $0.1 million as compared to 2024 due to lower personnel and development costs, along with an increase in allocated costs to Corporate.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2025, Operating income decreased as compared to the first six months of 2024, decreasing $17.9 million. The weaker Gross profit performance was impacted by higher SG&amp;A expenses which increased $5.2 million as compared to 2024, primarily due to increases in unrealized gains and losses arising from the remeasurement of monetary assets and liabilities denominated in non-functional currencies (changes in currency translation rates), consulting costs and impacts of general inflationary pressures, offset by lower personnel-related costs. Technical and research expenses decreased $0.4 million as compared to 2024 due to lower personnel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5" w:name="page36"/>
    <w:bookmarkEnd w:id="35"/>
    <w:p>
      <w:pPr>
        <w:jc w:val="both"/>
        <w:spacing w:after="0" w:line="287" w:lineRule="auto"/>
        <w:rPr>
          <w:sz w:val="20"/>
          <w:szCs w:val="20"/>
          <w:color w:val="auto"/>
        </w:rPr>
      </w:pPr>
      <w:r>
        <w:rPr>
          <w:rFonts w:ascii="Arial" w:cs="Arial" w:eastAsia="Arial" w:hAnsi="Arial"/>
          <w:sz w:val="18"/>
          <w:szCs w:val="18"/>
          <w:color w:val="auto"/>
        </w:rPr>
        <w:t>development costs, along with an increase in allocated costs to Corporate. In addition, Restructuring expenses increased $0.6 million related to recent announcements to cease operations at multiple manufacturing facilities, further reducing Operating income.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("AEC") Segment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AEC segment accounted for 42% and 41% of our consolidated revenues during the three and six months ended June 30, 2025, respectively. A summary of selected financial results for AEC is as follows: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130,473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138,416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244,550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266,529</w:t>
            </w:r>
          </w:p>
        </w:tc>
      </w:tr>
      <w:tr>
        <w:trPr>
          <w:trHeight w:val="243"/>
        </w:trPr>
        <w:tc>
          <w:tcPr>
            <w:tcW w:w="55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1"/>
                <w:szCs w:val="21"/>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13,748</w:t>
            </w:r>
          </w:p>
        </w:tc>
        <w:tc>
          <w:tcPr>
            <w:tcW w:w="340" w:type="dxa"/>
            <w:vAlign w:val="bottom"/>
          </w:tcPr>
          <w:p>
            <w:pPr>
              <w:spacing w:after="0"/>
              <w:rPr>
                <w:sz w:val="21"/>
                <w:szCs w:val="21"/>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23,510</w:t>
            </w:r>
          </w:p>
        </w:tc>
        <w:tc>
          <w:tcPr>
            <w:tcW w:w="280" w:type="dxa"/>
            <w:vAlign w:val="bottom"/>
          </w:tcPr>
          <w:p>
            <w:pPr>
              <w:spacing w:after="0"/>
              <w:rPr>
                <w:sz w:val="21"/>
                <w:szCs w:val="21"/>
                <w:color w:val="auto"/>
              </w:rPr>
            </w:pP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30,332</w:t>
            </w:r>
          </w:p>
        </w:tc>
        <w:tc>
          <w:tcPr>
            <w:tcW w:w="320" w:type="dxa"/>
            <w:vAlign w:val="bottom"/>
          </w:tcPr>
          <w:p>
            <w:pPr>
              <w:spacing w:after="0"/>
              <w:rPr>
                <w:sz w:val="21"/>
                <w:szCs w:val="21"/>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47,541</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10.5 %</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43"/>
        </w:trPr>
        <w:tc>
          <w:tcPr>
            <w:tcW w:w="556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280" w:type="dxa"/>
            <w:vAlign w:val="bottom"/>
          </w:tcPr>
          <w:p>
            <w:pPr>
              <w:spacing w:after="0"/>
              <w:rPr>
                <w:sz w:val="21"/>
                <w:szCs w:val="21"/>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11,777</w:t>
            </w:r>
          </w:p>
        </w:tc>
        <w:tc>
          <w:tcPr>
            <w:tcW w:w="340" w:type="dxa"/>
            <w:vAlign w:val="bottom"/>
          </w:tcPr>
          <w:p>
            <w:pPr>
              <w:spacing w:after="0"/>
              <w:rPr>
                <w:sz w:val="21"/>
                <w:szCs w:val="21"/>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12,786</w:t>
            </w:r>
          </w:p>
        </w:tc>
        <w:tc>
          <w:tcPr>
            <w:tcW w:w="280" w:type="dxa"/>
            <w:vAlign w:val="bottom"/>
          </w:tcPr>
          <w:p>
            <w:pPr>
              <w:spacing w:after="0"/>
              <w:rPr>
                <w:sz w:val="21"/>
                <w:szCs w:val="21"/>
                <w:color w:val="auto"/>
              </w:rPr>
            </w:pP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21,903</w:t>
            </w:r>
          </w:p>
        </w:tc>
        <w:tc>
          <w:tcPr>
            <w:tcW w:w="320" w:type="dxa"/>
            <w:vAlign w:val="bottom"/>
          </w:tcPr>
          <w:p>
            <w:pPr>
              <w:spacing w:after="0"/>
              <w:rPr>
                <w:sz w:val="21"/>
                <w:szCs w:val="21"/>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24,326</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4,125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4,356</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7,799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9,501</w:t>
            </w:r>
          </w:p>
        </w:tc>
      </w:tr>
      <w:tr>
        <w:trPr>
          <w:trHeight w:val="21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(2,674)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5,446</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10,604</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June 30, 2025, Net revenues decreased $7.9 million or 5.7% as compared to the three months ended June 30, 2024. This decrease is primarily driven by reductions on certain commercial and space programs, which was partially offset by higher revenues on CH-53K and other programs. Changes in currency translation rates had the effect of decreasing Net revenues $0.9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2025, Net revenues decreased $22.0 million or 8.2% as compared to the six months ended June 30, 2024. This decrease is primarily driven by reductions on certain commercial and space programs, which was partially offset by higher revenues on CH-53K and other programs. Changes in currency translation rates had the effect of decreasing Net revenues $0.4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34 percent and 40 percent of segment revenue for the first six months of 2025 and 2024, respectively.</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2025, gross profit decreased $9.8 million as compared to the three months ended June 30, 2024, and as a percentage of revenues decreased from 17.0% in 2024 to 10.5% in 2025. This decrease in gross profit was driven primarily by changes in the estimated profitability of long-term contracts, which decreased gross profit by $7.0 million in 2025 due to increased cost assumptions. For the three months ended June 30, 2024, adjustments in the estimated profitability of long-term contracts decreased gross profit $5.0 million.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six months ended June 30, 2025, gross profit decreased $ 17.2 million as compared to the six months ended June 30, 2024, and as a percentage of revenues decreased from 17.8% in 2024 to 12.4% in 2025. This decrease in gross profit was driven primarily by changes in the estimated profitability of long-term contracts, which decreased gross profit by $14.2 million in 2025 due to increased cost assumptions. For the six months ended June 30, 2024, adjustments in the estimated profitability of long-term contracts decreased gross profit $7.6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2025, Operating income decreased $8.1 million, principally due to reduced gross profit as noted above. This was offset by a decrease in SG&amp;A expenses of $1.0 million, primarily driven by decreased incentive compensation and personnel-related costs. Technical and research expenses decreased $0.2 million compared to the three months ended June 30, 2024, attributable to decreases in research and material costs, combined with allocations to Corporate. Further, restructuring expenses decreased $0.4 million compared to the three months ended June 30, 2024.</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2025, Operating income decreased $11.7 million, principally due to reduced gross profit as noted above. This was offset by a decrease in SG&amp;A expenses of $2.4 million, primarily driven by decreased incentive compensation and personnel-related costs. Technical and research expenses decreased $1.7 million compared to the six months ended June 30, 2024, attributable to decreases in research and material costs, combined with allocations to Corporate. Further, restructuring expenses decreased $1.4 million compared to the six months ended June 30,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26,681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52,089</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43,042</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44,693</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(24,434)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(5,688)</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(3,315)</w:t>
            </w:r>
          </w:p>
        </w:tc>
      </w:tr>
      <w:tr>
        <w:trPr>
          <w:trHeight w:val="216"/>
        </w:trPr>
        <w:tc>
          <w:tcPr>
            <w:tcW w:w="8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(4,768)</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r>
      <w:tr>
        <w:trPr>
          <w:trHeight w:val="237"/>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34,833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92,989</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(27,288)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(45,627)</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(24,508)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(98,225)</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8,369</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(6,118)</w:t>
            </w:r>
          </w:p>
        </w:tc>
      </w:tr>
      <w:tr>
        <w:trPr>
          <w:trHeight w:val="236"/>
        </w:trPr>
        <w:tc>
          <w:tcPr>
            <w:tcW w:w="8140" w:type="dxa"/>
            <w:vAlign w:val="bottom"/>
          </w:tcPr>
          <w:p>
            <w:pPr>
              <w:ind w:left="20"/>
              <w:spacing w:after="0"/>
              <w:rPr>
                <w:sz w:val="20"/>
                <w:szCs w:val="20"/>
                <w:color w:val="auto"/>
              </w:rPr>
            </w:pPr>
            <w:r>
              <w:rPr>
                <w:rFonts w:ascii="Arial" w:cs="Arial" w:eastAsia="Arial" w:hAnsi="Arial"/>
                <w:sz w:val="16"/>
                <w:szCs w:val="16"/>
                <w:color w:val="auto"/>
              </w:rPr>
              <w:t>Decrease in cash and cash equivalents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(8,594)</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(56,981)</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115,283</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173,420</w:t>
            </w:r>
          </w:p>
        </w:tc>
      </w:tr>
      <w:tr>
        <w:trPr>
          <w:trHeight w:val="236"/>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106,689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116,439</w:t>
            </w:r>
          </w:p>
        </w:tc>
      </w:tr>
    </w:tbl>
    <w:p>
      <w:pPr>
        <w:spacing w:after="0" w:line="8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3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operating activities during the six months ended June 30, 2025 was $34.8 million, compared to $93.0 million in the six months ended June 30, 2024. The decrease was primarily driven by a reduction in the gross profit of both segments, resulting in a lower net income compared to the first six months of 2024 and an increase in working capital.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included capital expenditures totaling $30.5 million and $46.6 million for the first six months ended June 30, 2025 and June 30, 2024, respectively, with investments focused on aerospace program support, continued maintenance capex and capital designed to improve operating efficiencies across the Company.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financing activities was $ 24.5 million for the six months ended June 30, 2025 as compared to net cash used of $98.2 million for the six months ended June 30, 2024. During 2025 we had net borrowings of $113.9 million as compared to net repayments of $79.6 million in the prior year. Additionally, the Company repurchased $120.4 million of share repurchases and paid dividends of $16.7 million in the first six months of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Liquidity and Capital Structure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finance our business activities principally with cash generated from operations and borrowings, largely through our revolving credit agreement as discussed below.</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Under our $800 million unsecured committed Amended Credit Agreement, $444.7 million of borrowings were outstanding as of June 30,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 of June 30, 2025, we had cash and cash equivalents of $106.7 million and borrowing capacity under our Amended Credit Agreement of $355.3 million, for a total liquidity of approximately $462.0 million. We believe cash flows from operations and the availability of funds under our Amended Credit Agreement will be adequate to fund our operations and business needs over the next twelve months. For more information on credit agreements, see </w:t>
      </w:r>
      <w:r>
        <w:rPr>
          <w:rFonts w:ascii="Arial" w:cs="Arial" w:eastAsia="Arial" w:hAnsi="Arial"/>
          <w:sz w:val="18"/>
          <w:szCs w:val="18"/>
          <w:i w:val="1"/>
          <w:iCs w:val="1"/>
          <w:color w:val="auto"/>
        </w:rPr>
        <w:t>Note 15. Financial Instruments</w:t>
      </w:r>
      <w:r>
        <w:rPr>
          <w:rFonts w:ascii="Arial" w:cs="Arial" w:eastAsia="Arial" w:hAnsi="Arial"/>
          <w:sz w:val="18"/>
          <w:szCs w:val="18"/>
          <w:color w:val="auto"/>
        </w:rPr>
        <w:t xml:space="preserve"> in the Notes to Consolidated Financial Statements.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2025, $85.3 million of our total cash and cash equivalents were held by non-U.S. subsidiaries. The accumulated undistributed earnings of the Company’s foreign operations not targeted for repatriation to the U.S. were in excess of $140.0 million, as of June 30, 2025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also returned cash to shareholders through dividends and share repurchases. During the six months ended June 30, 2025, we paid $16.7 million in dividends and repurchased 1,670,858 shares for a total cost i</w:t>
      </w:r>
      <w:r>
        <w:rPr>
          <w:rFonts w:ascii="Arial" w:cs="Arial" w:eastAsia="Arial" w:hAnsi="Arial"/>
          <w:sz w:val="16"/>
          <w:szCs w:val="16"/>
          <w:color w:val="auto"/>
        </w:rPr>
        <w:t>ncluding excise taxes and fees</w:t>
      </w:r>
      <w:r>
        <w:rPr>
          <w:rFonts w:ascii="Arial" w:cs="Arial" w:eastAsia="Arial" w:hAnsi="Arial"/>
          <w:sz w:val="18"/>
          <w:szCs w:val="18"/>
          <w:color w:val="auto"/>
        </w:rPr>
        <w:t xml:space="preserve"> of $120.4 million.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Earlier this year, the Company announced that it will be consolidating its corporate headquarters in Portsmouth, NH. This change impacts approximately 100 employees, will take place over the next year and a half, and will cost an estimated $7.0 million over that period related to retention, relocation, severance, and professional costs.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$10 million. There were no material changes in the Company’s off-balance sheet arrangements during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changes in both foreign currency exchange rates and interest rates. From time to time, the Company enters into derivative agreements to manage these risks. The market risk is the potential loss arising from adverse changes in these rates as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Our operational results can be materially impacted depending on the volatility and magnitude of foreign rate changes.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$586.3 million. The potential loss in fair value resulting from a hypothetical 10% adverse change in quoted foreign currency exchange rates amounts to $58.6 million. Furthermore, related to foreign currency transactions, we have exposure to various nonfunctional currency balances totaling $143.4 million. This amount includes, on an absolute basis, exposures to assets and liabilities held in currencies other than our local entities’ functional currencies. On a net basis, we had $14.6 million of foreign currency assets as of June 30, 2025. As currency rates change, these nonfunctional currency balances are revalued, and the corresponding adjustment is recorded in the income statement. A hypothetical change of 10% in currency rates could result in an adjustment to the income statement of approximately $1.5 million. Actual results may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June 30, 2025, we had the following unhedged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6737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 except interest rates)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5"/>
        </w:trPr>
        <w:tc>
          <w:tcPr>
            <w:tcW w:w="6780" w:type="dxa"/>
            <w:vAlign w:val="bottom"/>
          </w:tcPr>
          <w:p>
            <w:pPr>
              <w:ind w:left="200"/>
              <w:spacing w:after="0"/>
              <w:rPr>
                <w:sz w:val="20"/>
                <w:szCs w:val="20"/>
                <w:color w:val="auto"/>
              </w:rPr>
            </w:pPr>
            <w:r>
              <w:rPr>
                <w:rFonts w:ascii="Arial" w:cs="Arial" w:eastAsia="Arial" w:hAnsi="Arial"/>
                <w:sz w:val="16"/>
                <w:szCs w:val="16"/>
                <w:color w:val="auto"/>
              </w:rPr>
              <w:t>Credit agreement borrowings outstanding (due in 2028):</w:t>
            </w:r>
          </w:p>
        </w:tc>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USD borrowings (end of period all-in interest rate of 6.0%)</w:t>
            </w:r>
          </w:p>
        </w:tc>
        <w:tc>
          <w:tcPr>
            <w:tcW w:w="2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214,000</w:t>
            </w: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EUR borrowings (end of period all-in interest rate of 3.5%)</w:t>
            </w:r>
          </w:p>
        </w:tc>
        <w:tc>
          <w:tcPr>
            <w:tcW w:w="2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52,843</w:t>
            </w:r>
          </w:p>
        </w:tc>
      </w:tr>
      <w:tr>
        <w:trPr>
          <w:trHeight w:val="216"/>
        </w:trPr>
        <w:tc>
          <w:tcPr>
            <w:tcW w:w="6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Foreign bank debt</w:t>
            </w:r>
          </w:p>
        </w:tc>
        <w:tc>
          <w:tcPr>
            <w:tcW w:w="2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0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266,843</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Assuming borrowings were outstanding for an entire year, an increase of one percentage point in weighted average interest rates would increase interest expense by $2.6 million. To manage interest rate risk, we may periodically enter into interest rate swap agreements to effectively fix the interest rates on variable debt to a specific rate for a period of time. See </w:t>
      </w:r>
      <w:r>
        <w:rPr>
          <w:rFonts w:ascii="Arial" w:cs="Arial" w:eastAsia="Arial" w:hAnsi="Arial"/>
          <w:sz w:val="18"/>
          <w:szCs w:val="18"/>
          <w:i w:val="1"/>
          <w:iCs w:val="1"/>
          <w:color w:val="auto"/>
        </w:rPr>
        <w:t>Note 15. Financial Instruments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8"/>
          <w:szCs w:val="18"/>
          <w:color w:val="auto"/>
        </w:rPr>
        <w:t>and communicated to the Company’s management, including its principal executive officer and principal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information set forth above under </w:t>
      </w:r>
      <w:r>
        <w:rPr>
          <w:rFonts w:ascii="Arial" w:cs="Arial" w:eastAsia="Arial" w:hAnsi="Arial"/>
          <w:sz w:val="18"/>
          <w:szCs w:val="18"/>
          <w:i w:val="1"/>
          <w:iCs w:val="1"/>
          <w:color w:val="auto"/>
        </w:rPr>
        <w:t>Note 17. Commitments and Contingencies</w:t>
      </w:r>
      <w:r>
        <w:rPr>
          <w:rFonts w:ascii="Arial" w:cs="Arial" w:eastAsia="Arial" w:hAnsi="Arial"/>
          <w:sz w:val="18"/>
          <w:szCs w:val="18"/>
          <w:color w:val="auto"/>
        </w:rPr>
        <w:t xml:space="preserve"> in Item 1, Notes to Consolidated Financial Statements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during the three months ended June 30, 2025</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vMerge w:val="restart"/>
          </w:tcPr>
          <w:p>
            <w:pPr>
              <w:jc w:val="right"/>
              <w:ind w:right="39"/>
              <w:spacing w:after="0"/>
              <w:rPr>
                <w:sz w:val="20"/>
                <w:szCs w:val="20"/>
                <w:color w:val="auto"/>
              </w:rPr>
            </w:pPr>
            <w:r>
              <w:rPr>
                <w:rFonts w:ascii="Arial" w:cs="Arial" w:eastAsia="Arial" w:hAnsi="Arial"/>
                <w:sz w:val="16"/>
                <w:szCs w:val="16"/>
                <w:color w:val="auto"/>
              </w:rPr>
              <w:t>Total number of shares</w:t>
            </w: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color w:val="auto"/>
              </w:rPr>
              <w:t>Average price</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Total number of shares purchased as</w:t>
            </w:r>
          </w:p>
        </w:tc>
        <w:tc>
          <w:tcPr>
            <w:tcW w:w="160" w:type="dxa"/>
            <w:vAlign w:val="bottom"/>
          </w:tcPr>
          <w:p>
            <w:pPr>
              <w:spacing w:after="0"/>
              <w:rPr>
                <w:sz w:val="16"/>
                <w:szCs w:val="16"/>
                <w:color w:val="auto"/>
              </w:rPr>
            </w:pPr>
          </w:p>
        </w:tc>
        <w:tc>
          <w:tcPr>
            <w:tcW w:w="2980" w:type="dxa"/>
            <w:vAlign w:val="bottom"/>
          </w:tcPr>
          <w:p>
            <w:pPr>
              <w:jc w:val="center"/>
              <w:ind w:right="39"/>
              <w:spacing w:after="0"/>
              <w:rPr>
                <w:sz w:val="20"/>
                <w:szCs w:val="20"/>
                <w:color w:val="auto"/>
              </w:rPr>
            </w:pPr>
            <w:r>
              <w:rPr>
                <w:rFonts w:ascii="Arial" w:cs="Arial" w:eastAsia="Arial" w:hAnsi="Arial"/>
                <w:sz w:val="16"/>
                <w:szCs w:val="16"/>
                <w:color w:val="auto"/>
              </w:rPr>
              <w:t>Approx. dollar value of shares that may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color w:val="auto"/>
              </w:rPr>
              <w:t>Period</w:t>
            </w:r>
          </w:p>
        </w:tc>
        <w:tc>
          <w:tcPr>
            <w:tcW w:w="18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yet be purchased under the program (in</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0" w:type="dxa"/>
            <w:vAlign w:val="bottom"/>
          </w:tcPr>
          <w:p>
            <w:pPr>
              <w:jc w:val="right"/>
              <w:ind w:right="479"/>
              <w:spacing w:after="0" w:line="175" w:lineRule="exact"/>
              <w:rPr>
                <w:sz w:val="20"/>
                <w:szCs w:val="20"/>
                <w:color w:val="auto"/>
              </w:rPr>
            </w:pPr>
            <w:r>
              <w:rPr>
                <w:rFonts w:ascii="Arial" w:cs="Arial" w:eastAsia="Arial" w:hAnsi="Arial"/>
                <w:sz w:val="16"/>
                <w:szCs w:val="16"/>
                <w:color w:val="auto"/>
              </w:rPr>
              <w:t>purchased</w:t>
            </w:r>
          </w:p>
        </w:tc>
        <w:tc>
          <w:tcPr>
            <w:tcW w:w="136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paid per share</w:t>
            </w:r>
          </w:p>
        </w:tc>
        <w:tc>
          <w:tcPr>
            <w:tcW w:w="2800" w:type="dxa"/>
            <w:vAlign w:val="bottom"/>
          </w:tcPr>
          <w:p>
            <w:pPr>
              <w:jc w:val="right"/>
              <w:ind w:right="59"/>
              <w:spacing w:after="0" w:line="175" w:lineRule="exact"/>
              <w:rPr>
                <w:sz w:val="20"/>
                <w:szCs w:val="20"/>
                <w:color w:val="auto"/>
              </w:rPr>
            </w:pPr>
            <w:r>
              <w:rPr>
                <w:rFonts w:ascii="Arial" w:cs="Arial" w:eastAsia="Arial" w:hAnsi="Arial"/>
                <w:sz w:val="16"/>
                <w:szCs w:val="16"/>
                <w:color w:val="auto"/>
              </w:rPr>
              <w:t>part of publicly announced program</w:t>
            </w:r>
          </w:p>
        </w:tc>
        <w:tc>
          <w:tcPr>
            <w:tcW w:w="160" w:type="dxa"/>
            <w:vAlign w:val="bottom"/>
          </w:tcPr>
          <w:p>
            <w:pPr>
              <w:spacing w:after="0"/>
              <w:rPr>
                <w:sz w:val="15"/>
                <w:szCs w:val="15"/>
                <w:color w:val="auto"/>
              </w:rPr>
            </w:pPr>
          </w:p>
        </w:tc>
        <w:tc>
          <w:tcPr>
            <w:tcW w:w="2980" w:type="dxa"/>
            <w:vAlign w:val="bottom"/>
          </w:tcPr>
          <w:p>
            <w:pPr>
              <w:jc w:val="center"/>
              <w:ind w:right="59"/>
              <w:spacing w:after="0" w:line="175" w:lineRule="exact"/>
              <w:rPr>
                <w:sz w:val="20"/>
                <w:szCs w:val="20"/>
                <w:color w:val="auto"/>
              </w:rPr>
            </w:pPr>
            <w:r>
              <w:rPr>
                <w:rFonts w:ascii="Arial" w:cs="Arial" w:eastAsia="Arial" w:hAnsi="Arial"/>
                <w:sz w:val="16"/>
                <w:szCs w:val="16"/>
                <w:color w:val="auto"/>
              </w:rPr>
              <w:t>thousands)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80" w:type="dxa"/>
            <w:vAlign w:val="bottom"/>
            <w:gridSpan w:val="3"/>
            <w:vMerge w:val="restart"/>
          </w:tcPr>
          <w:p>
            <w:pPr>
              <w:spacing w:after="0"/>
              <w:rPr>
                <w:sz w:val="20"/>
                <w:szCs w:val="20"/>
                <w:color w:val="auto"/>
              </w:rPr>
            </w:pPr>
            <w:r>
              <w:rPr>
                <w:rFonts w:ascii="Arial" w:cs="Arial" w:eastAsia="Arial" w:hAnsi="Arial"/>
                <w:sz w:val="16"/>
                <w:szCs w:val="16"/>
                <w:color w:val="auto"/>
              </w:rPr>
              <w:t>April 1 to April 30, 2025</w:t>
            </w: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80" w:type="dxa"/>
            <w:vAlign w:val="bottom"/>
            <w:gridSpan w:val="3"/>
            <w:vMerge w:val="continue"/>
          </w:tcPr>
          <w:p>
            <w:pPr>
              <w:spacing w:after="0"/>
              <w:rPr>
                <w:sz w:val="18"/>
                <w:szCs w:val="18"/>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193,444</w:t>
            </w:r>
          </w:p>
        </w:tc>
        <w:tc>
          <w:tcPr>
            <w:tcW w:w="0" w:type="dxa"/>
            <w:vAlign w:val="bottom"/>
          </w:tcPr>
          <w:p>
            <w:pPr>
              <w:spacing w:after="0"/>
              <w:rPr>
                <w:sz w:val="1"/>
                <w:szCs w:val="1"/>
                <w:color w:val="auto"/>
              </w:rPr>
            </w:pPr>
          </w:p>
        </w:tc>
      </w:tr>
      <w:tr>
        <w:trPr>
          <w:trHeight w:val="215"/>
        </w:trPr>
        <w:tc>
          <w:tcPr>
            <w:tcW w:w="2080" w:type="dxa"/>
            <w:vAlign w:val="bottom"/>
            <w:gridSpan w:val="3"/>
          </w:tcPr>
          <w:p>
            <w:pPr>
              <w:spacing w:after="0"/>
              <w:rPr>
                <w:sz w:val="20"/>
                <w:szCs w:val="20"/>
                <w:color w:val="auto"/>
              </w:rPr>
            </w:pPr>
            <w:r>
              <w:rPr>
                <w:rFonts w:ascii="Arial" w:cs="Arial" w:eastAsia="Arial" w:hAnsi="Arial"/>
                <w:sz w:val="16"/>
                <w:szCs w:val="16"/>
                <w:color w:val="auto"/>
              </w:rPr>
              <w:t>May 1 to May 31,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422,279</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66.46</w:t>
            </w:r>
          </w:p>
        </w:tc>
        <w:tc>
          <w:tcPr>
            <w:tcW w:w="2800" w:type="dxa"/>
            <w:vAlign w:val="bottom"/>
          </w:tcPr>
          <w:p>
            <w:pPr>
              <w:jc w:val="right"/>
              <w:spacing w:after="0"/>
              <w:rPr>
                <w:sz w:val="20"/>
                <w:szCs w:val="20"/>
                <w:color w:val="auto"/>
              </w:rPr>
            </w:pPr>
            <w:r>
              <w:rPr>
                <w:rFonts w:ascii="Arial" w:cs="Arial" w:eastAsia="Arial" w:hAnsi="Arial"/>
                <w:sz w:val="16"/>
                <w:szCs w:val="16"/>
                <w:color w:val="auto"/>
              </w:rPr>
              <w:t>422,279</w:t>
            </w:r>
          </w:p>
        </w:tc>
        <w:tc>
          <w:tcPr>
            <w:tcW w:w="1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165,381</w:t>
            </w:r>
          </w:p>
        </w:tc>
        <w:tc>
          <w:tcPr>
            <w:tcW w:w="0" w:type="dxa"/>
            <w:vAlign w:val="bottom"/>
          </w:tcPr>
          <w:p>
            <w:pPr>
              <w:spacing w:after="0"/>
              <w:rPr>
                <w:sz w:val="1"/>
                <w:szCs w:val="1"/>
                <w:color w:val="auto"/>
              </w:rPr>
            </w:pPr>
          </w:p>
        </w:tc>
      </w:tr>
      <w:tr>
        <w:trPr>
          <w:trHeight w:val="217"/>
        </w:trPr>
        <w:tc>
          <w:tcPr>
            <w:tcW w:w="2080" w:type="dxa"/>
            <w:vAlign w:val="bottom"/>
            <w:gridSpan w:val="3"/>
          </w:tcPr>
          <w:p>
            <w:pPr>
              <w:spacing w:after="0"/>
              <w:rPr>
                <w:sz w:val="20"/>
                <w:szCs w:val="20"/>
                <w:color w:val="auto"/>
              </w:rPr>
            </w:pPr>
            <w:r>
              <w:rPr>
                <w:rFonts w:ascii="Arial" w:cs="Arial" w:eastAsia="Arial" w:hAnsi="Arial"/>
                <w:sz w:val="16"/>
                <w:szCs w:val="16"/>
                <w:color w:val="auto"/>
              </w:rPr>
              <w:t>June 1 to June 30, 2025</w:t>
            </w: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323,136</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67.88</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323,136</w:t>
            </w: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143,445</w:t>
            </w:r>
          </w:p>
        </w:tc>
        <w:tc>
          <w:tcPr>
            <w:tcW w:w="0" w:type="dxa"/>
            <w:vAlign w:val="bottom"/>
          </w:tcPr>
          <w:p>
            <w:pPr>
              <w:spacing w:after="0"/>
              <w:rPr>
                <w:sz w:val="1"/>
                <w:szCs w:val="1"/>
                <w:color w:val="auto"/>
              </w:rPr>
            </w:pPr>
          </w:p>
        </w:tc>
      </w:tr>
      <w:tr>
        <w:trPr>
          <w:trHeight w:val="211"/>
        </w:trPr>
        <w:tc>
          <w:tcPr>
            <w:tcW w:w="2080" w:type="dxa"/>
            <w:vAlign w:val="bottom"/>
            <w:gridSpan w:val="3"/>
          </w:tcPr>
          <w:p>
            <w:pPr>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745,415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67.08</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143,445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21, 2025, the Company's Board of Directors authorized the Company to repurchase shares up to $ 250 million (excluding any fees, commissions, taxes or other expenses related to such purchases), which replaces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 In total, the Company has repurchased 1,670,858 shares in 2025 for a total cost including excise taxes and fees</w:t>
      </w:r>
      <w:r>
        <w:rPr>
          <w:rFonts w:ascii="Arial" w:cs="Arial" w:eastAsia="Arial" w:hAnsi="Arial"/>
          <w:sz w:val="16"/>
          <w:szCs w:val="16"/>
          <w:color w:val="auto"/>
        </w:rPr>
        <w:t>.</w:t>
      </w:r>
      <w:r>
        <w:rPr>
          <w:rFonts w:ascii="Arial" w:cs="Arial" w:eastAsia="Arial" w:hAnsi="Arial"/>
          <w:sz w:val="18"/>
          <w:szCs w:val="18"/>
          <w:color w:val="auto"/>
        </w:rPr>
        <w:t>of $120.4 million. As of June 30, 2025, we were authorized to repurchase shares up to $143.4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June 30, 2025,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76"/>
        </w:trPr>
        <w:tc>
          <w:tcPr>
            <w:tcW w:w="12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10(u)(x)</w:t>
            </w:r>
          </w:p>
        </w:tc>
        <w:tc>
          <w:tcPr>
            <w:tcW w:w="9980" w:type="dxa"/>
            <w:vAlign w:val="bottom"/>
            <w:gridSpan w:val="6"/>
            <w:shd w:val="clear" w:color="auto" w:fill="CCEEFF"/>
          </w:tcPr>
          <w:p>
            <w:pPr>
              <w:spacing w:after="0" w:line="177" w:lineRule="exact"/>
              <w:rPr>
                <w:sz w:val="20"/>
                <w:szCs w:val="20"/>
                <w:color w:val="auto"/>
              </w:rPr>
            </w:pPr>
            <w:r>
              <w:rPr>
                <w:rFonts w:ascii="Arial" w:cs="Arial" w:eastAsia="Arial" w:hAnsi="Arial"/>
                <w:sz w:val="16"/>
                <w:szCs w:val="16"/>
                <w:color w:val="0000FF"/>
              </w:rPr>
              <w:t>Voluntary Separation Agreement and General Release, dated May 16, 2025, between the Company and Robert Starr.</w:t>
            </w:r>
          </w:p>
        </w:tc>
      </w:tr>
      <w:tr>
        <w:trPr>
          <w:trHeight w:val="217"/>
        </w:trPr>
        <w:tc>
          <w:tcPr>
            <w:tcW w:w="1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31.1</w:t>
            </w:r>
          </w:p>
        </w:tc>
        <w:tc>
          <w:tcPr>
            <w:tcW w:w="7280" w:type="dxa"/>
            <w:vAlign w:val="bottom"/>
            <w:tcBorders>
              <w:top w:val="single" w:sz="8" w:color="0000FF"/>
              <w:bottom w:val="single" w:sz="8" w:color="0000FF"/>
            </w:tcBorders>
            <w:gridSpan w:val="3"/>
            <w:shd w:val="clear" w:color="auto" w:fill="CCEEFF"/>
          </w:tcPr>
          <w:p>
            <w:pPr>
              <w:spacing w:after="0"/>
              <w:rPr>
                <w:sz w:val="20"/>
                <w:szCs w:val="20"/>
                <w:color w:val="auto"/>
              </w:rPr>
            </w:pPr>
            <w:r>
              <w:rPr>
                <w:rFonts w:ascii="Arial" w:cs="Arial" w:eastAsia="Arial" w:hAnsi="Arial"/>
                <w:sz w:val="16"/>
                <w:szCs w:val="16"/>
                <w:color w:val="0000FF"/>
              </w:rPr>
              <w:t>Certification of the Chief Executive Officer pursuant to Rule 13a-14(a)/15d-14(a) of the Exchange Act.</w:t>
            </w:r>
          </w:p>
        </w:tc>
        <w:tc>
          <w:tcPr>
            <w:tcW w:w="1160" w:type="dxa"/>
            <w:vAlign w:val="bottom"/>
            <w:tcBorders>
              <w:top w:val="single" w:sz="8" w:color="0000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6"/>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r>
      <w:tr>
        <w:trPr>
          <w:trHeight w:val="20"/>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United States Code).</w:t>
            </w:r>
          </w:p>
        </w:tc>
        <w:tc>
          <w:tcPr>
            <w:tcW w:w="82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2"/>
        </w:trPr>
        <w:tc>
          <w:tcPr>
            <w:tcW w:w="126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9980" w:type="dxa"/>
            <w:vAlign w:val="bottom"/>
            <w:gridSpan w:val="6"/>
          </w:tcPr>
          <w:p>
            <w:pPr>
              <w:spacing w:after="0" w:line="162"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15"/>
        </w:trPr>
        <w:tc>
          <w:tcPr>
            <w:tcW w:w="126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Arial" w:cs="Arial" w:eastAsia="Arial" w:hAnsi="Arial"/>
                <w:sz w:val="16"/>
                <w:szCs w:val="16"/>
                <w:color w:val="auto"/>
              </w:rPr>
              <w:t>within the Inline XBRL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104</w:t>
            </w:r>
          </w:p>
        </w:tc>
        <w:tc>
          <w:tcPr>
            <w:tcW w:w="9980" w:type="dxa"/>
            <w:vAlign w:val="bottom"/>
            <w:gridSpan w:val="6"/>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r>
        <w:trPr>
          <w:trHeight w:val="1007"/>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2"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July 30, 2025</w:t>
      </w:r>
      <w:r>
        <w:rPr>
          <w:sz w:val="20"/>
          <w:szCs w:val="20"/>
          <w:color w:val="auto"/>
        </w:rPr>
        <w:tab/>
      </w:r>
      <w:r>
        <w:rPr>
          <w:rFonts w:ascii="Arial" w:cs="Arial" w:eastAsia="Arial" w:hAnsi="Arial"/>
          <w:sz w:val="16"/>
          <w:szCs w:val="16"/>
          <w:color w:val="auto"/>
        </w:rPr>
        <w:t>By</w:t>
        <w:tab/>
        <w:t>/s/ Jairaj Chetnani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20955</wp:posOffset>
            </wp:positionV>
            <wp:extent cx="41065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Jairaj Chetnani</w:t>
      </w:r>
    </w:p>
    <w:p>
      <w:pPr>
        <w:ind w:left="4560"/>
        <w:spacing w:after="0" w:line="211" w:lineRule="auto"/>
        <w:rPr>
          <w:sz w:val="20"/>
          <w:szCs w:val="20"/>
          <w:color w:val="auto"/>
        </w:rPr>
      </w:pPr>
      <w:r>
        <w:rPr>
          <w:rFonts w:ascii="Arial" w:cs="Arial" w:eastAsia="Arial" w:hAnsi="Arial"/>
          <w:sz w:val="16"/>
          <w:szCs w:val="16"/>
          <w:color w:val="auto"/>
        </w:rPr>
        <w:t>Chief Financial Officer, Vice President Investor Relations and Treasurer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039"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(10(u)(x)</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0F4761"/>
        </w:rPr>
        <w:t>V</w:t>
      </w:r>
      <w:r>
        <w:rPr>
          <w:rFonts w:ascii="Times New Roman" w:cs="Times New Roman" w:eastAsia="Times New Roman" w:hAnsi="Times New Roman"/>
          <w:sz w:val="25"/>
          <w:szCs w:val="25"/>
          <w:color w:val="000000"/>
        </w:rPr>
        <w:t>OLUNTARY SEPARATION AGREEMENT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and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GENERAL RELEASE</w:t>
      </w:r>
    </w:p>
    <w:p>
      <w:pPr>
        <w:spacing w:after="0" w:line="24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THIS MUTUAL SEPARATION AGREEMENT and GENERAL RELEASE (the “Agreement”) is dated as of </w:t>
      </w:r>
      <w:r>
        <w:rPr>
          <w:rFonts w:ascii="Times New Roman" w:cs="Times New Roman" w:eastAsia="Times New Roman" w:hAnsi="Times New Roman"/>
          <w:sz w:val="22"/>
          <w:szCs w:val="22"/>
          <w:b w:val="1"/>
          <w:bCs w:val="1"/>
          <w:color w:val="auto"/>
        </w:rPr>
        <w:t>May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2025</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Albany International Corp. </w:t>
      </w:r>
      <w:r>
        <w:rPr>
          <w:rFonts w:ascii="Times New Roman" w:cs="Times New Roman" w:eastAsia="Times New Roman" w:hAnsi="Times New Roman"/>
          <w:sz w:val="22"/>
          <w:szCs w:val="22"/>
          <w:color w:val="auto"/>
        </w:rPr>
        <w:t>its subsidiaries and affiliates (hereinafter collectively referred to as “Albany”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“the Company”) and </w:t>
      </w:r>
      <w:r>
        <w:rPr>
          <w:rFonts w:ascii="Times New Roman" w:cs="Times New Roman" w:eastAsia="Times New Roman" w:hAnsi="Times New Roman"/>
          <w:sz w:val="22"/>
          <w:szCs w:val="22"/>
          <w:b w:val="1"/>
          <w:bCs w:val="1"/>
          <w:color w:val="auto"/>
        </w:rPr>
        <w:t>Robert Starr</w:t>
      </w:r>
      <w:r>
        <w:rPr>
          <w:rFonts w:ascii="Times New Roman" w:cs="Times New Roman" w:eastAsia="Times New Roman" w:hAnsi="Times New Roman"/>
          <w:sz w:val="22"/>
          <w:szCs w:val="22"/>
          <w:color w:val="auto"/>
        </w:rPr>
        <w:t xml:space="preserve"> (hereinafter referred to as “Employee”).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WITNESSETH</w:t>
      </w:r>
    </w:p>
    <w:p>
      <w:pPr>
        <w:spacing w:after="0" w:line="23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WHEREAS, Employee has been, and is currently, employed by Albany as Executive Vice President and Chief Financial Officer and interim Chief Accounting Officer; and</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WHEREAS, Employee has informed Albany of his desire to voluntarily resign from his position to pursue other interests and opportunities; and</w:t>
      </w:r>
    </w:p>
    <w:p>
      <w:pPr>
        <w:spacing w:after="0" w:line="18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WHEREAS, Albany has requested, and Employee has agreed to remain in Albany’s employment through May 23, 2025, in order to transition his duties to an interim Chief Financial Officer and interim Chief Accounting Officer, and to be available for a period of eight (8) weeks thereafter to respond to any questions regarding the transition of his duties; and</w:t>
      </w:r>
    </w:p>
    <w:p>
      <w:pPr>
        <w:spacing w:after="0" w:line="20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WHEREAS, Employee and Albany each believe that it is in their best interests to set forth their agreement in writing and to provide Employee with the certain protections and consideration for his commitments, as stated herein.</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2"/>
          <w:szCs w:val="22"/>
          <w:color w:val="auto"/>
        </w:rPr>
        <w:t>Now, therefore, in consideration of the premises, covenants and conditions set forth herein and other good and valuable consideration, the receipt and sufficiency of which is hereby acknowledged, Albany and Employee hereby agree as follows:</w:t>
      </w:r>
    </w:p>
    <w:p>
      <w:pPr>
        <w:spacing w:after="0" w:line="195" w:lineRule="exact"/>
        <w:rPr>
          <w:sz w:val="20"/>
          <w:szCs w:val="20"/>
          <w:color w:val="auto"/>
        </w:rPr>
      </w:pPr>
    </w:p>
    <w:p>
      <w:pPr>
        <w:ind w:left="620" w:hanging="288"/>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Employee acknowledges that on </w:t>
      </w:r>
      <w:r>
        <w:rPr>
          <w:rFonts w:ascii="Times New Roman" w:cs="Times New Roman" w:eastAsia="Times New Roman" w:hAnsi="Times New Roman"/>
          <w:sz w:val="21"/>
          <w:szCs w:val="21"/>
          <w:b w:val="1"/>
          <w:bCs w:val="1"/>
          <w:color w:val="auto"/>
        </w:rPr>
        <w:t>May 16, 2025,</w:t>
      </w:r>
      <w:r>
        <w:rPr>
          <w:rFonts w:ascii="Times New Roman" w:cs="Times New Roman" w:eastAsia="Times New Roman" w:hAnsi="Times New Roman"/>
          <w:sz w:val="21"/>
          <w:szCs w:val="21"/>
          <w:color w:val="auto"/>
        </w:rPr>
        <w:t xml:space="preserve"> he was given this Agreement and was afforded 21 days to consider same.</w:t>
      </w:r>
    </w:p>
    <w:p>
      <w:pPr>
        <w:spacing w:after="0" w:line="249" w:lineRule="exact"/>
        <w:rPr>
          <w:sz w:val="20"/>
          <w:szCs w:val="20"/>
          <w:color w:val="auto"/>
        </w:rPr>
      </w:pPr>
    </w:p>
    <w:p>
      <w:pPr>
        <w:ind w:left="660" w:right="880" w:hanging="328"/>
        <w:spacing w:after="0" w:line="258" w:lineRule="auto"/>
        <w:tabs>
          <w:tab w:leader="none" w:pos="61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Employee was, and hereby is, advised to consult a lawyer before signing this Agreement and did in fact have the opportunity to obtain the advice of counsel.</w:t>
      </w:r>
    </w:p>
    <w:p>
      <w:pPr>
        <w:spacing w:after="0" w:line="185" w:lineRule="exact"/>
        <w:rPr>
          <w:sz w:val="20"/>
          <w:szCs w:val="20"/>
          <w:color w:val="auto"/>
        </w:rPr>
      </w:pPr>
    </w:p>
    <w:p>
      <w:pPr>
        <w:ind w:left="660" w:right="140" w:hanging="328"/>
        <w:spacing w:after="0" w:line="244" w:lineRule="auto"/>
        <w:tabs>
          <w:tab w:leader="none" w:pos="61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Employee may accept this Agreement only by signing, dating and delivering the Agreement to Albany (in the manner set forth in Paragraph 22) on or before Albany’s normal close of business on </w:t>
      </w:r>
      <w:r>
        <w:rPr>
          <w:rFonts w:ascii="Times New Roman" w:cs="Times New Roman" w:eastAsia="Times New Roman" w:hAnsi="Times New Roman"/>
          <w:sz w:val="22"/>
          <w:szCs w:val="22"/>
          <w:b w:val="1"/>
          <w:bCs w:val="1"/>
          <w:color w:val="auto"/>
        </w:rPr>
        <w:t>June 16, 2025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Time is of the essence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regard to this Paragraph 3.</w:t>
      </w:r>
    </w:p>
    <w:p>
      <w:pPr>
        <w:spacing w:after="0" w:line="200" w:lineRule="exact"/>
        <w:rPr>
          <w:rFonts w:ascii="Times New Roman" w:cs="Times New Roman" w:eastAsia="Times New Roman" w:hAnsi="Times New Roman"/>
          <w:sz w:val="20"/>
          <w:szCs w:val="20"/>
          <w:color w:val="auto"/>
        </w:rPr>
      </w:pPr>
    </w:p>
    <w:p>
      <w:pPr>
        <w:jc w:val="both"/>
        <w:ind w:firstLine="656"/>
        <w:spacing w:after="0" w:line="236" w:lineRule="auto"/>
        <w:tabs>
          <w:tab w:leader="none" w:pos="87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may revoke this Agreement at any time within seven (7) days after signing and delivering it to Albany by notifying Albany in writing (in the manner set forth in Paragraph 22) of Employee’s decision to revoke. </w:t>
      </w:r>
      <w:r>
        <w:rPr>
          <w:rFonts w:ascii="Times New Roman" w:cs="Times New Roman" w:eastAsia="Times New Roman" w:hAnsi="Times New Roman"/>
          <w:sz w:val="22"/>
          <w:szCs w:val="22"/>
          <w:b w:val="1"/>
          <w:bCs w:val="1"/>
          <w:u w:val="single" w:color="auto"/>
          <w:color w:val="auto"/>
        </w:rPr>
        <w:t>Time is of the essence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with regard to this Paragraph 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become effective on the first day following the expiration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revocation period (the “Effective Date”) provided Employee had not provided notice of revocation.</w:t>
      </w:r>
    </w:p>
    <w:p>
      <w:pPr>
        <w:sectPr>
          <w:pgSz w:w="11900" w:h="16838" w:orient="portrait"/>
          <w:cols w:equalWidth="0" w:num="1">
            <w:col w:w="11240"/>
          </w:cols>
          <w:pgMar w:left="320" w:top="890" w:right="339" w:bottom="1440" w:gutter="0" w:footer="0" w:header="0"/>
        </w:sectPr>
      </w:pPr>
    </w:p>
    <w:bookmarkStart w:id="44" w:name="page45"/>
    <w:bookmarkEnd w:id="44"/>
    <w:p>
      <w:pPr>
        <w:ind w:left="652"/>
        <w:spacing w:after="0"/>
        <w:rPr>
          <w:sz w:val="20"/>
          <w:szCs w:val="20"/>
          <w:color w:val="auto"/>
        </w:rPr>
      </w:pPr>
      <w:r>
        <w:rPr>
          <w:rFonts w:ascii="Times New Roman" w:cs="Times New Roman" w:eastAsia="Times New Roman" w:hAnsi="Times New Roman"/>
          <w:sz w:val="22"/>
          <w:szCs w:val="22"/>
          <w:color w:val="auto"/>
        </w:rPr>
        <w:t xml:space="preserve">5. Employee’s employment with Albany shall terminate on </w:t>
      </w:r>
      <w:r>
        <w:rPr>
          <w:rFonts w:ascii="Times New Roman" w:cs="Times New Roman" w:eastAsia="Times New Roman" w:hAnsi="Times New Roman"/>
          <w:sz w:val="22"/>
          <w:szCs w:val="22"/>
          <w:b w:val="1"/>
          <w:bCs w:val="1"/>
          <w:color w:val="auto"/>
        </w:rPr>
        <w:t>May 23, 2025</w:t>
      </w:r>
      <w:r>
        <w:rPr>
          <w:rFonts w:ascii="Times New Roman" w:cs="Times New Roman" w:eastAsia="Times New Roman" w:hAnsi="Times New Roman"/>
          <w:sz w:val="22"/>
          <w:szCs w:val="22"/>
          <w:color w:val="auto"/>
        </w:rPr>
        <w:t xml:space="preserve"> (the “Separation Date”).</w:t>
      </w:r>
    </w:p>
    <w:p>
      <w:pPr>
        <w:spacing w:after="0" w:line="237" w:lineRule="exact"/>
        <w:rPr>
          <w:sz w:val="20"/>
          <w:szCs w:val="20"/>
          <w:color w:val="auto"/>
        </w:rPr>
      </w:pPr>
    </w:p>
    <w:p>
      <w:pPr>
        <w:ind w:left="-8" w:right="320" w:firstLine="8"/>
        <w:spacing w:after="0" w:line="238" w:lineRule="auto"/>
        <w:tabs>
          <w:tab w:leader="none" w:pos="20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Separation Date, Employee shall assist in the transition of his duties and responsibilities as directed by his supervisor. During the remainder of Employee’s employment with Albany, Albany shall continue to pay Employee at his current rate of compensation less (i) applicable withholdings for taxes, (ii) deductions for premiums due from Employee for any health care or life insurance coverage provided by or through Albany, (iii) 401(k), profit-sharing or other Albany benefit plan contributions and (iv) any other applicable or agreed upon withholdings.</w:t>
      </w:r>
    </w:p>
    <w:p>
      <w:pPr>
        <w:spacing w:after="0" w:line="190" w:lineRule="exact"/>
        <w:rPr>
          <w:rFonts w:ascii="Times New Roman" w:cs="Times New Roman" w:eastAsia="Times New Roman" w:hAnsi="Times New Roman"/>
          <w:sz w:val="22"/>
          <w:szCs w:val="22"/>
          <w:color w:val="auto"/>
        </w:rPr>
      </w:pPr>
    </w:p>
    <w:p>
      <w:pPr>
        <w:ind w:left="-8" w:right="280" w:firstLine="8"/>
        <w:spacing w:after="0" w:line="238" w:lineRule="auto"/>
        <w:tabs>
          <w:tab w:leader="none" w:pos="20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on or after the Separation Date he shall execute an additional release in the form annexed hereto (the “Supplemental Release”) covering the period from the date of Employee’s execution of this Agreement through the Separation Date. Employee acknowledges and agrees that the obligations to be performed by Albany under this agreement after the Separation Date shall be contingent upon the execution of the Supplemental Release. Failure to execute the Supplemental Release, however, will not affect the validity of the release contained in Paragraph 12 of this Agreement.</w:t>
      </w:r>
    </w:p>
    <w:p>
      <w:pPr>
        <w:spacing w:after="0" w:line="203" w:lineRule="exact"/>
        <w:rPr>
          <w:rFonts w:ascii="Times New Roman" w:cs="Times New Roman" w:eastAsia="Times New Roman" w:hAnsi="Times New Roman"/>
          <w:sz w:val="22"/>
          <w:szCs w:val="22"/>
          <w:color w:val="auto"/>
        </w:rPr>
      </w:pPr>
    </w:p>
    <w:p>
      <w:pPr>
        <w:ind w:left="-8" w:right="240" w:firstLine="8"/>
        <w:spacing w:after="0" w:line="238" w:lineRule="auto"/>
        <w:tabs>
          <w:tab w:leader="none" w:pos="20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Employee’s employment and after the irrevocability of this Agreement, Albany agrees to provide Employee the following benefits to which he otherwise would not be entitled. Employee acknowledges and agrees that these benefits constitute adequate legal consideration for the promises and representations made by him in this Agreement, including the covenants set forth in paragraphs 11, 12, 13 and 22, and are in lieu of any benefits payable under any severance plan or agreement now in existence or adopted prior to the Separation Date:</w:t>
      </w:r>
    </w:p>
    <w:p>
      <w:pPr>
        <w:spacing w:after="0" w:line="199" w:lineRule="exact"/>
        <w:rPr>
          <w:rFonts w:ascii="Times New Roman" w:cs="Times New Roman" w:eastAsia="Times New Roman" w:hAnsi="Times New Roman"/>
          <w:sz w:val="22"/>
          <w:szCs w:val="22"/>
          <w:color w:val="auto"/>
        </w:rPr>
      </w:pPr>
    </w:p>
    <w:p>
      <w:pPr>
        <w:jc w:val="both"/>
        <w:ind w:left="652" w:hanging="328"/>
        <w:spacing w:after="0" w:line="233" w:lineRule="auto"/>
        <w:tabs>
          <w:tab w:leader="none" w:pos="62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Albany will pay Employee the gross sum of </w:t>
      </w:r>
      <w:r>
        <w:rPr>
          <w:rFonts w:ascii="Times New Roman" w:cs="Times New Roman" w:eastAsia="Times New Roman" w:hAnsi="Times New Roman"/>
          <w:sz w:val="22"/>
          <w:szCs w:val="22"/>
          <w:b w:val="1"/>
          <w:bCs w:val="1"/>
          <w:color w:val="auto"/>
        </w:rPr>
        <w:t>$250,000.00</w:t>
      </w:r>
      <w:r>
        <w:rPr>
          <w:rFonts w:ascii="Times New Roman" w:cs="Times New Roman" w:eastAsia="Times New Roman" w:hAnsi="Times New Roman"/>
          <w:sz w:val="22"/>
          <w:szCs w:val="22"/>
          <w:color w:val="auto"/>
        </w:rPr>
        <w:t>, less applicable withholdings and deductions required by law, or otherwise agreed to by the parties. Said payment will be made in a lump sum by check, or direct deposit, on the first normal pay date after the Effective Date (and may contain a pro rata payment to account for any partial or prepaid, but unearned salary). In the event Employee dies before such payment is made hereunder, the balance of such payment shall be paid to his spouse or, if he shall have no such spouse at that time, to his estate.</w:t>
      </w:r>
    </w:p>
    <w:p>
      <w:pPr>
        <w:spacing w:after="0" w:line="1" w:lineRule="exact"/>
        <w:rPr>
          <w:rFonts w:ascii="Times New Roman" w:cs="Times New Roman" w:eastAsia="Times New Roman" w:hAnsi="Times New Roman"/>
          <w:sz w:val="20"/>
          <w:szCs w:val="20"/>
          <w:color w:val="auto"/>
        </w:rPr>
      </w:pPr>
    </w:p>
    <w:p>
      <w:pPr>
        <w:jc w:val="both"/>
        <w:ind w:left="652" w:hanging="328"/>
        <w:spacing w:after="0" w:line="230" w:lineRule="auto"/>
        <w:tabs>
          <w:tab w:leader="none" w:pos="6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Due to the voluntary nature of Employee’s resignation, the daily pro rata vesting of the Performance Share Units granted pursuant to the multi-year Performance Bonus Agreements previously granted to Employee shall be suspended as of May 23, 2025, but the vested portions of the awards shall be paid in full (subject to performance) following the end of each three-year performance period. The Restricted Stock Units previously granted to Employee shall be forfeited and shall not vest.</w:t>
      </w:r>
    </w:p>
    <w:p>
      <w:pPr>
        <w:spacing w:after="0" w:line="2" w:lineRule="exact"/>
        <w:rPr>
          <w:rFonts w:ascii="Times New Roman" w:cs="Times New Roman" w:eastAsia="Times New Roman" w:hAnsi="Times New Roman"/>
          <w:sz w:val="20"/>
          <w:szCs w:val="20"/>
          <w:color w:val="auto"/>
        </w:rPr>
      </w:pPr>
    </w:p>
    <w:p>
      <w:pPr>
        <w:jc w:val="both"/>
        <w:ind w:left="652" w:hanging="328"/>
        <w:spacing w:after="0" w:line="237" w:lineRule="auto"/>
        <w:tabs>
          <w:tab w:leader="none" w:pos="642"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Should Employee elect, pursuant to the protections afforded by the Consolidated Omnibus Budget Reconciliation Act (“COBRA”), to continue group health care coverage as is from time to time provided by or through the Company to all similarly situated eligible employees, Albany shall pay the employer portion of the continuation premium for the first six</w:t>
      </w:r>
    </w:p>
    <w:p>
      <w:pPr>
        <w:jc w:val="both"/>
        <w:ind w:left="652"/>
        <w:spacing w:after="0" w:line="23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(6) months of coverage, or until Employee revokes such election, provided: (i) Employee timely elects continuation coverage pursuant to the Company’s regular COBRA procedures and (ii) pays the employee portion of the contribution premium for the remaining months of eligibility, plus a 2% administration fee.</w:t>
      </w:r>
    </w:p>
    <w:p>
      <w:pPr>
        <w:spacing w:after="0" w:line="1" w:lineRule="exact"/>
        <w:rPr>
          <w:rFonts w:ascii="Times New Roman" w:cs="Times New Roman" w:eastAsia="Times New Roman" w:hAnsi="Times New Roman"/>
          <w:sz w:val="19"/>
          <w:szCs w:val="19"/>
          <w:color w:val="auto"/>
        </w:rPr>
      </w:pPr>
    </w:p>
    <w:p>
      <w:pPr>
        <w:ind w:left="652" w:right="20" w:hanging="328"/>
        <w:spacing w:after="0" w:line="230" w:lineRule="auto"/>
        <w:tabs>
          <w:tab w:leader="none" w:pos="6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any prior agreement or policy to the contrary, upon the Effective Date of this Agreement, Albany shall waive and forgive Employee’s obligation to repay any relocation expenses previously reimbursed by the Company.</w:t>
      </w:r>
    </w:p>
    <w:p>
      <w:pPr>
        <w:spacing w:after="0" w:line="1" w:lineRule="exact"/>
        <w:rPr>
          <w:rFonts w:ascii="Times New Roman" w:cs="Times New Roman" w:eastAsia="Times New Roman" w:hAnsi="Times New Roman"/>
          <w:sz w:val="20"/>
          <w:szCs w:val="20"/>
          <w:color w:val="auto"/>
        </w:rPr>
      </w:pPr>
    </w:p>
    <w:p>
      <w:pPr>
        <w:ind w:left="652" w:hanging="328"/>
        <w:spacing w:after="0" w:line="237" w:lineRule="auto"/>
        <w:tabs>
          <w:tab w:leader="none" w:pos="64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Effective on the date specified in Paragraph 1 above, Employee was no longer an employee of Albany, and ceased to accrue benefits under any pension, profit-sharing or other Albany employee welfare benefit plan.</w:t>
      </w:r>
    </w:p>
    <w:p>
      <w:pPr>
        <w:sectPr>
          <w:pgSz w:w="11900" w:h="16838" w:orient="portrait"/>
          <w:cols w:equalWidth="0" w:num="1">
            <w:col w:w="11232"/>
          </w:cols>
          <w:pgMar w:left="328" w:top="878" w:right="339" w:bottom="1440" w:gutter="0" w:footer="0" w:header="0"/>
        </w:sectPr>
      </w:pPr>
    </w:p>
    <w:bookmarkStart w:id="45" w:name="page46"/>
    <w:bookmarkEnd w:id="45"/>
    <w:p>
      <w:pPr>
        <w:ind w:left="-8" w:right="20" w:firstLine="656"/>
        <w:spacing w:after="0" w:line="244" w:lineRule="auto"/>
        <w:tabs>
          <w:tab w:leader="none" w:pos="856"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except for this Agreement, Employee would have no right to receive all of the benefits described in Paragraph 8. Employee further acknowledges and agrees that in the event Albany terminates Employee’s employment for Cause, he shall then not be entitled to any of the benefits described in Paragraph 8.</w:t>
      </w:r>
    </w:p>
    <w:p>
      <w:pPr>
        <w:spacing w:after="0" w:line="200" w:lineRule="exact"/>
        <w:rPr>
          <w:rFonts w:ascii="Times New Roman" w:cs="Times New Roman" w:eastAsia="Times New Roman" w:hAnsi="Times New Roman"/>
          <w:sz w:val="22"/>
          <w:szCs w:val="22"/>
          <w:color w:val="auto"/>
        </w:rPr>
      </w:pPr>
    </w:p>
    <w:p>
      <w:pPr>
        <w:ind w:left="-8" w:right="120" w:firstLine="656"/>
        <w:spacing w:after="0" w:line="236" w:lineRule="auto"/>
        <w:tabs>
          <w:tab w:leader="none" w:pos="96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“Albany” means, individually and collectively, Albany International Corp., and each of its subsidiaries and affiliates, as well as their respective employee welfare benefit plans, employee pension benefit plans, successors and assigns, as well as all present and former shareholders, directors, officers, fiduciaries, agents, representatives and employees of those companies and other entities.</w:t>
      </w:r>
    </w:p>
    <w:p>
      <w:pPr>
        <w:spacing w:after="0" w:line="206" w:lineRule="exact"/>
        <w:rPr>
          <w:rFonts w:ascii="Times New Roman" w:cs="Times New Roman" w:eastAsia="Times New Roman" w:hAnsi="Times New Roman"/>
          <w:sz w:val="22"/>
          <w:szCs w:val="22"/>
          <w:color w:val="auto"/>
        </w:rPr>
      </w:pPr>
    </w:p>
    <w:p>
      <w:pPr>
        <w:ind w:left="-8" w:right="40" w:firstLine="8"/>
        <w:spacing w:after="0" w:line="244" w:lineRule="auto"/>
        <w:tabs>
          <w:tab w:leader="none" w:pos="30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this Agreement Employee immediately gives up and releases Albany from, and respect to, any and all rights and claims that Employee may have against Albany, whether or not Employee presently is aware of such rights or claims. In addition, and without limiting the foregoing:</w:t>
      </w:r>
    </w:p>
    <w:p>
      <w:pPr>
        <w:spacing w:after="0" w:line="200" w:lineRule="exact"/>
        <w:rPr>
          <w:rFonts w:ascii="Times New Roman" w:cs="Times New Roman" w:eastAsia="Times New Roman" w:hAnsi="Times New Roman"/>
          <w:sz w:val="22"/>
          <w:szCs w:val="22"/>
          <w:color w:val="auto"/>
        </w:rPr>
      </w:pPr>
    </w:p>
    <w:p>
      <w:pPr>
        <w:jc w:val="both"/>
        <w:ind w:left="652" w:hanging="328"/>
        <w:spacing w:after="0" w:line="230" w:lineRule="auto"/>
        <w:tabs>
          <w:tab w:leader="none" w:pos="62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Employee on behalf of himself, his agents, spouse, representatives, assignees, attorneys, heirs, executors and administrators, fully releases Albany and Albany’s past and present successors, assigns, parents, divisions, subsidiaries, affiliates, officers, directors, shareholders, employees, agents and representatives from any and all liability, claims, demands, actions, causes of action, suits, grievances, debts, sums of moneys, controversies, agreements, promises, damages, back and front pay, costs, expenses, attorneys fees, and remedies of any type, which Employee now has or hereafter may have, by reason of any matter, cause, act or omission arising out of or in connection with Employee’s employment or the termination of her employment with Albany, including, without limiting the generality of the foregoing, any claims, demands or actions arising under the Age Discrimination in Employment Act of 1967, the Older Worker’s Benefit Protection Act, the Employee Retirement Income Security Act of 1974, Title VII of the Civil Rights Act of 1964, the Civil Rights act of 1991, the Civil Rights Act of 1866, the Rehabilitation Act of 1973, the Americans with Disabilities Act of 1990, and any other federal, state or local statute, ordinance or common law of any state regarding employment, discrimination in employment, or the termination of employment. Nothing herein, however, shall be deemed a waiver of any vested rights or entitlements Employee may have under any retirement or other employee benefit plans administered by Albany. Notwithstanding the foregoing, Employee is not waiving any right that cannot, as a matter of law, be voluntarily waived, including the right to file a claim, or participate in the adjudication of claim of discrimination filed with any state or federal administrative agency, though Employee expressly waives any right to recover any monetary damages as a result of any claim being filed with any state or federal administrative agency, except to the extent such waiver is improper or invalid, including as described in the immediately following sentence. Notwithstanding anything herein or in any other agreement with or policy (including without limitation any code of conduct or employee manual) of the Company, nothing herein or therein is intended to or shall: (i) prohibit Employee from making reports of possible violations of federal law or regulation (even if Employee participated in such violations) to, and cooperating with,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(ii) require notification to or prior approval by the Company of any such reporting or cooperation; or (iii) result in a waiver or other limitation of Employee’s rights and remedies as a whistleblower, including to a monetary award; </w:t>
      </w:r>
      <w:r>
        <w:rPr>
          <w:rFonts w:ascii="Times New Roman" w:cs="Times New Roman" w:eastAsia="Times New Roman" w:hAnsi="Times New Roman"/>
          <w:sz w:val="22"/>
          <w:szCs w:val="22"/>
          <w:u w:val="single" w:color="auto"/>
          <w:color w:val="auto"/>
        </w:rPr>
        <w:t>provided, however, that</w:t>
      </w:r>
      <w:r>
        <w:rPr>
          <w:rFonts w:ascii="Times New Roman" w:cs="Times New Roman" w:eastAsia="Times New Roman" w:hAnsi="Times New Roman"/>
          <w:sz w:val="22"/>
          <w:szCs w:val="22"/>
          <w:color w:val="auto"/>
        </w:rPr>
        <w:t xml:space="preserve"> Employee is not authorized (and the above should not be read as permitting Employee) to disclose communications with counsel that were made for the purpose of receiving legal advice or that contain legal advice or that are protected by the attorney work product or similar privilege. Furthermore, Employee will not be held criminally or civilly liable under any federal or state trade secret law for the disclosure of a trade secret that is made (1) in confidence to a federal, state or local government official, either directly or indirectly,</w:t>
      </w:r>
    </w:p>
    <w:p>
      <w:pPr>
        <w:sectPr>
          <w:pgSz w:w="11900" w:h="16838" w:orient="portrait"/>
          <w:cols w:equalWidth="0" w:num="1">
            <w:col w:w="11232"/>
          </w:cols>
          <w:pgMar w:left="328" w:top="882" w:right="339" w:bottom="1440" w:gutter="0" w:footer="0" w:header="0"/>
        </w:sectPr>
      </w:pPr>
    </w:p>
    <w:bookmarkStart w:id="46" w:name="page47"/>
    <w:bookmarkEnd w:id="46"/>
    <w:p>
      <w:pPr>
        <w:jc w:val="both"/>
        <w:ind w:left="652"/>
        <w:spacing w:after="0" w:line="238" w:lineRule="auto"/>
        <w:rPr>
          <w:sz w:val="20"/>
          <w:szCs w:val="20"/>
          <w:color w:val="auto"/>
        </w:rPr>
      </w:pPr>
      <w:r>
        <w:rPr>
          <w:rFonts w:ascii="Times New Roman" w:cs="Times New Roman" w:eastAsia="Times New Roman" w:hAnsi="Times New Roman"/>
          <w:sz w:val="22"/>
          <w:szCs w:val="22"/>
          <w:color w:val="auto"/>
        </w:rPr>
        <w:t>or to an attorney, in each case, solely for the purpose of reporting or investigating a suspected violation of law or (2) in a complaint or other document filed in a lawsuit or proceeding, if such filings are made under seal. Finally, neither party waives any right or claim to take legal action necessary to enforce this Agreement.</w:t>
      </w:r>
    </w:p>
    <w:p>
      <w:pPr>
        <w:jc w:val="both"/>
        <w:ind w:left="652" w:hanging="328"/>
        <w:spacing w:after="0" w:line="235" w:lineRule="auto"/>
        <w:tabs>
          <w:tab w:leader="none" w:pos="6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Employee breaches any obligation under this Agreement, including without limitation the obligations set forth in Paragraphs 12, 14, 15, 16, or 24, Employee agrees that Albany shall not be obligated to continue to make payments under Paragraph 9, and to reimburse Albany for all payments made pursuant to Paragraph 9.</w:t>
      </w:r>
    </w:p>
    <w:p>
      <w:pPr>
        <w:spacing w:after="0" w:line="191" w:lineRule="exact"/>
        <w:rPr>
          <w:rFonts w:ascii="Times New Roman" w:cs="Times New Roman" w:eastAsia="Times New Roman" w:hAnsi="Times New Roman"/>
          <w:sz w:val="20"/>
          <w:szCs w:val="20"/>
          <w:color w:val="auto"/>
        </w:rPr>
      </w:pPr>
    </w:p>
    <w:p>
      <w:pPr>
        <w:ind w:left="-8" w:firstLine="656"/>
        <w:spacing w:after="0" w:line="258" w:lineRule="auto"/>
        <w:tabs>
          <w:tab w:leader="none" w:pos="96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does not constitute an admission by Albany of any liability to Employee, and Employee understands and agrees that Albany denies any such liability to Employee.</w:t>
      </w:r>
    </w:p>
    <w:p>
      <w:pPr>
        <w:spacing w:after="0" w:line="185" w:lineRule="exact"/>
        <w:rPr>
          <w:rFonts w:ascii="Times New Roman" w:cs="Times New Roman" w:eastAsia="Times New Roman" w:hAnsi="Times New Roman"/>
          <w:sz w:val="22"/>
          <w:szCs w:val="22"/>
          <w:color w:val="auto"/>
        </w:rPr>
      </w:pPr>
    </w:p>
    <w:p>
      <w:pPr>
        <w:ind w:left="-8" w:right="40" w:firstLine="8"/>
        <w:spacing w:after="0" w:line="249" w:lineRule="auto"/>
        <w:tabs>
          <w:tab w:leader="none" w:pos="31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specifically agrees and promises that he will not disparage Albany, (as defined in Paragraph 11) or any of Albany’s officers, directors, employees, attorneys, or representatives, or any of Albany’s products or services to any person or entity. “Disparage” is defined as any utterance, either verbal or in writing, that is so disloyal, reckless, or maliciously untrue as to forfeit the protections afforded to Employee by Section 7 of the National Labor Relations Act. Nothing contained in this Paragraph is intended to restrict Employee from discussing the terms and conditions of his employment with fellow employees, any state or federal administrative agency, or cooperating with any investigation of Albany by the National Labor Relations Board.</w:t>
      </w:r>
    </w:p>
    <w:p>
      <w:pPr>
        <w:spacing w:after="0" w:line="197" w:lineRule="exact"/>
        <w:rPr>
          <w:rFonts w:ascii="Times New Roman" w:cs="Times New Roman" w:eastAsia="Times New Roman" w:hAnsi="Times New Roman"/>
          <w:sz w:val="21"/>
          <w:szCs w:val="21"/>
          <w:color w:val="auto"/>
        </w:rPr>
      </w:pPr>
    </w:p>
    <w:p>
      <w:pPr>
        <w:jc w:val="both"/>
        <w:ind w:left="-8" w:firstLine="656"/>
        <w:spacing w:after="0" w:line="243" w:lineRule="auto"/>
        <w:tabs>
          <w:tab w:leader="none" w:pos="1031"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as a consequence of his employment by Albany, proprietary and confidential information relating to the business of Albany may be or have been disclosed to or developed or acquired by Employee which is not generally known to the trade or the general public and which is of considerable value to Albany. Such information includes, without limitation, information about trade secrets, inventions, patents, licenses, research projects, costs, profits, markets, sales, customer lists, computer programs, records, and software; plans for future development, and any other information not available to the trade or the general public, including information obtained from or developed in conjunction with a third party that is subject to a confidentiality or similar agreement between Albany and such third party. Employee acknowledges and agrees that his relationship with Albany with respect to such information is and shall be fiduciary in nature. During the remainder of, and after, his employment by Albany, Employee shall not use such information for his own benefit, or for the benefit of any other employer or for any other purpose whatsoever other than the performance of his work for Albany, and Employee shall maintain all such information in confidence and shall not disclose any thereof to any person other than employees of Albany authorized to receive such information. This obligation is in addition to any similar obligations of Employee pursuant to the other agreements. Employee further agrees to return any property belonging to Albany at the end of his employment.</w:t>
      </w:r>
    </w:p>
    <w:p>
      <w:pPr>
        <w:spacing w:after="0" w:line="197" w:lineRule="exact"/>
        <w:rPr>
          <w:sz w:val="20"/>
          <w:szCs w:val="20"/>
          <w:color w:val="auto"/>
        </w:rPr>
      </w:pPr>
    </w:p>
    <w:p>
      <w:pPr>
        <w:jc w:val="both"/>
        <w:ind w:left="-8" w:firstLine="8"/>
        <w:spacing w:after="0" w:line="239" w:lineRule="auto"/>
        <w:tabs>
          <w:tab w:leader="none" w:pos="31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supersedes all prior oral or written understandings among the parties with respect to the subject matter herein and constitutes the entire agreement between Albany and Employee relating to the subject matter thereof. Neither this Agreement nor any provision thereof may be changed, waived, modified or amended orally, but only by a written instrument signed by the party against whom the enforcement of such change, waiver, modification or amendment is sought.</w:t>
      </w:r>
    </w:p>
    <w:p>
      <w:pPr>
        <w:spacing w:after="0" w:line="203" w:lineRule="exact"/>
        <w:rPr>
          <w:rFonts w:ascii="Times New Roman" w:cs="Times New Roman" w:eastAsia="Times New Roman" w:hAnsi="Times New Roman"/>
          <w:sz w:val="22"/>
          <w:szCs w:val="22"/>
          <w:color w:val="auto"/>
        </w:rPr>
      </w:pPr>
    </w:p>
    <w:p>
      <w:pPr>
        <w:ind w:left="-8" w:right="140" w:firstLine="8"/>
        <w:spacing w:after="0" w:line="262" w:lineRule="auto"/>
        <w:tabs>
          <w:tab w:leader="none" w:pos="31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acknowledges that he has read this entire Agreement, that he fully understands its meaning and effect, and that he has voluntarily signed this Agreement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8" w:right="80" w:firstLine="8"/>
        <w:spacing w:after="0" w:line="241" w:lineRule="auto"/>
        <w:tabs>
          <w:tab w:leader="none" w:pos="31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understands that the release contained in paragraph 12 hereof is a general release, and represents that he has been advised to seek counsel on the legal and practical effect of a general release, and recognizes that he is executing and delivering this release, intending thereby to be legally bound by the terms and provisions thereof, of his own free will, without promises or</w:t>
      </w:r>
    </w:p>
    <w:p>
      <w:pPr>
        <w:sectPr>
          <w:pgSz w:w="11900" w:h="16838" w:orient="portrait"/>
          <w:cols w:equalWidth="0" w:num="1">
            <w:col w:w="11232"/>
          </w:cols>
          <w:pgMar w:left="328" w:top="882" w:right="339" w:bottom="1440" w:gutter="0" w:footer="0" w:header="0"/>
        </w:sectPr>
      </w:pPr>
    </w:p>
    <w:bookmarkStart w:id="47" w:name="page48"/>
    <w:bookmarkEnd w:id="47"/>
    <w:p>
      <w:pPr>
        <w:ind w:right="380"/>
        <w:spacing w:after="0" w:line="262" w:lineRule="auto"/>
        <w:rPr>
          <w:sz w:val="20"/>
          <w:szCs w:val="20"/>
          <w:color w:val="auto"/>
        </w:rPr>
      </w:pPr>
      <w:r>
        <w:rPr>
          <w:rFonts w:ascii="Times New Roman" w:cs="Times New Roman" w:eastAsia="Times New Roman" w:hAnsi="Times New Roman"/>
          <w:sz w:val="22"/>
          <w:szCs w:val="22"/>
          <w:b w:val="1"/>
          <w:bCs w:val="1"/>
          <w:color w:val="auto"/>
        </w:rPr>
        <w:t>threats or the exertion of duress. He also acknowledges that he has had adequate time to review it, have it explained to him, and understands its provisions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100" w:firstLine="8"/>
        <w:spacing w:after="0" w:line="239"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and Albany intend for every provision of this Agreement to be fully enforceable. But, if a court with jurisdiction over this Agreement determines that all or part of any provision of this Agreement is unenforceable for any reason, Albany and Employee intend for each remaining provision and part to be fully enforceable as though the unenforceable provision or part had not been included in this Agreement.</w:t>
      </w:r>
    </w:p>
    <w:p>
      <w:pPr>
        <w:spacing w:after="0" w:line="193" w:lineRule="exact"/>
        <w:rPr>
          <w:rFonts w:ascii="Times New Roman" w:cs="Times New Roman" w:eastAsia="Times New Roman" w:hAnsi="Times New Roman"/>
          <w:sz w:val="22"/>
          <w:szCs w:val="22"/>
          <w:color w:val="auto"/>
        </w:rPr>
      </w:pPr>
    </w:p>
    <w:p>
      <w:pPr>
        <w:ind w:right="100" w:firstLine="8"/>
        <w:spacing w:after="0" w:line="248" w:lineRule="auto"/>
        <w:tabs>
          <w:tab w:leader="none" w:pos="32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 breach by either of them of the provisions of this Agreement may cause irreparable harm to the other which will be difficult to quantify and for which money damages will not be adequate. Accordingly, the parties agree that each shall have the right to obtain an injunction against the other, without any requirement for posting any bond or other security, enjoining any such breach or threatened breach in addition to any other rights or remedies available to them on account of any breach or threatened breach of this Agreement. Employee and Albany each further agree that if an action is commenced by any party alleging breach of this Agreement, the non-prevailing party shall be liable to the prevailing party for any and all available legal and equitable relief, as well as reasonable attorneys’ fees and costs associated with pursuing or defending such legal action.</w:t>
      </w:r>
    </w:p>
    <w:p>
      <w:pPr>
        <w:spacing w:after="0" w:line="197" w:lineRule="exact"/>
        <w:rPr>
          <w:rFonts w:ascii="Times New Roman" w:cs="Times New Roman" w:eastAsia="Times New Roman" w:hAnsi="Times New Roman"/>
          <w:sz w:val="21"/>
          <w:szCs w:val="21"/>
          <w:color w:val="auto"/>
        </w:rPr>
      </w:pPr>
    </w:p>
    <w:p>
      <w:pPr>
        <w:ind w:right="80" w:firstLine="8"/>
        <w:spacing w:after="0" w:line="258"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this agreement are binding upon and shall be for the benefit of Employee and Albany, as well as their respective heirs, executors, administrators, successors and assigns.</w:t>
      </w:r>
    </w:p>
    <w:p>
      <w:pPr>
        <w:spacing w:after="0" w:line="185" w:lineRule="exact"/>
        <w:rPr>
          <w:rFonts w:ascii="Times New Roman" w:cs="Times New Roman" w:eastAsia="Times New Roman" w:hAnsi="Times New Roman"/>
          <w:sz w:val="22"/>
          <w:szCs w:val="22"/>
          <w:color w:val="auto"/>
        </w:rPr>
      </w:pPr>
    </w:p>
    <w:p>
      <w:pPr>
        <w:jc w:val="both"/>
        <w:ind w:right="280" w:firstLine="8"/>
        <w:spacing w:after="0" w:line="236"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or other deliveries required or permitted to be given or made under this Agreement by Employee to Albany shall, except to the extent otherwise required by law, be deemed given or made if delivered by hand or by express mail or overnight courier service to Albany International Corp., 455 Patroon Creek Blvd. Suite 206, Albany, New York 12206, Attention: Joseph M. Gaug or by email to Joseph M. Gaug, </w:t>
      </w:r>
      <w:r>
        <w:rPr>
          <w:rFonts w:ascii="Times New Roman" w:cs="Times New Roman" w:eastAsia="Times New Roman" w:hAnsi="Times New Roman"/>
          <w:sz w:val="22"/>
          <w:szCs w:val="22"/>
          <w:color w:val="0000FF"/>
        </w:rPr>
        <w:t>Joseph.Gaug@albint.com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
        <w:spacing w:after="0" w:line="232"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understands and agrees that: (a) the existence and terms of this Agreement are strictly confidential; and (b) he will not to disclose the terms of this Agreement to any third party, including co-workers, unless required to do so by any state, federal or local regulatory, prosecutorial, or administrative agency or body of competent jurisdiction, or by a Court of competent jurisdiction. Employee and Albany each agree that if an action is commenced by any party alleging breach of this Agreement, the non-prevailing party shall be liable to the prevailing party for any and all available legal and equitable relief, as well as reasonable attorneys’ fees and costs associated with pursuing or defending such legal action. However, nothing herein shall (1) preclude Employee from discussing the contents hereof with his family, accountant, tax advisor or legal advisor, or (2) preclude Albany from informing any third parties, including prospective employers, that Employee is bound to the restrictive covenant set forth in paragraphs 15 hereof. </w:t>
      </w:r>
      <w:r>
        <w:rPr>
          <w:rFonts w:ascii="Times New Roman" w:cs="Times New Roman" w:eastAsia="Times New Roman" w:hAnsi="Times New Roman"/>
          <w:sz w:val="22"/>
          <w:szCs w:val="22"/>
          <w:b w:val="1"/>
          <w:bCs w:val="1"/>
          <w:color w:val="auto"/>
        </w:rPr>
        <w:t>Employee acknowledges that if he breaches any obligation under this Paragraph, Albany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shall be relieved from making any further payments under paragraph 9 hereof, and further agrees to reimburse Albany for all payments previously made pursuant to paragraph 9.</w:t>
      </w:r>
    </w:p>
    <w:p>
      <w:pPr>
        <w:spacing w:after="0" w:line="212"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New Hampshire.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[Signatures on following page]</w:t>
      </w:r>
    </w:p>
    <w:p>
      <w:pPr>
        <w:sectPr>
          <w:pgSz w:w="11900" w:h="16838" w:orient="portrait"/>
          <w:cols w:equalWidth="0" w:num="1">
            <w:col w:w="11240"/>
          </w:cols>
          <w:pgMar w:left="320" w:top="878" w:right="339" w:bottom="1440" w:gutter="0" w:footer="0" w:header="0"/>
        </w:sectPr>
      </w:pPr>
    </w:p>
    <w:bookmarkStart w:id="48" w:name="page49"/>
    <w:bookmarkEnd w:id="48"/>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a duly authorized representative of Albany and Employee have signed this Agreement to be effective as of the day and year first set forth above.</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Albany International Corp.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Joseph M. Gaug</w:t>
      </w:r>
      <w:r>
        <w:rPr>
          <w:rFonts w:ascii="Times New Roman" w:cs="Times New Roman" w:eastAsia="Times New Roman" w:hAnsi="Times New Roman"/>
          <w:sz w:val="22"/>
          <w:szCs w:val="22"/>
          <w:color w:val="auto"/>
        </w:rPr>
        <w:t xml:space="preserve"> Date </w:t>
      </w:r>
      <w:r>
        <w:rPr>
          <w:rFonts w:ascii="Times New Roman" w:cs="Times New Roman" w:eastAsia="Times New Roman" w:hAnsi="Times New Roman"/>
          <w:sz w:val="22"/>
          <w:szCs w:val="22"/>
          <w:u w:val="single" w:color="auto"/>
          <w:color w:val="auto"/>
        </w:rPr>
        <w:t>May 18, 2025</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color w:val="auto"/>
        </w:rPr>
        <w:t>THE UNDERSIGNED FURTHER STATES THAT HE HAS CAREFULLY READ THE FOREGOING AGREEMENT AND KNOWS THE CONTENTS THEREOF AND SIGNS THE SAME AS HIS OWN FREE ACT. THIS AGREEMENT INCLUDES A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Starr</w:t>
      </w:r>
      <w:r>
        <w:rPr>
          <w:rFonts w:ascii="Times New Roman" w:cs="Times New Roman" w:eastAsia="Times New Roman" w:hAnsi="Times New Roman"/>
          <w:sz w:val="22"/>
          <w:szCs w:val="22"/>
          <w:color w:val="auto"/>
        </w:rPr>
        <w:t xml:space="preserve"> Date </w:t>
      </w:r>
      <w:r>
        <w:rPr>
          <w:rFonts w:ascii="Times New Roman" w:cs="Times New Roman" w:eastAsia="Times New Roman" w:hAnsi="Times New Roman"/>
          <w:sz w:val="22"/>
          <w:szCs w:val="22"/>
          <w:u w:val="single" w:color="auto"/>
          <w:color w:val="auto"/>
        </w:rPr>
        <w:t>May 16,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Starr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COMPANY USE ONLY</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foregoing Separation Agreement and General Release, signed and dated by Employee, was received by me on behalf of Albany International Corp. this 18th day of May, 2025.</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Joseph M. Gaug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Joseph M. Gaug</w:t>
      </w:r>
    </w:p>
    <w:p>
      <w:pPr>
        <w:sectPr>
          <w:pgSz w:w="11900" w:h="16838" w:orient="portrait"/>
          <w:cols w:equalWidth="0" w:num="1">
            <w:col w:w="11240"/>
          </w:cols>
          <w:pgMar w:left="320" w:top="882" w:right="339" w:bottom="1440" w:gutter="0" w:footer="0" w:header="0"/>
        </w:sectPr>
      </w:pPr>
    </w:p>
    <w:bookmarkStart w:id="49" w:name="page50"/>
    <w:bookmarkEnd w:id="49"/>
    <w:p>
      <w:pPr>
        <w:jc w:val="center"/>
        <w:ind w:right="-199"/>
        <w:spacing w:after="0"/>
        <w:rPr>
          <w:sz w:val="20"/>
          <w:szCs w:val="20"/>
          <w:color w:val="auto"/>
        </w:rPr>
      </w:pPr>
      <w:r>
        <w:rPr>
          <w:rFonts w:ascii="Times New Roman" w:cs="Times New Roman" w:eastAsia="Times New Roman" w:hAnsi="Times New Roman"/>
          <w:sz w:val="22"/>
          <w:szCs w:val="22"/>
          <w:u w:val="single" w:color="auto"/>
          <w:color w:val="auto"/>
        </w:rPr>
        <w:t>SUPPLEMENTAL RELEASE</w:t>
      </w:r>
    </w:p>
    <w:p>
      <w:pPr>
        <w:spacing w:after="0" w:line="233" w:lineRule="exact"/>
        <w:rPr>
          <w:sz w:val="20"/>
          <w:szCs w:val="20"/>
          <w:color w:val="auto"/>
        </w:rPr>
      </w:pPr>
    </w:p>
    <w:p>
      <w:pPr>
        <w:jc w:val="both"/>
        <w:ind w:right="240" w:firstLine="648"/>
        <w:spacing w:after="0" w:line="244" w:lineRule="auto"/>
        <w:rPr>
          <w:sz w:val="20"/>
          <w:szCs w:val="20"/>
          <w:color w:val="auto"/>
        </w:rPr>
      </w:pPr>
      <w:r>
        <w:rPr>
          <w:rFonts w:ascii="Times New Roman" w:cs="Times New Roman" w:eastAsia="Times New Roman" w:hAnsi="Times New Roman"/>
          <w:sz w:val="22"/>
          <w:szCs w:val="22"/>
          <w:color w:val="auto"/>
        </w:rPr>
        <w:t>This supplemental release given to Albany International Corp. (“Albany”) by Rob Starr (“Employee”) is executed in consideration for the covenants made by Albany in a Mutual Separation Agreement and General Release dated as of May 19, 2025.</w:t>
      </w:r>
    </w:p>
    <w:p>
      <w:pPr>
        <w:spacing w:after="0" w:line="200" w:lineRule="exact"/>
        <w:rPr>
          <w:sz w:val="20"/>
          <w:szCs w:val="20"/>
          <w:color w:val="auto"/>
        </w:rPr>
      </w:pPr>
    </w:p>
    <w:p>
      <w:pPr>
        <w:ind w:right="280" w:firstLine="648"/>
        <w:spacing w:after="0" w:line="238" w:lineRule="auto"/>
        <w:rPr>
          <w:sz w:val="20"/>
          <w:szCs w:val="20"/>
          <w:color w:val="auto"/>
        </w:rPr>
      </w:pPr>
      <w:r>
        <w:rPr>
          <w:rFonts w:ascii="Times New Roman" w:cs="Times New Roman" w:eastAsia="Times New Roman" w:hAnsi="Times New Roman"/>
          <w:sz w:val="22"/>
          <w:szCs w:val="22"/>
          <w:color w:val="auto"/>
        </w:rPr>
        <w:t>The Employee and his heirs, assigns, representatives and agents release, waive, and discharge Albany, its directors, officers, employees, subsidiaries, affiliates, representatives and agents from each and every claim, action or right of any sort, known or unknown, arising on or before the date of this Supplemental Release.</w:t>
      </w:r>
    </w:p>
    <w:p>
      <w:pPr>
        <w:spacing w:after="0" w:line="206" w:lineRule="exact"/>
        <w:rPr>
          <w:sz w:val="20"/>
          <w:szCs w:val="20"/>
          <w:color w:val="auto"/>
        </w:rPr>
      </w:pPr>
    </w:p>
    <w:p>
      <w:pPr>
        <w:ind w:firstLine="8"/>
        <w:spacing w:after="0" w:line="238" w:lineRule="auto"/>
        <w:tabs>
          <w:tab w:leader="none" w:pos="3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release includes, but is not limited to, any claim of discrimination on the basis of race, sex, religion, marital status, sexual orientation, national origin, handicap or disability, age, veteran status, special disabled veteran status, citizenship status; any other claim based on a statutory prohibition; any claim arising out of or related to an express or implied employment contract, any other contract affecting terms and conditions of employment, or a covenant of good faith and fair dealing; all tort claims; and all claims for attorney’s fees or expenses.</w:t>
      </w:r>
    </w:p>
    <w:p>
      <w:pPr>
        <w:spacing w:after="0" w:line="203" w:lineRule="exact"/>
        <w:rPr>
          <w:rFonts w:ascii="Times New Roman" w:cs="Times New Roman" w:eastAsia="Times New Roman" w:hAnsi="Times New Roman"/>
          <w:sz w:val="22"/>
          <w:szCs w:val="22"/>
          <w:color w:val="auto"/>
        </w:rPr>
      </w:pPr>
    </w:p>
    <w:p>
      <w:pPr>
        <w:jc w:val="both"/>
        <w:ind w:right="80" w:firstLine="8"/>
        <w:spacing w:after="0" w:line="244" w:lineRule="auto"/>
        <w:tabs>
          <w:tab w:leader="none" w:pos="3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represents that he understands the foregoing release, that rights and claims under the Age Discrimination in Employment Act of 1967, as amended, are among the rights and claims against Albany he is releasing, and that he understands that he is not releasing any rights or claims arising after the date of this Supplemental Release.</w:t>
      </w: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/s/ Robert D. Starr</w:t>
      </w:r>
      <w:r>
        <w:rPr>
          <w:rFonts w:ascii="Times New Roman" w:cs="Times New Roman" w:eastAsia="Times New Roman" w:hAnsi="Times New Roman"/>
          <w:sz w:val="22"/>
          <w:szCs w:val="22"/>
          <w:color w:val="auto"/>
        </w:rPr>
        <w:t xml:space="preserve"> DATE: </w:t>
      </w:r>
      <w:r>
        <w:rPr>
          <w:rFonts w:ascii="Times New Roman" w:cs="Times New Roman" w:eastAsia="Times New Roman" w:hAnsi="Times New Roman"/>
          <w:sz w:val="22"/>
          <w:szCs w:val="22"/>
          <w:u w:val="single" w:color="auto"/>
          <w:color w:val="auto"/>
        </w:rPr>
        <w:t>May 23, 2025</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Rob Starr</w:t>
      </w:r>
    </w:p>
    <w:p>
      <w:pPr>
        <w:sectPr>
          <w:pgSz w:w="11900" w:h="16838" w:orient="portrait"/>
          <w:cols w:equalWidth="0" w:num="1">
            <w:col w:w="11060"/>
          </w:cols>
          <w:pgMar w:left="320" w:top="882" w:right="5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Gunnar Kleveland, certify that:</w:t>
      </w:r>
    </w:p>
    <w:p>
      <w:pPr>
        <w:spacing w:after="0" w:line="11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Gunnar Kleveland</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Jairaj Chetnani, certify that:</w:t>
      </w:r>
    </w:p>
    <w:p>
      <w:pPr>
        <w:spacing w:after="0" w:line="11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Jairaj Chetnani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Jairaj Chetnani</w:t>
      </w:r>
    </w:p>
    <w:p>
      <w:pPr>
        <w:ind w:left="4620"/>
        <w:spacing w:after="0" w:line="203" w:lineRule="auto"/>
        <w:rPr>
          <w:sz w:val="20"/>
          <w:szCs w:val="20"/>
          <w:color w:val="auto"/>
        </w:rPr>
      </w:pPr>
      <w:r>
        <w:rPr>
          <w:rFonts w:ascii="Arial" w:cs="Arial" w:eastAsia="Arial" w:hAnsi="Arial"/>
          <w:sz w:val="18"/>
          <w:szCs w:val="18"/>
          <w:color w:val="auto"/>
        </w:rPr>
        <w:t>Chief Financial Officer, Vice President Investor Relations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2025, as filed with the Securities and Exchange Commission on the date hereof (the Report), Gunnar Kleveland, President and Chief Executive Officer, and Jairaj Chetnani, Chief Financial Officer, Vice President Investor Relations and Treasurer of the Company, certify, pursuant to 18 U.S.C. § 1350, as adopted pursuant to §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2"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Gunnar Kleveland</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Jairaj Chetnani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Jairaj Chetnani</w:t>
      </w:r>
    </w:p>
    <w:p>
      <w:pPr>
        <w:ind w:left="4880"/>
        <w:spacing w:after="0" w:line="203" w:lineRule="auto"/>
        <w:rPr>
          <w:sz w:val="20"/>
          <w:szCs w:val="20"/>
          <w:color w:val="auto"/>
        </w:rPr>
      </w:pPr>
      <w:r>
        <w:rPr>
          <w:rFonts w:ascii="Arial" w:cs="Arial" w:eastAsia="Arial" w:hAnsi="Arial"/>
          <w:sz w:val="18"/>
          <w:szCs w:val="18"/>
          <w:color w:val="auto"/>
        </w:rPr>
        <w:t>Chief Financial Officer and Vice President Investor Relations and</w:t>
      </w:r>
    </w:p>
    <w:p>
      <w:pPr>
        <w:ind w:left="4880"/>
        <w:spacing w:after="0" w:line="219" w:lineRule="auto"/>
        <w:rPr>
          <w:sz w:val="20"/>
          <w:szCs w:val="20"/>
          <w:color w:val="auto"/>
        </w:rPr>
      </w:pPr>
      <w:r>
        <w:rPr>
          <w:rFonts w:ascii="Arial" w:cs="Arial" w:eastAsia="Arial" w:hAnsi="Arial"/>
          <w:sz w:val="18"/>
          <w:szCs w:val="18"/>
          <w:color w:val="auto"/>
        </w:rPr>
        <w:t>Treasurer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7"/>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lvl w:ilvl="1">
      <w:lvlJc w:val="left"/>
      <w:lvlText w:val="%2."/>
      <w:numFmt w:val="decimal"/>
      <w:start w:val="4"/>
    </w:lvl>
  </w:abstractNum>
  <w:abstractNum w:abstractNumId="22">
    <w:nsid w:val="2CA88611"/>
    <w:multiLevelType w:val="hybridMultilevel"/>
    <w:lvl w:ilvl="0">
      <w:lvlJc w:val="left"/>
      <w:lvlText w:val="%1."/>
      <w:numFmt w:val="decimal"/>
      <w:start w:val="6"/>
    </w:lvl>
    <w:lvl w:ilvl="1">
      <w:lvlJc w:val="left"/>
      <w:lvlText w:val="(%2)"/>
      <w:numFmt w:val="lowerLetter"/>
      <w:start w:val="1"/>
    </w:lvl>
  </w:abstractNum>
  <w:abstractNum w:abstractNumId="23">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9"/>
    </w:lvl>
  </w:abstractNum>
  <w:abstractNum w:abstractNumId="24">
    <w:nsid w:val="2901D82"/>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5">
    <w:nsid w:val="3A95F87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2"/>
    </w:lvl>
  </w:abstractNum>
  <w:abstractNum w:abstractNumId="26">
    <w:nsid w:val="8138641"/>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4"/>
    </w:lvl>
  </w:abstractNum>
  <w:abstractNum w:abstractNumId="27">
    <w:nsid w:val="1E7FF521"/>
    <w:multiLevelType w:val="hybridMultilevel"/>
    <w:lvl w:ilvl="0">
      <w:lvlJc w:val="left"/>
      <w:lvlText w:val="%1."/>
      <w:numFmt w:val="decimal"/>
      <w:start w:val="15"/>
    </w:lvl>
  </w:abstractNum>
  <w:abstractNum w:abstractNumId="28">
    <w:nsid w:val="7C3DBD3D"/>
    <w:multiLevelType w:val="hybridMultilevel"/>
    <w:lvl w:ilvl="0">
      <w:lvlJc w:val="left"/>
      <w:lvlText w:val="%1."/>
      <w:numFmt w:val="decimal"/>
      <w:start w:val="18"/>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2025-07-30T15:40:09Z</dcterms:created>
  <dcterms:modified xsi:type="dcterms:W3CDTF">2025-07-30T15:40:09Z</dcterms:modified>
</cp:coreProperties>
</file>