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t>UNITED STATES SECURITIES AND EXCHANGE COMMISSION</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12" w:lineRule="exact"/>
        <w:rPr>
          <w:sz w:val="24"/>
          <w:szCs w:val="24"/>
          <w:color w:val="auto"/>
        </w:rPr>
      </w:pPr>
    </w:p>
    <w:p>
      <w:pPr>
        <w:ind w:left="1020" w:right="1020" w:hanging="1012"/>
        <w:spacing w:after="0" w:line="247" w:lineRule="auto"/>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2020</w:t>
      </w:r>
    </w:p>
    <w:p>
      <w:pPr>
        <w:jc w:val="center"/>
        <w:ind w:right="20"/>
        <w:spacing w:after="0" w:line="231" w:lineRule="auto"/>
        <w:rPr>
          <w:sz w:val="20"/>
          <w:szCs w:val="20"/>
          <w:color w:val="auto"/>
        </w:rPr>
      </w:pPr>
      <w:r>
        <w:rPr>
          <w:rFonts w:ascii="Arial" w:cs="Arial" w:eastAsia="Arial" w:hAnsi="Arial"/>
          <w:sz w:val="18"/>
          <w:szCs w:val="18"/>
          <w:color w:val="auto"/>
        </w:rPr>
        <w:t>OR</w:t>
      </w:r>
    </w:p>
    <w:p>
      <w:pPr>
        <w:ind w:left="1020" w:right="1020" w:hanging="1012"/>
        <w:spacing w:after="0" w:line="251" w:lineRule="auto"/>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 to __________</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u w:val="single" w:color="auto"/>
          <w:color w:val="auto"/>
        </w:rPr>
        <w:t>ALBANY INTERNATIONAL CORP.</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3" w:lineRule="exact"/>
        <w:rPr>
          <w:sz w:val="24"/>
          <w:szCs w:val="24"/>
          <w:color w:val="auto"/>
        </w:rPr>
      </w:pPr>
    </w:p>
    <w:tbl>
      <w:tblPr>
        <w:tblLayout w:type="fixed"/>
        <w:tblInd w:w="720" w:type="dxa"/>
        <w:tblCellMar>
          <w:top w:w="0" w:type="dxa"/>
          <w:left w:w="0" w:type="dxa"/>
          <w:bottom w:w="0" w:type="dxa"/>
          <w:right w:w="0" w:type="dxa"/>
        </w:tblCellMar>
      </w:tblPr>
      <w:tr>
        <w:trPr>
          <w:trHeight w:val="225"/>
        </w:trPr>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5260" w:type="dxa"/>
            <w:vAlign w:val="bottom"/>
            <w:gridSpan w:val="2"/>
          </w:tcPr>
          <w:p>
            <w:pPr>
              <w:jc w:val="right"/>
              <w:ind w:right="1690"/>
              <w:spacing w:after="0"/>
              <w:rPr>
                <w:sz w:val="20"/>
                <w:szCs w:val="20"/>
                <w:color w:val="auto"/>
              </w:rPr>
            </w:pPr>
            <w:r>
              <w:rPr>
                <w:rFonts w:ascii="Arial" w:cs="Arial" w:eastAsia="Arial" w:hAnsi="Arial"/>
                <w:sz w:val="18"/>
                <w:szCs w:val="18"/>
                <w:b w:val="1"/>
                <w:bCs w:val="1"/>
                <w:color w:val="auto"/>
              </w:rPr>
              <w:t>14-0462060</w:t>
            </w:r>
          </w:p>
        </w:tc>
      </w:tr>
      <w:tr>
        <w:trPr>
          <w:trHeight w:val="263"/>
        </w:trPr>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(State or other jurisdiction of incorporation or</w:t>
            </w:r>
          </w:p>
        </w:tc>
        <w:tc>
          <w:tcPr>
            <w:tcW w:w="720" w:type="dxa"/>
            <w:vAlign w:val="bottom"/>
          </w:tcPr>
          <w:p>
            <w:pPr>
              <w:spacing w:after="0"/>
              <w:rPr>
                <w:sz w:val="22"/>
                <w:szCs w:val="22"/>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r>
        <w:trPr>
          <w:trHeight w:val="217"/>
        </w:trPr>
        <w:tc>
          <w:tcPr>
            <w:tcW w:w="4540" w:type="dxa"/>
            <w:vAlign w:val="bottom"/>
          </w:tcPr>
          <w:p>
            <w:pPr>
              <w:jc w:val="center"/>
              <w:spacing w:after="0"/>
              <w:rPr>
                <w:sz w:val="20"/>
                <w:szCs w:val="20"/>
                <w:color w:val="auto"/>
              </w:rPr>
            </w:pPr>
            <w:r>
              <w:rPr>
                <w:rFonts w:ascii="Arial" w:cs="Arial" w:eastAsia="Arial" w:hAnsi="Arial"/>
                <w:sz w:val="18"/>
                <w:szCs w:val="18"/>
                <w:color w:val="auto"/>
                <w:w w:val="99"/>
              </w:rPr>
              <w:t>organization)</w:t>
            </w:r>
          </w:p>
        </w:tc>
        <w:tc>
          <w:tcPr>
            <w:tcW w:w="72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513"/>
        </w:trPr>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216 Airport Drive , Rochester , New Hampshire</w:t>
            </w:r>
          </w:p>
        </w:tc>
        <w:tc>
          <w:tcPr>
            <w:tcW w:w="5260" w:type="dxa"/>
            <w:vAlign w:val="bottom"/>
            <w:gridSpan w:val="2"/>
          </w:tcPr>
          <w:p>
            <w:pPr>
              <w:jc w:val="right"/>
              <w:ind w:right="1930"/>
              <w:spacing w:after="0"/>
              <w:rPr>
                <w:sz w:val="20"/>
                <w:szCs w:val="20"/>
                <w:color w:val="auto"/>
              </w:rPr>
            </w:pPr>
            <w:r>
              <w:rPr>
                <w:rFonts w:ascii="Arial" w:cs="Arial" w:eastAsia="Arial" w:hAnsi="Arial"/>
                <w:sz w:val="18"/>
                <w:szCs w:val="18"/>
                <w:b w:val="1"/>
                <w:bCs w:val="1"/>
                <w:color w:val="auto"/>
              </w:rPr>
              <w:t>03867</w:t>
            </w:r>
          </w:p>
        </w:tc>
      </w:tr>
      <w:tr>
        <w:trPr>
          <w:trHeight w:val="277"/>
        </w:trPr>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720" w:type="dxa"/>
            <w:vAlign w:val="bottom"/>
          </w:tcPr>
          <w:p>
            <w:pPr>
              <w:spacing w:after="0"/>
              <w:rPr>
                <w:sz w:val="24"/>
                <w:szCs w:val="24"/>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(Zip Code)</w:t>
            </w:r>
          </w:p>
        </w:tc>
      </w:tr>
    </w:tbl>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603 - 330-5850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3175</wp:posOffset>
            </wp:positionV>
            <wp:extent cx="2674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4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50"/>
        </w:trPr>
        <w:tc>
          <w:tcPr>
            <w:tcW w:w="4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AIN</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r>
        <w:trPr>
          <w:trHeight w:val="250"/>
        </w:trPr>
        <w:tc>
          <w:tcPr>
            <w:tcW w:w="4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B Common Stock, $0.001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AIN</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175"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1" w:lineRule="exact"/>
        <w:rPr>
          <w:sz w:val="24"/>
          <w:szCs w:val="24"/>
          <w:color w:val="auto"/>
        </w:rPr>
      </w:pPr>
    </w:p>
    <w:p>
      <w:pPr>
        <w:jc w:val="both"/>
        <w:ind w:right="2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6580" w:type="dxa"/>
            <w:vAlign w:val="bottom"/>
          </w:tcPr>
          <w:p>
            <w:pPr>
              <w:ind w:left="28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20" w:type="dxa"/>
            <w:vAlign w:val="bottom"/>
          </w:tcPr>
          <w:p>
            <w:pPr>
              <w:spacing w:after="0"/>
              <w:rPr>
                <w:sz w:val="16"/>
                <w:szCs w:val="16"/>
                <w:color w:val="auto"/>
              </w:rPr>
            </w:pPr>
          </w:p>
        </w:tc>
      </w:tr>
      <w:tr>
        <w:trPr>
          <w:trHeight w:val="189"/>
        </w:trPr>
        <w:tc>
          <w:tcPr>
            <w:tcW w:w="4680" w:type="dxa"/>
            <w:vAlign w:val="bottom"/>
          </w:tcPr>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6580" w:type="dxa"/>
            <w:vAlign w:val="bottom"/>
          </w:tcPr>
          <w:p>
            <w:pPr>
              <w:ind w:left="28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c>
          <w:tcPr>
            <w:tcW w:w="20" w:type="dxa"/>
            <w:vAlign w:val="bottom"/>
          </w:tcPr>
          <w:p>
            <w:pPr>
              <w:spacing w:after="0"/>
              <w:rPr>
                <w:sz w:val="16"/>
                <w:szCs w:val="16"/>
                <w:color w:val="auto"/>
              </w:rPr>
            </w:pPr>
          </w:p>
        </w:tc>
      </w:tr>
      <w:tr>
        <w:trPr>
          <w:trHeight w:val="254"/>
        </w:trPr>
        <w:tc>
          <w:tcPr>
            <w:tcW w:w="4680" w:type="dxa"/>
            <w:vAlign w:val="bottom"/>
          </w:tcPr>
          <w:p>
            <w:pPr>
              <w:spacing w:after="0"/>
              <w:rPr>
                <w:sz w:val="22"/>
                <w:szCs w:val="22"/>
                <w:color w:val="auto"/>
              </w:rPr>
            </w:pPr>
          </w:p>
        </w:tc>
        <w:tc>
          <w:tcPr>
            <w:tcW w:w="6580" w:type="dxa"/>
            <w:vAlign w:val="bottom"/>
          </w:tcPr>
          <w:p>
            <w:pPr>
              <w:ind w:left="28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r>
      <w:tr>
        <w:trPr>
          <w:trHeight w:val="204"/>
        </w:trPr>
        <w:tc>
          <w:tcPr>
            <w:tcW w:w="4680" w:type="dxa"/>
            <w:vAlign w:val="bottom"/>
            <w:tcBorders>
              <w:bottom w:val="single" w:sz="8" w:color="EEEEEE"/>
            </w:tcBorders>
          </w:tcPr>
          <w:p>
            <w:pPr>
              <w:spacing w:after="0"/>
              <w:rPr>
                <w:sz w:val="17"/>
                <w:szCs w:val="17"/>
                <w:color w:val="auto"/>
              </w:rPr>
            </w:pPr>
          </w:p>
        </w:tc>
        <w:tc>
          <w:tcPr>
            <w:tcW w:w="65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4680" w:type="dxa"/>
            <w:vAlign w:val="bottom"/>
            <w:tcBorders>
              <w:bottom w:val="single" w:sz="8" w:color="EEEEEE"/>
            </w:tcBorders>
          </w:tcPr>
          <w:p>
            <w:pPr>
              <w:spacing w:after="0"/>
              <w:rPr>
                <w:sz w:val="13"/>
                <w:szCs w:val="13"/>
                <w:color w:val="auto"/>
              </w:rPr>
            </w:pPr>
          </w:p>
        </w:tc>
        <w:tc>
          <w:tcPr>
            <w:tcW w:w="658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49465"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sectPr>
          <w:pgSz w:w="11900" w:h="16838" w:orient="portrait"/>
          <w:cols w:equalWidth="0" w:num="1">
            <w:col w:w="11260"/>
          </w:cols>
          <w:pgMar w:left="320" w:top="649" w:right="319" w:bottom="1440" w:gutter="0" w:footer="0" w:header="0"/>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registrant had 30.7 million shares of Class A Common Stock and 1.6 million shares of Class B Common Stock outstanding as of April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520" w:type="dxa"/>
            <w:vAlign w:val="bottom"/>
            <w:gridSpan w:val="4"/>
          </w:tcPr>
          <w:p>
            <w:pPr>
              <w:jc w:val="center"/>
              <w:ind w:left="740"/>
              <w:spacing w:after="0"/>
              <w:rPr>
                <w:sz w:val="20"/>
                <w:szCs w:val="20"/>
                <w:color w:val="auto"/>
              </w:rPr>
            </w:pPr>
            <w:r>
              <w:rPr>
                <w:rFonts w:ascii="Arial" w:cs="Arial" w:eastAsia="Arial" w:hAnsi="Arial"/>
                <w:sz w:val="14"/>
                <w:szCs w:val="14"/>
                <w:b w:val="1"/>
                <w:bCs w:val="1"/>
                <w:color w:val="auto"/>
              </w:rPr>
              <w:t>Page</w:t>
            </w:r>
          </w:p>
        </w:tc>
      </w:tr>
      <w:tr>
        <w:trPr>
          <w:trHeight w:val="175"/>
        </w:trPr>
        <w:tc>
          <w:tcPr>
            <w:tcW w:w="98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1520" w:type="dxa"/>
            <w:vAlign w:val="bottom"/>
            <w:gridSpan w:val="4"/>
          </w:tcPr>
          <w:p>
            <w:pPr>
              <w:jc w:val="center"/>
              <w:ind w:left="760"/>
              <w:spacing w:after="0"/>
              <w:rPr>
                <w:sz w:val="20"/>
                <w:szCs w:val="20"/>
                <w:color w:val="auto"/>
              </w:rPr>
            </w:pPr>
            <w:r>
              <w:rPr>
                <w:rFonts w:ascii="Arial" w:cs="Arial" w:eastAsia="Arial" w:hAnsi="Arial"/>
                <w:sz w:val="14"/>
                <w:szCs w:val="14"/>
                <w:b w:val="1"/>
                <w:bCs w:val="1"/>
                <w:color w:val="auto"/>
              </w:rPr>
              <w:t>No.</w:t>
            </w:r>
          </w:p>
        </w:tc>
      </w:tr>
      <w:tr>
        <w:trPr>
          <w:trHeight w:val="385"/>
        </w:trPr>
        <w:tc>
          <w:tcPr>
            <w:tcW w:w="9720" w:type="dxa"/>
            <w:vAlign w:val="bottom"/>
            <w:tcBorders>
              <w:top w:val="single" w:sz="8" w:color="B2B2B2"/>
            </w:tcBorders>
            <w:gridSpan w:val="2"/>
            <w:shd w:val="clear" w:color="auto" w:fill="B2B2B2"/>
          </w:tcPr>
          <w:p>
            <w:pPr>
              <w:spacing w:after="0"/>
              <w:rPr>
                <w:sz w:val="20"/>
                <w:szCs w:val="20"/>
                <w:color w:val="auto"/>
              </w:rPr>
            </w:pPr>
            <w:r>
              <w:rPr>
                <w:rFonts w:ascii="Arial" w:cs="Arial" w:eastAsia="Arial" w:hAnsi="Arial"/>
                <w:sz w:val="16"/>
                <w:szCs w:val="16"/>
                <w:b w:val="1"/>
                <w:bCs w:val="1"/>
                <w:color w:val="auto"/>
              </w:rPr>
              <w:t>Part I Financial information</w:t>
            </w:r>
          </w:p>
        </w:tc>
        <w:tc>
          <w:tcPr>
            <w:tcW w:w="1060" w:type="dxa"/>
            <w:vAlign w:val="bottom"/>
            <w:tcBorders>
              <w:top w:val="single" w:sz="8" w:color="B2B2B2"/>
            </w:tcBorders>
            <w:shd w:val="clear" w:color="auto" w:fill="B2B2B2"/>
          </w:tcPr>
          <w:p>
            <w:pPr>
              <w:spacing w:after="0"/>
              <w:rPr>
                <w:sz w:val="24"/>
                <w:szCs w:val="24"/>
                <w:color w:val="auto"/>
              </w:rPr>
            </w:pPr>
          </w:p>
        </w:tc>
        <w:tc>
          <w:tcPr>
            <w:tcW w:w="240" w:type="dxa"/>
            <w:vAlign w:val="bottom"/>
            <w:tcBorders>
              <w:top w:val="single" w:sz="8" w:color="auto"/>
            </w:tcBorders>
            <w:shd w:val="clear" w:color="auto" w:fill="B2B2B2"/>
          </w:tcPr>
          <w:p>
            <w:pPr>
              <w:spacing w:after="0"/>
              <w:rPr>
                <w:sz w:val="24"/>
                <w:szCs w:val="24"/>
                <w:color w:val="auto"/>
              </w:rPr>
            </w:pPr>
          </w:p>
        </w:tc>
        <w:tc>
          <w:tcPr>
            <w:tcW w:w="200" w:type="dxa"/>
            <w:vAlign w:val="bottom"/>
            <w:tcBorders>
              <w:top w:val="single" w:sz="8" w:color="B2B2B2"/>
            </w:tcBorders>
            <w:shd w:val="clear" w:color="auto" w:fill="B2B2B2"/>
          </w:tcPr>
          <w:p>
            <w:pPr>
              <w:spacing w:after="0"/>
              <w:rPr>
                <w:sz w:val="24"/>
                <w:szCs w:val="24"/>
                <w:color w:val="auto"/>
              </w:rPr>
            </w:pPr>
          </w:p>
        </w:tc>
        <w:tc>
          <w:tcPr>
            <w:tcW w:w="20" w:type="dxa"/>
            <w:vAlign w:val="bottom"/>
            <w:tcBorders>
              <w:top w:val="single" w:sz="8" w:color="B2B2B2"/>
            </w:tcBorders>
            <w:shd w:val="clear" w:color="auto" w:fill="B2B2B2"/>
          </w:tcPr>
          <w:p>
            <w:pPr>
              <w:spacing w:after="0"/>
              <w:rPr>
                <w:sz w:val="24"/>
                <w:szCs w:val="24"/>
                <w:color w:val="auto"/>
              </w:rPr>
            </w:pPr>
          </w:p>
        </w:tc>
      </w:tr>
      <w:tr>
        <w:trPr>
          <w:trHeight w:val="189"/>
        </w:trPr>
        <w:tc>
          <w:tcPr>
            <w:tcW w:w="980" w:type="dxa"/>
            <w:vAlign w:val="bottom"/>
          </w:tcPr>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w:t>
              </w:r>
            </w:hyperlink>
          </w:p>
        </w:tc>
        <w:tc>
          <w:tcPr>
            <w:tcW w:w="8740" w:type="dxa"/>
            <w:vAlign w:val="bottom"/>
          </w:tcPr>
          <w:p>
            <w:pPr>
              <w:ind w:left="14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Financial Statements</w:t>
              </w:r>
            </w:hyperlink>
          </w:p>
        </w:tc>
        <w:tc>
          <w:tcPr>
            <w:tcW w:w="1300" w:type="dxa"/>
            <w:vAlign w:val="bottom"/>
            <w:gridSpan w:val="2"/>
          </w:tcPr>
          <w:p>
            <w:pPr>
              <w:jc w:val="right"/>
              <w:ind w:right="4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3</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980" w:type="dxa"/>
            <w:vAlign w:val="bottom"/>
            <w:shd w:val="clear" w:color="auto" w:fill="B2B2B2"/>
          </w:tcPr>
          <w:p>
            <w:pPr>
              <w:spacing w:after="0"/>
              <w:rPr>
                <w:sz w:val="16"/>
                <w:szCs w:val="16"/>
                <w:color w:val="auto"/>
              </w:rPr>
            </w:pPr>
          </w:p>
        </w:tc>
        <w:tc>
          <w:tcPr>
            <w:tcW w:w="8740" w:type="dxa"/>
            <w:vAlign w:val="bottom"/>
            <w:shd w:val="clear" w:color="auto" w:fill="B2B2B2"/>
          </w:tcPr>
          <w:p>
            <w:pPr>
              <w:ind w:left="1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Consolidated statements of income – three months ended March 31, 2020 and 2019</w:t>
              </w:r>
            </w:hyperlink>
          </w:p>
        </w:tc>
        <w:tc>
          <w:tcPr>
            <w:tcW w:w="1300" w:type="dxa"/>
            <w:vAlign w:val="bottom"/>
            <w:gridSpan w:val="2"/>
            <w:shd w:val="clear" w:color="auto" w:fill="B2B2B2"/>
          </w:tcPr>
          <w:p>
            <w:pPr>
              <w:jc w:val="right"/>
              <w:ind w:right="4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3</w:t>
              </w:r>
            </w:hyperlink>
          </w:p>
        </w:tc>
        <w:tc>
          <w:tcPr>
            <w:tcW w:w="200" w:type="dxa"/>
            <w:vAlign w:val="bottom"/>
            <w:shd w:val="clear" w:color="auto" w:fill="B2B2B2"/>
          </w:tcPr>
          <w:p>
            <w:pPr>
              <w:spacing w:after="0"/>
              <w:rPr>
                <w:sz w:val="16"/>
                <w:szCs w:val="16"/>
                <w:color w:val="auto"/>
              </w:rPr>
            </w:pPr>
          </w:p>
        </w:tc>
        <w:tc>
          <w:tcPr>
            <w:tcW w:w="20" w:type="dxa"/>
            <w:vAlign w:val="bottom"/>
            <w:shd w:val="clear" w:color="auto" w:fill="B2B2B2"/>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8740" w:type="dxa"/>
            <w:vAlign w:val="bottom"/>
          </w:tcPr>
          <w:p>
            <w:pPr>
              <w:ind w:left="10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Consolidated statements of comprehensive income/(loss) – three months ended March 31, 2020 and 2019</w:t>
              </w:r>
            </w:hyperlink>
          </w:p>
        </w:tc>
        <w:tc>
          <w:tcPr>
            <w:tcW w:w="1300" w:type="dxa"/>
            <w:vAlign w:val="bottom"/>
            <w:gridSpan w:val="2"/>
          </w:tcPr>
          <w:p>
            <w:pPr>
              <w:jc w:val="right"/>
              <w:ind w:right="4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4</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980" w:type="dxa"/>
            <w:vAlign w:val="bottom"/>
            <w:shd w:val="clear" w:color="auto" w:fill="B2B2B2"/>
          </w:tcPr>
          <w:p>
            <w:pPr>
              <w:spacing w:after="0"/>
              <w:rPr>
                <w:sz w:val="16"/>
                <w:szCs w:val="16"/>
                <w:color w:val="auto"/>
              </w:rPr>
            </w:pPr>
          </w:p>
        </w:tc>
        <w:tc>
          <w:tcPr>
            <w:tcW w:w="8740" w:type="dxa"/>
            <w:vAlign w:val="bottom"/>
            <w:shd w:val="clear" w:color="auto" w:fill="B2B2B2"/>
          </w:tcPr>
          <w:p>
            <w:pPr>
              <w:ind w:left="10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Consolidated balance sheets as of March 31, 2020 and December 31, 2019</w:t>
              </w:r>
            </w:hyperlink>
          </w:p>
        </w:tc>
        <w:tc>
          <w:tcPr>
            <w:tcW w:w="1300" w:type="dxa"/>
            <w:vAlign w:val="bottom"/>
            <w:gridSpan w:val="2"/>
            <w:shd w:val="clear" w:color="auto" w:fill="B2B2B2"/>
          </w:tcPr>
          <w:p>
            <w:pPr>
              <w:jc w:val="right"/>
              <w:ind w:right="4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5</w:t>
              </w:r>
            </w:hyperlink>
          </w:p>
        </w:tc>
        <w:tc>
          <w:tcPr>
            <w:tcW w:w="200" w:type="dxa"/>
            <w:vAlign w:val="bottom"/>
            <w:shd w:val="clear" w:color="auto" w:fill="B2B2B2"/>
          </w:tcPr>
          <w:p>
            <w:pPr>
              <w:spacing w:after="0"/>
              <w:rPr>
                <w:sz w:val="16"/>
                <w:szCs w:val="16"/>
                <w:color w:val="auto"/>
              </w:rPr>
            </w:pPr>
          </w:p>
        </w:tc>
        <w:tc>
          <w:tcPr>
            <w:tcW w:w="20" w:type="dxa"/>
            <w:vAlign w:val="bottom"/>
            <w:shd w:val="clear" w:color="auto" w:fill="B2B2B2"/>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8740" w:type="dxa"/>
            <w:vAlign w:val="bottom"/>
          </w:tcPr>
          <w:p>
            <w:pPr>
              <w:ind w:left="10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Consolidated statements of cash flows – three months ended March 31, 2020 and 2019</w:t>
              </w:r>
            </w:hyperlink>
          </w:p>
        </w:tc>
        <w:tc>
          <w:tcPr>
            <w:tcW w:w="1300" w:type="dxa"/>
            <w:vAlign w:val="bottom"/>
            <w:gridSpan w:val="2"/>
          </w:tcPr>
          <w:p>
            <w:pPr>
              <w:jc w:val="right"/>
              <w:ind w:right="4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6</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980" w:type="dxa"/>
            <w:vAlign w:val="bottom"/>
            <w:shd w:val="clear" w:color="auto" w:fill="B2B2B2"/>
          </w:tcPr>
          <w:p>
            <w:pPr>
              <w:spacing w:after="0"/>
              <w:rPr>
                <w:sz w:val="16"/>
                <w:szCs w:val="16"/>
                <w:color w:val="auto"/>
              </w:rPr>
            </w:pPr>
          </w:p>
        </w:tc>
        <w:tc>
          <w:tcPr>
            <w:tcW w:w="8740" w:type="dxa"/>
            <w:vAlign w:val="bottom"/>
            <w:shd w:val="clear" w:color="auto" w:fill="B2B2B2"/>
          </w:tcPr>
          <w:p>
            <w:pPr>
              <w:ind w:left="10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Notes to consolidated financial statements</w:t>
              </w:r>
            </w:hyperlink>
          </w:p>
        </w:tc>
        <w:tc>
          <w:tcPr>
            <w:tcW w:w="1300" w:type="dxa"/>
            <w:vAlign w:val="bottom"/>
            <w:gridSpan w:val="2"/>
            <w:shd w:val="clear" w:color="auto" w:fill="B2B2B2"/>
          </w:tcPr>
          <w:p>
            <w:pPr>
              <w:jc w:val="right"/>
              <w:ind w:right="4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7</w:t>
              </w:r>
            </w:hyperlink>
          </w:p>
        </w:tc>
        <w:tc>
          <w:tcPr>
            <w:tcW w:w="200" w:type="dxa"/>
            <w:vAlign w:val="bottom"/>
            <w:shd w:val="clear" w:color="auto" w:fill="B2B2B2"/>
          </w:tcPr>
          <w:p>
            <w:pPr>
              <w:spacing w:after="0"/>
              <w:rPr>
                <w:sz w:val="16"/>
                <w:szCs w:val="16"/>
                <w:color w:val="auto"/>
              </w:rPr>
            </w:pPr>
          </w:p>
        </w:tc>
        <w:tc>
          <w:tcPr>
            <w:tcW w:w="20" w:type="dxa"/>
            <w:vAlign w:val="bottom"/>
            <w:shd w:val="clear" w:color="auto" w:fill="B2B2B2"/>
          </w:tcPr>
          <w:p>
            <w:pPr>
              <w:spacing w:after="0"/>
              <w:rPr>
                <w:sz w:val="16"/>
                <w:szCs w:val="16"/>
                <w:color w:val="auto"/>
              </w:rPr>
            </w:pPr>
          </w:p>
        </w:tc>
      </w:tr>
      <w:tr>
        <w:trPr>
          <w:trHeight w:val="189"/>
        </w:trPr>
        <w:tc>
          <w:tcPr>
            <w:tcW w:w="980" w:type="dxa"/>
            <w:vAlign w:val="bottom"/>
          </w:tcPr>
          <w:p>
            <w:pPr>
              <w:ind w:left="28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Item 2.</w:t>
              </w:r>
            </w:hyperlink>
          </w:p>
        </w:tc>
        <w:tc>
          <w:tcPr>
            <w:tcW w:w="8740" w:type="dxa"/>
            <w:vAlign w:val="bottom"/>
          </w:tcPr>
          <w:p>
            <w:pPr>
              <w:ind w:left="1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Management’s Discussion and Analysis of Financial Condition and Results of Operations</w:t>
              </w:r>
            </w:hyperlink>
          </w:p>
        </w:tc>
        <w:tc>
          <w:tcPr>
            <w:tcW w:w="1300" w:type="dxa"/>
            <w:vAlign w:val="bottom"/>
            <w:gridSpan w:val="2"/>
          </w:tcPr>
          <w:p>
            <w:pPr>
              <w:jc w:val="right"/>
              <w:ind w:right="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29</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980" w:type="dxa"/>
            <w:vAlign w:val="bottom"/>
            <w:shd w:val="clear" w:color="auto" w:fill="B2B2B2"/>
          </w:tcPr>
          <w:p>
            <w:pPr>
              <w:spacing w:after="0"/>
              <w:rPr>
                <w:sz w:val="16"/>
                <w:szCs w:val="16"/>
                <w:color w:val="auto"/>
              </w:rPr>
            </w:pPr>
          </w:p>
        </w:tc>
        <w:tc>
          <w:tcPr>
            <w:tcW w:w="8740" w:type="dxa"/>
            <w:vAlign w:val="bottom"/>
            <w:shd w:val="clear" w:color="auto" w:fill="B2B2B2"/>
          </w:tcPr>
          <w:p>
            <w:pPr>
              <w:ind w:left="10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Forward-looking statements</w:t>
              </w:r>
            </w:hyperlink>
          </w:p>
        </w:tc>
        <w:tc>
          <w:tcPr>
            <w:tcW w:w="1300" w:type="dxa"/>
            <w:vAlign w:val="bottom"/>
            <w:gridSpan w:val="2"/>
            <w:shd w:val="clear" w:color="auto" w:fill="B2B2B2"/>
          </w:tcPr>
          <w:p>
            <w:pPr>
              <w:jc w:val="right"/>
              <w:ind w:right="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29</w:t>
              </w:r>
            </w:hyperlink>
          </w:p>
        </w:tc>
        <w:tc>
          <w:tcPr>
            <w:tcW w:w="200" w:type="dxa"/>
            <w:vAlign w:val="bottom"/>
            <w:shd w:val="clear" w:color="auto" w:fill="B2B2B2"/>
          </w:tcPr>
          <w:p>
            <w:pPr>
              <w:spacing w:after="0"/>
              <w:rPr>
                <w:sz w:val="16"/>
                <w:szCs w:val="16"/>
                <w:color w:val="auto"/>
              </w:rPr>
            </w:pPr>
          </w:p>
        </w:tc>
        <w:tc>
          <w:tcPr>
            <w:tcW w:w="20" w:type="dxa"/>
            <w:vAlign w:val="bottom"/>
            <w:shd w:val="clear" w:color="auto" w:fill="B2B2B2"/>
          </w:tcPr>
          <w:p>
            <w:pPr>
              <w:spacing w:after="0"/>
              <w:rPr>
                <w:sz w:val="16"/>
                <w:szCs w:val="16"/>
                <w:color w:val="auto"/>
              </w:rPr>
            </w:pPr>
          </w:p>
        </w:tc>
      </w:tr>
      <w:tr>
        <w:trPr>
          <w:trHeight w:val="189"/>
        </w:trPr>
        <w:tc>
          <w:tcPr>
            <w:tcW w:w="980" w:type="dxa"/>
            <w:vAlign w:val="bottom"/>
          </w:tcPr>
          <w:p>
            <w:pPr>
              <w:ind w:left="28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Item 3.</w:t>
              </w:r>
            </w:hyperlink>
          </w:p>
        </w:tc>
        <w:tc>
          <w:tcPr>
            <w:tcW w:w="8740" w:type="dxa"/>
            <w:vAlign w:val="bottom"/>
          </w:tcPr>
          <w:p>
            <w:pPr>
              <w:ind w:left="14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Quantitative and Qualitative Disclosures about Market Risk</w:t>
              </w:r>
            </w:hyperlink>
          </w:p>
        </w:tc>
        <w:tc>
          <w:tcPr>
            <w:tcW w:w="1300" w:type="dxa"/>
            <w:vAlign w:val="bottom"/>
            <w:gridSpan w:val="2"/>
          </w:tcPr>
          <w:p>
            <w:pPr>
              <w:jc w:val="right"/>
              <w:ind w:right="4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43</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980" w:type="dxa"/>
            <w:vAlign w:val="bottom"/>
            <w:shd w:val="clear" w:color="auto" w:fill="B2B2B2"/>
          </w:tcPr>
          <w:p>
            <w:pPr>
              <w:ind w:left="28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Item 4.</w:t>
              </w:r>
            </w:hyperlink>
          </w:p>
        </w:tc>
        <w:tc>
          <w:tcPr>
            <w:tcW w:w="8740" w:type="dxa"/>
            <w:vAlign w:val="bottom"/>
            <w:shd w:val="clear" w:color="auto" w:fill="B2B2B2"/>
          </w:tcPr>
          <w:p>
            <w:pPr>
              <w:ind w:left="14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Controls and Procedures</w:t>
              </w:r>
            </w:hyperlink>
          </w:p>
        </w:tc>
        <w:tc>
          <w:tcPr>
            <w:tcW w:w="1300" w:type="dxa"/>
            <w:vAlign w:val="bottom"/>
            <w:gridSpan w:val="2"/>
            <w:shd w:val="clear" w:color="auto" w:fill="B2B2B2"/>
          </w:tcPr>
          <w:p>
            <w:pPr>
              <w:jc w:val="right"/>
              <w:ind w:right="4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43</w:t>
              </w:r>
            </w:hyperlink>
          </w:p>
        </w:tc>
        <w:tc>
          <w:tcPr>
            <w:tcW w:w="200" w:type="dxa"/>
            <w:vAlign w:val="bottom"/>
            <w:shd w:val="clear" w:color="auto" w:fill="B2B2B2"/>
          </w:tcPr>
          <w:p>
            <w:pPr>
              <w:spacing w:after="0"/>
              <w:rPr>
                <w:sz w:val="16"/>
                <w:szCs w:val="16"/>
                <w:color w:val="auto"/>
              </w:rPr>
            </w:pPr>
          </w:p>
        </w:tc>
        <w:tc>
          <w:tcPr>
            <w:tcW w:w="20" w:type="dxa"/>
            <w:vAlign w:val="bottom"/>
            <w:shd w:val="clear" w:color="auto" w:fill="B2B2B2"/>
          </w:tcPr>
          <w:p>
            <w:pPr>
              <w:spacing w:after="0"/>
              <w:rPr>
                <w:sz w:val="16"/>
                <w:szCs w:val="16"/>
                <w:color w:val="auto"/>
              </w:rPr>
            </w:pPr>
          </w:p>
        </w:tc>
      </w:tr>
      <w:tr>
        <w:trPr>
          <w:trHeight w:val="405"/>
        </w:trPr>
        <w:tc>
          <w:tcPr>
            <w:tcW w:w="9720" w:type="dxa"/>
            <w:vAlign w:val="bottom"/>
            <w:gridSpan w:val="2"/>
          </w:tcPr>
          <w:p>
            <w:pPr>
              <w:spacing w:after="0"/>
              <w:rPr>
                <w:sz w:val="20"/>
                <w:szCs w:val="20"/>
                <w:color w:val="auto"/>
              </w:rPr>
            </w:pPr>
            <w:r>
              <w:rPr>
                <w:rFonts w:ascii="Arial" w:cs="Arial" w:eastAsia="Arial" w:hAnsi="Arial"/>
                <w:sz w:val="16"/>
                <w:szCs w:val="16"/>
                <w:b w:val="1"/>
                <w:bCs w:val="1"/>
                <w:color w:val="auto"/>
              </w:rPr>
              <w:t>Part II Other Information</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980" w:type="dxa"/>
            <w:vAlign w:val="bottom"/>
            <w:shd w:val="clear" w:color="auto" w:fill="B2B2B2"/>
          </w:tcPr>
          <w:p>
            <w:pPr>
              <w:ind w:left="28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Item 1.</w:t>
              </w:r>
            </w:hyperlink>
          </w:p>
        </w:tc>
        <w:tc>
          <w:tcPr>
            <w:tcW w:w="8740" w:type="dxa"/>
            <w:vAlign w:val="bottom"/>
            <w:shd w:val="clear" w:color="auto" w:fill="B2B2B2"/>
          </w:tcPr>
          <w:p>
            <w:pPr>
              <w:ind w:left="14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Legal Proceedings</w:t>
              </w:r>
            </w:hyperlink>
          </w:p>
        </w:tc>
        <w:tc>
          <w:tcPr>
            <w:tcW w:w="1300" w:type="dxa"/>
            <w:vAlign w:val="bottom"/>
            <w:gridSpan w:val="2"/>
            <w:shd w:val="clear" w:color="auto" w:fill="B2B2B2"/>
          </w:tcPr>
          <w:p>
            <w:pPr>
              <w:jc w:val="right"/>
              <w:ind w:right="4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43</w:t>
              </w:r>
            </w:hyperlink>
          </w:p>
        </w:tc>
        <w:tc>
          <w:tcPr>
            <w:tcW w:w="200" w:type="dxa"/>
            <w:vAlign w:val="bottom"/>
            <w:shd w:val="clear" w:color="auto" w:fill="B2B2B2"/>
          </w:tcPr>
          <w:p>
            <w:pPr>
              <w:spacing w:after="0"/>
              <w:rPr>
                <w:sz w:val="16"/>
                <w:szCs w:val="16"/>
                <w:color w:val="auto"/>
              </w:rPr>
            </w:pPr>
          </w:p>
        </w:tc>
        <w:tc>
          <w:tcPr>
            <w:tcW w:w="20" w:type="dxa"/>
            <w:vAlign w:val="bottom"/>
            <w:shd w:val="clear" w:color="auto" w:fill="B2B2B2"/>
          </w:tcPr>
          <w:p>
            <w:pPr>
              <w:spacing w:after="0"/>
              <w:rPr>
                <w:sz w:val="16"/>
                <w:szCs w:val="16"/>
                <w:color w:val="auto"/>
              </w:rPr>
            </w:pPr>
          </w:p>
        </w:tc>
      </w:tr>
      <w:tr>
        <w:trPr>
          <w:trHeight w:val="189"/>
        </w:trPr>
        <w:tc>
          <w:tcPr>
            <w:tcW w:w="980" w:type="dxa"/>
            <w:vAlign w:val="bottom"/>
          </w:tcPr>
          <w:p>
            <w:pPr>
              <w:ind w:left="28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Item 1A.</w:t>
              </w:r>
            </w:hyperlink>
          </w:p>
        </w:tc>
        <w:tc>
          <w:tcPr>
            <w:tcW w:w="8740" w:type="dxa"/>
            <w:vAlign w:val="bottom"/>
          </w:tcPr>
          <w:p>
            <w:pPr>
              <w:ind w:left="14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Risk Factors</w:t>
              </w:r>
            </w:hyperlink>
          </w:p>
        </w:tc>
        <w:tc>
          <w:tcPr>
            <w:tcW w:w="1300" w:type="dxa"/>
            <w:vAlign w:val="bottom"/>
            <w:gridSpan w:val="2"/>
          </w:tcPr>
          <w:p>
            <w:pPr>
              <w:jc w:val="right"/>
              <w:ind w:right="40"/>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43</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980" w:type="dxa"/>
            <w:vAlign w:val="bottom"/>
            <w:shd w:val="clear" w:color="auto" w:fill="B2B2B2"/>
          </w:tcPr>
          <w:p>
            <w:pPr>
              <w:ind w:left="28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Item 2.</w:t>
              </w:r>
            </w:hyperlink>
          </w:p>
        </w:tc>
        <w:tc>
          <w:tcPr>
            <w:tcW w:w="8740" w:type="dxa"/>
            <w:vAlign w:val="bottom"/>
            <w:shd w:val="clear" w:color="auto" w:fill="B2B2B2"/>
          </w:tcPr>
          <w:p>
            <w:pPr>
              <w:ind w:left="1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Unregistered Sales of Equity Securities and Use of Proceeds</w:t>
              </w:r>
            </w:hyperlink>
          </w:p>
        </w:tc>
        <w:tc>
          <w:tcPr>
            <w:tcW w:w="1300" w:type="dxa"/>
            <w:vAlign w:val="bottom"/>
            <w:gridSpan w:val="2"/>
            <w:shd w:val="clear" w:color="auto" w:fill="B2B2B2"/>
          </w:tcPr>
          <w:p>
            <w:pPr>
              <w:jc w:val="right"/>
              <w:ind w:right="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44</w:t>
              </w:r>
            </w:hyperlink>
          </w:p>
        </w:tc>
        <w:tc>
          <w:tcPr>
            <w:tcW w:w="200" w:type="dxa"/>
            <w:vAlign w:val="bottom"/>
            <w:shd w:val="clear" w:color="auto" w:fill="B2B2B2"/>
          </w:tcPr>
          <w:p>
            <w:pPr>
              <w:spacing w:after="0"/>
              <w:rPr>
                <w:sz w:val="16"/>
                <w:szCs w:val="16"/>
                <w:color w:val="auto"/>
              </w:rPr>
            </w:pPr>
          </w:p>
        </w:tc>
        <w:tc>
          <w:tcPr>
            <w:tcW w:w="20" w:type="dxa"/>
            <w:vAlign w:val="bottom"/>
            <w:shd w:val="clear" w:color="auto" w:fill="B2B2B2"/>
          </w:tcPr>
          <w:p>
            <w:pPr>
              <w:spacing w:after="0"/>
              <w:rPr>
                <w:sz w:val="16"/>
                <w:szCs w:val="16"/>
                <w:color w:val="auto"/>
              </w:rPr>
            </w:pPr>
          </w:p>
        </w:tc>
      </w:tr>
      <w:tr>
        <w:trPr>
          <w:trHeight w:val="189"/>
        </w:trPr>
        <w:tc>
          <w:tcPr>
            <w:tcW w:w="980" w:type="dxa"/>
            <w:vAlign w:val="bottom"/>
          </w:tcPr>
          <w:p>
            <w:pPr>
              <w:ind w:left="28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Item 3.</w:t>
              </w:r>
            </w:hyperlink>
          </w:p>
        </w:tc>
        <w:tc>
          <w:tcPr>
            <w:tcW w:w="8740" w:type="dxa"/>
            <w:vAlign w:val="bottom"/>
          </w:tcPr>
          <w:p>
            <w:pPr>
              <w:ind w:left="1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Defaults upon Senior Securities</w:t>
              </w:r>
            </w:hyperlink>
          </w:p>
        </w:tc>
        <w:tc>
          <w:tcPr>
            <w:tcW w:w="1300" w:type="dxa"/>
            <w:vAlign w:val="bottom"/>
            <w:gridSpan w:val="2"/>
          </w:tcPr>
          <w:p>
            <w:pPr>
              <w:jc w:val="right"/>
              <w:ind w:right="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44</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980" w:type="dxa"/>
            <w:vAlign w:val="bottom"/>
            <w:shd w:val="clear" w:color="auto" w:fill="B2B2B2"/>
          </w:tcPr>
          <w:p>
            <w:pPr>
              <w:ind w:left="28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Item 4.</w:t>
              </w:r>
            </w:hyperlink>
          </w:p>
        </w:tc>
        <w:tc>
          <w:tcPr>
            <w:tcW w:w="8740" w:type="dxa"/>
            <w:vAlign w:val="bottom"/>
            <w:shd w:val="clear" w:color="auto" w:fill="B2B2B2"/>
          </w:tcPr>
          <w:p>
            <w:pPr>
              <w:ind w:left="1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Mine Safety Disclosures</w:t>
              </w:r>
            </w:hyperlink>
          </w:p>
        </w:tc>
        <w:tc>
          <w:tcPr>
            <w:tcW w:w="1300" w:type="dxa"/>
            <w:vAlign w:val="bottom"/>
            <w:gridSpan w:val="2"/>
            <w:shd w:val="clear" w:color="auto" w:fill="B2B2B2"/>
          </w:tcPr>
          <w:p>
            <w:pPr>
              <w:jc w:val="right"/>
              <w:ind w:right="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44</w:t>
              </w:r>
            </w:hyperlink>
          </w:p>
        </w:tc>
        <w:tc>
          <w:tcPr>
            <w:tcW w:w="200" w:type="dxa"/>
            <w:vAlign w:val="bottom"/>
            <w:shd w:val="clear" w:color="auto" w:fill="B2B2B2"/>
          </w:tcPr>
          <w:p>
            <w:pPr>
              <w:spacing w:after="0"/>
              <w:rPr>
                <w:sz w:val="16"/>
                <w:szCs w:val="16"/>
                <w:color w:val="auto"/>
              </w:rPr>
            </w:pPr>
          </w:p>
        </w:tc>
        <w:tc>
          <w:tcPr>
            <w:tcW w:w="20" w:type="dxa"/>
            <w:vAlign w:val="bottom"/>
            <w:shd w:val="clear" w:color="auto" w:fill="B2B2B2"/>
          </w:tcPr>
          <w:p>
            <w:pPr>
              <w:spacing w:after="0"/>
              <w:rPr>
                <w:sz w:val="16"/>
                <w:szCs w:val="16"/>
                <w:color w:val="auto"/>
              </w:rPr>
            </w:pPr>
          </w:p>
        </w:tc>
      </w:tr>
      <w:tr>
        <w:trPr>
          <w:trHeight w:val="189"/>
        </w:trPr>
        <w:tc>
          <w:tcPr>
            <w:tcW w:w="980" w:type="dxa"/>
            <w:vAlign w:val="bottom"/>
          </w:tcPr>
          <w:p>
            <w:pPr>
              <w:ind w:left="28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Item 5.</w:t>
              </w:r>
            </w:hyperlink>
          </w:p>
        </w:tc>
        <w:tc>
          <w:tcPr>
            <w:tcW w:w="8740" w:type="dxa"/>
            <w:vAlign w:val="bottom"/>
          </w:tcPr>
          <w:p>
            <w:pPr>
              <w:ind w:left="1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Other Information</w:t>
              </w:r>
            </w:hyperlink>
          </w:p>
        </w:tc>
        <w:tc>
          <w:tcPr>
            <w:tcW w:w="1300" w:type="dxa"/>
            <w:vAlign w:val="bottom"/>
            <w:gridSpan w:val="2"/>
          </w:tcPr>
          <w:p>
            <w:pPr>
              <w:jc w:val="right"/>
              <w:ind w:right="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44</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980" w:type="dxa"/>
            <w:vAlign w:val="bottom"/>
            <w:shd w:val="clear" w:color="auto" w:fill="B2B2B2"/>
          </w:tcPr>
          <w:p>
            <w:pPr>
              <w:ind w:left="28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Item 6.</w:t>
              </w:r>
            </w:hyperlink>
          </w:p>
        </w:tc>
        <w:tc>
          <w:tcPr>
            <w:tcW w:w="8740" w:type="dxa"/>
            <w:vAlign w:val="bottom"/>
            <w:shd w:val="clear" w:color="auto" w:fill="B2B2B2"/>
          </w:tcPr>
          <w:p>
            <w:pPr>
              <w:ind w:left="1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Exhibits</w:t>
              </w:r>
            </w:hyperlink>
          </w:p>
        </w:tc>
        <w:tc>
          <w:tcPr>
            <w:tcW w:w="1300" w:type="dxa"/>
            <w:vAlign w:val="bottom"/>
            <w:gridSpan w:val="2"/>
            <w:shd w:val="clear" w:color="auto" w:fill="B2B2B2"/>
          </w:tcPr>
          <w:p>
            <w:pPr>
              <w:jc w:val="right"/>
              <w:ind w:right="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44</w:t>
              </w:r>
            </w:hyperlink>
          </w:p>
        </w:tc>
        <w:tc>
          <w:tcPr>
            <w:tcW w:w="200" w:type="dxa"/>
            <w:vAlign w:val="bottom"/>
            <w:shd w:val="clear" w:color="auto" w:fill="B2B2B2"/>
          </w:tcPr>
          <w:p>
            <w:pPr>
              <w:spacing w:after="0"/>
              <w:rPr>
                <w:sz w:val="16"/>
                <w:szCs w:val="16"/>
                <w:color w:val="auto"/>
              </w:rPr>
            </w:pPr>
          </w:p>
        </w:tc>
        <w:tc>
          <w:tcPr>
            <w:tcW w:w="20" w:type="dxa"/>
            <w:vAlign w:val="bottom"/>
            <w:shd w:val="clear" w:color="auto" w:fill="B2B2B2"/>
          </w:tcPr>
          <w:p>
            <w:pPr>
              <w:spacing w:after="0"/>
              <w:rPr>
                <w:sz w:val="16"/>
                <w:szCs w:val="16"/>
                <w:color w:val="auto"/>
              </w:rPr>
            </w:pPr>
          </w:p>
        </w:tc>
      </w:tr>
      <w:tr>
        <w:trPr>
          <w:trHeight w:val="135"/>
        </w:trPr>
        <w:tc>
          <w:tcPr>
            <w:tcW w:w="980" w:type="dxa"/>
            <w:vAlign w:val="bottom"/>
            <w:tcBorders>
              <w:bottom w:val="single" w:sz="8" w:color="EEEEEE"/>
            </w:tcBorders>
          </w:tcPr>
          <w:p>
            <w:pPr>
              <w:spacing w:after="0"/>
              <w:rPr>
                <w:sz w:val="11"/>
                <w:szCs w:val="11"/>
                <w:color w:val="auto"/>
              </w:rPr>
            </w:pPr>
          </w:p>
        </w:tc>
        <w:tc>
          <w:tcPr>
            <w:tcW w:w="8740" w:type="dxa"/>
            <w:vAlign w:val="bottom"/>
            <w:tcBorders>
              <w:bottom w:val="single" w:sz="8" w:color="EEEEEE"/>
            </w:tcBorders>
          </w:tcPr>
          <w:p>
            <w:pPr>
              <w:spacing w:after="0"/>
              <w:rPr>
                <w:sz w:val="11"/>
                <w:szCs w:val="11"/>
                <w:color w:val="auto"/>
              </w:rPr>
            </w:pPr>
          </w:p>
        </w:tc>
        <w:tc>
          <w:tcPr>
            <w:tcW w:w="1060" w:type="dxa"/>
            <w:vAlign w:val="bottom"/>
            <w:tcBorders>
              <w:bottom w:val="single" w:sz="8" w:color="EEEEEE"/>
            </w:tcBorders>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7880" w:type="dxa"/>
            <w:vAlign w:val="bottom"/>
            <w:tcBorders>
              <w:bottom w:val="single" w:sz="8" w:color="B2B2B2"/>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B2B2B2"/>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r>
      <w:tr>
        <w:trPr>
          <w:trHeight w:val="183"/>
        </w:trPr>
        <w:tc>
          <w:tcPr>
            <w:tcW w:w="7880" w:type="dxa"/>
            <w:vAlign w:val="bottom"/>
            <w:shd w:val="clear" w:color="auto" w:fill="B2B2B2"/>
          </w:tcPr>
          <w:p>
            <w:pPr>
              <w:spacing w:after="0" w:line="183" w:lineRule="exact"/>
              <w:rPr>
                <w:sz w:val="20"/>
                <w:szCs w:val="20"/>
                <w:color w:val="auto"/>
              </w:rPr>
            </w:pPr>
            <w:r>
              <w:rPr>
                <w:rFonts w:ascii="Arial" w:cs="Arial" w:eastAsia="Arial" w:hAnsi="Arial"/>
                <w:sz w:val="16"/>
                <w:szCs w:val="16"/>
                <w:color w:val="auto"/>
              </w:rPr>
              <w:t>Net sales</w:t>
            </w:r>
          </w:p>
        </w:tc>
        <w:tc>
          <w:tcPr>
            <w:tcW w:w="520" w:type="dxa"/>
            <w:vAlign w:val="bottom"/>
            <w:shd w:val="clear" w:color="auto" w:fill="B2B2B2"/>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B2B2B2"/>
          </w:tcPr>
          <w:p>
            <w:pPr>
              <w:jc w:val="right"/>
              <w:ind w:right="339"/>
              <w:spacing w:after="0" w:line="183" w:lineRule="exact"/>
              <w:rPr>
                <w:sz w:val="20"/>
                <w:szCs w:val="20"/>
                <w:color w:val="auto"/>
              </w:rPr>
            </w:pPr>
            <w:r>
              <w:rPr>
                <w:rFonts w:ascii="Arial" w:cs="Arial" w:eastAsia="Arial" w:hAnsi="Arial"/>
                <w:sz w:val="16"/>
                <w:szCs w:val="16"/>
                <w:color w:val="auto"/>
              </w:rPr>
              <w:t>235,764</w:t>
            </w:r>
          </w:p>
        </w:tc>
        <w:tc>
          <w:tcPr>
            <w:tcW w:w="220" w:type="dxa"/>
            <w:vAlign w:val="bottom"/>
            <w:shd w:val="clear" w:color="auto" w:fill="B2B2B2"/>
          </w:tcPr>
          <w:p>
            <w:pPr>
              <w:spacing w:after="0"/>
              <w:rPr>
                <w:sz w:val="15"/>
                <w:szCs w:val="15"/>
                <w:color w:val="auto"/>
              </w:rPr>
            </w:pPr>
          </w:p>
        </w:tc>
        <w:tc>
          <w:tcPr>
            <w:tcW w:w="540" w:type="dxa"/>
            <w:vAlign w:val="bottom"/>
            <w:shd w:val="clear" w:color="auto" w:fill="B2B2B2"/>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B2B2B2"/>
          </w:tcPr>
          <w:p>
            <w:pPr>
              <w:jc w:val="right"/>
              <w:ind w:right="339"/>
              <w:spacing w:after="0" w:line="183" w:lineRule="exact"/>
              <w:rPr>
                <w:sz w:val="20"/>
                <w:szCs w:val="20"/>
                <w:color w:val="auto"/>
              </w:rPr>
            </w:pPr>
            <w:r>
              <w:rPr>
                <w:rFonts w:ascii="Arial" w:cs="Arial" w:eastAsia="Arial" w:hAnsi="Arial"/>
                <w:sz w:val="16"/>
                <w:szCs w:val="16"/>
                <w:color w:val="auto"/>
              </w:rPr>
              <w:t>251,373</w:t>
            </w:r>
          </w:p>
        </w:tc>
      </w:tr>
      <w:tr>
        <w:trPr>
          <w:trHeight w:val="189"/>
        </w:trPr>
        <w:tc>
          <w:tcPr>
            <w:tcW w:w="78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Cost of goods sold</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146,292</w:t>
            </w:r>
          </w:p>
        </w:tc>
        <w:tc>
          <w:tcPr>
            <w:tcW w:w="220" w:type="dxa"/>
            <w:vAlign w:val="bottom"/>
            <w:tcBorders>
              <w:bottom w:val="single" w:sz="8" w:color="B2B2B2"/>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96"/>
              </w:rPr>
              <w:t>159,602</w:t>
            </w:r>
          </w:p>
        </w:tc>
      </w:tr>
      <w:tr>
        <w:trPr>
          <w:trHeight w:val="169"/>
        </w:trPr>
        <w:tc>
          <w:tcPr>
            <w:tcW w:w="7880" w:type="dxa"/>
            <w:vAlign w:val="bottom"/>
            <w:shd w:val="clear" w:color="auto" w:fill="B2B2B2"/>
          </w:tcPr>
          <w:p>
            <w:pPr>
              <w:spacing w:after="0"/>
              <w:rPr>
                <w:sz w:val="14"/>
                <w:szCs w:val="14"/>
                <w:color w:val="auto"/>
              </w:rPr>
            </w:pPr>
          </w:p>
        </w:tc>
        <w:tc>
          <w:tcPr>
            <w:tcW w:w="520" w:type="dxa"/>
            <w:vAlign w:val="bottom"/>
            <w:shd w:val="clear" w:color="auto" w:fill="B2B2B2"/>
          </w:tcPr>
          <w:p>
            <w:pPr>
              <w:spacing w:after="0"/>
              <w:rPr>
                <w:sz w:val="14"/>
                <w:szCs w:val="14"/>
                <w:color w:val="auto"/>
              </w:rPr>
            </w:pPr>
          </w:p>
        </w:tc>
        <w:tc>
          <w:tcPr>
            <w:tcW w:w="1040" w:type="dxa"/>
            <w:vAlign w:val="bottom"/>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540" w:type="dxa"/>
            <w:vAlign w:val="bottom"/>
            <w:shd w:val="clear" w:color="auto" w:fill="B2B2B2"/>
          </w:tcPr>
          <w:p>
            <w:pPr>
              <w:spacing w:after="0"/>
              <w:rPr>
                <w:sz w:val="14"/>
                <w:szCs w:val="14"/>
                <w:color w:val="auto"/>
              </w:rPr>
            </w:pPr>
          </w:p>
        </w:tc>
        <w:tc>
          <w:tcPr>
            <w:tcW w:w="1040" w:type="dxa"/>
            <w:vAlign w:val="bottom"/>
            <w:shd w:val="clear" w:color="auto" w:fill="B2B2B2"/>
          </w:tcPr>
          <w:p>
            <w:pPr>
              <w:spacing w:after="0"/>
              <w:rPr>
                <w:sz w:val="14"/>
                <w:szCs w:val="14"/>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Gross profit</w:t>
            </w: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89,472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91,771</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59"/>
              <w:spacing w:after="0"/>
              <w:rPr>
                <w:sz w:val="20"/>
                <w:szCs w:val="20"/>
                <w:color w:val="auto"/>
              </w:rPr>
            </w:pPr>
            <w:r>
              <w:rPr>
                <w:rFonts w:ascii="Arial" w:cs="Arial" w:eastAsia="Arial" w:hAnsi="Arial"/>
                <w:sz w:val="16"/>
                <w:szCs w:val="16"/>
                <w:color w:val="auto"/>
              </w:rPr>
              <w:t>40,106</w:t>
            </w:r>
          </w:p>
        </w:tc>
        <w:tc>
          <w:tcPr>
            <w:tcW w:w="220" w:type="dxa"/>
            <w:vAlign w:val="bottom"/>
            <w:shd w:val="clear" w:color="auto" w:fill="B2B2B2"/>
          </w:tcPr>
          <w:p>
            <w:pPr>
              <w:spacing w:after="0"/>
              <w:rPr>
                <w:sz w:val="16"/>
                <w:szCs w:val="16"/>
                <w:color w:val="auto"/>
              </w:rPr>
            </w:pPr>
          </w:p>
        </w:tc>
        <w:tc>
          <w:tcPr>
            <w:tcW w:w="54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79"/>
              <w:spacing w:after="0"/>
              <w:rPr>
                <w:sz w:val="20"/>
                <w:szCs w:val="20"/>
                <w:color w:val="auto"/>
              </w:rPr>
            </w:pPr>
            <w:r>
              <w:rPr>
                <w:rFonts w:ascii="Arial" w:cs="Arial" w:eastAsia="Arial" w:hAnsi="Arial"/>
                <w:sz w:val="16"/>
                <w:szCs w:val="16"/>
                <w:color w:val="auto"/>
              </w:rPr>
              <w:t>40,945</w:t>
            </w: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Technical and research expenses</w:t>
            </w: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9,130</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10,249</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Restructuring expenses, net</w:t>
            </w:r>
          </w:p>
        </w:tc>
        <w:tc>
          <w:tcPr>
            <w:tcW w:w="520" w:type="dxa"/>
            <w:vAlign w:val="bottom"/>
            <w:tcBorders>
              <w:bottom w:val="single" w:sz="8" w:color="auto"/>
            </w:tcBorders>
            <w:shd w:val="clear" w:color="auto" w:fill="B2B2B2"/>
          </w:tcPr>
          <w:p>
            <w:pPr>
              <w:spacing w:after="0"/>
              <w:rPr>
                <w:sz w:val="16"/>
                <w:szCs w:val="16"/>
                <w:color w:val="auto"/>
              </w:rPr>
            </w:pPr>
          </w:p>
        </w:tc>
        <w:tc>
          <w:tcPr>
            <w:tcW w:w="1040" w:type="dxa"/>
            <w:vAlign w:val="bottom"/>
            <w:tcBorders>
              <w:bottom w:val="single" w:sz="8" w:color="auto"/>
            </w:tcBorders>
            <w:shd w:val="clear" w:color="auto" w:fill="B2B2B2"/>
          </w:tcPr>
          <w:p>
            <w:pPr>
              <w:jc w:val="right"/>
              <w:ind w:right="359"/>
              <w:spacing w:after="0"/>
              <w:rPr>
                <w:sz w:val="20"/>
                <w:szCs w:val="20"/>
                <w:color w:val="auto"/>
              </w:rPr>
            </w:pPr>
            <w:r>
              <w:rPr>
                <w:rFonts w:ascii="Arial" w:cs="Arial" w:eastAsia="Arial" w:hAnsi="Arial"/>
                <w:sz w:val="16"/>
                <w:szCs w:val="16"/>
                <w:color w:val="auto"/>
              </w:rPr>
              <w:t>642</w:t>
            </w:r>
          </w:p>
        </w:tc>
        <w:tc>
          <w:tcPr>
            <w:tcW w:w="220" w:type="dxa"/>
            <w:vAlign w:val="bottom"/>
            <w:shd w:val="clear" w:color="auto" w:fill="B2B2B2"/>
          </w:tcPr>
          <w:p>
            <w:pPr>
              <w:spacing w:after="0"/>
              <w:rPr>
                <w:sz w:val="16"/>
                <w:szCs w:val="16"/>
                <w:color w:val="auto"/>
              </w:rPr>
            </w:pPr>
          </w:p>
        </w:tc>
        <w:tc>
          <w:tcPr>
            <w:tcW w:w="540" w:type="dxa"/>
            <w:vAlign w:val="bottom"/>
            <w:tcBorders>
              <w:bottom w:val="single" w:sz="8" w:color="auto"/>
            </w:tcBorders>
            <w:shd w:val="clear" w:color="auto" w:fill="B2B2B2"/>
          </w:tcPr>
          <w:p>
            <w:pPr>
              <w:spacing w:after="0"/>
              <w:rPr>
                <w:sz w:val="16"/>
                <w:szCs w:val="16"/>
                <w:color w:val="auto"/>
              </w:rPr>
            </w:pPr>
          </w:p>
        </w:tc>
        <w:tc>
          <w:tcPr>
            <w:tcW w:w="1040" w:type="dxa"/>
            <w:vAlign w:val="bottom"/>
            <w:tcBorders>
              <w:bottom w:val="single" w:sz="8" w:color="auto"/>
            </w:tcBorders>
            <w:shd w:val="clear" w:color="auto" w:fill="B2B2B2"/>
          </w:tcPr>
          <w:p>
            <w:pPr>
              <w:jc w:val="right"/>
              <w:ind w:right="379"/>
              <w:spacing w:after="0"/>
              <w:rPr>
                <w:sz w:val="20"/>
                <w:szCs w:val="20"/>
                <w:color w:val="auto"/>
              </w:rPr>
            </w:pPr>
            <w:r>
              <w:rPr>
                <w:rFonts w:ascii="Arial" w:cs="Arial" w:eastAsia="Arial" w:hAnsi="Arial"/>
                <w:sz w:val="16"/>
                <w:szCs w:val="16"/>
                <w:color w:val="auto"/>
              </w:rPr>
              <w:t>484</w:t>
            </w:r>
          </w:p>
        </w:tc>
      </w:tr>
      <w:tr>
        <w:trPr>
          <w:trHeight w:val="169"/>
        </w:trPr>
        <w:tc>
          <w:tcPr>
            <w:tcW w:w="7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7880" w:type="dxa"/>
            <w:vAlign w:val="bottom"/>
            <w:shd w:val="clear" w:color="auto" w:fill="B2B2B2"/>
          </w:tcPr>
          <w:p>
            <w:pPr>
              <w:spacing w:after="0"/>
              <w:rPr>
                <w:sz w:val="20"/>
                <w:szCs w:val="20"/>
                <w:color w:val="auto"/>
              </w:rPr>
            </w:pPr>
            <w:r>
              <w:rPr>
                <w:rFonts w:ascii="Arial" w:cs="Arial" w:eastAsia="Arial" w:hAnsi="Arial"/>
                <w:sz w:val="16"/>
                <w:szCs w:val="16"/>
                <w:color w:val="auto"/>
              </w:rPr>
              <w:t>Operating income</w:t>
            </w: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59"/>
              <w:spacing w:after="0"/>
              <w:rPr>
                <w:sz w:val="20"/>
                <w:szCs w:val="20"/>
                <w:color w:val="auto"/>
              </w:rPr>
            </w:pPr>
            <w:r>
              <w:rPr>
                <w:rFonts w:ascii="Arial" w:cs="Arial" w:eastAsia="Arial" w:hAnsi="Arial"/>
                <w:sz w:val="16"/>
                <w:szCs w:val="16"/>
                <w:color w:val="auto"/>
              </w:rPr>
              <w:t>39,594</w:t>
            </w:r>
          </w:p>
        </w:tc>
        <w:tc>
          <w:tcPr>
            <w:tcW w:w="220" w:type="dxa"/>
            <w:vAlign w:val="bottom"/>
            <w:shd w:val="clear" w:color="auto" w:fill="B2B2B2"/>
          </w:tcPr>
          <w:p>
            <w:pPr>
              <w:spacing w:after="0"/>
              <w:rPr>
                <w:sz w:val="16"/>
                <w:szCs w:val="16"/>
                <w:color w:val="auto"/>
              </w:rPr>
            </w:pPr>
          </w:p>
        </w:tc>
        <w:tc>
          <w:tcPr>
            <w:tcW w:w="54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79"/>
              <w:spacing w:after="0"/>
              <w:rPr>
                <w:sz w:val="20"/>
                <w:szCs w:val="20"/>
                <w:color w:val="auto"/>
              </w:rPr>
            </w:pPr>
            <w:r>
              <w:rPr>
                <w:rFonts w:ascii="Arial" w:cs="Arial" w:eastAsia="Arial" w:hAnsi="Arial"/>
                <w:sz w:val="16"/>
                <w:szCs w:val="16"/>
                <w:color w:val="auto"/>
              </w:rPr>
              <w:t>40,093</w:t>
            </w: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3,977</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4,417</w:t>
            </w:r>
          </w:p>
        </w:tc>
      </w:tr>
      <w:tr>
        <w:trPr>
          <w:trHeight w:val="189"/>
        </w:trPr>
        <w:tc>
          <w:tcPr>
            <w:tcW w:w="7880" w:type="dxa"/>
            <w:vAlign w:val="bottom"/>
            <w:shd w:val="clear" w:color="auto" w:fill="B2B2B2"/>
          </w:tcPr>
          <w:p>
            <w:pPr>
              <w:spacing w:after="0"/>
              <w:rPr>
                <w:sz w:val="20"/>
                <w:szCs w:val="20"/>
                <w:color w:val="auto"/>
              </w:rPr>
            </w:pPr>
            <w:r>
              <w:rPr>
                <w:rFonts w:ascii="Arial" w:cs="Arial" w:eastAsia="Arial" w:hAnsi="Arial"/>
                <w:sz w:val="16"/>
                <w:szCs w:val="16"/>
                <w:color w:val="auto"/>
              </w:rPr>
              <w:t>Other expense/(income), net</w:t>
            </w:r>
          </w:p>
        </w:tc>
        <w:tc>
          <w:tcPr>
            <w:tcW w:w="520" w:type="dxa"/>
            <w:vAlign w:val="bottom"/>
            <w:tcBorders>
              <w:bottom w:val="single" w:sz="8" w:color="auto"/>
            </w:tcBorders>
            <w:shd w:val="clear" w:color="auto" w:fill="B2B2B2"/>
          </w:tcPr>
          <w:p>
            <w:pPr>
              <w:spacing w:after="0"/>
              <w:rPr>
                <w:sz w:val="16"/>
                <w:szCs w:val="16"/>
                <w:color w:val="auto"/>
              </w:rPr>
            </w:pPr>
          </w:p>
        </w:tc>
        <w:tc>
          <w:tcPr>
            <w:tcW w:w="1040" w:type="dxa"/>
            <w:vAlign w:val="bottom"/>
            <w:tcBorders>
              <w:bottom w:val="single" w:sz="8" w:color="auto"/>
            </w:tcBorders>
            <w:shd w:val="clear" w:color="auto" w:fill="B2B2B2"/>
          </w:tcPr>
          <w:p>
            <w:pPr>
              <w:jc w:val="right"/>
              <w:ind w:right="359"/>
              <w:spacing w:after="0"/>
              <w:rPr>
                <w:sz w:val="20"/>
                <w:szCs w:val="20"/>
                <w:color w:val="auto"/>
              </w:rPr>
            </w:pPr>
            <w:r>
              <w:rPr>
                <w:rFonts w:ascii="Arial" w:cs="Arial" w:eastAsia="Arial" w:hAnsi="Arial"/>
                <w:sz w:val="16"/>
                <w:szCs w:val="16"/>
                <w:color w:val="auto"/>
              </w:rPr>
              <w:t>15,569</w:t>
            </w:r>
          </w:p>
        </w:tc>
        <w:tc>
          <w:tcPr>
            <w:tcW w:w="220" w:type="dxa"/>
            <w:vAlign w:val="bottom"/>
            <w:shd w:val="clear" w:color="auto" w:fill="B2B2B2"/>
          </w:tcPr>
          <w:p>
            <w:pPr>
              <w:spacing w:after="0"/>
              <w:rPr>
                <w:sz w:val="16"/>
                <w:szCs w:val="16"/>
                <w:color w:val="auto"/>
              </w:rPr>
            </w:pPr>
          </w:p>
        </w:tc>
        <w:tc>
          <w:tcPr>
            <w:tcW w:w="540" w:type="dxa"/>
            <w:vAlign w:val="bottom"/>
            <w:tcBorders>
              <w:bottom w:val="single" w:sz="8" w:color="auto"/>
            </w:tcBorders>
            <w:shd w:val="clear" w:color="auto" w:fill="B2B2B2"/>
          </w:tcPr>
          <w:p>
            <w:pPr>
              <w:spacing w:after="0"/>
              <w:rPr>
                <w:sz w:val="16"/>
                <w:szCs w:val="16"/>
                <w:color w:val="auto"/>
              </w:rPr>
            </w:pPr>
          </w:p>
        </w:tc>
        <w:tc>
          <w:tcPr>
            <w:tcW w:w="1040" w:type="dxa"/>
            <w:vAlign w:val="bottom"/>
            <w:tcBorders>
              <w:bottom w:val="single" w:sz="8" w:color="auto"/>
            </w:tcBorders>
            <w:shd w:val="clear" w:color="auto" w:fill="B2B2B2"/>
          </w:tcPr>
          <w:p>
            <w:pPr>
              <w:jc w:val="right"/>
              <w:ind w:right="279"/>
              <w:spacing w:after="0"/>
              <w:rPr>
                <w:sz w:val="20"/>
                <w:szCs w:val="20"/>
                <w:color w:val="auto"/>
              </w:rPr>
            </w:pPr>
            <w:r>
              <w:rPr>
                <w:rFonts w:ascii="Arial" w:cs="Arial" w:eastAsia="Arial" w:hAnsi="Arial"/>
                <w:sz w:val="16"/>
                <w:szCs w:val="16"/>
                <w:color w:val="auto"/>
              </w:rPr>
              <w:t>( 1,208 )</w:t>
            </w:r>
          </w:p>
        </w:tc>
      </w:tr>
      <w:tr>
        <w:trPr>
          <w:trHeight w:val="169"/>
        </w:trPr>
        <w:tc>
          <w:tcPr>
            <w:tcW w:w="7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7880" w:type="dxa"/>
            <w:vAlign w:val="bottom"/>
            <w:shd w:val="clear" w:color="auto" w:fill="B2B2B2"/>
          </w:tcPr>
          <w:p>
            <w:pPr>
              <w:spacing w:after="0"/>
              <w:rPr>
                <w:sz w:val="20"/>
                <w:szCs w:val="20"/>
                <w:color w:val="auto"/>
              </w:rPr>
            </w:pPr>
            <w:r>
              <w:rPr>
                <w:rFonts w:ascii="Arial" w:cs="Arial" w:eastAsia="Arial" w:hAnsi="Arial"/>
                <w:sz w:val="16"/>
                <w:szCs w:val="16"/>
                <w:color w:val="auto"/>
              </w:rPr>
              <w:t>Income before income taxes</w:t>
            </w: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59"/>
              <w:spacing w:after="0"/>
              <w:rPr>
                <w:sz w:val="20"/>
                <w:szCs w:val="20"/>
                <w:color w:val="auto"/>
              </w:rPr>
            </w:pPr>
            <w:r>
              <w:rPr>
                <w:rFonts w:ascii="Arial" w:cs="Arial" w:eastAsia="Arial" w:hAnsi="Arial"/>
                <w:sz w:val="16"/>
                <w:szCs w:val="16"/>
                <w:color w:val="auto"/>
              </w:rPr>
              <w:t>20,048</w:t>
            </w:r>
          </w:p>
        </w:tc>
        <w:tc>
          <w:tcPr>
            <w:tcW w:w="220" w:type="dxa"/>
            <w:vAlign w:val="bottom"/>
            <w:shd w:val="clear" w:color="auto" w:fill="B2B2B2"/>
          </w:tcPr>
          <w:p>
            <w:pPr>
              <w:spacing w:after="0"/>
              <w:rPr>
                <w:sz w:val="16"/>
                <w:szCs w:val="16"/>
                <w:color w:val="auto"/>
              </w:rPr>
            </w:pPr>
          </w:p>
        </w:tc>
        <w:tc>
          <w:tcPr>
            <w:tcW w:w="54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79"/>
              <w:spacing w:after="0"/>
              <w:rPr>
                <w:sz w:val="20"/>
                <w:szCs w:val="20"/>
                <w:color w:val="auto"/>
              </w:rPr>
            </w:pPr>
            <w:r>
              <w:rPr>
                <w:rFonts w:ascii="Arial" w:cs="Arial" w:eastAsia="Arial" w:hAnsi="Arial"/>
                <w:sz w:val="16"/>
                <w:szCs w:val="16"/>
                <w:color w:val="auto"/>
              </w:rPr>
              <w:t>36,884</w:t>
            </w:r>
          </w:p>
        </w:tc>
      </w:tr>
      <w:tr>
        <w:trPr>
          <w:trHeight w:val="189"/>
        </w:trPr>
        <w:tc>
          <w:tcPr>
            <w:tcW w:w="788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Income tax expense</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12,454</w:t>
            </w:r>
          </w:p>
        </w:tc>
        <w:tc>
          <w:tcPr>
            <w:tcW w:w="220" w:type="dxa"/>
            <w:vAlign w:val="bottom"/>
            <w:tcBorders>
              <w:bottom w:val="single" w:sz="8" w:color="B2B2B2"/>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7,476</w:t>
            </w:r>
          </w:p>
        </w:tc>
      </w:tr>
      <w:tr>
        <w:trPr>
          <w:trHeight w:val="169"/>
        </w:trPr>
        <w:tc>
          <w:tcPr>
            <w:tcW w:w="7880" w:type="dxa"/>
            <w:vAlign w:val="bottom"/>
            <w:shd w:val="clear" w:color="auto" w:fill="B2B2B2"/>
          </w:tcPr>
          <w:p>
            <w:pPr>
              <w:spacing w:after="0"/>
              <w:rPr>
                <w:sz w:val="14"/>
                <w:szCs w:val="14"/>
                <w:color w:val="auto"/>
              </w:rPr>
            </w:pPr>
          </w:p>
        </w:tc>
        <w:tc>
          <w:tcPr>
            <w:tcW w:w="520" w:type="dxa"/>
            <w:vAlign w:val="bottom"/>
            <w:shd w:val="clear" w:color="auto" w:fill="B2B2B2"/>
          </w:tcPr>
          <w:p>
            <w:pPr>
              <w:spacing w:after="0"/>
              <w:rPr>
                <w:sz w:val="14"/>
                <w:szCs w:val="14"/>
                <w:color w:val="auto"/>
              </w:rPr>
            </w:pPr>
          </w:p>
        </w:tc>
        <w:tc>
          <w:tcPr>
            <w:tcW w:w="1040" w:type="dxa"/>
            <w:vAlign w:val="bottom"/>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540" w:type="dxa"/>
            <w:vAlign w:val="bottom"/>
            <w:shd w:val="clear" w:color="auto" w:fill="B2B2B2"/>
          </w:tcPr>
          <w:p>
            <w:pPr>
              <w:spacing w:after="0"/>
              <w:rPr>
                <w:sz w:val="14"/>
                <w:szCs w:val="14"/>
                <w:color w:val="auto"/>
              </w:rPr>
            </w:pPr>
          </w:p>
        </w:tc>
        <w:tc>
          <w:tcPr>
            <w:tcW w:w="1040" w:type="dxa"/>
            <w:vAlign w:val="bottom"/>
            <w:shd w:val="clear" w:color="auto" w:fill="B2B2B2"/>
          </w:tcPr>
          <w:p>
            <w:pPr>
              <w:spacing w:after="0"/>
              <w:rPr>
                <w:sz w:val="14"/>
                <w:szCs w:val="14"/>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Net income</w:t>
            </w: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7,594</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color w:val="auto"/>
              </w:rPr>
              <w:t>29,408</w:t>
            </w:r>
          </w:p>
        </w:tc>
      </w:tr>
      <w:tr>
        <w:trPr>
          <w:trHeight w:val="189"/>
        </w:trPr>
        <w:tc>
          <w:tcPr>
            <w:tcW w:w="7880" w:type="dxa"/>
            <w:vAlign w:val="bottom"/>
            <w:shd w:val="clear" w:color="auto" w:fill="B2B2B2"/>
          </w:tcPr>
          <w:p>
            <w:pPr>
              <w:spacing w:after="0"/>
              <w:rPr>
                <w:sz w:val="20"/>
                <w:szCs w:val="20"/>
                <w:color w:val="auto"/>
              </w:rPr>
            </w:pPr>
            <w:r>
              <w:rPr>
                <w:rFonts w:ascii="Arial" w:cs="Arial" w:eastAsia="Arial" w:hAnsi="Arial"/>
                <w:sz w:val="16"/>
                <w:szCs w:val="16"/>
                <w:color w:val="auto"/>
              </w:rPr>
              <w:t>Net (loss)/income attributable to the noncontrolling interest</w:t>
            </w:r>
          </w:p>
        </w:tc>
        <w:tc>
          <w:tcPr>
            <w:tcW w:w="520" w:type="dxa"/>
            <w:vAlign w:val="bottom"/>
            <w:tcBorders>
              <w:bottom w:val="single" w:sz="8" w:color="auto"/>
            </w:tcBorders>
            <w:shd w:val="clear" w:color="auto" w:fill="B2B2B2"/>
          </w:tcPr>
          <w:p>
            <w:pPr>
              <w:spacing w:after="0"/>
              <w:rPr>
                <w:sz w:val="16"/>
                <w:szCs w:val="16"/>
                <w:color w:val="auto"/>
              </w:rPr>
            </w:pPr>
          </w:p>
        </w:tc>
        <w:tc>
          <w:tcPr>
            <w:tcW w:w="1040" w:type="dxa"/>
            <w:vAlign w:val="bottom"/>
            <w:tcBorders>
              <w:bottom w:val="single" w:sz="8" w:color="auto"/>
            </w:tcBorders>
            <w:shd w:val="clear" w:color="auto" w:fill="B2B2B2"/>
          </w:tcPr>
          <w:p>
            <w:pPr>
              <w:jc w:val="right"/>
              <w:ind w:right="259"/>
              <w:spacing w:after="0"/>
              <w:rPr>
                <w:sz w:val="20"/>
                <w:szCs w:val="20"/>
                <w:color w:val="auto"/>
              </w:rPr>
            </w:pPr>
            <w:r>
              <w:rPr>
                <w:rFonts w:ascii="Arial" w:cs="Arial" w:eastAsia="Arial" w:hAnsi="Arial"/>
                <w:sz w:val="16"/>
                <w:szCs w:val="16"/>
                <w:color w:val="auto"/>
              </w:rPr>
              <w:t>( 1,515 )</w:t>
            </w:r>
          </w:p>
        </w:tc>
        <w:tc>
          <w:tcPr>
            <w:tcW w:w="220" w:type="dxa"/>
            <w:vAlign w:val="bottom"/>
            <w:shd w:val="clear" w:color="auto" w:fill="B2B2B2"/>
          </w:tcPr>
          <w:p>
            <w:pPr>
              <w:spacing w:after="0"/>
              <w:rPr>
                <w:sz w:val="16"/>
                <w:szCs w:val="16"/>
                <w:color w:val="auto"/>
              </w:rPr>
            </w:pPr>
          </w:p>
        </w:tc>
        <w:tc>
          <w:tcPr>
            <w:tcW w:w="540" w:type="dxa"/>
            <w:vAlign w:val="bottom"/>
            <w:tcBorders>
              <w:bottom w:val="single" w:sz="8" w:color="auto"/>
            </w:tcBorders>
            <w:shd w:val="clear" w:color="auto" w:fill="B2B2B2"/>
          </w:tcPr>
          <w:p>
            <w:pPr>
              <w:spacing w:after="0"/>
              <w:rPr>
                <w:sz w:val="16"/>
                <w:szCs w:val="16"/>
                <w:color w:val="auto"/>
              </w:rPr>
            </w:pPr>
          </w:p>
        </w:tc>
        <w:tc>
          <w:tcPr>
            <w:tcW w:w="1040" w:type="dxa"/>
            <w:vAlign w:val="bottom"/>
            <w:tcBorders>
              <w:bottom w:val="single" w:sz="8" w:color="auto"/>
            </w:tcBorders>
            <w:shd w:val="clear" w:color="auto" w:fill="B2B2B2"/>
          </w:tcPr>
          <w:p>
            <w:pPr>
              <w:jc w:val="right"/>
              <w:ind w:right="379"/>
              <w:spacing w:after="0"/>
              <w:rPr>
                <w:sz w:val="20"/>
                <w:szCs w:val="20"/>
                <w:color w:val="auto"/>
              </w:rPr>
            </w:pPr>
            <w:r>
              <w:rPr>
                <w:rFonts w:ascii="Arial" w:cs="Arial" w:eastAsia="Arial" w:hAnsi="Arial"/>
                <w:sz w:val="16"/>
                <w:szCs w:val="16"/>
                <w:color w:val="auto"/>
              </w:rPr>
              <w:t>218</w:t>
            </w:r>
          </w:p>
        </w:tc>
      </w:tr>
      <w:tr>
        <w:trPr>
          <w:trHeight w:val="223"/>
        </w:trPr>
        <w:tc>
          <w:tcPr>
            <w:tcW w:w="7880" w:type="dxa"/>
            <w:vAlign w:val="bottom"/>
            <w:tcBorders>
              <w:bottom w:val="single" w:sz="8" w:color="B2B2B2"/>
            </w:tcBorders>
          </w:tcPr>
          <w:p>
            <w:pPr>
              <w:spacing w:after="0" w:line="183" w:lineRule="exact"/>
              <w:rPr>
                <w:sz w:val="20"/>
                <w:szCs w:val="20"/>
                <w:color w:val="auto"/>
              </w:rPr>
            </w:pPr>
            <w:r>
              <w:rPr>
                <w:rFonts w:ascii="Arial" w:cs="Arial" w:eastAsia="Arial" w:hAnsi="Arial"/>
                <w:sz w:val="16"/>
                <w:szCs w:val="16"/>
                <w:color w:val="auto"/>
              </w:rPr>
              <w:t>Net income attributable to the Company</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rPr>
              <w:t>9,109</w:t>
            </w:r>
          </w:p>
        </w:tc>
        <w:tc>
          <w:tcPr>
            <w:tcW w:w="220" w:type="dxa"/>
            <w:vAlign w:val="bottom"/>
            <w:tcBorders>
              <w:bottom w:val="single" w:sz="8" w:color="B2B2B2"/>
            </w:tcBorders>
          </w:tcPr>
          <w:p>
            <w:pPr>
              <w:spacing w:after="0"/>
              <w:rPr>
                <w:sz w:val="19"/>
                <w:szCs w:val="19"/>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29,190</w:t>
            </w:r>
          </w:p>
        </w:tc>
      </w:tr>
      <w:tr>
        <w:trPr>
          <w:trHeight w:val="156"/>
        </w:trPr>
        <w:tc>
          <w:tcPr>
            <w:tcW w:w="7880" w:type="dxa"/>
            <w:vAlign w:val="bottom"/>
            <w:shd w:val="clear" w:color="auto" w:fill="B2B2B2"/>
          </w:tcPr>
          <w:p>
            <w:pPr>
              <w:spacing w:after="0"/>
              <w:rPr>
                <w:sz w:val="13"/>
                <w:szCs w:val="13"/>
                <w:color w:val="auto"/>
              </w:rPr>
            </w:pPr>
          </w:p>
        </w:tc>
        <w:tc>
          <w:tcPr>
            <w:tcW w:w="520" w:type="dxa"/>
            <w:vAlign w:val="bottom"/>
            <w:shd w:val="clear" w:color="auto" w:fill="B2B2B2"/>
          </w:tcPr>
          <w:p>
            <w:pPr>
              <w:spacing w:after="0"/>
              <w:rPr>
                <w:sz w:val="13"/>
                <w:szCs w:val="13"/>
                <w:color w:val="auto"/>
              </w:rPr>
            </w:pPr>
          </w:p>
        </w:tc>
        <w:tc>
          <w:tcPr>
            <w:tcW w:w="1040" w:type="dxa"/>
            <w:vAlign w:val="bottom"/>
            <w:shd w:val="clear" w:color="auto" w:fill="B2B2B2"/>
          </w:tcPr>
          <w:p>
            <w:pPr>
              <w:spacing w:after="0"/>
              <w:rPr>
                <w:sz w:val="13"/>
                <w:szCs w:val="13"/>
                <w:color w:val="auto"/>
              </w:rPr>
            </w:pPr>
          </w:p>
        </w:tc>
        <w:tc>
          <w:tcPr>
            <w:tcW w:w="220" w:type="dxa"/>
            <w:vAlign w:val="bottom"/>
            <w:shd w:val="clear" w:color="auto" w:fill="B2B2B2"/>
          </w:tcPr>
          <w:p>
            <w:pPr>
              <w:spacing w:after="0"/>
              <w:rPr>
                <w:sz w:val="13"/>
                <w:szCs w:val="13"/>
                <w:color w:val="auto"/>
              </w:rPr>
            </w:pPr>
          </w:p>
        </w:tc>
        <w:tc>
          <w:tcPr>
            <w:tcW w:w="540" w:type="dxa"/>
            <w:vAlign w:val="bottom"/>
            <w:shd w:val="clear" w:color="auto" w:fill="B2B2B2"/>
          </w:tcPr>
          <w:p>
            <w:pPr>
              <w:spacing w:after="0"/>
              <w:rPr>
                <w:sz w:val="13"/>
                <w:szCs w:val="13"/>
                <w:color w:val="auto"/>
              </w:rPr>
            </w:pPr>
          </w:p>
        </w:tc>
        <w:tc>
          <w:tcPr>
            <w:tcW w:w="1040" w:type="dxa"/>
            <w:vAlign w:val="bottom"/>
            <w:shd w:val="clear" w:color="auto" w:fill="B2B2B2"/>
          </w:tcPr>
          <w:p>
            <w:pPr>
              <w:spacing w:after="0"/>
              <w:rPr>
                <w:sz w:val="13"/>
                <w:szCs w:val="13"/>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Earnings per share attributable to Company shareholders - Basic</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0.28</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0.90</w:t>
            </w:r>
          </w:p>
        </w:tc>
      </w:tr>
      <w:tr>
        <w:trPr>
          <w:trHeight w:val="189"/>
        </w:trPr>
        <w:tc>
          <w:tcPr>
            <w:tcW w:w="788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spacing w:after="0"/>
              <w:rPr>
                <w:sz w:val="16"/>
                <w:szCs w:val="16"/>
                <w:color w:val="auto"/>
              </w:rPr>
            </w:pPr>
          </w:p>
        </w:tc>
        <w:tc>
          <w:tcPr>
            <w:tcW w:w="220" w:type="dxa"/>
            <w:vAlign w:val="bottom"/>
            <w:shd w:val="clear" w:color="auto" w:fill="B2B2B2"/>
          </w:tcPr>
          <w:p>
            <w:pPr>
              <w:spacing w:after="0"/>
              <w:rPr>
                <w:sz w:val="16"/>
                <w:szCs w:val="16"/>
                <w:color w:val="auto"/>
              </w:rPr>
            </w:pPr>
          </w:p>
        </w:tc>
        <w:tc>
          <w:tcPr>
            <w:tcW w:w="540" w:type="dxa"/>
            <w:vAlign w:val="bottom"/>
            <w:shd w:val="clear" w:color="auto" w:fill="B2B2B2"/>
          </w:tcPr>
          <w:p>
            <w:pPr>
              <w:spacing w:after="0"/>
              <w:rPr>
                <w:sz w:val="16"/>
                <w:szCs w:val="16"/>
                <w:color w:val="auto"/>
              </w:rPr>
            </w:pPr>
          </w:p>
        </w:tc>
        <w:tc>
          <w:tcPr>
            <w:tcW w:w="1040" w:type="dxa"/>
            <w:vAlign w:val="bottom"/>
            <w:shd w:val="clear" w:color="auto" w:fill="B2B2B2"/>
          </w:tcPr>
          <w:p>
            <w:pPr>
              <w:spacing w:after="0"/>
              <w:rPr>
                <w:sz w:val="16"/>
                <w:szCs w:val="16"/>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Earnings per share attributable to Company shareholders - Diluted</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0.28</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0.90</w:t>
            </w:r>
          </w:p>
        </w:tc>
      </w:tr>
      <w:tr>
        <w:trPr>
          <w:trHeight w:val="189"/>
        </w:trPr>
        <w:tc>
          <w:tcPr>
            <w:tcW w:w="788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spacing w:after="0"/>
              <w:rPr>
                <w:sz w:val="16"/>
                <w:szCs w:val="16"/>
                <w:color w:val="auto"/>
              </w:rPr>
            </w:pPr>
          </w:p>
        </w:tc>
        <w:tc>
          <w:tcPr>
            <w:tcW w:w="220" w:type="dxa"/>
            <w:vAlign w:val="bottom"/>
            <w:shd w:val="clear" w:color="auto" w:fill="B2B2B2"/>
          </w:tcPr>
          <w:p>
            <w:pPr>
              <w:spacing w:after="0"/>
              <w:rPr>
                <w:sz w:val="16"/>
                <w:szCs w:val="16"/>
                <w:color w:val="auto"/>
              </w:rPr>
            </w:pPr>
          </w:p>
        </w:tc>
        <w:tc>
          <w:tcPr>
            <w:tcW w:w="540" w:type="dxa"/>
            <w:vAlign w:val="bottom"/>
            <w:shd w:val="clear" w:color="auto" w:fill="B2B2B2"/>
          </w:tcPr>
          <w:p>
            <w:pPr>
              <w:spacing w:after="0"/>
              <w:rPr>
                <w:sz w:val="16"/>
                <w:szCs w:val="16"/>
                <w:color w:val="auto"/>
              </w:rPr>
            </w:pPr>
          </w:p>
        </w:tc>
        <w:tc>
          <w:tcPr>
            <w:tcW w:w="1040" w:type="dxa"/>
            <w:vAlign w:val="bottom"/>
            <w:shd w:val="clear" w:color="auto" w:fill="B2B2B2"/>
          </w:tcPr>
          <w:p>
            <w:pPr>
              <w:spacing w:after="0"/>
              <w:rPr>
                <w:sz w:val="16"/>
                <w:szCs w:val="16"/>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Shares of the Company used in computing earnings per share:</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Basic</w:t>
            </w: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59"/>
              <w:spacing w:after="0"/>
              <w:rPr>
                <w:sz w:val="20"/>
                <w:szCs w:val="20"/>
                <w:color w:val="auto"/>
              </w:rPr>
            </w:pPr>
            <w:r>
              <w:rPr>
                <w:rFonts w:ascii="Arial" w:cs="Arial" w:eastAsia="Arial" w:hAnsi="Arial"/>
                <w:sz w:val="16"/>
                <w:szCs w:val="16"/>
                <w:color w:val="auto"/>
              </w:rPr>
              <w:t>32,312</w:t>
            </w:r>
          </w:p>
        </w:tc>
        <w:tc>
          <w:tcPr>
            <w:tcW w:w="220" w:type="dxa"/>
            <w:vAlign w:val="bottom"/>
            <w:shd w:val="clear" w:color="auto" w:fill="B2B2B2"/>
          </w:tcPr>
          <w:p>
            <w:pPr>
              <w:spacing w:after="0"/>
              <w:rPr>
                <w:sz w:val="16"/>
                <w:szCs w:val="16"/>
                <w:color w:val="auto"/>
              </w:rPr>
            </w:pPr>
          </w:p>
        </w:tc>
        <w:tc>
          <w:tcPr>
            <w:tcW w:w="54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79"/>
              <w:spacing w:after="0"/>
              <w:rPr>
                <w:sz w:val="20"/>
                <w:szCs w:val="20"/>
                <w:color w:val="auto"/>
              </w:rPr>
            </w:pPr>
            <w:r>
              <w:rPr>
                <w:rFonts w:ascii="Arial" w:cs="Arial" w:eastAsia="Arial" w:hAnsi="Arial"/>
                <w:sz w:val="16"/>
                <w:szCs w:val="16"/>
                <w:color w:val="auto"/>
              </w:rPr>
              <w:t>32,272</w:t>
            </w:r>
          </w:p>
        </w:tc>
      </w:tr>
      <w:tr>
        <w:trPr>
          <w:trHeight w:val="189"/>
        </w:trPr>
        <w:tc>
          <w:tcPr>
            <w:tcW w:w="7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Diluted</w:t>
            </w: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59"/>
              <w:spacing w:after="0"/>
              <w:rPr>
                <w:sz w:val="20"/>
                <w:szCs w:val="20"/>
                <w:color w:val="auto"/>
              </w:rPr>
            </w:pPr>
            <w:r>
              <w:rPr>
                <w:rFonts w:ascii="Arial" w:cs="Arial" w:eastAsia="Arial" w:hAnsi="Arial"/>
                <w:sz w:val="16"/>
                <w:szCs w:val="16"/>
                <w:color w:val="auto"/>
              </w:rPr>
              <w:t>32,320</w:t>
            </w:r>
          </w:p>
        </w:tc>
        <w:tc>
          <w:tcPr>
            <w:tcW w:w="220" w:type="dxa"/>
            <w:vAlign w:val="bottom"/>
            <w:shd w:val="clear" w:color="auto" w:fill="B2B2B2"/>
          </w:tcPr>
          <w:p>
            <w:pPr>
              <w:spacing w:after="0"/>
              <w:rPr>
                <w:sz w:val="16"/>
                <w:szCs w:val="16"/>
                <w:color w:val="auto"/>
              </w:rPr>
            </w:pPr>
          </w:p>
        </w:tc>
        <w:tc>
          <w:tcPr>
            <w:tcW w:w="54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79"/>
              <w:spacing w:after="0"/>
              <w:rPr>
                <w:sz w:val="20"/>
                <w:szCs w:val="20"/>
                <w:color w:val="auto"/>
              </w:rPr>
            </w:pPr>
            <w:r>
              <w:rPr>
                <w:rFonts w:ascii="Arial" w:cs="Arial" w:eastAsia="Arial" w:hAnsi="Arial"/>
                <w:sz w:val="16"/>
                <w:szCs w:val="16"/>
                <w:color w:val="auto"/>
              </w:rPr>
              <w:t>32,285</w:t>
            </w:r>
          </w:p>
        </w:tc>
      </w:tr>
      <w:tr>
        <w:trPr>
          <w:trHeight w:val="189"/>
        </w:trPr>
        <w:tc>
          <w:tcPr>
            <w:tcW w:w="7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880" w:type="dxa"/>
            <w:vAlign w:val="bottom"/>
            <w:shd w:val="clear" w:color="auto" w:fill="B2B2B2"/>
          </w:tcPr>
          <w:p>
            <w:pPr>
              <w:spacing w:after="0"/>
              <w:rPr>
                <w:sz w:val="20"/>
                <w:szCs w:val="20"/>
                <w:color w:val="auto"/>
              </w:rPr>
            </w:pPr>
            <w:r>
              <w:rPr>
                <w:rFonts w:ascii="Arial" w:cs="Arial" w:eastAsia="Arial" w:hAnsi="Arial"/>
                <w:sz w:val="16"/>
                <w:szCs w:val="16"/>
                <w:color w:val="auto"/>
              </w:rPr>
              <w:t>Dividends declared per share, Class A and Class B</w:t>
            </w:r>
          </w:p>
        </w:tc>
        <w:tc>
          <w:tcPr>
            <w:tcW w:w="5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2B2B2"/>
          </w:tcPr>
          <w:p>
            <w:pPr>
              <w:jc w:val="right"/>
              <w:ind w:right="339"/>
              <w:spacing w:after="0"/>
              <w:rPr>
                <w:sz w:val="20"/>
                <w:szCs w:val="20"/>
                <w:color w:val="auto"/>
              </w:rPr>
            </w:pPr>
            <w:r>
              <w:rPr>
                <w:rFonts w:ascii="Arial" w:cs="Arial" w:eastAsia="Arial" w:hAnsi="Arial"/>
                <w:sz w:val="16"/>
                <w:szCs w:val="16"/>
                <w:color w:val="auto"/>
              </w:rPr>
              <w:t>0.19</w:t>
            </w:r>
          </w:p>
        </w:tc>
        <w:tc>
          <w:tcPr>
            <w:tcW w:w="220" w:type="dxa"/>
            <w:vAlign w:val="bottom"/>
            <w:shd w:val="clear" w:color="auto" w:fill="B2B2B2"/>
          </w:tcPr>
          <w:p>
            <w:pPr>
              <w:spacing w:after="0"/>
              <w:rPr>
                <w:sz w:val="16"/>
                <w:szCs w:val="16"/>
                <w:color w:val="auto"/>
              </w:rPr>
            </w:pPr>
          </w:p>
        </w:tc>
        <w:tc>
          <w:tcPr>
            <w:tcW w:w="540" w:type="dxa"/>
            <w:vAlign w:val="bottom"/>
            <w:shd w:val="clear" w:color="auto" w:fill="B2B2B2"/>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2B2B2"/>
          </w:tcPr>
          <w:p>
            <w:pPr>
              <w:jc w:val="right"/>
              <w:ind w:right="339"/>
              <w:spacing w:after="0"/>
              <w:rPr>
                <w:sz w:val="20"/>
                <w:szCs w:val="20"/>
                <w:color w:val="auto"/>
              </w:rPr>
            </w:pPr>
            <w:r>
              <w:rPr>
                <w:rFonts w:ascii="Arial" w:cs="Arial" w:eastAsia="Arial" w:hAnsi="Arial"/>
                <w:sz w:val="16"/>
                <w:szCs w:val="16"/>
                <w:color w:val="auto"/>
              </w:rPr>
              <w:t>0.18</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7880" w:type="dxa"/>
            <w:vAlign w:val="bottom"/>
            <w:tcBorders>
              <w:bottom w:val="single" w:sz="8" w:color="B2B2B2"/>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B2B2B2"/>
            </w:tcBorders>
          </w:tcPr>
          <w:p>
            <w:pPr>
              <w:spacing w:after="0"/>
              <w:rPr>
                <w:sz w:val="14"/>
                <w:szCs w:val="14"/>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r>
      <w:tr>
        <w:trPr>
          <w:trHeight w:val="183"/>
        </w:trPr>
        <w:tc>
          <w:tcPr>
            <w:tcW w:w="7880" w:type="dxa"/>
            <w:vAlign w:val="bottom"/>
            <w:shd w:val="clear" w:color="auto" w:fill="B2B2B2"/>
          </w:tcPr>
          <w:p>
            <w:pPr>
              <w:spacing w:after="0" w:line="183" w:lineRule="exact"/>
              <w:rPr>
                <w:sz w:val="20"/>
                <w:szCs w:val="20"/>
                <w:color w:val="auto"/>
              </w:rPr>
            </w:pPr>
            <w:r>
              <w:rPr>
                <w:rFonts w:ascii="Arial" w:cs="Arial" w:eastAsia="Arial" w:hAnsi="Arial"/>
                <w:sz w:val="16"/>
                <w:szCs w:val="16"/>
                <w:color w:val="auto"/>
              </w:rPr>
              <w:t>Net income</w:t>
            </w:r>
          </w:p>
        </w:tc>
        <w:tc>
          <w:tcPr>
            <w:tcW w:w="1580" w:type="dxa"/>
            <w:vAlign w:val="bottom"/>
            <w:shd w:val="clear" w:color="auto" w:fill="B2B2B2"/>
          </w:tcPr>
          <w:p>
            <w:pPr>
              <w:jc w:val="right"/>
              <w:ind w:right="380"/>
              <w:spacing w:after="0" w:line="183" w:lineRule="exact"/>
              <w:rPr>
                <w:sz w:val="20"/>
                <w:szCs w:val="20"/>
                <w:color w:val="auto"/>
              </w:rPr>
            </w:pPr>
            <w:r>
              <w:rPr>
                <w:rFonts w:ascii="Arial" w:cs="Arial" w:eastAsia="Arial" w:hAnsi="Arial"/>
                <w:sz w:val="16"/>
                <w:szCs w:val="16"/>
                <w:color w:val="auto"/>
              </w:rPr>
              <w:t>$  7,594</w:t>
            </w:r>
          </w:p>
        </w:tc>
        <w:tc>
          <w:tcPr>
            <w:tcW w:w="220" w:type="dxa"/>
            <w:vAlign w:val="bottom"/>
            <w:shd w:val="clear" w:color="auto" w:fill="B2B2B2"/>
          </w:tcPr>
          <w:p>
            <w:pPr>
              <w:spacing w:after="0"/>
              <w:rPr>
                <w:sz w:val="15"/>
                <w:szCs w:val="15"/>
                <w:color w:val="auto"/>
              </w:rPr>
            </w:pPr>
          </w:p>
        </w:tc>
        <w:tc>
          <w:tcPr>
            <w:tcW w:w="1560" w:type="dxa"/>
            <w:vAlign w:val="bottom"/>
            <w:shd w:val="clear" w:color="auto" w:fill="B2B2B2"/>
          </w:tcPr>
          <w:p>
            <w:pPr>
              <w:jc w:val="center"/>
              <w:spacing w:after="0" w:line="183" w:lineRule="exact"/>
              <w:rPr>
                <w:sz w:val="20"/>
                <w:szCs w:val="20"/>
                <w:color w:val="auto"/>
              </w:rPr>
            </w:pPr>
            <w:r>
              <w:rPr>
                <w:rFonts w:ascii="Arial" w:cs="Arial" w:eastAsia="Arial" w:hAnsi="Arial"/>
                <w:sz w:val="16"/>
                <w:szCs w:val="16"/>
                <w:color w:val="auto"/>
              </w:rPr>
              <w:t>$ 29,408</w:t>
            </w:r>
          </w:p>
        </w:tc>
      </w:tr>
      <w:tr>
        <w:trPr>
          <w:trHeight w:val="189"/>
        </w:trPr>
        <w:tc>
          <w:tcPr>
            <w:tcW w:w="7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7880" w:type="dxa"/>
            <w:vAlign w:val="bottom"/>
            <w:shd w:val="clear" w:color="auto" w:fill="B2B2B2"/>
          </w:tcPr>
          <w:p>
            <w:pPr>
              <w:spacing w:after="0"/>
              <w:rPr>
                <w:sz w:val="20"/>
                <w:szCs w:val="20"/>
                <w:color w:val="auto"/>
              </w:rPr>
            </w:pPr>
            <w:r>
              <w:rPr>
                <w:rFonts w:ascii="Arial" w:cs="Arial" w:eastAsia="Arial" w:hAnsi="Arial"/>
                <w:sz w:val="16"/>
                <w:szCs w:val="16"/>
                <w:color w:val="auto"/>
              </w:rPr>
              <w:t>Other comprehensive income/(loss), before tax:</w:t>
            </w:r>
          </w:p>
        </w:tc>
        <w:tc>
          <w:tcPr>
            <w:tcW w:w="1580" w:type="dxa"/>
            <w:vAlign w:val="bottom"/>
            <w:shd w:val="clear" w:color="auto" w:fill="B2B2B2"/>
          </w:tcPr>
          <w:p>
            <w:pPr>
              <w:spacing w:after="0"/>
              <w:rPr>
                <w:sz w:val="16"/>
                <w:szCs w:val="16"/>
                <w:color w:val="auto"/>
              </w:rPr>
            </w:pPr>
          </w:p>
        </w:tc>
        <w:tc>
          <w:tcPr>
            <w:tcW w:w="220" w:type="dxa"/>
            <w:vAlign w:val="bottom"/>
            <w:shd w:val="clear" w:color="auto" w:fill="B2B2B2"/>
          </w:tcPr>
          <w:p>
            <w:pPr>
              <w:spacing w:after="0"/>
              <w:rPr>
                <w:sz w:val="16"/>
                <w:szCs w:val="16"/>
                <w:color w:val="auto"/>
              </w:rPr>
            </w:pPr>
          </w:p>
        </w:tc>
        <w:tc>
          <w:tcPr>
            <w:tcW w:w="1560" w:type="dxa"/>
            <w:vAlign w:val="bottom"/>
            <w:shd w:val="clear" w:color="auto" w:fill="B2B2B2"/>
          </w:tcPr>
          <w:p>
            <w:pPr>
              <w:spacing w:after="0"/>
              <w:rPr>
                <w:sz w:val="16"/>
                <w:szCs w:val="16"/>
                <w:color w:val="auto"/>
              </w:rPr>
            </w:pP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Foreign currency translation and other adjustments</w:t>
            </w:r>
          </w:p>
        </w:tc>
        <w:tc>
          <w:tcPr>
            <w:tcW w:w="1580" w:type="dxa"/>
            <w:vAlign w:val="bottom"/>
          </w:tcPr>
          <w:p>
            <w:pPr>
              <w:jc w:val="right"/>
              <w:ind w:right="300"/>
              <w:spacing w:after="0"/>
              <w:rPr>
                <w:sz w:val="20"/>
                <w:szCs w:val="20"/>
                <w:color w:val="auto"/>
              </w:rPr>
            </w:pPr>
            <w:r>
              <w:rPr>
                <w:rFonts w:ascii="Arial" w:cs="Arial" w:eastAsia="Arial" w:hAnsi="Arial"/>
                <w:sz w:val="16"/>
                <w:szCs w:val="16"/>
                <w:color w:val="auto"/>
              </w:rPr>
              <w:t>( 24,955 )</w:t>
            </w:r>
          </w:p>
        </w:tc>
        <w:tc>
          <w:tcPr>
            <w:tcW w:w="220" w:type="dxa"/>
            <w:vAlign w:val="bottom"/>
          </w:tcPr>
          <w:p>
            <w:pPr>
              <w:spacing w:after="0"/>
              <w:rPr>
                <w:sz w:val="16"/>
                <w:szCs w:val="16"/>
                <w:color w:val="auto"/>
              </w:rPr>
            </w:pP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( 2,152 )</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Amortization of pension liability adjustments:</w:t>
            </w:r>
          </w:p>
        </w:tc>
        <w:tc>
          <w:tcPr>
            <w:tcW w:w="1580" w:type="dxa"/>
            <w:vAlign w:val="bottom"/>
            <w:shd w:val="clear" w:color="auto" w:fill="B2B2B2"/>
          </w:tcPr>
          <w:p>
            <w:pPr>
              <w:spacing w:after="0"/>
              <w:rPr>
                <w:sz w:val="16"/>
                <w:szCs w:val="16"/>
                <w:color w:val="auto"/>
              </w:rPr>
            </w:pPr>
          </w:p>
        </w:tc>
        <w:tc>
          <w:tcPr>
            <w:tcW w:w="220" w:type="dxa"/>
            <w:vAlign w:val="bottom"/>
            <w:shd w:val="clear" w:color="auto" w:fill="B2B2B2"/>
          </w:tcPr>
          <w:p>
            <w:pPr>
              <w:spacing w:after="0"/>
              <w:rPr>
                <w:sz w:val="16"/>
                <w:szCs w:val="16"/>
                <w:color w:val="auto"/>
              </w:rPr>
            </w:pPr>
          </w:p>
        </w:tc>
        <w:tc>
          <w:tcPr>
            <w:tcW w:w="1560" w:type="dxa"/>
            <w:vAlign w:val="bottom"/>
            <w:shd w:val="clear" w:color="auto" w:fill="B2B2B2"/>
          </w:tcPr>
          <w:p>
            <w:pPr>
              <w:spacing w:after="0"/>
              <w:rPr>
                <w:sz w:val="16"/>
                <w:szCs w:val="16"/>
                <w:color w:val="auto"/>
              </w:rPr>
            </w:pPr>
          </w:p>
        </w:tc>
      </w:tr>
      <w:tr>
        <w:trPr>
          <w:trHeight w:val="189"/>
        </w:trPr>
        <w:tc>
          <w:tcPr>
            <w:tcW w:w="7880" w:type="dxa"/>
            <w:vAlign w:val="bottom"/>
          </w:tcPr>
          <w:p>
            <w:pPr>
              <w:ind w:left="220"/>
              <w:spacing w:after="0"/>
              <w:rPr>
                <w:sz w:val="20"/>
                <w:szCs w:val="20"/>
                <w:color w:val="auto"/>
              </w:rPr>
            </w:pPr>
            <w:r>
              <w:rPr>
                <w:rFonts w:ascii="Arial" w:cs="Arial" w:eastAsia="Arial" w:hAnsi="Arial"/>
                <w:sz w:val="16"/>
                <w:szCs w:val="16"/>
                <w:color w:val="auto"/>
              </w:rPr>
              <w:t>Prior service credit</w:t>
            </w:r>
          </w:p>
        </w:tc>
        <w:tc>
          <w:tcPr>
            <w:tcW w:w="1580" w:type="dxa"/>
            <w:vAlign w:val="bottom"/>
          </w:tcPr>
          <w:p>
            <w:pPr>
              <w:jc w:val="right"/>
              <w:ind w:right="280"/>
              <w:spacing w:after="0"/>
              <w:rPr>
                <w:sz w:val="20"/>
                <w:szCs w:val="20"/>
                <w:color w:val="auto"/>
              </w:rPr>
            </w:pPr>
            <w:r>
              <w:rPr>
                <w:rFonts w:ascii="Arial" w:cs="Arial" w:eastAsia="Arial" w:hAnsi="Arial"/>
                <w:sz w:val="16"/>
                <w:szCs w:val="16"/>
                <w:color w:val="auto"/>
              </w:rPr>
              <w:t>( 1,114 )</w:t>
            </w:r>
          </w:p>
        </w:tc>
        <w:tc>
          <w:tcPr>
            <w:tcW w:w="220" w:type="dxa"/>
            <w:vAlign w:val="bottom"/>
          </w:tcPr>
          <w:p>
            <w:pPr>
              <w:spacing w:after="0"/>
              <w:rPr>
                <w:sz w:val="16"/>
                <w:szCs w:val="16"/>
                <w:color w:val="auto"/>
              </w:rPr>
            </w:pP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( 1,105 )</w:t>
            </w:r>
          </w:p>
        </w:tc>
      </w:tr>
      <w:tr>
        <w:trPr>
          <w:trHeight w:val="189"/>
        </w:trPr>
        <w:tc>
          <w:tcPr>
            <w:tcW w:w="7880" w:type="dxa"/>
            <w:vAlign w:val="bottom"/>
            <w:shd w:val="clear" w:color="auto" w:fill="B2B2B2"/>
          </w:tcPr>
          <w:p>
            <w:pPr>
              <w:ind w:left="220"/>
              <w:spacing w:after="0"/>
              <w:rPr>
                <w:sz w:val="20"/>
                <w:szCs w:val="20"/>
                <w:color w:val="auto"/>
              </w:rPr>
            </w:pPr>
            <w:r>
              <w:rPr>
                <w:rFonts w:ascii="Arial" w:cs="Arial" w:eastAsia="Arial" w:hAnsi="Arial"/>
                <w:sz w:val="16"/>
                <w:szCs w:val="16"/>
                <w:color w:val="auto"/>
              </w:rPr>
              <w:t>Net actuarial loss</w:t>
            </w:r>
          </w:p>
        </w:tc>
        <w:tc>
          <w:tcPr>
            <w:tcW w:w="1580" w:type="dxa"/>
            <w:vAlign w:val="bottom"/>
            <w:shd w:val="clear" w:color="auto" w:fill="B2B2B2"/>
          </w:tcPr>
          <w:p>
            <w:pPr>
              <w:jc w:val="right"/>
              <w:ind w:right="400"/>
              <w:spacing w:after="0"/>
              <w:rPr>
                <w:sz w:val="20"/>
                <w:szCs w:val="20"/>
                <w:color w:val="auto"/>
              </w:rPr>
            </w:pPr>
            <w:r>
              <w:rPr>
                <w:rFonts w:ascii="Arial" w:cs="Arial" w:eastAsia="Arial" w:hAnsi="Arial"/>
                <w:sz w:val="16"/>
                <w:szCs w:val="16"/>
                <w:color w:val="auto"/>
              </w:rPr>
              <w:t>1,244</w:t>
            </w:r>
          </w:p>
        </w:tc>
        <w:tc>
          <w:tcPr>
            <w:tcW w:w="220" w:type="dxa"/>
            <w:vAlign w:val="bottom"/>
            <w:shd w:val="clear" w:color="auto" w:fill="B2B2B2"/>
          </w:tcPr>
          <w:p>
            <w:pPr>
              <w:spacing w:after="0"/>
              <w:rPr>
                <w:sz w:val="16"/>
                <w:szCs w:val="16"/>
                <w:color w:val="auto"/>
              </w:rPr>
            </w:pPr>
          </w:p>
        </w:tc>
        <w:tc>
          <w:tcPr>
            <w:tcW w:w="1560" w:type="dxa"/>
            <w:vAlign w:val="bottom"/>
            <w:shd w:val="clear" w:color="auto" w:fill="B2B2B2"/>
          </w:tcPr>
          <w:p>
            <w:pPr>
              <w:jc w:val="right"/>
              <w:ind w:right="420"/>
              <w:spacing w:after="0"/>
              <w:rPr>
                <w:sz w:val="20"/>
                <w:szCs w:val="20"/>
                <w:color w:val="auto"/>
              </w:rPr>
            </w:pPr>
            <w:r>
              <w:rPr>
                <w:rFonts w:ascii="Arial" w:cs="Arial" w:eastAsia="Arial" w:hAnsi="Arial"/>
                <w:sz w:val="16"/>
                <w:szCs w:val="16"/>
                <w:color w:val="auto"/>
              </w:rPr>
              <w:t>1,121</w:t>
            </w: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407</w:t>
            </w:r>
          </w:p>
        </w:tc>
        <w:tc>
          <w:tcPr>
            <w:tcW w:w="220" w:type="dxa"/>
            <w:vAlign w:val="bottom"/>
          </w:tcPr>
          <w:p>
            <w:pPr>
              <w:spacing w:after="0"/>
              <w:rPr>
                <w:sz w:val="16"/>
                <w:szCs w:val="16"/>
                <w:color w:val="auto"/>
              </w:rPr>
            </w:pP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(452)</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Derivative valuation adjustment</w:t>
            </w:r>
          </w:p>
        </w:tc>
        <w:tc>
          <w:tcPr>
            <w:tcW w:w="1580" w:type="dxa"/>
            <w:vAlign w:val="bottom"/>
            <w:shd w:val="clear" w:color="auto" w:fill="B2B2B2"/>
          </w:tcPr>
          <w:p>
            <w:pPr>
              <w:jc w:val="right"/>
              <w:ind w:right="300"/>
              <w:spacing w:after="0"/>
              <w:rPr>
                <w:sz w:val="20"/>
                <w:szCs w:val="20"/>
                <w:color w:val="auto"/>
              </w:rPr>
            </w:pPr>
            <w:r>
              <w:rPr>
                <w:rFonts w:ascii="Arial" w:cs="Arial" w:eastAsia="Arial" w:hAnsi="Arial"/>
                <w:sz w:val="16"/>
                <w:szCs w:val="16"/>
                <w:color w:val="auto"/>
              </w:rPr>
              <w:t>( 10,764 )</w:t>
            </w:r>
          </w:p>
        </w:tc>
        <w:tc>
          <w:tcPr>
            <w:tcW w:w="220" w:type="dxa"/>
            <w:vAlign w:val="bottom"/>
            <w:shd w:val="clear" w:color="auto" w:fill="B2B2B2"/>
          </w:tcPr>
          <w:p>
            <w:pPr>
              <w:spacing w:after="0"/>
              <w:rPr>
                <w:sz w:val="16"/>
                <w:szCs w:val="16"/>
                <w:color w:val="auto"/>
              </w:rPr>
            </w:pPr>
          </w:p>
        </w:tc>
        <w:tc>
          <w:tcPr>
            <w:tcW w:w="1560" w:type="dxa"/>
            <w:vAlign w:val="bottom"/>
            <w:shd w:val="clear" w:color="auto" w:fill="B2B2B2"/>
          </w:tcPr>
          <w:p>
            <w:pPr>
              <w:jc w:val="right"/>
              <w:ind w:right="320"/>
              <w:spacing w:after="0"/>
              <w:rPr>
                <w:sz w:val="20"/>
                <w:szCs w:val="20"/>
                <w:color w:val="auto"/>
              </w:rPr>
            </w:pPr>
            <w:r>
              <w:rPr>
                <w:rFonts w:ascii="Arial" w:cs="Arial" w:eastAsia="Arial" w:hAnsi="Arial"/>
                <w:sz w:val="16"/>
                <w:szCs w:val="16"/>
                <w:color w:val="auto"/>
              </w:rPr>
              <w:t>( 3,377 )</w:t>
            </w:r>
          </w:p>
        </w:tc>
      </w:tr>
      <w:tr>
        <w:trPr>
          <w:trHeight w:val="189"/>
        </w:trPr>
        <w:tc>
          <w:tcPr>
            <w:tcW w:w="7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7880" w:type="dxa"/>
            <w:vAlign w:val="bottom"/>
            <w:shd w:val="clear" w:color="auto" w:fill="B2B2B2"/>
          </w:tcPr>
          <w:p>
            <w:pPr>
              <w:spacing w:after="0"/>
              <w:rPr>
                <w:sz w:val="20"/>
                <w:szCs w:val="20"/>
                <w:color w:val="auto"/>
              </w:rPr>
            </w:pPr>
            <w:r>
              <w:rPr>
                <w:rFonts w:ascii="Arial" w:cs="Arial" w:eastAsia="Arial" w:hAnsi="Arial"/>
                <w:sz w:val="16"/>
                <w:szCs w:val="16"/>
                <w:color w:val="auto"/>
              </w:rPr>
              <w:t>Income taxes related to items of other comprehensive income/(loss):</w:t>
            </w:r>
          </w:p>
        </w:tc>
        <w:tc>
          <w:tcPr>
            <w:tcW w:w="1580" w:type="dxa"/>
            <w:vAlign w:val="bottom"/>
            <w:shd w:val="clear" w:color="auto" w:fill="B2B2B2"/>
          </w:tcPr>
          <w:p>
            <w:pPr>
              <w:spacing w:after="0"/>
              <w:rPr>
                <w:sz w:val="16"/>
                <w:szCs w:val="16"/>
                <w:color w:val="auto"/>
              </w:rPr>
            </w:pPr>
          </w:p>
        </w:tc>
        <w:tc>
          <w:tcPr>
            <w:tcW w:w="220" w:type="dxa"/>
            <w:vAlign w:val="bottom"/>
            <w:shd w:val="clear" w:color="auto" w:fill="B2B2B2"/>
          </w:tcPr>
          <w:p>
            <w:pPr>
              <w:spacing w:after="0"/>
              <w:rPr>
                <w:sz w:val="16"/>
                <w:szCs w:val="16"/>
                <w:color w:val="auto"/>
              </w:rPr>
            </w:pPr>
          </w:p>
        </w:tc>
        <w:tc>
          <w:tcPr>
            <w:tcW w:w="1560" w:type="dxa"/>
            <w:vAlign w:val="bottom"/>
            <w:shd w:val="clear" w:color="auto" w:fill="B2B2B2"/>
          </w:tcPr>
          <w:p>
            <w:pPr>
              <w:spacing w:after="0"/>
              <w:rPr>
                <w:sz w:val="16"/>
                <w:szCs w:val="16"/>
                <w:color w:val="auto"/>
              </w:rPr>
            </w:pP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Amortization of pension liability adjustment</w:t>
            </w:r>
          </w:p>
        </w:tc>
        <w:tc>
          <w:tcPr>
            <w:tcW w:w="1580" w:type="dxa"/>
            <w:vAlign w:val="bottom"/>
          </w:tcPr>
          <w:p>
            <w:pPr>
              <w:jc w:val="right"/>
              <w:ind w:right="300"/>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6"/>
                <w:szCs w:val="16"/>
                <w:color w:val="auto"/>
              </w:rPr>
            </w:pP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( 5 )</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1580" w:type="dxa"/>
            <w:vAlign w:val="bottom"/>
            <w:shd w:val="clear" w:color="auto" w:fill="B2B2B2"/>
          </w:tcPr>
          <w:p>
            <w:pPr>
              <w:jc w:val="right"/>
              <w:ind w:right="300"/>
              <w:spacing w:after="0"/>
              <w:rPr>
                <w:sz w:val="20"/>
                <w:szCs w:val="20"/>
                <w:color w:val="auto"/>
              </w:rPr>
            </w:pPr>
            <w:r>
              <w:rPr>
                <w:rFonts w:ascii="Arial" w:cs="Arial" w:eastAsia="Arial" w:hAnsi="Arial"/>
                <w:sz w:val="16"/>
                <w:szCs w:val="16"/>
                <w:color w:val="auto"/>
              </w:rPr>
              <w:t>(104)</w:t>
            </w:r>
          </w:p>
        </w:tc>
        <w:tc>
          <w:tcPr>
            <w:tcW w:w="220" w:type="dxa"/>
            <w:vAlign w:val="bottom"/>
            <w:shd w:val="clear" w:color="auto" w:fill="B2B2B2"/>
          </w:tcPr>
          <w:p>
            <w:pPr>
              <w:spacing w:after="0"/>
              <w:rPr>
                <w:sz w:val="16"/>
                <w:szCs w:val="16"/>
                <w:color w:val="auto"/>
              </w:rPr>
            </w:pPr>
          </w:p>
        </w:tc>
        <w:tc>
          <w:tcPr>
            <w:tcW w:w="1560" w:type="dxa"/>
            <w:vAlign w:val="bottom"/>
            <w:shd w:val="clear" w:color="auto" w:fill="B2B2B2"/>
          </w:tcPr>
          <w:p>
            <w:pPr>
              <w:jc w:val="right"/>
              <w:ind w:right="400"/>
              <w:spacing w:after="0"/>
              <w:rPr>
                <w:sz w:val="20"/>
                <w:szCs w:val="20"/>
                <w:color w:val="auto"/>
              </w:rPr>
            </w:pPr>
            <w:r>
              <w:rPr>
                <w:rFonts w:ascii="Arial" w:cs="Arial" w:eastAsia="Arial" w:hAnsi="Arial"/>
                <w:sz w:val="16"/>
                <w:szCs w:val="16"/>
                <w:color w:val="auto"/>
              </w:rPr>
              <w:t>115</w:t>
            </w:r>
          </w:p>
        </w:tc>
      </w:tr>
      <w:tr>
        <w:trPr>
          <w:trHeight w:val="189"/>
        </w:trPr>
        <w:tc>
          <w:tcPr>
            <w:tcW w:w="788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Derivative valuation adjustment</w:t>
            </w:r>
          </w:p>
        </w:tc>
        <w:tc>
          <w:tcPr>
            <w:tcW w:w="1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2,753</w:t>
            </w:r>
          </w:p>
        </w:tc>
        <w:tc>
          <w:tcPr>
            <w:tcW w:w="220" w:type="dxa"/>
            <w:vAlign w:val="bottom"/>
            <w:tcBorders>
              <w:bottom w:val="single" w:sz="8" w:color="B2B2B2"/>
            </w:tcBorders>
          </w:tcPr>
          <w:p>
            <w:pPr>
              <w:spacing w:after="0"/>
              <w:rPr>
                <w:sz w:val="16"/>
                <w:szCs w:val="16"/>
                <w:color w:val="auto"/>
              </w:rPr>
            </w:pPr>
          </w:p>
        </w:tc>
        <w:tc>
          <w:tcPr>
            <w:tcW w:w="15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863</w:t>
            </w:r>
          </w:p>
        </w:tc>
      </w:tr>
      <w:tr>
        <w:trPr>
          <w:trHeight w:val="183"/>
        </w:trPr>
        <w:tc>
          <w:tcPr>
            <w:tcW w:w="7880" w:type="dxa"/>
            <w:vAlign w:val="bottom"/>
            <w:shd w:val="clear" w:color="auto" w:fill="B2B2B2"/>
          </w:tcPr>
          <w:p>
            <w:pPr>
              <w:ind w:left="120"/>
              <w:spacing w:after="0" w:line="183" w:lineRule="exact"/>
              <w:rPr>
                <w:sz w:val="20"/>
                <w:szCs w:val="20"/>
                <w:color w:val="auto"/>
              </w:rPr>
            </w:pPr>
            <w:r>
              <w:rPr>
                <w:rFonts w:ascii="Arial" w:cs="Arial" w:eastAsia="Arial" w:hAnsi="Arial"/>
                <w:sz w:val="16"/>
                <w:szCs w:val="16"/>
                <w:color w:val="auto"/>
              </w:rPr>
              <w:t>Comprehensive income</w:t>
            </w:r>
          </w:p>
        </w:tc>
        <w:tc>
          <w:tcPr>
            <w:tcW w:w="1580" w:type="dxa"/>
            <w:vAlign w:val="bottom"/>
            <w:shd w:val="clear" w:color="auto" w:fill="B2B2B2"/>
          </w:tcPr>
          <w:p>
            <w:pPr>
              <w:jc w:val="right"/>
              <w:ind w:right="300"/>
              <w:spacing w:after="0" w:line="183" w:lineRule="exact"/>
              <w:rPr>
                <w:sz w:val="20"/>
                <w:szCs w:val="20"/>
                <w:color w:val="auto"/>
              </w:rPr>
            </w:pPr>
            <w:r>
              <w:rPr>
                <w:rFonts w:ascii="Arial" w:cs="Arial" w:eastAsia="Arial" w:hAnsi="Arial"/>
                <w:sz w:val="16"/>
                <w:szCs w:val="16"/>
                <w:color w:val="auto"/>
              </w:rPr>
              <w:t>( 24,971 )</w:t>
            </w:r>
          </w:p>
        </w:tc>
        <w:tc>
          <w:tcPr>
            <w:tcW w:w="220" w:type="dxa"/>
            <w:vAlign w:val="bottom"/>
            <w:shd w:val="clear" w:color="auto" w:fill="B2B2B2"/>
          </w:tcPr>
          <w:p>
            <w:pPr>
              <w:spacing w:after="0"/>
              <w:rPr>
                <w:sz w:val="15"/>
                <w:szCs w:val="15"/>
                <w:color w:val="auto"/>
              </w:rPr>
            </w:pPr>
          </w:p>
        </w:tc>
        <w:tc>
          <w:tcPr>
            <w:tcW w:w="1560" w:type="dxa"/>
            <w:vAlign w:val="bottom"/>
            <w:shd w:val="clear" w:color="auto" w:fill="B2B2B2"/>
          </w:tcPr>
          <w:p>
            <w:pPr>
              <w:jc w:val="right"/>
              <w:ind w:right="420"/>
              <w:spacing w:after="0" w:line="183" w:lineRule="exact"/>
              <w:rPr>
                <w:sz w:val="20"/>
                <w:szCs w:val="20"/>
                <w:color w:val="auto"/>
              </w:rPr>
            </w:pPr>
            <w:r>
              <w:rPr>
                <w:rFonts w:ascii="Arial" w:cs="Arial" w:eastAsia="Arial" w:hAnsi="Arial"/>
                <w:sz w:val="16"/>
                <w:szCs w:val="16"/>
                <w:color w:val="auto"/>
              </w:rPr>
              <w:t>24,416</w:t>
            </w:r>
          </w:p>
        </w:tc>
      </w:tr>
      <w:tr>
        <w:trPr>
          <w:trHeight w:val="189"/>
        </w:trPr>
        <w:tc>
          <w:tcPr>
            <w:tcW w:w="78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Comprehensive income/(loss) attributable to the noncontrolling interest</w:t>
            </w:r>
          </w:p>
        </w:tc>
        <w:tc>
          <w:tcPr>
            <w:tcW w:w="15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( 1,406 )</w:t>
            </w:r>
          </w:p>
        </w:tc>
        <w:tc>
          <w:tcPr>
            <w:tcW w:w="220" w:type="dxa"/>
            <w:vAlign w:val="bottom"/>
            <w:tcBorders>
              <w:bottom w:val="single" w:sz="8" w:color="B2B2B2"/>
            </w:tcBorders>
          </w:tcPr>
          <w:p>
            <w:pPr>
              <w:spacing w:after="0"/>
              <w:rPr>
                <w:sz w:val="16"/>
                <w:szCs w:val="16"/>
                <w:color w:val="auto"/>
              </w:rPr>
            </w:pPr>
          </w:p>
        </w:tc>
        <w:tc>
          <w:tcPr>
            <w:tcW w:w="15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210</w:t>
            </w:r>
          </w:p>
        </w:tc>
      </w:tr>
      <w:tr>
        <w:trPr>
          <w:trHeight w:val="183"/>
        </w:trPr>
        <w:tc>
          <w:tcPr>
            <w:tcW w:w="7880" w:type="dxa"/>
            <w:vAlign w:val="bottom"/>
            <w:tcBorders>
              <w:bottom w:val="single" w:sz="8" w:color="B2B2B2"/>
            </w:tcBorders>
            <w:shd w:val="clear" w:color="auto" w:fill="B2B2B2"/>
          </w:tcPr>
          <w:p>
            <w:pPr>
              <w:spacing w:after="0" w:line="183" w:lineRule="exact"/>
              <w:rPr>
                <w:sz w:val="20"/>
                <w:szCs w:val="20"/>
                <w:color w:val="auto"/>
              </w:rPr>
            </w:pPr>
            <w:r>
              <w:rPr>
                <w:rFonts w:ascii="Arial" w:cs="Arial" w:eastAsia="Arial" w:hAnsi="Arial"/>
                <w:sz w:val="16"/>
                <w:szCs w:val="16"/>
                <w:color w:val="auto"/>
              </w:rPr>
              <w:t>Comprehensive income/(loss) attributable to the Company</w:t>
            </w:r>
          </w:p>
        </w:tc>
        <w:tc>
          <w:tcPr>
            <w:tcW w:w="1580" w:type="dxa"/>
            <w:vAlign w:val="bottom"/>
            <w:tcBorders>
              <w:bottom w:val="single" w:sz="8" w:color="auto"/>
            </w:tcBorders>
            <w:shd w:val="clear" w:color="auto" w:fill="B2B2B2"/>
          </w:tcPr>
          <w:p>
            <w:pPr>
              <w:jc w:val="right"/>
              <w:ind w:right="300"/>
              <w:spacing w:after="0" w:line="183" w:lineRule="exact"/>
              <w:rPr>
                <w:sz w:val="20"/>
                <w:szCs w:val="20"/>
                <w:color w:val="auto"/>
              </w:rPr>
            </w:pPr>
            <w:r>
              <w:rPr>
                <w:rFonts w:ascii="Arial" w:cs="Arial" w:eastAsia="Arial" w:hAnsi="Arial"/>
                <w:sz w:val="16"/>
                <w:szCs w:val="16"/>
                <w:color w:val="auto"/>
              </w:rPr>
              <w:t>$( 23,565 )</w:t>
            </w:r>
          </w:p>
        </w:tc>
        <w:tc>
          <w:tcPr>
            <w:tcW w:w="220" w:type="dxa"/>
            <w:vAlign w:val="bottom"/>
            <w:tcBorders>
              <w:bottom w:val="single" w:sz="8" w:color="B2B2B2"/>
            </w:tcBorders>
            <w:shd w:val="clear" w:color="auto" w:fill="B2B2B2"/>
          </w:tcPr>
          <w:p>
            <w:pPr>
              <w:spacing w:after="0"/>
              <w:rPr>
                <w:sz w:val="15"/>
                <w:szCs w:val="15"/>
                <w:color w:val="auto"/>
              </w:rPr>
            </w:pPr>
          </w:p>
        </w:tc>
        <w:tc>
          <w:tcPr>
            <w:tcW w:w="1560" w:type="dxa"/>
            <w:vAlign w:val="bottom"/>
            <w:tcBorders>
              <w:bottom w:val="single" w:sz="8" w:color="auto"/>
            </w:tcBorders>
            <w:shd w:val="clear" w:color="auto" w:fill="B2B2B2"/>
          </w:tcPr>
          <w:p>
            <w:pPr>
              <w:jc w:val="center"/>
              <w:spacing w:after="0" w:line="183" w:lineRule="exact"/>
              <w:rPr>
                <w:sz w:val="20"/>
                <w:szCs w:val="20"/>
                <w:color w:val="auto"/>
              </w:rPr>
            </w:pPr>
            <w:r>
              <w:rPr>
                <w:rFonts w:ascii="Arial" w:cs="Arial" w:eastAsia="Arial" w:hAnsi="Arial"/>
                <w:sz w:val="16"/>
                <w:szCs w:val="16"/>
                <w:color w:val="auto"/>
              </w:rPr>
              <w:t>$ 24,206</w:t>
            </w:r>
          </w:p>
        </w:tc>
      </w:tr>
      <w:tr>
        <w:trPr>
          <w:trHeight w:val="20"/>
        </w:trPr>
        <w:tc>
          <w:tcPr>
            <w:tcW w:w="78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80" w:type="dxa"/>
            <w:vAlign w:val="bottom"/>
          </w:tcPr>
          <w:p>
            <w:pPr>
              <w:spacing w:after="0"/>
              <w:rPr>
                <w:sz w:val="15"/>
                <w:szCs w:val="15"/>
                <w:color w:val="auto"/>
              </w:rPr>
            </w:pPr>
          </w:p>
        </w:tc>
        <w:tc>
          <w:tcPr>
            <w:tcW w:w="1800" w:type="dxa"/>
            <w:vAlign w:val="bottom"/>
            <w:gridSpan w:val="3"/>
          </w:tcPr>
          <w:p>
            <w:pPr>
              <w:ind w:left="280"/>
              <w:spacing w:after="0"/>
              <w:rPr>
                <w:sz w:val="20"/>
                <w:szCs w:val="20"/>
                <w:color w:val="auto"/>
              </w:rPr>
            </w:pPr>
            <w:r>
              <w:rPr>
                <w:rFonts w:ascii="Arial" w:cs="Arial" w:eastAsia="Arial" w:hAnsi="Arial"/>
                <w:sz w:val="14"/>
                <w:szCs w:val="14"/>
                <w:b w:val="1"/>
                <w:bCs w:val="1"/>
                <w:color w:val="auto"/>
              </w:rPr>
              <w:t>March 31, 2020</w:t>
            </w:r>
          </w:p>
        </w:tc>
        <w:tc>
          <w:tcPr>
            <w:tcW w:w="15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7880" w:type="dxa"/>
            <w:vAlign w:val="bottom"/>
            <w:tcBorders>
              <w:top w:val="single" w:sz="8" w:color="B2B2B2"/>
            </w:tcBorders>
            <w:shd w:val="clear" w:color="auto" w:fill="B2B2B2"/>
          </w:tcPr>
          <w:p>
            <w:pPr>
              <w:spacing w:after="0" w:line="169" w:lineRule="exact"/>
              <w:rPr>
                <w:sz w:val="20"/>
                <w:szCs w:val="20"/>
                <w:color w:val="auto"/>
              </w:rPr>
            </w:pPr>
            <w:r>
              <w:rPr>
                <w:rFonts w:ascii="Arial" w:cs="Arial" w:eastAsia="Arial" w:hAnsi="Arial"/>
                <w:sz w:val="16"/>
                <w:szCs w:val="16"/>
                <w:color w:val="auto"/>
              </w:rPr>
              <w:t>ASSETS</w:t>
            </w:r>
          </w:p>
        </w:tc>
        <w:tc>
          <w:tcPr>
            <w:tcW w:w="480" w:type="dxa"/>
            <w:vAlign w:val="bottom"/>
            <w:tcBorders>
              <w:top w:val="single" w:sz="8" w:color="auto"/>
            </w:tcBorders>
            <w:shd w:val="clear" w:color="auto" w:fill="B2B2B2"/>
          </w:tcPr>
          <w:p>
            <w:pPr>
              <w:spacing w:after="0"/>
              <w:rPr>
                <w:sz w:val="14"/>
                <w:szCs w:val="14"/>
                <w:color w:val="auto"/>
              </w:rPr>
            </w:pPr>
          </w:p>
        </w:tc>
        <w:tc>
          <w:tcPr>
            <w:tcW w:w="1100" w:type="dxa"/>
            <w:vAlign w:val="bottom"/>
            <w:tcBorders>
              <w:top w:val="single" w:sz="8" w:color="auto"/>
            </w:tcBorders>
            <w:shd w:val="clear" w:color="auto" w:fill="B2B2B2"/>
          </w:tcPr>
          <w:p>
            <w:pPr>
              <w:spacing w:after="0"/>
              <w:rPr>
                <w:sz w:val="14"/>
                <w:szCs w:val="14"/>
                <w:color w:val="auto"/>
              </w:rPr>
            </w:pPr>
          </w:p>
        </w:tc>
        <w:tc>
          <w:tcPr>
            <w:tcW w:w="220" w:type="dxa"/>
            <w:vAlign w:val="bottom"/>
            <w:tcBorders>
              <w:top w:val="single" w:sz="8" w:color="B2B2B2"/>
            </w:tcBorders>
            <w:shd w:val="clear" w:color="auto" w:fill="B2B2B2"/>
          </w:tcPr>
          <w:p>
            <w:pPr>
              <w:spacing w:after="0"/>
              <w:rPr>
                <w:sz w:val="14"/>
                <w:szCs w:val="14"/>
                <w:color w:val="auto"/>
              </w:rPr>
            </w:pPr>
          </w:p>
        </w:tc>
        <w:tc>
          <w:tcPr>
            <w:tcW w:w="460" w:type="dxa"/>
            <w:vAlign w:val="bottom"/>
            <w:tcBorders>
              <w:top w:val="single" w:sz="8" w:color="auto"/>
            </w:tcBorders>
            <w:shd w:val="clear" w:color="auto" w:fill="B2B2B2"/>
          </w:tcPr>
          <w:p>
            <w:pPr>
              <w:spacing w:after="0"/>
              <w:rPr>
                <w:sz w:val="14"/>
                <w:szCs w:val="14"/>
                <w:color w:val="auto"/>
              </w:rPr>
            </w:pPr>
          </w:p>
        </w:tc>
        <w:tc>
          <w:tcPr>
            <w:tcW w:w="1100" w:type="dxa"/>
            <w:vAlign w:val="bottom"/>
            <w:tcBorders>
              <w:top w:val="single" w:sz="8" w:color="auto"/>
            </w:tcBorders>
            <w:shd w:val="clear" w:color="auto" w:fill="B2B2B2"/>
          </w:tcPr>
          <w:p>
            <w:pPr>
              <w:spacing w:after="0"/>
              <w:rPr>
                <w:sz w:val="14"/>
                <w:szCs w:val="14"/>
                <w:color w:val="auto"/>
              </w:rPr>
            </w:pP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222,680</w:t>
            </w:r>
          </w:p>
        </w:tc>
        <w:tc>
          <w:tcPr>
            <w:tcW w:w="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195,540</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Accounts receivable, net</w:t>
            </w: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211,081</w:t>
            </w: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218,271</w:t>
            </w: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Contract assets, net</w:t>
            </w:r>
          </w:p>
        </w:tc>
        <w:tc>
          <w:tcPr>
            <w:tcW w:w="48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84,578</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79,070</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Inventories</w:t>
            </w: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319"/>
              <w:spacing w:after="0"/>
              <w:rPr>
                <w:sz w:val="20"/>
                <w:szCs w:val="20"/>
                <w:color w:val="auto"/>
              </w:rPr>
            </w:pPr>
            <w:r>
              <w:rPr>
                <w:rFonts w:ascii="Arial" w:cs="Arial" w:eastAsia="Arial" w:hAnsi="Arial"/>
                <w:sz w:val="16"/>
                <w:szCs w:val="16"/>
                <w:color w:val="auto"/>
              </w:rPr>
              <w:t>109,426</w:t>
            </w: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95,149</w:t>
            </w: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Income taxes prepaid and receivable</w:t>
            </w:r>
          </w:p>
        </w:tc>
        <w:tc>
          <w:tcPr>
            <w:tcW w:w="48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5,922</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6,162</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tcBorders>
              <w:bottom w:val="single" w:sz="8" w:color="auto"/>
            </w:tcBorders>
            <w:shd w:val="clear" w:color="auto" w:fill="B2B2B2"/>
          </w:tcPr>
          <w:p>
            <w:pPr>
              <w:spacing w:after="0"/>
              <w:rPr>
                <w:sz w:val="16"/>
                <w:szCs w:val="16"/>
                <w:color w:val="auto"/>
              </w:rPr>
            </w:pPr>
          </w:p>
        </w:tc>
        <w:tc>
          <w:tcPr>
            <w:tcW w:w="1100" w:type="dxa"/>
            <w:vAlign w:val="bottom"/>
            <w:tcBorders>
              <w:bottom w:val="single" w:sz="8" w:color="auto"/>
            </w:tcBorders>
            <w:shd w:val="clear" w:color="auto" w:fill="B2B2B2"/>
          </w:tcPr>
          <w:p>
            <w:pPr>
              <w:jc w:val="right"/>
              <w:ind w:right="299"/>
              <w:spacing w:after="0"/>
              <w:rPr>
                <w:sz w:val="20"/>
                <w:szCs w:val="20"/>
                <w:color w:val="auto"/>
              </w:rPr>
            </w:pPr>
            <w:r>
              <w:rPr>
                <w:rFonts w:ascii="Arial" w:cs="Arial" w:eastAsia="Arial" w:hAnsi="Arial"/>
                <w:sz w:val="16"/>
                <w:szCs w:val="16"/>
                <w:color w:val="auto"/>
              </w:rPr>
              <w:t>25,827</w:t>
            </w:r>
          </w:p>
        </w:tc>
        <w:tc>
          <w:tcPr>
            <w:tcW w:w="220" w:type="dxa"/>
            <w:vAlign w:val="bottom"/>
            <w:shd w:val="clear" w:color="auto" w:fill="B2B2B2"/>
          </w:tcPr>
          <w:p>
            <w:pPr>
              <w:spacing w:after="0"/>
              <w:rPr>
                <w:sz w:val="16"/>
                <w:szCs w:val="16"/>
                <w:color w:val="auto"/>
              </w:rPr>
            </w:pPr>
          </w:p>
        </w:tc>
        <w:tc>
          <w:tcPr>
            <w:tcW w:w="460" w:type="dxa"/>
            <w:vAlign w:val="bottom"/>
            <w:tcBorders>
              <w:bottom w:val="single" w:sz="8" w:color="auto"/>
            </w:tcBorders>
            <w:shd w:val="clear" w:color="auto" w:fill="B2B2B2"/>
          </w:tcPr>
          <w:p>
            <w:pPr>
              <w:spacing w:after="0"/>
              <w:rPr>
                <w:sz w:val="16"/>
                <w:szCs w:val="16"/>
                <w:color w:val="auto"/>
              </w:rPr>
            </w:pPr>
          </w:p>
        </w:tc>
        <w:tc>
          <w:tcPr>
            <w:tcW w:w="1100" w:type="dxa"/>
            <w:vAlign w:val="bottom"/>
            <w:tcBorders>
              <w:bottom w:val="single" w:sz="8" w:color="auto"/>
            </w:tcBorders>
            <w:shd w:val="clear" w:color="auto" w:fill="B2B2B2"/>
          </w:tcPr>
          <w:p>
            <w:pPr>
              <w:jc w:val="right"/>
              <w:ind w:right="299"/>
              <w:spacing w:after="0"/>
              <w:rPr>
                <w:sz w:val="20"/>
                <w:szCs w:val="20"/>
                <w:color w:val="auto"/>
              </w:rPr>
            </w:pPr>
            <w:r>
              <w:rPr>
                <w:rFonts w:ascii="Arial" w:cs="Arial" w:eastAsia="Arial" w:hAnsi="Arial"/>
                <w:sz w:val="16"/>
                <w:szCs w:val="16"/>
                <w:color w:val="auto"/>
              </w:rPr>
              <w:t>24,142</w:t>
            </w:r>
          </w:p>
        </w:tc>
      </w:tr>
      <w:tr>
        <w:trPr>
          <w:trHeight w:val="183"/>
        </w:trPr>
        <w:tc>
          <w:tcPr>
            <w:tcW w:w="7880" w:type="dxa"/>
            <w:vAlign w:val="bottom"/>
          </w:tcPr>
          <w:p>
            <w:pPr>
              <w:ind w:left="220"/>
              <w:spacing w:after="0" w:line="183" w:lineRule="exact"/>
              <w:rPr>
                <w:sz w:val="20"/>
                <w:szCs w:val="20"/>
                <w:color w:val="auto"/>
              </w:rPr>
            </w:pPr>
            <w:r>
              <w:rPr>
                <w:rFonts w:ascii="Arial" w:cs="Arial" w:eastAsia="Arial" w:hAnsi="Arial"/>
                <w:sz w:val="16"/>
                <w:szCs w:val="16"/>
                <w:color w:val="auto"/>
              </w:rPr>
              <w:t>Total current assets</w:t>
            </w: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659,514</w:t>
            </w:r>
          </w:p>
        </w:tc>
        <w:tc>
          <w:tcPr>
            <w:tcW w:w="22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618,334</w:t>
            </w:r>
          </w:p>
        </w:tc>
      </w:tr>
      <w:tr>
        <w:trPr>
          <w:trHeight w:val="189"/>
        </w:trPr>
        <w:tc>
          <w:tcPr>
            <w:tcW w:w="7880" w:type="dxa"/>
            <w:vAlign w:val="bottom"/>
            <w:shd w:val="clear" w:color="auto" w:fill="B2B2B2"/>
          </w:tcPr>
          <w:p>
            <w:pPr>
              <w:spacing w:after="0"/>
              <w:rPr>
                <w:sz w:val="16"/>
                <w:szCs w:val="16"/>
                <w:color w:val="auto"/>
              </w:rPr>
            </w:pP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spacing w:after="0"/>
              <w:rPr>
                <w:sz w:val="16"/>
                <w:szCs w:val="16"/>
                <w:color w:val="auto"/>
              </w:rPr>
            </w:pP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spacing w:after="0"/>
              <w:rPr>
                <w:sz w:val="16"/>
                <w:szCs w:val="16"/>
                <w:color w:val="auto"/>
              </w:rPr>
            </w:pP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48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446,890</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466,462</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Intangibles, net</w:t>
            </w: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51,323</w:t>
            </w: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52,892</w:t>
            </w: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179,366</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180,934</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Deferred income taxes</w:t>
            </w: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48,260</w:t>
            </w: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51,621</w:t>
            </w: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Noncurrent receivables, net</w:t>
            </w:r>
          </w:p>
        </w:tc>
        <w:tc>
          <w:tcPr>
            <w:tcW w:w="48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38,929</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41,234</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Other assets</w:t>
            </w:r>
          </w:p>
        </w:tc>
        <w:tc>
          <w:tcPr>
            <w:tcW w:w="480" w:type="dxa"/>
            <w:vAlign w:val="bottom"/>
            <w:tcBorders>
              <w:bottom w:val="single" w:sz="8" w:color="auto"/>
            </w:tcBorders>
            <w:shd w:val="clear" w:color="auto" w:fill="B2B2B2"/>
          </w:tcPr>
          <w:p>
            <w:pPr>
              <w:spacing w:after="0"/>
              <w:rPr>
                <w:sz w:val="16"/>
                <w:szCs w:val="16"/>
                <w:color w:val="auto"/>
              </w:rPr>
            </w:pPr>
          </w:p>
        </w:tc>
        <w:tc>
          <w:tcPr>
            <w:tcW w:w="1100" w:type="dxa"/>
            <w:vAlign w:val="bottom"/>
            <w:tcBorders>
              <w:bottom w:val="single" w:sz="8" w:color="auto"/>
            </w:tcBorders>
            <w:shd w:val="clear" w:color="auto" w:fill="B2B2B2"/>
          </w:tcPr>
          <w:p>
            <w:pPr>
              <w:jc w:val="right"/>
              <w:ind w:right="299"/>
              <w:spacing w:after="0"/>
              <w:rPr>
                <w:sz w:val="20"/>
                <w:szCs w:val="20"/>
                <w:color w:val="auto"/>
              </w:rPr>
            </w:pPr>
            <w:r>
              <w:rPr>
                <w:rFonts w:ascii="Arial" w:cs="Arial" w:eastAsia="Arial" w:hAnsi="Arial"/>
                <w:sz w:val="16"/>
                <w:szCs w:val="16"/>
                <w:color w:val="auto"/>
              </w:rPr>
              <w:t>59,349</w:t>
            </w:r>
          </w:p>
        </w:tc>
        <w:tc>
          <w:tcPr>
            <w:tcW w:w="220" w:type="dxa"/>
            <w:vAlign w:val="bottom"/>
            <w:shd w:val="clear" w:color="auto" w:fill="B2B2B2"/>
          </w:tcPr>
          <w:p>
            <w:pPr>
              <w:spacing w:after="0"/>
              <w:rPr>
                <w:sz w:val="16"/>
                <w:szCs w:val="16"/>
                <w:color w:val="auto"/>
              </w:rPr>
            </w:pPr>
          </w:p>
        </w:tc>
        <w:tc>
          <w:tcPr>
            <w:tcW w:w="460" w:type="dxa"/>
            <w:vAlign w:val="bottom"/>
            <w:tcBorders>
              <w:bottom w:val="single" w:sz="8" w:color="auto"/>
            </w:tcBorders>
            <w:shd w:val="clear" w:color="auto" w:fill="B2B2B2"/>
          </w:tcPr>
          <w:p>
            <w:pPr>
              <w:spacing w:after="0"/>
              <w:rPr>
                <w:sz w:val="16"/>
                <w:szCs w:val="16"/>
                <w:color w:val="auto"/>
              </w:rPr>
            </w:pPr>
          </w:p>
        </w:tc>
        <w:tc>
          <w:tcPr>
            <w:tcW w:w="1100" w:type="dxa"/>
            <w:vAlign w:val="bottom"/>
            <w:tcBorders>
              <w:bottom w:val="single" w:sz="8" w:color="auto"/>
            </w:tcBorders>
            <w:shd w:val="clear" w:color="auto" w:fill="B2B2B2"/>
          </w:tcPr>
          <w:p>
            <w:pPr>
              <w:jc w:val="right"/>
              <w:ind w:right="299"/>
              <w:spacing w:after="0"/>
              <w:rPr>
                <w:sz w:val="20"/>
                <w:szCs w:val="20"/>
                <w:color w:val="auto"/>
              </w:rPr>
            </w:pPr>
            <w:r>
              <w:rPr>
                <w:rFonts w:ascii="Arial" w:cs="Arial" w:eastAsia="Arial" w:hAnsi="Arial"/>
                <w:sz w:val="16"/>
                <w:szCs w:val="16"/>
                <w:color w:val="auto"/>
              </w:rPr>
              <w:t>62,891</w:t>
            </w:r>
          </w:p>
        </w:tc>
      </w:tr>
      <w:tr>
        <w:trPr>
          <w:trHeight w:val="223"/>
        </w:trPr>
        <w:tc>
          <w:tcPr>
            <w:tcW w:w="7880" w:type="dxa"/>
            <w:vAlign w:val="bottom"/>
            <w:tcBorders>
              <w:bottom w:val="single" w:sz="8" w:color="B2B2B2"/>
            </w:tcBorders>
          </w:tcPr>
          <w:p>
            <w:pPr>
              <w:ind w:left="220"/>
              <w:spacing w:after="0" w:line="183" w:lineRule="exact"/>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1,483,631</w:t>
            </w:r>
          </w:p>
        </w:tc>
        <w:tc>
          <w:tcPr>
            <w:tcW w:w="220" w:type="dxa"/>
            <w:vAlign w:val="bottom"/>
            <w:tcBorders>
              <w:bottom w:val="single" w:sz="8" w:color="B2B2B2"/>
            </w:tcBorders>
          </w:tcPr>
          <w:p>
            <w:pPr>
              <w:spacing w:after="0"/>
              <w:rPr>
                <w:sz w:val="19"/>
                <w:szCs w:val="19"/>
                <w:color w:val="auto"/>
              </w:rPr>
            </w:pP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1,474,368</w:t>
            </w:r>
          </w:p>
        </w:tc>
      </w:tr>
      <w:tr>
        <w:trPr>
          <w:trHeight w:val="169"/>
        </w:trPr>
        <w:tc>
          <w:tcPr>
            <w:tcW w:w="7880" w:type="dxa"/>
            <w:vAlign w:val="bottom"/>
            <w:shd w:val="clear" w:color="auto" w:fill="B2B2B2"/>
          </w:tcPr>
          <w:p>
            <w:pPr>
              <w:spacing w:after="0"/>
              <w:rPr>
                <w:sz w:val="14"/>
                <w:szCs w:val="14"/>
                <w:color w:val="auto"/>
              </w:rPr>
            </w:pPr>
          </w:p>
        </w:tc>
        <w:tc>
          <w:tcPr>
            <w:tcW w:w="480" w:type="dxa"/>
            <w:vAlign w:val="bottom"/>
            <w:shd w:val="clear" w:color="auto" w:fill="B2B2B2"/>
          </w:tcPr>
          <w:p>
            <w:pPr>
              <w:spacing w:after="0"/>
              <w:rPr>
                <w:sz w:val="14"/>
                <w:szCs w:val="14"/>
                <w:color w:val="auto"/>
              </w:rPr>
            </w:pPr>
          </w:p>
        </w:tc>
        <w:tc>
          <w:tcPr>
            <w:tcW w:w="1100" w:type="dxa"/>
            <w:vAlign w:val="bottom"/>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460" w:type="dxa"/>
            <w:vAlign w:val="bottom"/>
            <w:shd w:val="clear" w:color="auto" w:fill="B2B2B2"/>
          </w:tcPr>
          <w:p>
            <w:pPr>
              <w:spacing w:after="0"/>
              <w:rPr>
                <w:sz w:val="14"/>
                <w:szCs w:val="14"/>
                <w:color w:val="auto"/>
              </w:rPr>
            </w:pPr>
          </w:p>
        </w:tc>
        <w:tc>
          <w:tcPr>
            <w:tcW w:w="1100" w:type="dxa"/>
            <w:vAlign w:val="bottom"/>
            <w:shd w:val="clear" w:color="auto" w:fill="B2B2B2"/>
          </w:tcPr>
          <w:p>
            <w:pPr>
              <w:spacing w:after="0"/>
              <w:rPr>
                <w:sz w:val="14"/>
                <w:szCs w:val="14"/>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LIABILITIES AND SHAREHOLDERS' EQUITY</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Accounts payable</w:t>
            </w:r>
          </w:p>
        </w:tc>
        <w:tc>
          <w:tcPr>
            <w:tcW w:w="4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rPr>
              <w:t>58,874</w:t>
            </w: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rPr>
              <w:t>65,203</w:t>
            </w: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48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110,071</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125,885</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Current maturities of long-term debt</w:t>
            </w: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319"/>
              <w:spacing w:after="0"/>
              <w:rPr>
                <w:sz w:val="20"/>
                <w:szCs w:val="20"/>
                <w:color w:val="auto"/>
              </w:rPr>
            </w:pPr>
            <w:r>
              <w:rPr>
                <w:rFonts w:ascii="Arial" w:cs="Arial" w:eastAsia="Arial" w:hAnsi="Arial"/>
                <w:sz w:val="16"/>
                <w:szCs w:val="16"/>
                <w:color w:val="auto"/>
              </w:rPr>
              <w:t>20</w:t>
            </w: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20</w:t>
            </w:r>
          </w:p>
        </w:tc>
      </w:tr>
      <w:tr>
        <w:trPr>
          <w:trHeight w:val="189"/>
        </w:trPr>
        <w:tc>
          <w:tcPr>
            <w:tcW w:w="788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Income taxes payable</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6,656</w:t>
            </w:r>
          </w:p>
        </w:tc>
        <w:tc>
          <w:tcPr>
            <w:tcW w:w="220" w:type="dxa"/>
            <w:vAlign w:val="bottom"/>
            <w:tcBorders>
              <w:bottom w:val="single" w:sz="8" w:color="B2B2B2"/>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11,611</w:t>
            </w:r>
          </w:p>
        </w:tc>
      </w:tr>
      <w:tr>
        <w:trPr>
          <w:trHeight w:val="183"/>
        </w:trPr>
        <w:tc>
          <w:tcPr>
            <w:tcW w:w="7880" w:type="dxa"/>
            <w:vAlign w:val="bottom"/>
            <w:shd w:val="clear" w:color="auto" w:fill="B2B2B2"/>
          </w:tcPr>
          <w:p>
            <w:pPr>
              <w:ind w:left="220"/>
              <w:spacing w:after="0" w:line="183" w:lineRule="exact"/>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B2B2B2"/>
          </w:tcPr>
          <w:p>
            <w:pPr>
              <w:spacing w:after="0"/>
              <w:rPr>
                <w:sz w:val="15"/>
                <w:szCs w:val="15"/>
                <w:color w:val="auto"/>
              </w:rPr>
            </w:pPr>
          </w:p>
        </w:tc>
        <w:tc>
          <w:tcPr>
            <w:tcW w:w="1100" w:type="dxa"/>
            <w:vAlign w:val="bottom"/>
            <w:shd w:val="clear" w:color="auto" w:fill="B2B2B2"/>
          </w:tcPr>
          <w:p>
            <w:pPr>
              <w:jc w:val="right"/>
              <w:ind w:right="319"/>
              <w:spacing w:after="0" w:line="183" w:lineRule="exact"/>
              <w:rPr>
                <w:sz w:val="20"/>
                <w:szCs w:val="20"/>
                <w:color w:val="auto"/>
              </w:rPr>
            </w:pPr>
            <w:r>
              <w:rPr>
                <w:rFonts w:ascii="Arial" w:cs="Arial" w:eastAsia="Arial" w:hAnsi="Arial"/>
                <w:sz w:val="16"/>
                <w:szCs w:val="16"/>
                <w:color w:val="auto"/>
              </w:rPr>
              <w:t>175,621</w:t>
            </w:r>
          </w:p>
        </w:tc>
        <w:tc>
          <w:tcPr>
            <w:tcW w:w="220" w:type="dxa"/>
            <w:vAlign w:val="bottom"/>
            <w:shd w:val="clear" w:color="auto" w:fill="B2B2B2"/>
          </w:tcPr>
          <w:p>
            <w:pPr>
              <w:spacing w:after="0"/>
              <w:rPr>
                <w:sz w:val="15"/>
                <w:szCs w:val="15"/>
                <w:color w:val="auto"/>
              </w:rPr>
            </w:pPr>
          </w:p>
        </w:tc>
        <w:tc>
          <w:tcPr>
            <w:tcW w:w="460" w:type="dxa"/>
            <w:vAlign w:val="bottom"/>
            <w:shd w:val="clear" w:color="auto" w:fill="B2B2B2"/>
          </w:tcPr>
          <w:p>
            <w:pPr>
              <w:spacing w:after="0"/>
              <w:rPr>
                <w:sz w:val="15"/>
                <w:szCs w:val="15"/>
                <w:color w:val="auto"/>
              </w:rPr>
            </w:pPr>
          </w:p>
        </w:tc>
        <w:tc>
          <w:tcPr>
            <w:tcW w:w="1100" w:type="dxa"/>
            <w:vAlign w:val="bottom"/>
            <w:shd w:val="clear" w:color="auto" w:fill="B2B2B2"/>
          </w:tcPr>
          <w:p>
            <w:pPr>
              <w:jc w:val="right"/>
              <w:ind w:right="299"/>
              <w:spacing w:after="0" w:line="183" w:lineRule="exact"/>
              <w:rPr>
                <w:sz w:val="20"/>
                <w:szCs w:val="20"/>
                <w:color w:val="auto"/>
              </w:rPr>
            </w:pPr>
            <w:r>
              <w:rPr>
                <w:rFonts w:ascii="Arial" w:cs="Arial" w:eastAsia="Arial" w:hAnsi="Arial"/>
                <w:sz w:val="16"/>
                <w:szCs w:val="16"/>
                <w:color w:val="auto"/>
              </w:rPr>
              <w:t>202,719</w:t>
            </w:r>
          </w:p>
        </w:tc>
      </w:tr>
      <w:tr>
        <w:trPr>
          <w:trHeight w:val="189"/>
        </w:trPr>
        <w:tc>
          <w:tcPr>
            <w:tcW w:w="7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Long-term debt</w:t>
            </w: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319"/>
              <w:spacing w:after="0"/>
              <w:rPr>
                <w:sz w:val="20"/>
                <w:szCs w:val="20"/>
                <w:color w:val="auto"/>
              </w:rPr>
            </w:pPr>
            <w:r>
              <w:rPr>
                <w:rFonts w:ascii="Arial" w:cs="Arial" w:eastAsia="Arial" w:hAnsi="Arial"/>
                <w:sz w:val="16"/>
                <w:szCs w:val="16"/>
                <w:color w:val="auto"/>
              </w:rPr>
              <w:t>491,002</w:t>
            </w: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424,009</w:t>
            </w: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Other noncurrent liabilities</w:t>
            </w:r>
          </w:p>
        </w:tc>
        <w:tc>
          <w:tcPr>
            <w:tcW w:w="48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134,918</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132,725</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Deferred taxes and other liabilities</w:t>
            </w:r>
          </w:p>
        </w:tc>
        <w:tc>
          <w:tcPr>
            <w:tcW w:w="480" w:type="dxa"/>
            <w:vAlign w:val="bottom"/>
            <w:tcBorders>
              <w:bottom w:val="single" w:sz="8" w:color="auto"/>
            </w:tcBorders>
            <w:shd w:val="clear" w:color="auto" w:fill="B2B2B2"/>
          </w:tcPr>
          <w:p>
            <w:pPr>
              <w:spacing w:after="0"/>
              <w:rPr>
                <w:sz w:val="16"/>
                <w:szCs w:val="16"/>
                <w:color w:val="auto"/>
              </w:rPr>
            </w:pPr>
          </w:p>
        </w:tc>
        <w:tc>
          <w:tcPr>
            <w:tcW w:w="1100" w:type="dxa"/>
            <w:vAlign w:val="bottom"/>
            <w:tcBorders>
              <w:bottom w:val="single" w:sz="8" w:color="auto"/>
            </w:tcBorders>
            <w:shd w:val="clear" w:color="auto" w:fill="B2B2B2"/>
          </w:tcPr>
          <w:p>
            <w:pPr>
              <w:jc w:val="right"/>
              <w:ind w:right="299"/>
              <w:spacing w:after="0"/>
              <w:rPr>
                <w:sz w:val="20"/>
                <w:szCs w:val="20"/>
                <w:color w:val="auto"/>
              </w:rPr>
            </w:pPr>
            <w:r>
              <w:rPr>
                <w:rFonts w:ascii="Arial" w:cs="Arial" w:eastAsia="Arial" w:hAnsi="Arial"/>
                <w:sz w:val="16"/>
                <w:szCs w:val="16"/>
                <w:color w:val="auto"/>
              </w:rPr>
              <w:t>12,529</w:t>
            </w:r>
          </w:p>
        </w:tc>
        <w:tc>
          <w:tcPr>
            <w:tcW w:w="220" w:type="dxa"/>
            <w:vAlign w:val="bottom"/>
            <w:shd w:val="clear" w:color="auto" w:fill="B2B2B2"/>
          </w:tcPr>
          <w:p>
            <w:pPr>
              <w:spacing w:after="0"/>
              <w:rPr>
                <w:sz w:val="16"/>
                <w:szCs w:val="16"/>
                <w:color w:val="auto"/>
              </w:rPr>
            </w:pPr>
          </w:p>
        </w:tc>
        <w:tc>
          <w:tcPr>
            <w:tcW w:w="460" w:type="dxa"/>
            <w:vAlign w:val="bottom"/>
            <w:tcBorders>
              <w:bottom w:val="single" w:sz="8" w:color="auto"/>
            </w:tcBorders>
            <w:shd w:val="clear" w:color="auto" w:fill="B2B2B2"/>
          </w:tcPr>
          <w:p>
            <w:pPr>
              <w:spacing w:after="0"/>
              <w:rPr>
                <w:sz w:val="16"/>
                <w:szCs w:val="16"/>
                <w:color w:val="auto"/>
              </w:rPr>
            </w:pPr>
          </w:p>
        </w:tc>
        <w:tc>
          <w:tcPr>
            <w:tcW w:w="1100" w:type="dxa"/>
            <w:vAlign w:val="bottom"/>
            <w:tcBorders>
              <w:bottom w:val="single" w:sz="8" w:color="auto"/>
            </w:tcBorders>
            <w:shd w:val="clear" w:color="auto" w:fill="B2B2B2"/>
          </w:tcPr>
          <w:p>
            <w:pPr>
              <w:jc w:val="right"/>
              <w:ind w:right="299"/>
              <w:spacing w:after="0"/>
              <w:rPr>
                <w:sz w:val="20"/>
                <w:szCs w:val="20"/>
                <w:color w:val="auto"/>
              </w:rPr>
            </w:pPr>
            <w:r>
              <w:rPr>
                <w:rFonts w:ascii="Arial" w:cs="Arial" w:eastAsia="Arial" w:hAnsi="Arial"/>
                <w:sz w:val="16"/>
                <w:szCs w:val="16"/>
                <w:color w:val="auto"/>
              </w:rPr>
              <w:t>12,226</w:t>
            </w:r>
          </w:p>
        </w:tc>
      </w:tr>
      <w:tr>
        <w:trPr>
          <w:trHeight w:val="183"/>
        </w:trPr>
        <w:tc>
          <w:tcPr>
            <w:tcW w:w="7880" w:type="dxa"/>
            <w:vAlign w:val="bottom"/>
            <w:tcBorders>
              <w:bottom w:val="single" w:sz="8" w:color="B2B2B2"/>
            </w:tcBorders>
          </w:tcPr>
          <w:p>
            <w:pPr>
              <w:ind w:left="220"/>
              <w:spacing w:after="0" w:line="183" w:lineRule="exact"/>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814,070</w:t>
            </w:r>
          </w:p>
        </w:tc>
        <w:tc>
          <w:tcPr>
            <w:tcW w:w="220" w:type="dxa"/>
            <w:vAlign w:val="bottom"/>
            <w:tcBorders>
              <w:bottom w:val="single" w:sz="8" w:color="B2B2B2"/>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771,679</w:t>
            </w:r>
          </w:p>
        </w:tc>
      </w:tr>
      <w:tr>
        <w:trPr>
          <w:trHeight w:val="183"/>
        </w:trPr>
        <w:tc>
          <w:tcPr>
            <w:tcW w:w="7880" w:type="dxa"/>
            <w:vAlign w:val="bottom"/>
            <w:shd w:val="clear" w:color="auto" w:fill="B2B2B2"/>
          </w:tcPr>
          <w:p>
            <w:pPr>
              <w:spacing w:after="0"/>
              <w:rPr>
                <w:sz w:val="15"/>
                <w:szCs w:val="15"/>
                <w:color w:val="auto"/>
              </w:rPr>
            </w:pPr>
          </w:p>
        </w:tc>
        <w:tc>
          <w:tcPr>
            <w:tcW w:w="480" w:type="dxa"/>
            <w:vAlign w:val="bottom"/>
            <w:shd w:val="clear" w:color="auto" w:fill="B2B2B2"/>
          </w:tcPr>
          <w:p>
            <w:pPr>
              <w:spacing w:after="0"/>
              <w:rPr>
                <w:sz w:val="15"/>
                <w:szCs w:val="15"/>
                <w:color w:val="auto"/>
              </w:rPr>
            </w:pPr>
          </w:p>
        </w:tc>
        <w:tc>
          <w:tcPr>
            <w:tcW w:w="1100" w:type="dxa"/>
            <w:vAlign w:val="bottom"/>
            <w:shd w:val="clear" w:color="auto" w:fill="B2B2B2"/>
          </w:tcPr>
          <w:p>
            <w:pPr>
              <w:spacing w:after="0"/>
              <w:rPr>
                <w:sz w:val="15"/>
                <w:szCs w:val="15"/>
                <w:color w:val="auto"/>
              </w:rPr>
            </w:pPr>
          </w:p>
        </w:tc>
        <w:tc>
          <w:tcPr>
            <w:tcW w:w="220" w:type="dxa"/>
            <w:vAlign w:val="bottom"/>
            <w:shd w:val="clear" w:color="auto" w:fill="B2B2B2"/>
          </w:tcPr>
          <w:p>
            <w:pPr>
              <w:spacing w:after="0"/>
              <w:rPr>
                <w:sz w:val="15"/>
                <w:szCs w:val="15"/>
                <w:color w:val="auto"/>
              </w:rPr>
            </w:pPr>
          </w:p>
        </w:tc>
        <w:tc>
          <w:tcPr>
            <w:tcW w:w="460" w:type="dxa"/>
            <w:vAlign w:val="bottom"/>
            <w:shd w:val="clear" w:color="auto" w:fill="B2B2B2"/>
          </w:tcPr>
          <w:p>
            <w:pPr>
              <w:spacing w:after="0"/>
              <w:rPr>
                <w:sz w:val="15"/>
                <w:szCs w:val="15"/>
                <w:color w:val="auto"/>
              </w:rPr>
            </w:pPr>
          </w:p>
        </w:tc>
        <w:tc>
          <w:tcPr>
            <w:tcW w:w="1100" w:type="dxa"/>
            <w:vAlign w:val="bottom"/>
            <w:shd w:val="clear" w:color="auto" w:fill="B2B2B2"/>
          </w:tcPr>
          <w:p>
            <w:pPr>
              <w:spacing w:after="0"/>
              <w:rPr>
                <w:sz w:val="15"/>
                <w:szCs w:val="15"/>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SHAREHOLDERS' EQUITY</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Preferred stock, par value $5.00 per share; authorized 2,000,000 shares; none issued</w:t>
            </w: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b w:val="1"/>
                <w:bCs w:val="1"/>
                <w:color w:val="auto"/>
              </w:rPr>
              <w:t>-</w:t>
            </w:r>
          </w:p>
        </w:tc>
      </w:tr>
      <w:tr>
        <w:trPr>
          <w:trHeight w:val="191"/>
        </w:trPr>
        <w:tc>
          <w:tcPr>
            <w:tcW w:w="7880" w:type="dxa"/>
            <w:vAlign w:val="bottom"/>
          </w:tcPr>
          <w:p>
            <w:pPr>
              <w:ind w:left="120"/>
              <w:spacing w:after="0"/>
              <w:rPr>
                <w:sz w:val="20"/>
                <w:szCs w:val="20"/>
                <w:color w:val="auto"/>
              </w:rPr>
            </w:pPr>
            <w:r>
              <w:rPr>
                <w:rFonts w:ascii="Arial" w:cs="Arial" w:eastAsia="Arial" w:hAnsi="Arial"/>
                <w:sz w:val="16"/>
                <w:szCs w:val="16"/>
                <w:color w:val="auto"/>
              </w:rPr>
              <w:t>Class A Common Stock, par value $.001 per share; authorized 100,000,000 shares; 39,111,722 issued in</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7880" w:type="dxa"/>
            <w:vAlign w:val="bottom"/>
          </w:tcPr>
          <w:p>
            <w:pPr>
              <w:ind w:left="220"/>
              <w:spacing w:after="0"/>
              <w:rPr>
                <w:sz w:val="20"/>
                <w:szCs w:val="20"/>
                <w:color w:val="auto"/>
              </w:rPr>
            </w:pPr>
            <w:r>
              <w:rPr>
                <w:rFonts w:ascii="Arial" w:cs="Arial" w:eastAsia="Arial" w:hAnsi="Arial"/>
                <w:sz w:val="16"/>
                <w:szCs w:val="16"/>
                <w:color w:val="auto"/>
              </w:rPr>
              <w:t>2020 and 39,098,792 in 2019</w:t>
            </w:r>
          </w:p>
        </w:tc>
        <w:tc>
          <w:tcPr>
            <w:tcW w:w="48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39</w:t>
            </w:r>
          </w:p>
        </w:tc>
      </w:tr>
      <w:tr>
        <w:trPr>
          <w:trHeight w:val="191"/>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Class B Common Stock, par value $.001 per share; authorized 25,000,000 shares; issued and outstanding</w:t>
            </w: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spacing w:after="0"/>
              <w:rPr>
                <w:sz w:val="16"/>
                <w:szCs w:val="16"/>
                <w:color w:val="auto"/>
              </w:rPr>
            </w:pP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spacing w:after="0"/>
              <w:rPr>
                <w:sz w:val="16"/>
                <w:szCs w:val="16"/>
                <w:color w:val="auto"/>
              </w:rPr>
            </w:pPr>
          </w:p>
        </w:tc>
      </w:tr>
      <w:tr>
        <w:trPr>
          <w:trHeight w:val="187"/>
        </w:trPr>
        <w:tc>
          <w:tcPr>
            <w:tcW w:w="7880" w:type="dxa"/>
            <w:vAlign w:val="bottom"/>
            <w:shd w:val="clear" w:color="auto" w:fill="B2B2B2"/>
          </w:tcPr>
          <w:p>
            <w:pPr>
              <w:ind w:left="220"/>
              <w:spacing w:after="0"/>
              <w:rPr>
                <w:sz w:val="20"/>
                <w:szCs w:val="20"/>
                <w:color w:val="auto"/>
              </w:rPr>
            </w:pPr>
            <w:r>
              <w:rPr>
                <w:rFonts w:ascii="Arial" w:cs="Arial" w:eastAsia="Arial" w:hAnsi="Arial"/>
                <w:sz w:val="16"/>
                <w:szCs w:val="16"/>
                <w:color w:val="auto"/>
              </w:rPr>
              <w:t>1,617,998 in 2020 and 2019</w:t>
            </w: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2</w:t>
            </w: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2</w:t>
            </w: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Additional paid in capital</w:t>
            </w:r>
          </w:p>
        </w:tc>
        <w:tc>
          <w:tcPr>
            <w:tcW w:w="48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431,836</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432,518</w:t>
            </w:r>
          </w:p>
        </w:tc>
      </w:tr>
      <w:tr>
        <w:trPr>
          <w:trHeight w:val="189"/>
        </w:trPr>
        <w:tc>
          <w:tcPr>
            <w:tcW w:w="7880" w:type="dxa"/>
            <w:vAlign w:val="bottom"/>
            <w:shd w:val="clear" w:color="auto" w:fill="B2B2B2"/>
          </w:tcPr>
          <w:p>
            <w:pPr>
              <w:ind w:left="120"/>
              <w:spacing w:after="0"/>
              <w:rPr>
                <w:sz w:val="20"/>
                <w:szCs w:val="20"/>
                <w:color w:val="auto"/>
              </w:rPr>
            </w:pPr>
            <w:r>
              <w:rPr>
                <w:rFonts w:ascii="Arial" w:cs="Arial" w:eastAsia="Arial" w:hAnsi="Arial"/>
                <w:sz w:val="16"/>
                <w:szCs w:val="16"/>
                <w:color w:val="auto"/>
              </w:rPr>
              <w:t>Retained earnings</w:t>
            </w: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319"/>
              <w:spacing w:after="0"/>
              <w:rPr>
                <w:sz w:val="20"/>
                <w:szCs w:val="20"/>
                <w:color w:val="auto"/>
              </w:rPr>
            </w:pPr>
            <w:r>
              <w:rPr>
                <w:rFonts w:ascii="Arial" w:cs="Arial" w:eastAsia="Arial" w:hAnsi="Arial"/>
                <w:sz w:val="16"/>
                <w:szCs w:val="16"/>
                <w:color w:val="auto"/>
              </w:rPr>
              <w:t>700,021</w:t>
            </w: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99"/>
              <w:spacing w:after="0"/>
              <w:rPr>
                <w:sz w:val="20"/>
                <w:szCs w:val="20"/>
                <w:color w:val="auto"/>
              </w:rPr>
            </w:pPr>
            <w:r>
              <w:rPr>
                <w:rFonts w:ascii="Arial" w:cs="Arial" w:eastAsia="Arial" w:hAnsi="Arial"/>
                <w:sz w:val="16"/>
                <w:szCs w:val="16"/>
                <w:color w:val="auto"/>
              </w:rPr>
              <w:t>698,496</w:t>
            </w: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Accumulated items of other comprehensive income:</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7880" w:type="dxa"/>
            <w:vAlign w:val="bottom"/>
            <w:shd w:val="clear" w:color="auto" w:fill="B2B2B2"/>
          </w:tcPr>
          <w:p>
            <w:pPr>
              <w:ind w:left="220"/>
              <w:spacing w:after="0"/>
              <w:rPr>
                <w:sz w:val="20"/>
                <w:szCs w:val="20"/>
                <w:color w:val="auto"/>
              </w:rPr>
            </w:pPr>
            <w:r>
              <w:rPr>
                <w:rFonts w:ascii="Arial" w:cs="Arial" w:eastAsia="Arial" w:hAnsi="Arial"/>
                <w:sz w:val="16"/>
                <w:szCs w:val="16"/>
                <w:color w:val="auto"/>
              </w:rPr>
              <w:t>Translation adjustments</w:t>
            </w: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219"/>
              <w:spacing w:after="0"/>
              <w:rPr>
                <w:sz w:val="20"/>
                <w:szCs w:val="20"/>
                <w:color w:val="auto"/>
              </w:rPr>
            </w:pPr>
            <w:r>
              <w:rPr>
                <w:rFonts w:ascii="Arial" w:cs="Arial" w:eastAsia="Arial" w:hAnsi="Arial"/>
                <w:sz w:val="16"/>
                <w:szCs w:val="16"/>
                <w:color w:val="auto"/>
              </w:rPr>
              <w:t>( 148,599 )</w:t>
            </w: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199"/>
              <w:spacing w:after="0"/>
              <w:rPr>
                <w:sz w:val="20"/>
                <w:szCs w:val="20"/>
                <w:color w:val="auto"/>
              </w:rPr>
            </w:pPr>
            <w:r>
              <w:rPr>
                <w:rFonts w:ascii="Arial" w:cs="Arial" w:eastAsia="Arial" w:hAnsi="Arial"/>
                <w:sz w:val="16"/>
                <w:szCs w:val="16"/>
                <w:color w:val="auto"/>
              </w:rPr>
              <w:t>( 122,852 )</w:t>
            </w:r>
          </w:p>
        </w:tc>
      </w:tr>
      <w:tr>
        <w:trPr>
          <w:trHeight w:val="189"/>
        </w:trPr>
        <w:tc>
          <w:tcPr>
            <w:tcW w:w="7880" w:type="dxa"/>
            <w:vAlign w:val="bottom"/>
          </w:tcPr>
          <w:p>
            <w:pPr>
              <w:ind w:left="220"/>
              <w:spacing w:after="0"/>
              <w:rPr>
                <w:sz w:val="20"/>
                <w:szCs w:val="20"/>
                <w:color w:val="auto"/>
              </w:rPr>
            </w:pPr>
            <w:r>
              <w:rPr>
                <w:rFonts w:ascii="Arial" w:cs="Arial" w:eastAsia="Arial" w:hAnsi="Arial"/>
                <w:sz w:val="16"/>
                <w:szCs w:val="16"/>
                <w:color w:val="auto"/>
              </w:rPr>
              <w:t>Pension and postretirement liability adjustments</w:t>
            </w:r>
          </w:p>
        </w:tc>
        <w:tc>
          <w:tcPr>
            <w:tcW w:w="480" w:type="dxa"/>
            <w:vAlign w:val="bottom"/>
          </w:tcPr>
          <w:p>
            <w:pPr>
              <w:spacing w:after="0"/>
              <w:rPr>
                <w:sz w:val="16"/>
                <w:szCs w:val="16"/>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( 49,104 )</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( 49,994 )</w:t>
            </w:r>
          </w:p>
        </w:tc>
      </w:tr>
      <w:tr>
        <w:trPr>
          <w:trHeight w:val="189"/>
        </w:trPr>
        <w:tc>
          <w:tcPr>
            <w:tcW w:w="7880" w:type="dxa"/>
            <w:vAlign w:val="bottom"/>
            <w:shd w:val="clear" w:color="auto" w:fill="B2B2B2"/>
          </w:tcPr>
          <w:p>
            <w:pPr>
              <w:ind w:left="220"/>
              <w:spacing w:after="0"/>
              <w:rPr>
                <w:sz w:val="20"/>
                <w:szCs w:val="20"/>
                <w:color w:val="auto"/>
              </w:rPr>
            </w:pPr>
            <w:r>
              <w:rPr>
                <w:rFonts w:ascii="Arial" w:cs="Arial" w:eastAsia="Arial" w:hAnsi="Arial"/>
                <w:sz w:val="16"/>
                <w:szCs w:val="16"/>
                <w:color w:val="auto"/>
              </w:rPr>
              <w:t>Derivative valuation adjustment</w:t>
            </w:r>
          </w:p>
        </w:tc>
        <w:tc>
          <w:tcPr>
            <w:tcW w:w="48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199"/>
              <w:spacing w:after="0"/>
              <w:rPr>
                <w:sz w:val="20"/>
                <w:szCs w:val="20"/>
                <w:color w:val="auto"/>
              </w:rPr>
            </w:pPr>
            <w:r>
              <w:rPr>
                <w:rFonts w:ascii="Arial" w:cs="Arial" w:eastAsia="Arial" w:hAnsi="Arial"/>
                <w:sz w:val="16"/>
                <w:szCs w:val="16"/>
                <w:color w:val="auto"/>
              </w:rPr>
              <w:t>( 10,843 )</w:t>
            </w:r>
          </w:p>
        </w:tc>
        <w:tc>
          <w:tcPr>
            <w:tcW w:w="220" w:type="dxa"/>
            <w:vAlign w:val="bottom"/>
            <w:shd w:val="clear" w:color="auto" w:fill="B2B2B2"/>
          </w:tcPr>
          <w:p>
            <w:pPr>
              <w:spacing w:after="0"/>
              <w:rPr>
                <w:sz w:val="16"/>
                <w:szCs w:val="16"/>
                <w:color w:val="auto"/>
              </w:rPr>
            </w:pPr>
          </w:p>
        </w:tc>
        <w:tc>
          <w:tcPr>
            <w:tcW w:w="460" w:type="dxa"/>
            <w:vAlign w:val="bottom"/>
            <w:shd w:val="clear" w:color="auto" w:fill="B2B2B2"/>
          </w:tcPr>
          <w:p>
            <w:pPr>
              <w:spacing w:after="0"/>
              <w:rPr>
                <w:sz w:val="16"/>
                <w:szCs w:val="16"/>
                <w:color w:val="auto"/>
              </w:rPr>
            </w:pPr>
          </w:p>
        </w:tc>
        <w:tc>
          <w:tcPr>
            <w:tcW w:w="1100" w:type="dxa"/>
            <w:vAlign w:val="bottom"/>
            <w:shd w:val="clear" w:color="auto" w:fill="B2B2B2"/>
          </w:tcPr>
          <w:p>
            <w:pPr>
              <w:jc w:val="right"/>
              <w:ind w:right="199"/>
              <w:spacing w:after="0"/>
              <w:rPr>
                <w:sz w:val="20"/>
                <w:szCs w:val="20"/>
                <w:color w:val="auto"/>
              </w:rPr>
            </w:pPr>
            <w:r>
              <w:rPr>
                <w:rFonts w:ascii="Arial" w:cs="Arial" w:eastAsia="Arial" w:hAnsi="Arial"/>
                <w:sz w:val="16"/>
                <w:szCs w:val="16"/>
                <w:color w:val="auto"/>
              </w:rPr>
              <w:t>( 3,135 )</w:t>
            </w:r>
          </w:p>
        </w:tc>
      </w:tr>
      <w:tr>
        <w:trPr>
          <w:trHeight w:val="189"/>
        </w:trPr>
        <w:tc>
          <w:tcPr>
            <w:tcW w:w="788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Treasury stock (Class A), at cost; 8,408,770 shares in 2020 and 2019</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( 256,391 )</w:t>
            </w:r>
          </w:p>
        </w:tc>
        <w:tc>
          <w:tcPr>
            <w:tcW w:w="220" w:type="dxa"/>
            <w:vAlign w:val="bottom"/>
            <w:tcBorders>
              <w:bottom w:val="single" w:sz="8" w:color="B2B2B2"/>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( 256,391 )</w:t>
            </w:r>
          </w:p>
        </w:tc>
      </w:tr>
      <w:tr>
        <w:trPr>
          <w:trHeight w:val="183"/>
        </w:trPr>
        <w:tc>
          <w:tcPr>
            <w:tcW w:w="7880" w:type="dxa"/>
            <w:vAlign w:val="bottom"/>
            <w:shd w:val="clear" w:color="auto" w:fill="B2B2B2"/>
          </w:tcPr>
          <w:p>
            <w:pPr>
              <w:ind w:left="220"/>
              <w:spacing w:after="0" w:line="183" w:lineRule="exact"/>
              <w:rPr>
                <w:sz w:val="20"/>
                <w:szCs w:val="20"/>
                <w:color w:val="auto"/>
              </w:rPr>
            </w:pPr>
            <w:r>
              <w:rPr>
                <w:rFonts w:ascii="Arial" w:cs="Arial" w:eastAsia="Arial" w:hAnsi="Arial"/>
                <w:sz w:val="16"/>
                <w:szCs w:val="16"/>
                <w:color w:val="auto"/>
              </w:rPr>
              <w:t>Total Company shareholders' equity</w:t>
            </w:r>
          </w:p>
        </w:tc>
        <w:tc>
          <w:tcPr>
            <w:tcW w:w="480" w:type="dxa"/>
            <w:vAlign w:val="bottom"/>
            <w:shd w:val="clear" w:color="auto" w:fill="B2B2B2"/>
          </w:tcPr>
          <w:p>
            <w:pPr>
              <w:spacing w:after="0"/>
              <w:rPr>
                <w:sz w:val="15"/>
                <w:szCs w:val="15"/>
                <w:color w:val="auto"/>
              </w:rPr>
            </w:pPr>
          </w:p>
        </w:tc>
        <w:tc>
          <w:tcPr>
            <w:tcW w:w="1100" w:type="dxa"/>
            <w:vAlign w:val="bottom"/>
            <w:shd w:val="clear" w:color="auto" w:fill="B2B2B2"/>
          </w:tcPr>
          <w:p>
            <w:pPr>
              <w:jc w:val="right"/>
              <w:ind w:right="319"/>
              <w:spacing w:after="0" w:line="183" w:lineRule="exact"/>
              <w:rPr>
                <w:sz w:val="20"/>
                <w:szCs w:val="20"/>
                <w:color w:val="auto"/>
              </w:rPr>
            </w:pPr>
            <w:r>
              <w:rPr>
                <w:rFonts w:ascii="Arial" w:cs="Arial" w:eastAsia="Arial" w:hAnsi="Arial"/>
                <w:sz w:val="16"/>
                <w:szCs w:val="16"/>
                <w:color w:val="auto"/>
              </w:rPr>
              <w:t>666,961</w:t>
            </w:r>
          </w:p>
        </w:tc>
        <w:tc>
          <w:tcPr>
            <w:tcW w:w="220" w:type="dxa"/>
            <w:vAlign w:val="bottom"/>
            <w:shd w:val="clear" w:color="auto" w:fill="B2B2B2"/>
          </w:tcPr>
          <w:p>
            <w:pPr>
              <w:spacing w:after="0"/>
              <w:rPr>
                <w:sz w:val="15"/>
                <w:szCs w:val="15"/>
                <w:color w:val="auto"/>
              </w:rPr>
            </w:pPr>
          </w:p>
        </w:tc>
        <w:tc>
          <w:tcPr>
            <w:tcW w:w="460" w:type="dxa"/>
            <w:vAlign w:val="bottom"/>
            <w:shd w:val="clear" w:color="auto" w:fill="B2B2B2"/>
          </w:tcPr>
          <w:p>
            <w:pPr>
              <w:spacing w:after="0"/>
              <w:rPr>
                <w:sz w:val="15"/>
                <w:szCs w:val="15"/>
                <w:color w:val="auto"/>
              </w:rPr>
            </w:pPr>
          </w:p>
        </w:tc>
        <w:tc>
          <w:tcPr>
            <w:tcW w:w="1100" w:type="dxa"/>
            <w:vAlign w:val="bottom"/>
            <w:shd w:val="clear" w:color="auto" w:fill="B2B2B2"/>
          </w:tcPr>
          <w:p>
            <w:pPr>
              <w:jc w:val="right"/>
              <w:ind w:right="299"/>
              <w:spacing w:after="0" w:line="183" w:lineRule="exact"/>
              <w:rPr>
                <w:sz w:val="20"/>
                <w:szCs w:val="20"/>
                <w:color w:val="auto"/>
              </w:rPr>
            </w:pPr>
            <w:r>
              <w:rPr>
                <w:rFonts w:ascii="Arial" w:cs="Arial" w:eastAsia="Arial" w:hAnsi="Arial"/>
                <w:sz w:val="16"/>
                <w:szCs w:val="16"/>
                <w:color w:val="auto"/>
              </w:rPr>
              <w:t>698,683</w:t>
            </w:r>
          </w:p>
        </w:tc>
      </w:tr>
      <w:tr>
        <w:trPr>
          <w:trHeight w:val="189"/>
        </w:trPr>
        <w:tc>
          <w:tcPr>
            <w:tcW w:w="788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Noncontrolling interest</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2,600</w:t>
            </w:r>
          </w:p>
        </w:tc>
        <w:tc>
          <w:tcPr>
            <w:tcW w:w="220" w:type="dxa"/>
            <w:vAlign w:val="bottom"/>
            <w:tcBorders>
              <w:bottom w:val="single" w:sz="8" w:color="B2B2B2"/>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4,006</w:t>
            </w:r>
          </w:p>
        </w:tc>
      </w:tr>
      <w:tr>
        <w:trPr>
          <w:trHeight w:val="183"/>
        </w:trPr>
        <w:tc>
          <w:tcPr>
            <w:tcW w:w="7880" w:type="dxa"/>
            <w:vAlign w:val="bottom"/>
            <w:shd w:val="clear" w:color="auto" w:fill="B2B2B2"/>
          </w:tcPr>
          <w:p>
            <w:pPr>
              <w:ind w:left="120"/>
              <w:spacing w:after="0" w:line="183" w:lineRule="exact"/>
              <w:rPr>
                <w:sz w:val="20"/>
                <w:szCs w:val="20"/>
                <w:color w:val="auto"/>
              </w:rPr>
            </w:pPr>
            <w:r>
              <w:rPr>
                <w:rFonts w:ascii="Arial" w:cs="Arial" w:eastAsia="Arial" w:hAnsi="Arial"/>
                <w:sz w:val="16"/>
                <w:szCs w:val="16"/>
                <w:color w:val="auto"/>
              </w:rPr>
              <w:t>Total equity</w:t>
            </w:r>
          </w:p>
        </w:tc>
        <w:tc>
          <w:tcPr>
            <w:tcW w:w="480" w:type="dxa"/>
            <w:vAlign w:val="bottom"/>
            <w:tcBorders>
              <w:bottom w:val="single" w:sz="8" w:color="auto"/>
            </w:tcBorders>
            <w:shd w:val="clear" w:color="auto" w:fill="B2B2B2"/>
          </w:tcPr>
          <w:p>
            <w:pPr>
              <w:spacing w:after="0"/>
              <w:rPr>
                <w:sz w:val="15"/>
                <w:szCs w:val="15"/>
                <w:color w:val="auto"/>
              </w:rPr>
            </w:pPr>
          </w:p>
        </w:tc>
        <w:tc>
          <w:tcPr>
            <w:tcW w:w="1100" w:type="dxa"/>
            <w:vAlign w:val="bottom"/>
            <w:tcBorders>
              <w:bottom w:val="single" w:sz="8" w:color="auto"/>
            </w:tcBorders>
            <w:shd w:val="clear" w:color="auto" w:fill="B2B2B2"/>
          </w:tcPr>
          <w:p>
            <w:pPr>
              <w:jc w:val="right"/>
              <w:ind w:right="319"/>
              <w:spacing w:after="0" w:line="183" w:lineRule="exact"/>
              <w:rPr>
                <w:sz w:val="20"/>
                <w:szCs w:val="20"/>
                <w:color w:val="auto"/>
              </w:rPr>
            </w:pPr>
            <w:r>
              <w:rPr>
                <w:rFonts w:ascii="Arial" w:cs="Arial" w:eastAsia="Arial" w:hAnsi="Arial"/>
                <w:sz w:val="16"/>
                <w:szCs w:val="16"/>
                <w:color w:val="auto"/>
              </w:rPr>
              <w:t>669,561</w:t>
            </w:r>
          </w:p>
        </w:tc>
        <w:tc>
          <w:tcPr>
            <w:tcW w:w="220" w:type="dxa"/>
            <w:vAlign w:val="bottom"/>
            <w:shd w:val="clear" w:color="auto" w:fill="B2B2B2"/>
          </w:tcPr>
          <w:p>
            <w:pPr>
              <w:spacing w:after="0"/>
              <w:rPr>
                <w:sz w:val="15"/>
                <w:szCs w:val="15"/>
                <w:color w:val="auto"/>
              </w:rPr>
            </w:pPr>
          </w:p>
        </w:tc>
        <w:tc>
          <w:tcPr>
            <w:tcW w:w="460" w:type="dxa"/>
            <w:vAlign w:val="bottom"/>
            <w:tcBorders>
              <w:bottom w:val="single" w:sz="8" w:color="auto"/>
            </w:tcBorders>
            <w:shd w:val="clear" w:color="auto" w:fill="B2B2B2"/>
          </w:tcPr>
          <w:p>
            <w:pPr>
              <w:spacing w:after="0"/>
              <w:rPr>
                <w:sz w:val="15"/>
                <w:szCs w:val="15"/>
                <w:color w:val="auto"/>
              </w:rPr>
            </w:pPr>
          </w:p>
        </w:tc>
        <w:tc>
          <w:tcPr>
            <w:tcW w:w="1100" w:type="dxa"/>
            <w:vAlign w:val="bottom"/>
            <w:tcBorders>
              <w:bottom w:val="single" w:sz="8" w:color="auto"/>
            </w:tcBorders>
            <w:shd w:val="clear" w:color="auto" w:fill="B2B2B2"/>
          </w:tcPr>
          <w:p>
            <w:pPr>
              <w:jc w:val="right"/>
              <w:ind w:right="299"/>
              <w:spacing w:after="0" w:line="183" w:lineRule="exact"/>
              <w:rPr>
                <w:sz w:val="20"/>
                <w:szCs w:val="20"/>
                <w:color w:val="auto"/>
              </w:rPr>
            </w:pPr>
            <w:r>
              <w:rPr>
                <w:rFonts w:ascii="Arial" w:cs="Arial" w:eastAsia="Arial" w:hAnsi="Arial"/>
                <w:sz w:val="16"/>
                <w:szCs w:val="16"/>
                <w:color w:val="auto"/>
              </w:rPr>
              <w:t>702,689</w:t>
            </w:r>
          </w:p>
        </w:tc>
      </w:tr>
      <w:tr>
        <w:trPr>
          <w:trHeight w:val="183"/>
        </w:trPr>
        <w:tc>
          <w:tcPr>
            <w:tcW w:w="7880" w:type="dxa"/>
            <w:vAlign w:val="bottom"/>
          </w:tcPr>
          <w:p>
            <w:pPr>
              <w:ind w:left="22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1,483,631</w:t>
            </w:r>
          </w:p>
        </w:tc>
        <w:tc>
          <w:tcPr>
            <w:tcW w:w="220" w:type="dxa"/>
            <w:vAlign w:val="bottom"/>
          </w:tcPr>
          <w:p>
            <w:pPr>
              <w:spacing w:after="0"/>
              <w:rPr>
                <w:sz w:val="15"/>
                <w:szCs w:val="15"/>
                <w:color w:val="auto"/>
              </w:rPr>
            </w:pP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1,474,368</w:t>
            </w:r>
          </w:p>
        </w:tc>
      </w:tr>
      <w:tr>
        <w:trPr>
          <w:trHeight w:val="20"/>
        </w:trPr>
        <w:tc>
          <w:tcPr>
            <w:tcW w:w="7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7880" w:type="dxa"/>
            <w:vAlign w:val="bottom"/>
            <w:tcBorders>
              <w:bottom w:val="single" w:sz="8" w:color="B2B2B2"/>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B2B2B2"/>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r>
      <w:tr>
        <w:trPr>
          <w:trHeight w:val="169"/>
        </w:trPr>
        <w:tc>
          <w:tcPr>
            <w:tcW w:w="7880" w:type="dxa"/>
            <w:vAlign w:val="bottom"/>
            <w:shd w:val="clear" w:color="auto" w:fill="B2B2B2"/>
          </w:tcPr>
          <w:p>
            <w:pPr>
              <w:spacing w:after="0" w:line="169" w:lineRule="exact"/>
              <w:rPr>
                <w:sz w:val="20"/>
                <w:szCs w:val="20"/>
                <w:color w:val="auto"/>
              </w:rPr>
            </w:pPr>
            <w:r>
              <w:rPr>
                <w:rFonts w:ascii="Arial" w:cs="Arial" w:eastAsia="Arial" w:hAnsi="Arial"/>
                <w:sz w:val="16"/>
                <w:szCs w:val="16"/>
                <w:color w:val="auto"/>
              </w:rPr>
              <w:t>OPERATING ACTIVITIES</w:t>
            </w:r>
          </w:p>
        </w:tc>
        <w:tc>
          <w:tcPr>
            <w:tcW w:w="520" w:type="dxa"/>
            <w:vAlign w:val="bottom"/>
            <w:shd w:val="clear" w:color="auto" w:fill="B2B2B2"/>
          </w:tcPr>
          <w:p>
            <w:pPr>
              <w:spacing w:after="0"/>
              <w:rPr>
                <w:sz w:val="14"/>
                <w:szCs w:val="14"/>
                <w:color w:val="auto"/>
              </w:rPr>
            </w:pPr>
          </w:p>
        </w:tc>
        <w:tc>
          <w:tcPr>
            <w:tcW w:w="1060" w:type="dxa"/>
            <w:vAlign w:val="bottom"/>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520" w:type="dxa"/>
            <w:vAlign w:val="bottom"/>
            <w:shd w:val="clear" w:color="auto" w:fill="B2B2B2"/>
          </w:tcPr>
          <w:p>
            <w:pPr>
              <w:spacing w:after="0"/>
              <w:rPr>
                <w:sz w:val="14"/>
                <w:szCs w:val="14"/>
                <w:color w:val="auto"/>
              </w:rPr>
            </w:pPr>
          </w:p>
        </w:tc>
        <w:tc>
          <w:tcPr>
            <w:tcW w:w="1040" w:type="dxa"/>
            <w:vAlign w:val="bottom"/>
            <w:shd w:val="clear" w:color="auto" w:fill="B2B2B2"/>
          </w:tcPr>
          <w:p>
            <w:pPr>
              <w:spacing w:after="0"/>
              <w:rPr>
                <w:sz w:val="14"/>
                <w:szCs w:val="14"/>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Net income</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59"/>
              <w:spacing w:after="0"/>
              <w:rPr>
                <w:sz w:val="20"/>
                <w:szCs w:val="20"/>
                <w:color w:val="auto"/>
              </w:rPr>
            </w:pPr>
            <w:r>
              <w:rPr>
                <w:rFonts w:ascii="Arial" w:cs="Arial" w:eastAsia="Arial" w:hAnsi="Arial"/>
                <w:sz w:val="16"/>
                <w:szCs w:val="16"/>
                <w:color w:val="auto"/>
              </w:rPr>
              <w:t>7,594</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29,408</w:t>
            </w:r>
          </w:p>
        </w:tc>
      </w:tr>
      <w:tr>
        <w:trPr>
          <w:trHeight w:val="189"/>
        </w:trPr>
        <w:tc>
          <w:tcPr>
            <w:tcW w:w="7880" w:type="dxa"/>
            <w:vAlign w:val="bottom"/>
            <w:shd w:val="clear" w:color="auto" w:fill="B2B2B2"/>
          </w:tcPr>
          <w:p>
            <w:pPr>
              <w:spacing w:after="0"/>
              <w:rPr>
                <w:sz w:val="20"/>
                <w:szCs w:val="20"/>
                <w:color w:val="auto"/>
              </w:rPr>
            </w:pPr>
            <w:r>
              <w:rPr>
                <w:rFonts w:ascii="Arial" w:cs="Arial" w:eastAsia="Arial" w:hAnsi="Arial"/>
                <w:sz w:val="16"/>
                <w:szCs w:val="16"/>
                <w:color w:val="auto"/>
              </w:rPr>
              <w:t>Adjustments to reconcile net income to net cash (used in)/provided by operating activities</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spacing w:after="0"/>
              <w:rPr>
                <w:sz w:val="16"/>
                <w:szCs w:val="16"/>
                <w:color w:val="auto"/>
              </w:rPr>
            </w:pP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spacing w:after="0"/>
              <w:rPr>
                <w:sz w:val="16"/>
                <w:szCs w:val="16"/>
                <w:color w:val="auto"/>
              </w:rPr>
            </w:pP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Depreciation</w:t>
            </w:r>
          </w:p>
        </w:tc>
        <w:tc>
          <w:tcPr>
            <w:tcW w:w="52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15,506</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15,642</w:t>
            </w: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Amortization</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jc w:val="right"/>
              <w:ind w:right="379"/>
              <w:spacing w:after="0"/>
              <w:rPr>
                <w:sz w:val="20"/>
                <w:szCs w:val="20"/>
                <w:color w:val="auto"/>
              </w:rPr>
            </w:pPr>
            <w:r>
              <w:rPr>
                <w:rFonts w:ascii="Arial" w:cs="Arial" w:eastAsia="Arial" w:hAnsi="Arial"/>
                <w:sz w:val="16"/>
                <w:szCs w:val="16"/>
                <w:color w:val="auto"/>
              </w:rPr>
              <w:t>2,564</w:t>
            </w: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59"/>
              <w:spacing w:after="0"/>
              <w:rPr>
                <w:sz w:val="20"/>
                <w:szCs w:val="20"/>
                <w:color w:val="auto"/>
              </w:rPr>
            </w:pPr>
            <w:r>
              <w:rPr>
                <w:rFonts w:ascii="Arial" w:cs="Arial" w:eastAsia="Arial" w:hAnsi="Arial"/>
                <w:sz w:val="16"/>
                <w:szCs w:val="16"/>
                <w:color w:val="auto"/>
              </w:rPr>
              <w:t>2,314</w:t>
            </w: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Change in deferred taxes and other liabilities</w:t>
            </w:r>
          </w:p>
        </w:tc>
        <w:tc>
          <w:tcPr>
            <w:tcW w:w="52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5,817</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( 1,065 )</w:t>
            </w: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Provision for write-off of property, plant and equipment</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jc w:val="right"/>
              <w:ind w:right="379"/>
              <w:spacing w:after="0"/>
              <w:rPr>
                <w:sz w:val="20"/>
                <w:szCs w:val="20"/>
                <w:color w:val="auto"/>
              </w:rPr>
            </w:pPr>
            <w:r>
              <w:rPr>
                <w:rFonts w:ascii="Arial" w:cs="Arial" w:eastAsia="Arial" w:hAnsi="Arial"/>
                <w:sz w:val="16"/>
                <w:szCs w:val="16"/>
                <w:color w:val="auto"/>
              </w:rPr>
              <w:t>197</w:t>
            </w: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59"/>
              <w:spacing w:after="0"/>
              <w:rPr>
                <w:sz w:val="20"/>
                <w:szCs w:val="20"/>
                <w:color w:val="auto"/>
              </w:rPr>
            </w:pPr>
            <w:r>
              <w:rPr>
                <w:rFonts w:ascii="Arial" w:cs="Arial" w:eastAsia="Arial" w:hAnsi="Arial"/>
                <w:sz w:val="16"/>
                <w:szCs w:val="16"/>
                <w:color w:val="auto"/>
              </w:rPr>
              <w:t>386</w:t>
            </w: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Non-cash interest expense</w:t>
            </w:r>
          </w:p>
        </w:tc>
        <w:tc>
          <w:tcPr>
            <w:tcW w:w="52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151</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151</w:t>
            </w: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Compensation and benefits paid or payable in Class A Common Stock</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rPr>
              <w:t>(682)</w:t>
            </w: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259"/>
              <w:spacing w:after="0"/>
              <w:rPr>
                <w:sz w:val="20"/>
                <w:szCs w:val="20"/>
                <w:color w:val="auto"/>
              </w:rPr>
            </w:pPr>
            <w:r>
              <w:rPr>
                <w:rFonts w:ascii="Arial" w:cs="Arial" w:eastAsia="Arial" w:hAnsi="Arial"/>
                <w:sz w:val="16"/>
                <w:szCs w:val="16"/>
                <w:color w:val="auto"/>
              </w:rPr>
              <w:t>(547)</w:t>
            </w: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Fair value adjustment on foreign currency option</w:t>
            </w:r>
          </w:p>
        </w:tc>
        <w:tc>
          <w:tcPr>
            <w:tcW w:w="52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Provision for credit losses from uncollected receivables and contract assets</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jc w:val="right"/>
              <w:ind w:right="379"/>
              <w:spacing w:after="0"/>
              <w:rPr>
                <w:sz w:val="20"/>
                <w:szCs w:val="20"/>
                <w:color w:val="auto"/>
              </w:rPr>
            </w:pPr>
            <w:r>
              <w:rPr>
                <w:rFonts w:ascii="Arial" w:cs="Arial" w:eastAsia="Arial" w:hAnsi="Arial"/>
                <w:sz w:val="16"/>
                <w:szCs w:val="16"/>
                <w:color w:val="auto"/>
              </w:rPr>
              <w:t>1,655</w:t>
            </w: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59"/>
              <w:spacing w:after="0"/>
              <w:rPr>
                <w:sz w:val="20"/>
                <w:szCs w:val="20"/>
                <w:color w:val="auto"/>
              </w:rPr>
            </w:pPr>
            <w:r>
              <w:rPr>
                <w:rFonts w:ascii="Arial" w:cs="Arial" w:eastAsia="Arial" w:hAnsi="Arial"/>
                <w:sz w:val="16"/>
                <w:szCs w:val="16"/>
                <w:color w:val="auto"/>
              </w:rPr>
              <w:t>585</w:t>
            </w: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Foreign currency remeasurement loss/(gain) on intercompany loans</w:t>
            </w:r>
          </w:p>
        </w:tc>
        <w:tc>
          <w:tcPr>
            <w:tcW w:w="52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15,387</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( 1,707 )</w:t>
            </w:r>
          </w:p>
        </w:tc>
      </w:tr>
      <w:tr>
        <w:trPr>
          <w:trHeight w:val="189"/>
        </w:trPr>
        <w:tc>
          <w:tcPr>
            <w:tcW w:w="788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spacing w:after="0"/>
              <w:rPr>
                <w:sz w:val="16"/>
                <w:szCs w:val="16"/>
                <w:color w:val="auto"/>
              </w:rPr>
            </w:pP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spacing w:after="0"/>
              <w:rPr>
                <w:sz w:val="16"/>
                <w:szCs w:val="16"/>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Changes in operating assets and liabilities that (used)/provided cash:</w:t>
            </w: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Accounts receivable</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rPr>
              <w:t>( 3,394 )</w:t>
            </w: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259"/>
              <w:spacing w:after="0"/>
              <w:rPr>
                <w:sz w:val="20"/>
                <w:szCs w:val="20"/>
                <w:color w:val="auto"/>
              </w:rPr>
            </w:pPr>
            <w:r>
              <w:rPr>
                <w:rFonts w:ascii="Arial" w:cs="Arial" w:eastAsia="Arial" w:hAnsi="Arial"/>
                <w:sz w:val="16"/>
                <w:szCs w:val="16"/>
                <w:color w:val="auto"/>
                <w:w w:val="99"/>
              </w:rPr>
              <w:t>( 12,209 )</w:t>
            </w: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Contract assets</w:t>
            </w:r>
          </w:p>
        </w:tc>
        <w:tc>
          <w:tcPr>
            <w:tcW w:w="520" w:type="dxa"/>
            <w:vAlign w:val="bottom"/>
          </w:tcPr>
          <w:p>
            <w:pPr>
              <w:spacing w:after="0"/>
              <w:rPr>
                <w:sz w:val="16"/>
                <w:szCs w:val="16"/>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( 8,840 )</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(481)</w:t>
            </w: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Inventories</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w w:val="99"/>
              </w:rPr>
              <w:t>( 19,750 )</w:t>
            </w: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259"/>
              <w:spacing w:after="0"/>
              <w:rPr>
                <w:sz w:val="20"/>
                <w:szCs w:val="20"/>
                <w:color w:val="auto"/>
              </w:rPr>
            </w:pPr>
            <w:r>
              <w:rPr>
                <w:rFonts w:ascii="Arial" w:cs="Arial" w:eastAsia="Arial" w:hAnsi="Arial"/>
                <w:sz w:val="16"/>
                <w:szCs w:val="16"/>
                <w:color w:val="auto"/>
                <w:w w:val="99"/>
              </w:rPr>
              <w:t>( 16,662 )</w:t>
            </w: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520" w:type="dxa"/>
            <w:vAlign w:val="bottom"/>
          </w:tcPr>
          <w:p>
            <w:pPr>
              <w:spacing w:after="0"/>
              <w:rPr>
                <w:sz w:val="16"/>
                <w:szCs w:val="16"/>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( 2,156 )</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( 2,804 )</w:t>
            </w: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Income taxes prepaid and receivable</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rPr>
              <w:t>(237)</w:t>
            </w: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359"/>
              <w:spacing w:after="0"/>
              <w:rPr>
                <w:sz w:val="20"/>
                <w:szCs w:val="20"/>
                <w:color w:val="auto"/>
              </w:rPr>
            </w:pPr>
            <w:r>
              <w:rPr>
                <w:rFonts w:ascii="Arial" w:cs="Arial" w:eastAsia="Arial" w:hAnsi="Arial"/>
                <w:sz w:val="16"/>
                <w:szCs w:val="16"/>
                <w:color w:val="auto"/>
              </w:rPr>
              <w:t>674</w:t>
            </w: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520" w:type="dxa"/>
            <w:vAlign w:val="bottom"/>
          </w:tcPr>
          <w:p>
            <w:pPr>
              <w:spacing w:after="0"/>
              <w:rPr>
                <w:sz w:val="16"/>
                <w:szCs w:val="16"/>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( 1,046 )</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21,750</w:t>
            </w: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Accrued liabilities</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w w:val="99"/>
              </w:rPr>
              <w:t>( 15,072 )</w:t>
            </w: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259"/>
              <w:spacing w:after="0"/>
              <w:rPr>
                <w:sz w:val="20"/>
                <w:szCs w:val="20"/>
                <w:color w:val="auto"/>
              </w:rPr>
            </w:pPr>
            <w:r>
              <w:rPr>
                <w:rFonts w:ascii="Arial" w:cs="Arial" w:eastAsia="Arial" w:hAnsi="Arial"/>
                <w:sz w:val="16"/>
                <w:szCs w:val="16"/>
                <w:color w:val="auto"/>
                <w:w w:val="99"/>
              </w:rPr>
              <w:t>( 11,095 )</w:t>
            </w: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Income taxes payable</w:t>
            </w:r>
          </w:p>
        </w:tc>
        <w:tc>
          <w:tcPr>
            <w:tcW w:w="520" w:type="dxa"/>
            <w:vAlign w:val="bottom"/>
          </w:tcPr>
          <w:p>
            <w:pPr>
              <w:spacing w:after="0"/>
              <w:rPr>
                <w:sz w:val="16"/>
                <w:szCs w:val="16"/>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( 3,571 )</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1,506</w:t>
            </w: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Noncurrent receivables</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rPr>
              <w:t>(231)</w:t>
            </w: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259"/>
              <w:spacing w:after="0"/>
              <w:rPr>
                <w:sz w:val="20"/>
                <w:szCs w:val="20"/>
                <w:color w:val="auto"/>
              </w:rPr>
            </w:pPr>
            <w:r>
              <w:rPr>
                <w:rFonts w:ascii="Arial" w:cs="Arial" w:eastAsia="Arial" w:hAnsi="Arial"/>
                <w:sz w:val="16"/>
                <w:szCs w:val="16"/>
                <w:color w:val="auto"/>
              </w:rPr>
              <w:t>(294)</w:t>
            </w: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Other noncurrent liabilities</w:t>
            </w:r>
          </w:p>
        </w:tc>
        <w:tc>
          <w:tcPr>
            <w:tcW w:w="520" w:type="dxa"/>
            <w:vAlign w:val="bottom"/>
          </w:tcPr>
          <w:p>
            <w:pPr>
              <w:spacing w:after="0"/>
              <w:rPr>
                <w:sz w:val="16"/>
                <w:szCs w:val="16"/>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( 1,679 )</w:t>
            </w: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Other, net</w:t>
            </w:r>
          </w:p>
        </w:tc>
        <w:tc>
          <w:tcPr>
            <w:tcW w:w="520" w:type="dxa"/>
            <w:vAlign w:val="bottom"/>
            <w:tcBorders>
              <w:bottom w:val="single" w:sz="8" w:color="auto"/>
            </w:tcBorders>
            <w:shd w:val="clear" w:color="auto" w:fill="B2B2B2"/>
          </w:tcPr>
          <w:p>
            <w:pPr>
              <w:spacing w:after="0"/>
              <w:rPr>
                <w:sz w:val="16"/>
                <w:szCs w:val="16"/>
                <w:color w:val="auto"/>
              </w:rPr>
            </w:pPr>
          </w:p>
        </w:tc>
        <w:tc>
          <w:tcPr>
            <w:tcW w:w="1060" w:type="dxa"/>
            <w:vAlign w:val="bottom"/>
            <w:tcBorders>
              <w:bottom w:val="single" w:sz="8" w:color="auto"/>
            </w:tcBorders>
            <w:shd w:val="clear" w:color="auto" w:fill="B2B2B2"/>
          </w:tcPr>
          <w:p>
            <w:pPr>
              <w:jc w:val="right"/>
              <w:ind w:right="279"/>
              <w:spacing w:after="0"/>
              <w:rPr>
                <w:sz w:val="20"/>
                <w:szCs w:val="20"/>
                <w:color w:val="auto"/>
              </w:rPr>
            </w:pPr>
            <w:r>
              <w:rPr>
                <w:rFonts w:ascii="Arial" w:cs="Arial" w:eastAsia="Arial" w:hAnsi="Arial"/>
                <w:sz w:val="16"/>
                <w:szCs w:val="16"/>
                <w:color w:val="auto"/>
              </w:rPr>
              <w:t>(534)</w:t>
            </w:r>
          </w:p>
        </w:tc>
        <w:tc>
          <w:tcPr>
            <w:tcW w:w="220" w:type="dxa"/>
            <w:vAlign w:val="bottom"/>
            <w:shd w:val="clear" w:color="auto" w:fill="B2B2B2"/>
          </w:tcPr>
          <w:p>
            <w:pPr>
              <w:spacing w:after="0"/>
              <w:rPr>
                <w:sz w:val="16"/>
                <w:szCs w:val="16"/>
                <w:color w:val="auto"/>
              </w:rPr>
            </w:pPr>
          </w:p>
        </w:tc>
        <w:tc>
          <w:tcPr>
            <w:tcW w:w="520" w:type="dxa"/>
            <w:vAlign w:val="bottom"/>
            <w:tcBorders>
              <w:bottom w:val="single" w:sz="8" w:color="auto"/>
            </w:tcBorders>
            <w:shd w:val="clear" w:color="auto" w:fill="B2B2B2"/>
          </w:tcPr>
          <w:p>
            <w:pPr>
              <w:spacing w:after="0"/>
              <w:rPr>
                <w:sz w:val="16"/>
                <w:szCs w:val="16"/>
                <w:color w:val="auto"/>
              </w:rPr>
            </w:pPr>
          </w:p>
        </w:tc>
        <w:tc>
          <w:tcPr>
            <w:tcW w:w="1040" w:type="dxa"/>
            <w:vAlign w:val="bottom"/>
            <w:tcBorders>
              <w:bottom w:val="single" w:sz="8" w:color="auto"/>
            </w:tcBorders>
            <w:shd w:val="clear" w:color="auto" w:fill="B2B2B2"/>
          </w:tcPr>
          <w:p>
            <w:pPr>
              <w:jc w:val="right"/>
              <w:ind w:right="359"/>
              <w:spacing w:after="0"/>
              <w:rPr>
                <w:sz w:val="20"/>
                <w:szCs w:val="20"/>
                <w:color w:val="auto"/>
              </w:rPr>
            </w:pPr>
            <w:r>
              <w:rPr>
                <w:rFonts w:ascii="Arial" w:cs="Arial" w:eastAsia="Arial" w:hAnsi="Arial"/>
                <w:sz w:val="16"/>
                <w:szCs w:val="16"/>
                <w:color w:val="auto"/>
              </w:rPr>
              <w:t>693</w:t>
            </w:r>
          </w:p>
        </w:tc>
      </w:tr>
      <w:tr>
        <w:trPr>
          <w:trHeight w:val="183"/>
        </w:trPr>
        <w:tc>
          <w:tcPr>
            <w:tcW w:w="7880" w:type="dxa"/>
            <w:vAlign w:val="bottom"/>
            <w:tcBorders>
              <w:bottom w:val="single" w:sz="8" w:color="B2B2B2"/>
            </w:tcBorders>
          </w:tcPr>
          <w:p>
            <w:pPr>
              <w:ind w:left="440"/>
              <w:spacing w:after="0" w:line="183" w:lineRule="exact"/>
              <w:rPr>
                <w:sz w:val="20"/>
                <w:szCs w:val="20"/>
                <w:color w:val="auto"/>
              </w:rPr>
            </w:pPr>
            <w:r>
              <w:rPr>
                <w:rFonts w:ascii="Arial" w:cs="Arial" w:eastAsia="Arial" w:hAnsi="Arial"/>
                <w:sz w:val="16"/>
                <w:szCs w:val="16"/>
                <w:color w:val="auto"/>
              </w:rPr>
              <w:t>Net cash (used in)/provided by operating activities</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( 6,638 )</w:t>
            </w:r>
          </w:p>
        </w:tc>
        <w:tc>
          <w:tcPr>
            <w:tcW w:w="220" w:type="dxa"/>
            <w:vAlign w:val="bottom"/>
            <w:tcBorders>
              <w:bottom w:val="single" w:sz="8" w:color="B2B2B2"/>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24,566</w:t>
            </w:r>
          </w:p>
        </w:tc>
      </w:tr>
      <w:tr>
        <w:trPr>
          <w:trHeight w:val="169"/>
        </w:trPr>
        <w:tc>
          <w:tcPr>
            <w:tcW w:w="7880" w:type="dxa"/>
            <w:vAlign w:val="bottom"/>
            <w:shd w:val="clear" w:color="auto" w:fill="B2B2B2"/>
          </w:tcPr>
          <w:p>
            <w:pPr>
              <w:spacing w:after="0"/>
              <w:rPr>
                <w:sz w:val="14"/>
                <w:szCs w:val="14"/>
                <w:color w:val="auto"/>
              </w:rPr>
            </w:pPr>
          </w:p>
        </w:tc>
        <w:tc>
          <w:tcPr>
            <w:tcW w:w="520" w:type="dxa"/>
            <w:vAlign w:val="bottom"/>
            <w:shd w:val="clear" w:color="auto" w:fill="B2B2B2"/>
          </w:tcPr>
          <w:p>
            <w:pPr>
              <w:spacing w:after="0"/>
              <w:rPr>
                <w:sz w:val="14"/>
                <w:szCs w:val="14"/>
                <w:color w:val="auto"/>
              </w:rPr>
            </w:pPr>
          </w:p>
        </w:tc>
        <w:tc>
          <w:tcPr>
            <w:tcW w:w="1060" w:type="dxa"/>
            <w:vAlign w:val="bottom"/>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520" w:type="dxa"/>
            <w:vAlign w:val="bottom"/>
            <w:shd w:val="clear" w:color="auto" w:fill="B2B2B2"/>
          </w:tcPr>
          <w:p>
            <w:pPr>
              <w:spacing w:after="0"/>
              <w:rPr>
                <w:sz w:val="14"/>
                <w:szCs w:val="14"/>
                <w:color w:val="auto"/>
              </w:rPr>
            </w:pPr>
          </w:p>
        </w:tc>
        <w:tc>
          <w:tcPr>
            <w:tcW w:w="1040" w:type="dxa"/>
            <w:vAlign w:val="bottom"/>
            <w:shd w:val="clear" w:color="auto" w:fill="B2B2B2"/>
          </w:tcPr>
          <w:p>
            <w:pPr>
              <w:spacing w:after="0"/>
              <w:rPr>
                <w:sz w:val="14"/>
                <w:szCs w:val="14"/>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INVESTING ACTIVITIES</w:t>
            </w: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Purchases of property, plant and equipment</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w w:val="99"/>
              </w:rPr>
              <w:t>( 12,759 )</w:t>
            </w: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259"/>
              <w:spacing w:after="0"/>
              <w:rPr>
                <w:sz w:val="20"/>
                <w:szCs w:val="20"/>
                <w:color w:val="auto"/>
              </w:rPr>
            </w:pPr>
            <w:r>
              <w:rPr>
                <w:rFonts w:ascii="Arial" w:cs="Arial" w:eastAsia="Arial" w:hAnsi="Arial"/>
                <w:sz w:val="16"/>
                <w:szCs w:val="16"/>
                <w:color w:val="auto"/>
                <w:w w:val="99"/>
              </w:rPr>
              <w:t>( 20,798 )</w:t>
            </w:r>
          </w:p>
        </w:tc>
      </w:tr>
      <w:tr>
        <w:trPr>
          <w:trHeight w:val="189"/>
        </w:trPr>
        <w:tc>
          <w:tcPr>
            <w:tcW w:w="7880" w:type="dxa"/>
            <w:vAlign w:val="bottom"/>
            <w:tcBorders>
              <w:bottom w:val="single" w:sz="8" w:color="B2B2B2"/>
            </w:tcBorders>
          </w:tcPr>
          <w:p>
            <w:pPr>
              <w:ind w:left="440"/>
              <w:spacing w:after="0"/>
              <w:rPr>
                <w:sz w:val="20"/>
                <w:szCs w:val="20"/>
                <w:color w:val="auto"/>
              </w:rPr>
            </w:pPr>
            <w:r>
              <w:rPr>
                <w:rFonts w:ascii="Arial" w:cs="Arial" w:eastAsia="Arial" w:hAnsi="Arial"/>
                <w:sz w:val="16"/>
                <w:szCs w:val="16"/>
                <w:color w:val="auto"/>
              </w:rPr>
              <w:t>Purchased software</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B2B2B2"/>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(22)</w:t>
            </w:r>
          </w:p>
        </w:tc>
      </w:tr>
      <w:tr>
        <w:trPr>
          <w:trHeight w:val="183"/>
        </w:trPr>
        <w:tc>
          <w:tcPr>
            <w:tcW w:w="7880" w:type="dxa"/>
            <w:vAlign w:val="bottom"/>
            <w:shd w:val="clear" w:color="auto" w:fill="B2B2B2"/>
          </w:tcPr>
          <w:p>
            <w:pPr>
              <w:ind w:left="440"/>
              <w:spacing w:after="0" w:line="183" w:lineRule="exact"/>
              <w:rPr>
                <w:sz w:val="20"/>
                <w:szCs w:val="20"/>
                <w:color w:val="auto"/>
              </w:rPr>
            </w:pPr>
            <w:r>
              <w:rPr>
                <w:rFonts w:ascii="Arial" w:cs="Arial" w:eastAsia="Arial" w:hAnsi="Arial"/>
                <w:sz w:val="16"/>
                <w:szCs w:val="16"/>
                <w:color w:val="auto"/>
              </w:rPr>
              <w:t>Net cash used in investing activities</w:t>
            </w:r>
          </w:p>
        </w:tc>
        <w:tc>
          <w:tcPr>
            <w:tcW w:w="520" w:type="dxa"/>
            <w:vAlign w:val="bottom"/>
            <w:tcBorders>
              <w:bottom w:val="single" w:sz="8" w:color="auto"/>
            </w:tcBorders>
            <w:shd w:val="clear" w:color="auto" w:fill="B2B2B2"/>
          </w:tcPr>
          <w:p>
            <w:pPr>
              <w:spacing w:after="0"/>
              <w:rPr>
                <w:sz w:val="15"/>
                <w:szCs w:val="15"/>
                <w:color w:val="auto"/>
              </w:rPr>
            </w:pPr>
          </w:p>
        </w:tc>
        <w:tc>
          <w:tcPr>
            <w:tcW w:w="1060" w:type="dxa"/>
            <w:vAlign w:val="bottom"/>
            <w:tcBorders>
              <w:bottom w:val="single" w:sz="8" w:color="auto"/>
            </w:tcBorders>
            <w:shd w:val="clear" w:color="auto" w:fill="B2B2B2"/>
          </w:tcPr>
          <w:p>
            <w:pPr>
              <w:jc w:val="right"/>
              <w:ind w:right="279"/>
              <w:spacing w:after="0" w:line="183" w:lineRule="exact"/>
              <w:rPr>
                <w:sz w:val="20"/>
                <w:szCs w:val="20"/>
                <w:color w:val="auto"/>
              </w:rPr>
            </w:pPr>
            <w:r>
              <w:rPr>
                <w:rFonts w:ascii="Arial" w:cs="Arial" w:eastAsia="Arial" w:hAnsi="Arial"/>
                <w:sz w:val="16"/>
                <w:szCs w:val="16"/>
                <w:color w:val="auto"/>
                <w:w w:val="99"/>
              </w:rPr>
              <w:t>( 12,805 )</w:t>
            </w:r>
          </w:p>
        </w:tc>
        <w:tc>
          <w:tcPr>
            <w:tcW w:w="220" w:type="dxa"/>
            <w:vAlign w:val="bottom"/>
            <w:shd w:val="clear" w:color="auto" w:fill="B2B2B2"/>
          </w:tcPr>
          <w:p>
            <w:pPr>
              <w:spacing w:after="0"/>
              <w:rPr>
                <w:sz w:val="15"/>
                <w:szCs w:val="15"/>
                <w:color w:val="auto"/>
              </w:rPr>
            </w:pPr>
          </w:p>
        </w:tc>
        <w:tc>
          <w:tcPr>
            <w:tcW w:w="520" w:type="dxa"/>
            <w:vAlign w:val="bottom"/>
            <w:tcBorders>
              <w:bottom w:val="single" w:sz="8" w:color="auto"/>
            </w:tcBorders>
            <w:shd w:val="clear" w:color="auto" w:fill="B2B2B2"/>
          </w:tcPr>
          <w:p>
            <w:pPr>
              <w:spacing w:after="0"/>
              <w:rPr>
                <w:sz w:val="15"/>
                <w:szCs w:val="15"/>
                <w:color w:val="auto"/>
              </w:rPr>
            </w:pPr>
          </w:p>
        </w:tc>
        <w:tc>
          <w:tcPr>
            <w:tcW w:w="1040" w:type="dxa"/>
            <w:vAlign w:val="bottom"/>
            <w:tcBorders>
              <w:bottom w:val="single" w:sz="8" w:color="auto"/>
            </w:tcBorders>
            <w:shd w:val="clear" w:color="auto" w:fill="B2B2B2"/>
          </w:tcPr>
          <w:p>
            <w:pPr>
              <w:jc w:val="right"/>
              <w:ind w:right="259"/>
              <w:spacing w:after="0" w:line="183" w:lineRule="exact"/>
              <w:rPr>
                <w:sz w:val="20"/>
                <w:szCs w:val="20"/>
                <w:color w:val="auto"/>
              </w:rPr>
            </w:pPr>
            <w:r>
              <w:rPr>
                <w:rFonts w:ascii="Arial" w:cs="Arial" w:eastAsia="Arial" w:hAnsi="Arial"/>
                <w:sz w:val="16"/>
                <w:szCs w:val="16"/>
                <w:color w:val="auto"/>
                <w:w w:val="99"/>
              </w:rPr>
              <w:t>( 20,820 )</w:t>
            </w:r>
          </w:p>
        </w:tc>
      </w:tr>
      <w:tr>
        <w:trPr>
          <w:trHeight w:val="169"/>
        </w:trPr>
        <w:tc>
          <w:tcPr>
            <w:tcW w:w="7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7880" w:type="dxa"/>
            <w:vAlign w:val="bottom"/>
            <w:shd w:val="clear" w:color="auto" w:fill="B2B2B2"/>
          </w:tcPr>
          <w:p>
            <w:pPr>
              <w:spacing w:after="0"/>
              <w:rPr>
                <w:sz w:val="20"/>
                <w:szCs w:val="20"/>
                <w:color w:val="auto"/>
              </w:rPr>
            </w:pPr>
            <w:r>
              <w:rPr>
                <w:rFonts w:ascii="Arial" w:cs="Arial" w:eastAsia="Arial" w:hAnsi="Arial"/>
                <w:sz w:val="16"/>
                <w:szCs w:val="16"/>
                <w:color w:val="auto"/>
              </w:rPr>
              <w:t>FINANCING ACTIVITIES</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spacing w:after="0"/>
              <w:rPr>
                <w:sz w:val="16"/>
                <w:szCs w:val="16"/>
                <w:color w:val="auto"/>
              </w:rPr>
            </w:pP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spacing w:after="0"/>
              <w:rPr>
                <w:sz w:val="16"/>
                <w:szCs w:val="16"/>
                <w:color w:val="auto"/>
              </w:rPr>
            </w:pP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Proceeds from borrowings</w:t>
            </w:r>
          </w:p>
        </w:tc>
        <w:tc>
          <w:tcPr>
            <w:tcW w:w="52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70,000</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20,000</w:t>
            </w: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Principal payments on debt</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rPr>
              <w:t>( 3,006 )</w:t>
            </w: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259"/>
              <w:spacing w:after="0"/>
              <w:rPr>
                <w:sz w:val="20"/>
                <w:szCs w:val="20"/>
                <w:color w:val="auto"/>
              </w:rPr>
            </w:pPr>
            <w:r>
              <w:rPr>
                <w:rFonts w:ascii="Arial" w:cs="Arial" w:eastAsia="Arial" w:hAnsi="Arial"/>
                <w:sz w:val="16"/>
                <w:szCs w:val="16"/>
                <w:color w:val="auto"/>
                <w:w w:val="99"/>
              </w:rPr>
              <w:t>( 28,004 )</w:t>
            </w: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Principal payments on finance lease liabilities</w:t>
            </w:r>
          </w:p>
        </w:tc>
        <w:tc>
          <w:tcPr>
            <w:tcW w:w="520" w:type="dxa"/>
            <w:vAlign w:val="bottom"/>
          </w:tcPr>
          <w:p>
            <w:pPr>
              <w:spacing w:after="0"/>
              <w:rPr>
                <w:sz w:val="16"/>
                <w:szCs w:val="16"/>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( 6,134 )</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(400)</w:t>
            </w: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Taxes paid in lieu of share issuance</w:t>
            </w:r>
          </w:p>
        </w:tc>
        <w:tc>
          <w:tcPr>
            <w:tcW w:w="520" w:type="dxa"/>
            <w:vAlign w:val="bottom"/>
            <w:shd w:val="clear" w:color="auto" w:fill="B2B2B2"/>
          </w:tcPr>
          <w:p>
            <w:pPr>
              <w:spacing w:after="0"/>
              <w:rPr>
                <w:sz w:val="16"/>
                <w:szCs w:val="16"/>
                <w:color w:val="auto"/>
              </w:rPr>
            </w:pPr>
          </w:p>
        </w:tc>
        <w:tc>
          <w:tcPr>
            <w:tcW w:w="106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rPr>
              <w:t>(490)</w:t>
            </w:r>
          </w:p>
        </w:tc>
        <w:tc>
          <w:tcPr>
            <w:tcW w:w="220" w:type="dxa"/>
            <w:vAlign w:val="bottom"/>
            <w:shd w:val="clear" w:color="auto" w:fill="B2B2B2"/>
          </w:tcPr>
          <w:p>
            <w:pPr>
              <w:spacing w:after="0"/>
              <w:rPr>
                <w:sz w:val="16"/>
                <w:szCs w:val="16"/>
                <w:color w:val="auto"/>
              </w:rPr>
            </w:pPr>
          </w:p>
        </w:tc>
        <w:tc>
          <w:tcPr>
            <w:tcW w:w="520" w:type="dxa"/>
            <w:vAlign w:val="bottom"/>
            <w:shd w:val="clear" w:color="auto" w:fill="B2B2B2"/>
          </w:tcPr>
          <w:p>
            <w:pPr>
              <w:spacing w:after="0"/>
              <w:rPr>
                <w:sz w:val="16"/>
                <w:szCs w:val="16"/>
                <w:color w:val="auto"/>
              </w:rPr>
            </w:pPr>
          </w:p>
        </w:tc>
        <w:tc>
          <w:tcPr>
            <w:tcW w:w="1040" w:type="dxa"/>
            <w:vAlign w:val="bottom"/>
            <w:shd w:val="clear" w:color="auto" w:fill="B2B2B2"/>
          </w:tcPr>
          <w:p>
            <w:pPr>
              <w:jc w:val="right"/>
              <w:ind w:right="259"/>
              <w:spacing w:after="0"/>
              <w:rPr>
                <w:sz w:val="20"/>
                <w:szCs w:val="20"/>
                <w:color w:val="auto"/>
              </w:rPr>
            </w:pPr>
            <w:r>
              <w:rPr>
                <w:rFonts w:ascii="Arial" w:cs="Arial" w:eastAsia="Arial" w:hAnsi="Arial"/>
                <w:sz w:val="16"/>
                <w:szCs w:val="16"/>
                <w:color w:val="auto"/>
              </w:rPr>
              <w:t>(971)</w:t>
            </w:r>
          </w:p>
        </w:tc>
      </w:tr>
      <w:tr>
        <w:trPr>
          <w:trHeight w:val="189"/>
        </w:trPr>
        <w:tc>
          <w:tcPr>
            <w:tcW w:w="7880" w:type="dxa"/>
            <w:vAlign w:val="bottom"/>
          </w:tcPr>
          <w:p>
            <w:pPr>
              <w:ind w:left="440"/>
              <w:spacing w:after="0"/>
              <w:rPr>
                <w:sz w:val="20"/>
                <w:szCs w:val="20"/>
                <w:color w:val="auto"/>
              </w:rPr>
            </w:pPr>
            <w:r>
              <w:rPr>
                <w:rFonts w:ascii="Arial" w:cs="Arial" w:eastAsia="Arial" w:hAnsi="Arial"/>
                <w:sz w:val="16"/>
                <w:szCs w:val="16"/>
                <w:color w:val="auto"/>
              </w:rPr>
              <w:t>Proceeds from options exercised</w:t>
            </w:r>
          </w:p>
        </w:tc>
        <w:tc>
          <w:tcPr>
            <w:tcW w:w="52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44</w:t>
            </w:r>
          </w:p>
        </w:tc>
      </w:tr>
      <w:tr>
        <w:trPr>
          <w:trHeight w:val="189"/>
        </w:trPr>
        <w:tc>
          <w:tcPr>
            <w:tcW w:w="7880" w:type="dxa"/>
            <w:vAlign w:val="bottom"/>
            <w:shd w:val="clear" w:color="auto" w:fill="B2B2B2"/>
          </w:tcPr>
          <w:p>
            <w:pPr>
              <w:ind w:left="440"/>
              <w:spacing w:after="0"/>
              <w:rPr>
                <w:sz w:val="20"/>
                <w:szCs w:val="20"/>
                <w:color w:val="auto"/>
              </w:rPr>
            </w:pPr>
            <w:r>
              <w:rPr>
                <w:rFonts w:ascii="Arial" w:cs="Arial" w:eastAsia="Arial" w:hAnsi="Arial"/>
                <w:sz w:val="16"/>
                <w:szCs w:val="16"/>
                <w:color w:val="auto"/>
              </w:rPr>
              <w:t>Dividends paid</w:t>
            </w:r>
          </w:p>
        </w:tc>
        <w:tc>
          <w:tcPr>
            <w:tcW w:w="520" w:type="dxa"/>
            <w:vAlign w:val="bottom"/>
            <w:tcBorders>
              <w:bottom w:val="single" w:sz="8" w:color="auto"/>
            </w:tcBorders>
            <w:shd w:val="clear" w:color="auto" w:fill="B2B2B2"/>
          </w:tcPr>
          <w:p>
            <w:pPr>
              <w:spacing w:after="0"/>
              <w:rPr>
                <w:sz w:val="16"/>
                <w:szCs w:val="16"/>
                <w:color w:val="auto"/>
              </w:rPr>
            </w:pPr>
          </w:p>
        </w:tc>
        <w:tc>
          <w:tcPr>
            <w:tcW w:w="1060" w:type="dxa"/>
            <w:vAlign w:val="bottom"/>
            <w:tcBorders>
              <w:bottom w:val="single" w:sz="8" w:color="auto"/>
            </w:tcBorders>
            <w:shd w:val="clear" w:color="auto" w:fill="B2B2B2"/>
          </w:tcPr>
          <w:p>
            <w:pPr>
              <w:jc w:val="right"/>
              <w:ind w:right="279"/>
              <w:spacing w:after="0"/>
              <w:rPr>
                <w:sz w:val="20"/>
                <w:szCs w:val="20"/>
                <w:color w:val="auto"/>
              </w:rPr>
            </w:pPr>
            <w:r>
              <w:rPr>
                <w:rFonts w:ascii="Arial" w:cs="Arial" w:eastAsia="Arial" w:hAnsi="Arial"/>
                <w:sz w:val="16"/>
                <w:szCs w:val="16"/>
                <w:color w:val="auto"/>
              </w:rPr>
              <w:t>( 6,139 )</w:t>
            </w:r>
          </w:p>
        </w:tc>
        <w:tc>
          <w:tcPr>
            <w:tcW w:w="220" w:type="dxa"/>
            <w:vAlign w:val="bottom"/>
            <w:shd w:val="clear" w:color="auto" w:fill="B2B2B2"/>
          </w:tcPr>
          <w:p>
            <w:pPr>
              <w:spacing w:after="0"/>
              <w:rPr>
                <w:sz w:val="16"/>
                <w:szCs w:val="16"/>
                <w:color w:val="auto"/>
              </w:rPr>
            </w:pPr>
          </w:p>
        </w:tc>
        <w:tc>
          <w:tcPr>
            <w:tcW w:w="520" w:type="dxa"/>
            <w:vAlign w:val="bottom"/>
            <w:tcBorders>
              <w:bottom w:val="single" w:sz="8" w:color="auto"/>
            </w:tcBorders>
            <w:shd w:val="clear" w:color="auto" w:fill="B2B2B2"/>
          </w:tcPr>
          <w:p>
            <w:pPr>
              <w:spacing w:after="0"/>
              <w:rPr>
                <w:sz w:val="16"/>
                <w:szCs w:val="16"/>
                <w:color w:val="auto"/>
              </w:rPr>
            </w:pPr>
          </w:p>
        </w:tc>
        <w:tc>
          <w:tcPr>
            <w:tcW w:w="1040" w:type="dxa"/>
            <w:vAlign w:val="bottom"/>
            <w:tcBorders>
              <w:bottom w:val="single" w:sz="8" w:color="auto"/>
            </w:tcBorders>
            <w:shd w:val="clear" w:color="auto" w:fill="B2B2B2"/>
          </w:tcPr>
          <w:p>
            <w:pPr>
              <w:jc w:val="right"/>
              <w:ind w:right="259"/>
              <w:spacing w:after="0"/>
              <w:rPr>
                <w:sz w:val="20"/>
                <w:szCs w:val="20"/>
                <w:color w:val="auto"/>
              </w:rPr>
            </w:pPr>
            <w:r>
              <w:rPr>
                <w:rFonts w:ascii="Arial" w:cs="Arial" w:eastAsia="Arial" w:hAnsi="Arial"/>
                <w:sz w:val="16"/>
                <w:szCs w:val="16"/>
                <w:color w:val="auto"/>
              </w:rPr>
              <w:t>( 5,808 )</w:t>
            </w:r>
          </w:p>
        </w:tc>
      </w:tr>
      <w:tr>
        <w:trPr>
          <w:trHeight w:val="183"/>
        </w:trPr>
        <w:tc>
          <w:tcPr>
            <w:tcW w:w="7880" w:type="dxa"/>
            <w:vAlign w:val="bottom"/>
            <w:tcBorders>
              <w:bottom w:val="single" w:sz="8" w:color="B2B2B2"/>
            </w:tcBorders>
          </w:tcPr>
          <w:p>
            <w:pPr>
              <w:ind w:left="440"/>
              <w:spacing w:after="0" w:line="183" w:lineRule="exact"/>
              <w:rPr>
                <w:sz w:val="20"/>
                <w:szCs w:val="20"/>
                <w:color w:val="auto"/>
              </w:rPr>
            </w:pPr>
            <w:r>
              <w:rPr>
                <w:rFonts w:ascii="Arial" w:cs="Arial" w:eastAsia="Arial" w:hAnsi="Arial"/>
                <w:sz w:val="16"/>
                <w:szCs w:val="16"/>
                <w:color w:val="auto"/>
              </w:rPr>
              <w:t>Net cash provided by/(used in) financing activities</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54,231</w:t>
            </w:r>
          </w:p>
        </w:tc>
        <w:tc>
          <w:tcPr>
            <w:tcW w:w="220" w:type="dxa"/>
            <w:vAlign w:val="bottom"/>
            <w:tcBorders>
              <w:bottom w:val="single" w:sz="8" w:color="B2B2B2"/>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w w:val="99"/>
              </w:rPr>
              <w:t>( 15,139 )</w:t>
            </w:r>
          </w:p>
        </w:tc>
      </w:tr>
      <w:tr>
        <w:trPr>
          <w:trHeight w:val="169"/>
        </w:trPr>
        <w:tc>
          <w:tcPr>
            <w:tcW w:w="7880" w:type="dxa"/>
            <w:vAlign w:val="bottom"/>
            <w:shd w:val="clear" w:color="auto" w:fill="B2B2B2"/>
          </w:tcPr>
          <w:p>
            <w:pPr>
              <w:spacing w:after="0"/>
              <w:rPr>
                <w:sz w:val="14"/>
                <w:szCs w:val="14"/>
                <w:color w:val="auto"/>
              </w:rPr>
            </w:pPr>
          </w:p>
        </w:tc>
        <w:tc>
          <w:tcPr>
            <w:tcW w:w="520" w:type="dxa"/>
            <w:vAlign w:val="bottom"/>
            <w:shd w:val="clear" w:color="auto" w:fill="B2B2B2"/>
          </w:tcPr>
          <w:p>
            <w:pPr>
              <w:spacing w:after="0"/>
              <w:rPr>
                <w:sz w:val="14"/>
                <w:szCs w:val="14"/>
                <w:color w:val="auto"/>
              </w:rPr>
            </w:pPr>
          </w:p>
        </w:tc>
        <w:tc>
          <w:tcPr>
            <w:tcW w:w="1060" w:type="dxa"/>
            <w:vAlign w:val="bottom"/>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520" w:type="dxa"/>
            <w:vAlign w:val="bottom"/>
            <w:shd w:val="clear" w:color="auto" w:fill="B2B2B2"/>
          </w:tcPr>
          <w:p>
            <w:pPr>
              <w:spacing w:after="0"/>
              <w:rPr>
                <w:sz w:val="14"/>
                <w:szCs w:val="14"/>
                <w:color w:val="auto"/>
              </w:rPr>
            </w:pPr>
          </w:p>
        </w:tc>
        <w:tc>
          <w:tcPr>
            <w:tcW w:w="1040" w:type="dxa"/>
            <w:vAlign w:val="bottom"/>
            <w:shd w:val="clear" w:color="auto" w:fill="B2B2B2"/>
          </w:tcPr>
          <w:p>
            <w:pPr>
              <w:spacing w:after="0"/>
              <w:rPr>
                <w:sz w:val="14"/>
                <w:szCs w:val="14"/>
                <w:color w:val="auto"/>
              </w:rPr>
            </w:pPr>
          </w:p>
        </w:tc>
      </w:tr>
      <w:tr>
        <w:trPr>
          <w:trHeight w:val="189"/>
        </w:trPr>
        <w:tc>
          <w:tcPr>
            <w:tcW w:w="78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( 7,648 )</w:t>
            </w:r>
          </w:p>
        </w:tc>
        <w:tc>
          <w:tcPr>
            <w:tcW w:w="220" w:type="dxa"/>
            <w:vAlign w:val="bottom"/>
            <w:tcBorders>
              <w:bottom w:val="single" w:sz="8" w:color="B2B2B2"/>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1,023</w:t>
            </w:r>
          </w:p>
        </w:tc>
      </w:tr>
      <w:tr>
        <w:trPr>
          <w:trHeight w:val="169"/>
        </w:trPr>
        <w:tc>
          <w:tcPr>
            <w:tcW w:w="7880" w:type="dxa"/>
            <w:vAlign w:val="bottom"/>
            <w:shd w:val="clear" w:color="auto" w:fill="B2B2B2"/>
          </w:tcPr>
          <w:p>
            <w:pPr>
              <w:spacing w:after="0"/>
              <w:rPr>
                <w:sz w:val="14"/>
                <w:szCs w:val="14"/>
                <w:color w:val="auto"/>
              </w:rPr>
            </w:pPr>
          </w:p>
        </w:tc>
        <w:tc>
          <w:tcPr>
            <w:tcW w:w="520" w:type="dxa"/>
            <w:vAlign w:val="bottom"/>
            <w:shd w:val="clear" w:color="auto" w:fill="B2B2B2"/>
          </w:tcPr>
          <w:p>
            <w:pPr>
              <w:spacing w:after="0"/>
              <w:rPr>
                <w:sz w:val="14"/>
                <w:szCs w:val="14"/>
                <w:color w:val="auto"/>
              </w:rPr>
            </w:pPr>
          </w:p>
        </w:tc>
        <w:tc>
          <w:tcPr>
            <w:tcW w:w="1060" w:type="dxa"/>
            <w:vAlign w:val="bottom"/>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520" w:type="dxa"/>
            <w:vAlign w:val="bottom"/>
            <w:shd w:val="clear" w:color="auto" w:fill="B2B2B2"/>
          </w:tcPr>
          <w:p>
            <w:pPr>
              <w:spacing w:after="0"/>
              <w:rPr>
                <w:sz w:val="14"/>
                <w:szCs w:val="14"/>
                <w:color w:val="auto"/>
              </w:rPr>
            </w:pPr>
          </w:p>
        </w:tc>
        <w:tc>
          <w:tcPr>
            <w:tcW w:w="1040" w:type="dxa"/>
            <w:vAlign w:val="bottom"/>
            <w:shd w:val="clear" w:color="auto" w:fill="B2B2B2"/>
          </w:tcPr>
          <w:p>
            <w:pPr>
              <w:spacing w:after="0"/>
              <w:rPr>
                <w:sz w:val="14"/>
                <w:szCs w:val="14"/>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Increase/(decrease) in cash and cash equivalents</w:t>
            </w:r>
          </w:p>
        </w:tc>
        <w:tc>
          <w:tcPr>
            <w:tcW w:w="52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27,140</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color w:val="auto"/>
                <w:w w:val="99"/>
              </w:rPr>
              <w:t>( 10,370 )</w:t>
            </w:r>
          </w:p>
        </w:tc>
      </w:tr>
      <w:tr>
        <w:trPr>
          <w:trHeight w:val="189"/>
        </w:trPr>
        <w:tc>
          <w:tcPr>
            <w:tcW w:w="7880" w:type="dxa"/>
            <w:vAlign w:val="bottom"/>
            <w:shd w:val="clear" w:color="auto" w:fill="B2B2B2"/>
          </w:tcPr>
          <w:p>
            <w:pPr>
              <w:spacing w:after="0"/>
              <w:rPr>
                <w:sz w:val="20"/>
                <w:szCs w:val="20"/>
                <w:color w:val="auto"/>
              </w:rPr>
            </w:pPr>
            <w:r>
              <w:rPr>
                <w:rFonts w:ascii="Arial" w:cs="Arial" w:eastAsia="Arial" w:hAnsi="Arial"/>
                <w:sz w:val="16"/>
                <w:szCs w:val="16"/>
                <w:color w:val="auto"/>
              </w:rPr>
              <w:t>Cash and cash equivalents at beginning of period</w:t>
            </w:r>
          </w:p>
        </w:tc>
        <w:tc>
          <w:tcPr>
            <w:tcW w:w="520" w:type="dxa"/>
            <w:vAlign w:val="bottom"/>
            <w:tcBorders>
              <w:bottom w:val="single" w:sz="8" w:color="auto"/>
            </w:tcBorders>
            <w:shd w:val="clear" w:color="auto" w:fill="B2B2B2"/>
          </w:tcPr>
          <w:p>
            <w:pPr>
              <w:spacing w:after="0"/>
              <w:rPr>
                <w:sz w:val="16"/>
                <w:szCs w:val="16"/>
                <w:color w:val="auto"/>
              </w:rPr>
            </w:pPr>
          </w:p>
        </w:tc>
        <w:tc>
          <w:tcPr>
            <w:tcW w:w="1060" w:type="dxa"/>
            <w:vAlign w:val="bottom"/>
            <w:tcBorders>
              <w:bottom w:val="single" w:sz="8" w:color="auto"/>
            </w:tcBorders>
            <w:shd w:val="clear" w:color="auto" w:fill="B2B2B2"/>
          </w:tcPr>
          <w:p>
            <w:pPr>
              <w:jc w:val="right"/>
              <w:ind w:right="379"/>
              <w:spacing w:after="0"/>
              <w:rPr>
                <w:sz w:val="20"/>
                <w:szCs w:val="20"/>
                <w:color w:val="auto"/>
              </w:rPr>
            </w:pPr>
            <w:r>
              <w:rPr>
                <w:rFonts w:ascii="Arial" w:cs="Arial" w:eastAsia="Arial" w:hAnsi="Arial"/>
                <w:sz w:val="16"/>
                <w:szCs w:val="16"/>
                <w:color w:val="auto"/>
              </w:rPr>
              <w:t>195,540</w:t>
            </w:r>
          </w:p>
        </w:tc>
        <w:tc>
          <w:tcPr>
            <w:tcW w:w="220" w:type="dxa"/>
            <w:vAlign w:val="bottom"/>
            <w:shd w:val="clear" w:color="auto" w:fill="B2B2B2"/>
          </w:tcPr>
          <w:p>
            <w:pPr>
              <w:spacing w:after="0"/>
              <w:rPr>
                <w:sz w:val="16"/>
                <w:szCs w:val="16"/>
                <w:color w:val="auto"/>
              </w:rPr>
            </w:pPr>
          </w:p>
        </w:tc>
        <w:tc>
          <w:tcPr>
            <w:tcW w:w="520" w:type="dxa"/>
            <w:vAlign w:val="bottom"/>
            <w:tcBorders>
              <w:bottom w:val="single" w:sz="8" w:color="auto"/>
            </w:tcBorders>
            <w:shd w:val="clear" w:color="auto" w:fill="B2B2B2"/>
          </w:tcPr>
          <w:p>
            <w:pPr>
              <w:spacing w:after="0"/>
              <w:rPr>
                <w:sz w:val="16"/>
                <w:szCs w:val="16"/>
                <w:color w:val="auto"/>
              </w:rPr>
            </w:pPr>
          </w:p>
        </w:tc>
        <w:tc>
          <w:tcPr>
            <w:tcW w:w="1040" w:type="dxa"/>
            <w:vAlign w:val="bottom"/>
            <w:tcBorders>
              <w:bottom w:val="single" w:sz="8" w:color="auto"/>
            </w:tcBorders>
            <w:shd w:val="clear" w:color="auto" w:fill="B2B2B2"/>
          </w:tcPr>
          <w:p>
            <w:pPr>
              <w:jc w:val="right"/>
              <w:ind w:right="359"/>
              <w:spacing w:after="0"/>
              <w:rPr>
                <w:sz w:val="20"/>
                <w:szCs w:val="20"/>
                <w:color w:val="auto"/>
              </w:rPr>
            </w:pPr>
            <w:r>
              <w:rPr>
                <w:rFonts w:ascii="Arial" w:cs="Arial" w:eastAsia="Arial" w:hAnsi="Arial"/>
                <w:sz w:val="16"/>
                <w:szCs w:val="16"/>
                <w:color w:val="auto"/>
              </w:rPr>
              <w:t>197,755</w:t>
            </w:r>
          </w:p>
        </w:tc>
      </w:tr>
      <w:tr>
        <w:trPr>
          <w:trHeight w:val="183"/>
        </w:trPr>
        <w:tc>
          <w:tcPr>
            <w:tcW w:w="7880" w:type="dxa"/>
            <w:vAlign w:val="bottom"/>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222,680</w:t>
            </w:r>
          </w:p>
        </w:tc>
        <w:tc>
          <w:tcPr>
            <w:tcW w:w="220" w:type="dxa"/>
            <w:vAlign w:val="bottom"/>
          </w:tcPr>
          <w:p>
            <w:pPr>
              <w:spacing w:after="0"/>
              <w:rPr>
                <w:sz w:val="15"/>
                <w:szCs w:val="15"/>
                <w:color w:val="auto"/>
              </w:rPr>
            </w:pP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rPr>
              <w:t>187,385</w:t>
            </w:r>
          </w:p>
        </w:tc>
      </w:tr>
      <w:tr>
        <w:trPr>
          <w:trHeight w:val="20"/>
        </w:trPr>
        <w:tc>
          <w:tcPr>
            <w:tcW w:w="7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2" w:lineRule="exact"/>
        <w:rPr>
          <w:sz w:val="20"/>
          <w:szCs w:val="20"/>
          <w:color w:val="auto"/>
        </w:rPr>
      </w:pPr>
    </w:p>
    <w:p>
      <w:pPr>
        <w:ind w:left="340" w:right="8340" w:hanging="332"/>
        <w:spacing w:after="0" w:line="394" w:lineRule="auto"/>
        <w:tabs>
          <w:tab w:leader="none" w:pos="216"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97"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95"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The information included in this Quarterly Report on Form 10-Q should be read in conjunction with Albany International Corp.’s Annual Report on Form 10-K for the year ended December 31, 2019.</w:t>
      </w:r>
    </w:p>
    <w:p>
      <w:pPr>
        <w:spacing w:after="0" w:line="7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 xml:space="preserve">Effective January 1, 2020, we adopted the provisions of ASC 326, </w:t>
      </w:r>
      <w:r>
        <w:rPr>
          <w:rFonts w:ascii="Arial" w:cs="Arial" w:eastAsia="Arial" w:hAnsi="Arial"/>
          <w:sz w:val="18"/>
          <w:szCs w:val="18"/>
          <w:i w:val="1"/>
          <w:iCs w:val="1"/>
          <w:color w:val="auto"/>
        </w:rPr>
        <w:t>Current Expected Credit Losses (CECL)</w:t>
      </w:r>
      <w:r>
        <w:rPr>
          <w:rFonts w:ascii="Arial" w:cs="Arial" w:eastAsia="Arial" w:hAnsi="Arial"/>
          <w:sz w:val="18"/>
          <w:szCs w:val="18"/>
          <w:color w:val="auto"/>
        </w:rPr>
        <w:t xml:space="preserve"> , using the effective date (or modified retrospective) approach for transition. Under this transition method, periods prior to 2020 were not restated. The pre-tax cumulative effect of initially applying the new standard was an increase in credit loss reserves of $ 1.8 million, primarily for Accounts receivable and Contract assets. Including tax effects, Retained earnings was reduced by $1.4 million as a result of transitioning to the new standard. The effect of the application of CECL during the first quarter of 2020 is further described in Notes 11 and 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8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97"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9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provides highly engineered, advanced composite structures to customers in the commercial and defense aerospace industries. AEC’s largest program relates to CFM International’s LEAP engine. Under this program, AEC through ASC, is the exclusive supplier of advanced composite fan blades and cases under a long-term supply contract. The manufacturing spaces used for the production of parts under the long-term supply agreement are owned by Safran, and leased to the Company at either a market rent or a minimal cost. All lease expense is reimbursable by Safran to the Company due to the cost-plus nature of the supply agreement. In the fourth quarter of 2019, Safran leased manufacturing space from AEC for the GE9X program. Rent paid by Safran under this lease amounted to $ 0.2 million for the first three months of 2020. AEC net sales to Safran were $38.0 million and $56.0 million in the first three months of 2020 and 2019, respectively. The total of Accounts receivable, Contract assets and Noncurrent receivables due from Safran amounted to $112.1 million and $ 114.5 million as of March 31, 2020 and December 31, 2019, respectively. Other significant programs by AEC include the F-35, Boeing 787, Sikorsky CH-53K and JASSM, as well as the fan case for the GE9X engine. In 2019, approximately 25 percent of AEC sales were related to U.S. government contracts or programs.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64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80" w:type="dxa"/>
            <w:vAlign w:val="bottom"/>
            <w:tcBorders>
              <w:top w:val="single" w:sz="8" w:color="auto"/>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48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440" w:type="dxa"/>
            <w:vAlign w:val="bottom"/>
            <w:vMerge w:val="restart"/>
          </w:tcPr>
          <w:p>
            <w:pPr>
              <w:ind w:left="340"/>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136,602</w:t>
            </w: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line="169" w:lineRule="exact"/>
              <w:rPr>
                <w:sz w:val="20"/>
                <w:szCs w:val="20"/>
                <w:color w:val="auto"/>
              </w:rPr>
            </w:pPr>
            <w:r>
              <w:rPr>
                <w:rFonts w:ascii="Arial" w:cs="Arial" w:eastAsia="Arial" w:hAnsi="Arial"/>
                <w:sz w:val="16"/>
                <w:szCs w:val="16"/>
                <w:color w:val="auto"/>
              </w:rPr>
              <w:t>Machine Clothing</w:t>
            </w:r>
          </w:p>
        </w:tc>
        <w:tc>
          <w:tcPr>
            <w:tcW w:w="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260"/>
              <w:spacing w:after="0" w:line="169" w:lineRule="exact"/>
              <w:rPr>
                <w:sz w:val="20"/>
                <w:szCs w:val="20"/>
                <w:color w:val="auto"/>
              </w:rPr>
            </w:pPr>
            <w:r>
              <w:rPr>
                <w:rFonts w:ascii="Arial" w:cs="Arial" w:eastAsia="Arial" w:hAnsi="Arial"/>
                <w:sz w:val="16"/>
                <w:szCs w:val="16"/>
                <w:color w:val="auto"/>
              </w:rPr>
              <w:t>144,334</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Albany Engineered Composites</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99,162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107,039</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Consolidated total</w:t>
            </w:r>
          </w:p>
        </w:tc>
        <w:tc>
          <w:tcPr>
            <w:tcW w:w="440" w:type="dxa"/>
            <w:vAlign w:val="bottom"/>
            <w:tcBorders>
              <w:bottom w:val="single" w:sz="8" w:color="auto"/>
            </w:tcBorders>
          </w:tcPr>
          <w:p>
            <w:pPr>
              <w:ind w:left="340"/>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300"/>
              <w:spacing w:after="0" w:line="183" w:lineRule="exact"/>
              <w:rPr>
                <w:sz w:val="20"/>
                <w:szCs w:val="20"/>
                <w:color w:val="auto"/>
              </w:rPr>
            </w:pPr>
            <w:r>
              <w:rPr>
                <w:rFonts w:ascii="Arial" w:cs="Arial" w:eastAsia="Arial" w:hAnsi="Arial"/>
                <w:sz w:val="16"/>
                <w:szCs w:val="16"/>
                <w:b w:val="1"/>
                <w:bCs w:val="1"/>
                <w:color w:val="auto"/>
              </w:rPr>
              <w:t>235,764</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60"/>
              <w:spacing w:after="0" w:line="183" w:lineRule="exact"/>
              <w:rPr>
                <w:sz w:val="20"/>
                <w:szCs w:val="20"/>
                <w:color w:val="auto"/>
              </w:rPr>
            </w:pPr>
            <w:r>
              <w:rPr>
                <w:rFonts w:ascii="Arial" w:cs="Arial" w:eastAsia="Arial" w:hAnsi="Arial"/>
                <w:sz w:val="16"/>
                <w:szCs w:val="16"/>
                <w:color w:val="auto"/>
              </w:rPr>
              <w:t>251,373</w:t>
            </w: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Arial" w:cs="Arial" w:eastAsia="Arial" w:hAnsi="Arial"/>
                <w:sz w:val="16"/>
                <w:szCs w:val="16"/>
                <w:b w:val="1"/>
                <w:bCs w:val="1"/>
                <w:color w:val="auto"/>
              </w:rPr>
              <w:t>Operating income/(loss)</w:t>
            </w:r>
          </w:p>
        </w:tc>
        <w:tc>
          <w:tcPr>
            <w:tcW w:w="440" w:type="dxa"/>
            <w:vAlign w:val="bottom"/>
            <w:vMerge w:val="restart"/>
          </w:tcPr>
          <w:p>
            <w:pPr>
              <w:ind w:left="340"/>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47,175</w:t>
            </w: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line="169" w:lineRule="exact"/>
              <w:rPr>
                <w:sz w:val="20"/>
                <w:szCs w:val="20"/>
                <w:color w:val="auto"/>
              </w:rPr>
            </w:pPr>
            <w:r>
              <w:rPr>
                <w:rFonts w:ascii="Arial" w:cs="Arial" w:eastAsia="Arial" w:hAnsi="Arial"/>
                <w:sz w:val="16"/>
                <w:szCs w:val="16"/>
                <w:color w:val="auto"/>
              </w:rPr>
              <w:t>Machine Clothing</w:t>
            </w:r>
          </w:p>
        </w:tc>
        <w:tc>
          <w:tcPr>
            <w:tcW w:w="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260"/>
              <w:spacing w:after="0" w:line="169" w:lineRule="exact"/>
              <w:rPr>
                <w:sz w:val="20"/>
                <w:szCs w:val="20"/>
                <w:color w:val="auto"/>
              </w:rPr>
            </w:pPr>
            <w:r>
              <w:rPr>
                <w:rFonts w:ascii="Arial" w:cs="Arial" w:eastAsia="Arial" w:hAnsi="Arial"/>
                <w:sz w:val="16"/>
                <w:szCs w:val="16"/>
                <w:color w:val="auto"/>
              </w:rPr>
              <w:t>44,243</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440" w:type="dxa"/>
            <w:vAlign w:val="bottom"/>
          </w:tcPr>
          <w:p>
            <w:pPr>
              <w:spacing w:after="0"/>
              <w:rPr>
                <w:sz w:val="16"/>
                <w:szCs w:val="16"/>
                <w:color w:val="auto"/>
              </w:rPr>
            </w:pPr>
          </w:p>
        </w:tc>
        <w:tc>
          <w:tcPr>
            <w:tcW w:w="1000" w:type="dxa"/>
            <w:vAlign w:val="bottom"/>
          </w:tcPr>
          <w:p>
            <w:pPr>
              <w:jc w:val="right"/>
              <w:ind w:right="320"/>
              <w:spacing w:after="0"/>
              <w:rPr>
                <w:sz w:val="20"/>
                <w:szCs w:val="20"/>
                <w:color w:val="auto"/>
              </w:rPr>
            </w:pPr>
            <w:r>
              <w:rPr>
                <w:rFonts w:ascii="Arial" w:cs="Arial" w:eastAsia="Arial" w:hAnsi="Arial"/>
                <w:sz w:val="16"/>
                <w:szCs w:val="16"/>
                <w:b w:val="1"/>
                <w:bCs w:val="1"/>
                <w:color w:val="auto"/>
              </w:rPr>
              <w:t>7,623</w:t>
            </w:r>
          </w:p>
        </w:tc>
        <w:tc>
          <w:tcPr>
            <w:tcW w:w="380" w:type="dxa"/>
            <w:vAlign w:val="bottom"/>
          </w:tcPr>
          <w:p>
            <w:pPr>
              <w:spacing w:after="0"/>
              <w:rPr>
                <w:sz w:val="16"/>
                <w:szCs w:val="16"/>
                <w:color w:val="auto"/>
              </w:rPr>
            </w:pPr>
          </w:p>
        </w:tc>
        <w:tc>
          <w:tcPr>
            <w:tcW w:w="960" w:type="dxa"/>
            <w:vAlign w:val="bottom"/>
          </w:tcPr>
          <w:p>
            <w:pPr>
              <w:jc w:val="right"/>
              <w:ind w:right="280"/>
              <w:spacing w:after="0"/>
              <w:rPr>
                <w:sz w:val="20"/>
                <w:szCs w:val="20"/>
                <w:color w:val="auto"/>
              </w:rPr>
            </w:pPr>
            <w:r>
              <w:rPr>
                <w:rFonts w:ascii="Arial" w:cs="Arial" w:eastAsia="Arial" w:hAnsi="Arial"/>
                <w:sz w:val="16"/>
                <w:szCs w:val="16"/>
                <w:color w:val="auto"/>
              </w:rPr>
              <w:t>9,522</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9"/>
              </w:rPr>
              <w:t>( 15,204 )</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99"/>
              </w:rPr>
              <w:t>( 13,672 )</w:t>
            </w: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Arial" w:cs="Arial" w:eastAsia="Arial" w:hAnsi="Arial"/>
                <w:sz w:val="16"/>
                <w:szCs w:val="16"/>
                <w:color w:val="auto"/>
              </w:rPr>
              <w:t>Operating income</w:t>
            </w:r>
          </w:p>
        </w:tc>
        <w:tc>
          <w:tcPr>
            <w:tcW w:w="440" w:type="dxa"/>
            <w:vAlign w:val="bottom"/>
          </w:tcPr>
          <w:p>
            <w:pPr>
              <w:ind w:left="340"/>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300"/>
              <w:spacing w:after="0"/>
              <w:rPr>
                <w:sz w:val="20"/>
                <w:szCs w:val="20"/>
                <w:color w:val="auto"/>
              </w:rPr>
            </w:pPr>
            <w:r>
              <w:rPr>
                <w:rFonts w:ascii="Arial" w:cs="Arial" w:eastAsia="Arial" w:hAnsi="Arial"/>
                <w:sz w:val="16"/>
                <w:szCs w:val="16"/>
                <w:b w:val="1"/>
                <w:bCs w:val="1"/>
                <w:color w:val="auto"/>
              </w:rPr>
              <w:t>39,594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60"/>
              <w:spacing w:after="0"/>
              <w:rPr>
                <w:sz w:val="20"/>
                <w:szCs w:val="20"/>
                <w:color w:val="auto"/>
              </w:rPr>
            </w:pPr>
            <w:r>
              <w:rPr>
                <w:rFonts w:ascii="Arial" w:cs="Arial" w:eastAsia="Arial" w:hAnsi="Arial"/>
                <w:sz w:val="16"/>
                <w:szCs w:val="16"/>
                <w:color w:val="auto"/>
              </w:rPr>
              <w:t>40,093</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Reconciling items:</w:t>
            </w:r>
          </w:p>
        </w:tc>
        <w:tc>
          <w:tcPr>
            <w:tcW w:w="440" w:type="dxa"/>
            <w:vAlign w:val="bottom"/>
          </w:tcPr>
          <w:p>
            <w:pPr>
              <w:spacing w:after="0"/>
              <w:rPr>
                <w:sz w:val="16"/>
                <w:szCs w:val="16"/>
                <w:color w:val="auto"/>
              </w:rPr>
            </w:pPr>
          </w:p>
        </w:tc>
        <w:tc>
          <w:tcPr>
            <w:tcW w:w="100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(447)</w:t>
            </w: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tcPr>
          <w:p>
            <w:pPr>
              <w:ind w:left="100"/>
              <w:spacing w:after="0" w:line="169" w:lineRule="exact"/>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80"/>
              <w:spacing w:after="0" w:line="169" w:lineRule="exact"/>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189"/>
        </w:trPr>
        <w:tc>
          <w:tcPr>
            <w:tcW w:w="6480" w:type="dxa"/>
            <w:vAlign w:val="bottom"/>
          </w:tcPr>
          <w:p>
            <w:pPr>
              <w:ind w:left="100"/>
              <w:spacing w:after="0"/>
              <w:rPr>
                <w:sz w:val="20"/>
                <w:szCs w:val="20"/>
                <w:color w:val="auto"/>
              </w:rPr>
            </w:pPr>
            <w:r>
              <w:rPr>
                <w:rFonts w:ascii="Arial" w:cs="Arial" w:eastAsia="Arial" w:hAnsi="Arial"/>
                <w:sz w:val="16"/>
                <w:szCs w:val="16"/>
                <w:color w:val="auto"/>
              </w:rPr>
              <w:t>Interest expense</w:t>
            </w:r>
          </w:p>
        </w:tc>
        <w:tc>
          <w:tcPr>
            <w:tcW w:w="440" w:type="dxa"/>
            <w:vAlign w:val="bottom"/>
          </w:tcPr>
          <w:p>
            <w:pPr>
              <w:spacing w:after="0"/>
              <w:rPr>
                <w:sz w:val="16"/>
                <w:szCs w:val="16"/>
                <w:color w:val="auto"/>
              </w:rPr>
            </w:pPr>
          </w:p>
        </w:tc>
        <w:tc>
          <w:tcPr>
            <w:tcW w:w="1000" w:type="dxa"/>
            <w:vAlign w:val="bottom"/>
          </w:tcPr>
          <w:p>
            <w:pPr>
              <w:jc w:val="right"/>
              <w:ind w:right="320"/>
              <w:spacing w:after="0"/>
              <w:rPr>
                <w:sz w:val="20"/>
                <w:szCs w:val="20"/>
                <w:color w:val="auto"/>
              </w:rPr>
            </w:pPr>
            <w:r>
              <w:rPr>
                <w:rFonts w:ascii="Arial" w:cs="Arial" w:eastAsia="Arial" w:hAnsi="Arial"/>
                <w:sz w:val="16"/>
                <w:szCs w:val="16"/>
                <w:b w:val="1"/>
                <w:bCs w:val="1"/>
                <w:color w:val="auto"/>
              </w:rPr>
              <w:t>4,424</w:t>
            </w:r>
          </w:p>
        </w:tc>
        <w:tc>
          <w:tcPr>
            <w:tcW w:w="380" w:type="dxa"/>
            <w:vAlign w:val="bottom"/>
          </w:tcPr>
          <w:p>
            <w:pPr>
              <w:spacing w:after="0"/>
              <w:rPr>
                <w:sz w:val="16"/>
                <w:szCs w:val="16"/>
                <w:color w:val="auto"/>
              </w:rPr>
            </w:pPr>
          </w:p>
        </w:tc>
        <w:tc>
          <w:tcPr>
            <w:tcW w:w="960" w:type="dxa"/>
            <w:vAlign w:val="bottom"/>
          </w:tcPr>
          <w:p>
            <w:pPr>
              <w:jc w:val="right"/>
              <w:ind w:right="280"/>
              <w:spacing w:after="0"/>
              <w:rPr>
                <w:sz w:val="20"/>
                <w:szCs w:val="20"/>
                <w:color w:val="auto"/>
              </w:rPr>
            </w:pPr>
            <w:r>
              <w:rPr>
                <w:rFonts w:ascii="Arial" w:cs="Arial" w:eastAsia="Arial" w:hAnsi="Arial"/>
                <w:sz w:val="16"/>
                <w:szCs w:val="16"/>
                <w:color w:val="auto"/>
              </w:rPr>
              <w:t>5,016</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expense/(income), net</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15,569</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( 1,208 )</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Income before income taxes</w:t>
            </w:r>
          </w:p>
        </w:tc>
        <w:tc>
          <w:tcPr>
            <w:tcW w:w="440" w:type="dxa"/>
            <w:vAlign w:val="bottom"/>
            <w:tcBorders>
              <w:bottom w:val="single" w:sz="8" w:color="auto"/>
            </w:tcBorders>
          </w:tcPr>
          <w:p>
            <w:pPr>
              <w:ind w:left="340"/>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300"/>
              <w:spacing w:after="0" w:line="183" w:lineRule="exact"/>
              <w:rPr>
                <w:sz w:val="20"/>
                <w:szCs w:val="20"/>
                <w:color w:val="auto"/>
              </w:rPr>
            </w:pPr>
            <w:r>
              <w:rPr>
                <w:rFonts w:ascii="Arial" w:cs="Arial" w:eastAsia="Arial" w:hAnsi="Arial"/>
                <w:sz w:val="16"/>
                <w:szCs w:val="16"/>
                <w:b w:val="1"/>
                <w:bCs w:val="1"/>
                <w:color w:val="auto"/>
              </w:rPr>
              <w:t>20,048</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60"/>
              <w:spacing w:after="0" w:line="183" w:lineRule="exact"/>
              <w:rPr>
                <w:sz w:val="20"/>
                <w:szCs w:val="20"/>
                <w:color w:val="auto"/>
              </w:rPr>
            </w:pPr>
            <w:r>
              <w:rPr>
                <w:rFonts w:ascii="Arial" w:cs="Arial" w:eastAsia="Arial" w:hAnsi="Arial"/>
                <w:sz w:val="16"/>
                <w:szCs w:val="16"/>
                <w:color w:val="auto"/>
              </w:rPr>
              <w:t>36,884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48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90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64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center"/>
              <w:ind w:left="343"/>
              <w:spacing w:after="0" w:line="155" w:lineRule="exact"/>
              <w:rPr>
                <w:sz w:val="20"/>
                <w:szCs w:val="20"/>
                <w:color w:val="auto"/>
              </w:rPr>
            </w:pPr>
            <w:r>
              <w:rPr>
                <w:rFonts w:ascii="Arial" w:cs="Arial" w:eastAsia="Arial" w:hAnsi="Arial"/>
                <w:sz w:val="14"/>
                <w:szCs w:val="14"/>
                <w:b w:val="1"/>
                <w:bCs w:val="1"/>
                <w:color w:val="auto"/>
              </w:rPr>
              <w:t>2020</w:t>
            </w:r>
          </w:p>
        </w:tc>
        <w:tc>
          <w:tcPr>
            <w:tcW w:w="1800" w:type="dxa"/>
            <w:vAlign w:val="bottom"/>
            <w:tcBorders>
              <w:bottom w:val="single" w:sz="8" w:color="auto"/>
            </w:tcBorders>
          </w:tcPr>
          <w:p>
            <w:pPr>
              <w:jc w:val="center"/>
              <w:ind w:left="323"/>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648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980" w:type="dxa"/>
            <w:vAlign w:val="bottom"/>
          </w:tcPr>
          <w:p>
            <w:pPr>
              <w:jc w:val="center"/>
              <w:ind w:left="343"/>
              <w:spacing w:after="0" w:line="165" w:lineRule="exact"/>
              <w:rPr>
                <w:sz w:val="20"/>
                <w:szCs w:val="20"/>
                <w:color w:val="auto"/>
              </w:rPr>
            </w:pPr>
            <w:r>
              <w:rPr>
                <w:rFonts w:ascii="Arial" w:cs="Arial" w:eastAsia="Arial" w:hAnsi="Arial"/>
                <w:sz w:val="16"/>
                <w:szCs w:val="16"/>
                <w:b w:val="1"/>
                <w:bCs w:val="1"/>
                <w:color w:val="auto"/>
                <w:w w:val="99"/>
              </w:rPr>
              <w:t>$ 642</w:t>
            </w:r>
          </w:p>
        </w:tc>
        <w:tc>
          <w:tcPr>
            <w:tcW w:w="1800" w:type="dxa"/>
            <w:vAlign w:val="bottom"/>
          </w:tcPr>
          <w:p>
            <w:pPr>
              <w:jc w:val="center"/>
              <w:ind w:left="323"/>
              <w:spacing w:after="0" w:line="165" w:lineRule="exact"/>
              <w:rPr>
                <w:sz w:val="20"/>
                <w:szCs w:val="20"/>
                <w:color w:val="auto"/>
              </w:rPr>
            </w:pPr>
            <w:r>
              <w:rPr>
                <w:rFonts w:ascii="Arial" w:cs="Arial" w:eastAsia="Arial" w:hAnsi="Arial"/>
                <w:sz w:val="16"/>
                <w:szCs w:val="16"/>
                <w:color w:val="auto"/>
                <w:w w:val="99"/>
              </w:rPr>
              <w:t>$ 401</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98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1800" w:type="dxa"/>
            <w:vAlign w:val="bottom"/>
          </w:tcPr>
          <w:p>
            <w:pPr>
              <w:jc w:val="right"/>
              <w:ind w:right="443"/>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center"/>
              <w:ind w:left="343"/>
              <w:spacing w:after="0"/>
              <w:rPr>
                <w:sz w:val="20"/>
                <w:szCs w:val="20"/>
                <w:color w:val="auto"/>
              </w:rPr>
            </w:pPr>
            <w:r>
              <w:rPr>
                <w:rFonts w:ascii="Arial" w:cs="Arial" w:eastAsia="Arial" w:hAnsi="Arial"/>
                <w:sz w:val="16"/>
                <w:szCs w:val="16"/>
                <w:b w:val="1"/>
                <w:bCs w:val="1"/>
                <w:color w:val="auto"/>
                <w:w w:val="99"/>
              </w:rPr>
              <w:t>$ 642</w:t>
            </w:r>
          </w:p>
        </w:tc>
        <w:tc>
          <w:tcPr>
            <w:tcW w:w="1800" w:type="dxa"/>
            <w:vAlign w:val="bottom"/>
            <w:tcBorders>
              <w:bottom w:val="single" w:sz="8" w:color="auto"/>
            </w:tcBorders>
          </w:tcPr>
          <w:p>
            <w:pPr>
              <w:jc w:val="center"/>
              <w:ind w:left="323"/>
              <w:spacing w:after="0"/>
              <w:rPr>
                <w:sz w:val="20"/>
                <w:szCs w:val="20"/>
                <w:color w:val="auto"/>
              </w:rPr>
            </w:pPr>
            <w:r>
              <w:rPr>
                <w:rFonts w:ascii="Arial" w:cs="Arial" w:eastAsia="Arial" w:hAnsi="Arial"/>
                <w:sz w:val="16"/>
                <w:szCs w:val="16"/>
                <w:color w:val="auto"/>
                <w:w w:val="99"/>
              </w:rPr>
              <w:t>$ 484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and we account for these contracts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The sum of net adjustments to the estimated profitability of long-term contracts during the first three months increased AEC operating income by $0.9 million and $0.6 million in 2020 and 2019,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Borders>
              <w:top w:val="single" w:sz="8" w:color="auto"/>
            </w:tcBorders>
          </w:tcPr>
          <w:p>
            <w:pPr>
              <w:spacing w:after="0"/>
              <w:rPr>
                <w:sz w:val="15"/>
                <w:szCs w:val="15"/>
                <w:color w:val="auto"/>
              </w:rPr>
            </w:pPr>
          </w:p>
        </w:tc>
        <w:tc>
          <w:tcPr>
            <w:tcW w:w="3800" w:type="dxa"/>
            <w:vAlign w:val="bottom"/>
            <w:tcBorders>
              <w:top w:val="single" w:sz="8" w:color="auto"/>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 March 31, 2020</w:t>
            </w: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9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Point in Time Revenue</w:t>
            </w:r>
          </w:p>
        </w:tc>
        <w:tc>
          <w:tcPr>
            <w:tcW w:w="18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Over Time Revenue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Recognition</w:t>
            </w: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Recognition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72"/>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Machine Clothing</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$ 135,754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848</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$ 136,602</w:t>
            </w:r>
          </w:p>
        </w:tc>
        <w:tc>
          <w:tcPr>
            <w:tcW w:w="0" w:type="dxa"/>
            <w:vAlign w:val="bottom"/>
          </w:tcPr>
          <w:p>
            <w:pPr>
              <w:spacing w:after="0"/>
              <w:rPr>
                <w:sz w:val="1"/>
                <w:szCs w:val="1"/>
                <w:color w:val="auto"/>
              </w:rPr>
            </w:pPr>
          </w:p>
        </w:tc>
      </w:tr>
      <w:tr>
        <w:trPr>
          <w:trHeight w:val="373"/>
        </w:trPr>
        <w:tc>
          <w:tcPr>
            <w:tcW w:w="60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1960" w:type="dxa"/>
            <w:vAlign w:val="bottom"/>
            <w:vMerge w:val="restart"/>
          </w:tcPr>
          <w:p>
            <w:pPr>
              <w:jc w:val="right"/>
              <w:ind w:right="582"/>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24"/>
                <w:szCs w:val="24"/>
                <w:color w:val="auto"/>
              </w:rPr>
            </w:pPr>
          </w:p>
        </w:tc>
        <w:tc>
          <w:tcPr>
            <w:tcW w:w="1160" w:type="dxa"/>
            <w:vAlign w:val="bottom"/>
            <w:vMerge w:val="restart"/>
          </w:tcPr>
          <w:p>
            <w:pPr>
              <w:jc w:val="center"/>
              <w:ind w:right="559"/>
              <w:spacing w:after="0"/>
              <w:rPr>
                <w:sz w:val="20"/>
                <w:szCs w:val="20"/>
                <w:color w:val="auto"/>
              </w:rPr>
            </w:pPr>
            <w:r>
              <w:rPr>
                <w:rFonts w:ascii="Arial" w:cs="Arial" w:eastAsia="Arial" w:hAnsi="Arial"/>
                <w:sz w:val="16"/>
                <w:szCs w:val="16"/>
                <w:b w:val="1"/>
                <w:bCs w:val="1"/>
                <w:color w:val="auto"/>
                <w:w w:val="98"/>
              </w:rPr>
              <w:t>37,894</w:t>
            </w:r>
          </w:p>
        </w:tc>
        <w:tc>
          <w:tcPr>
            <w:tcW w:w="1360" w:type="dxa"/>
            <w:vAlign w:val="bottom"/>
            <w:vMerge w:val="restart"/>
          </w:tcPr>
          <w:p>
            <w:pPr>
              <w:jc w:val="right"/>
              <w:ind w:right="261"/>
              <w:spacing w:after="0"/>
              <w:rPr>
                <w:sz w:val="20"/>
                <w:szCs w:val="20"/>
                <w:color w:val="auto"/>
              </w:rPr>
            </w:pPr>
            <w:r>
              <w:rPr>
                <w:rFonts w:ascii="Arial" w:cs="Arial" w:eastAsia="Arial" w:hAnsi="Arial"/>
                <w:sz w:val="16"/>
                <w:szCs w:val="16"/>
                <w:b w:val="1"/>
                <w:bCs w:val="1"/>
                <w:color w:val="auto"/>
              </w:rPr>
              <w:t>37,894</w:t>
            </w:r>
          </w:p>
        </w:tc>
        <w:tc>
          <w:tcPr>
            <w:tcW w:w="0" w:type="dxa"/>
            <w:vAlign w:val="bottom"/>
          </w:tcPr>
          <w:p>
            <w:pPr>
              <w:spacing w:after="0"/>
              <w:rPr>
                <w:sz w:val="1"/>
                <w:szCs w:val="1"/>
                <w:color w:val="auto"/>
              </w:rPr>
            </w:pPr>
          </w:p>
        </w:tc>
      </w:tr>
      <w:tr>
        <w:trPr>
          <w:trHeight w:val="169"/>
        </w:trPr>
        <w:tc>
          <w:tcPr>
            <w:tcW w:w="6080" w:type="dxa"/>
            <w:vAlign w:val="bottom"/>
          </w:tcPr>
          <w:p>
            <w:pPr>
              <w:spacing w:after="0" w:line="169" w:lineRule="exact"/>
              <w:rPr>
                <w:sz w:val="20"/>
                <w:szCs w:val="20"/>
                <w:color w:val="auto"/>
              </w:rPr>
            </w:pPr>
            <w:r>
              <w:rPr>
                <w:rFonts w:ascii="Arial" w:cs="Arial" w:eastAsia="Arial" w:hAnsi="Arial"/>
                <w:sz w:val="16"/>
                <w:szCs w:val="16"/>
                <w:color w:val="auto"/>
              </w:rPr>
              <w:t>ASC</w:t>
            </w:r>
          </w:p>
        </w:tc>
        <w:tc>
          <w:tcPr>
            <w:tcW w:w="19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AEC</w:t>
            </w:r>
          </w:p>
        </w:tc>
        <w:tc>
          <w:tcPr>
            <w:tcW w:w="196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b w:val="1"/>
                <w:bCs w:val="1"/>
                <w:color w:val="auto"/>
              </w:rPr>
              <w:t>6,320</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59"/>
              <w:spacing w:after="0"/>
              <w:rPr>
                <w:sz w:val="20"/>
                <w:szCs w:val="20"/>
                <w:color w:val="auto"/>
              </w:rPr>
            </w:pPr>
            <w:r>
              <w:rPr>
                <w:rFonts w:ascii="Arial" w:cs="Arial" w:eastAsia="Arial" w:hAnsi="Arial"/>
                <w:sz w:val="16"/>
                <w:szCs w:val="16"/>
                <w:b w:val="1"/>
                <w:bCs w:val="1"/>
                <w:color w:val="auto"/>
                <w:w w:val="98"/>
              </w:rPr>
              <w:t>54,948</w:t>
            </w:r>
          </w:p>
        </w:tc>
        <w:tc>
          <w:tcPr>
            <w:tcW w:w="13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61,268</w:t>
            </w:r>
          </w:p>
        </w:tc>
        <w:tc>
          <w:tcPr>
            <w:tcW w:w="0" w:type="dxa"/>
            <w:vAlign w:val="bottom"/>
          </w:tcPr>
          <w:p>
            <w:pPr>
              <w:spacing w:after="0"/>
              <w:rPr>
                <w:sz w:val="1"/>
                <w:szCs w:val="1"/>
                <w:color w:val="auto"/>
              </w:rPr>
            </w:pPr>
          </w:p>
        </w:tc>
      </w:tr>
      <w:tr>
        <w:trPr>
          <w:trHeight w:val="183"/>
        </w:trPr>
        <w:tc>
          <w:tcPr>
            <w:tcW w:w="60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Albany Engineered Composites</w:t>
            </w:r>
          </w:p>
        </w:tc>
        <w:tc>
          <w:tcPr>
            <w:tcW w:w="1960" w:type="dxa"/>
            <w:vAlign w:val="bottom"/>
            <w:tcBorders>
              <w:bottom w:val="single" w:sz="8" w:color="auto"/>
            </w:tcBorders>
          </w:tcPr>
          <w:p>
            <w:pPr>
              <w:jc w:val="right"/>
              <w:ind w:right="582"/>
              <w:spacing w:after="0" w:line="183" w:lineRule="exact"/>
              <w:rPr>
                <w:sz w:val="20"/>
                <w:szCs w:val="20"/>
                <w:color w:val="auto"/>
              </w:rPr>
            </w:pPr>
            <w:r>
              <w:rPr>
                <w:rFonts w:ascii="Arial" w:cs="Arial" w:eastAsia="Arial" w:hAnsi="Arial"/>
                <w:sz w:val="16"/>
                <w:szCs w:val="16"/>
                <w:b w:val="1"/>
                <w:bCs w:val="1"/>
                <w:color w:val="auto"/>
              </w:rPr>
              <w:t>6,320</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59"/>
              <w:spacing w:after="0" w:line="183" w:lineRule="exact"/>
              <w:rPr>
                <w:sz w:val="20"/>
                <w:szCs w:val="20"/>
                <w:color w:val="auto"/>
              </w:rPr>
            </w:pPr>
            <w:r>
              <w:rPr>
                <w:rFonts w:ascii="Arial" w:cs="Arial" w:eastAsia="Arial" w:hAnsi="Arial"/>
                <w:sz w:val="16"/>
                <w:szCs w:val="16"/>
                <w:b w:val="1"/>
                <w:bCs w:val="1"/>
                <w:color w:val="auto"/>
                <w:w w:val="98"/>
              </w:rPr>
              <w:t>92,842</w:t>
            </w:r>
          </w:p>
        </w:tc>
        <w:tc>
          <w:tcPr>
            <w:tcW w:w="1360" w:type="dxa"/>
            <w:vAlign w:val="bottom"/>
            <w:tcBorders>
              <w:bottom w:val="single" w:sz="8" w:color="auto"/>
            </w:tcBorders>
          </w:tcPr>
          <w:p>
            <w:pPr>
              <w:jc w:val="right"/>
              <w:ind w:right="261"/>
              <w:spacing w:after="0" w:line="183" w:lineRule="exact"/>
              <w:rPr>
                <w:sz w:val="20"/>
                <w:szCs w:val="20"/>
                <w:color w:val="auto"/>
              </w:rPr>
            </w:pPr>
            <w:r>
              <w:rPr>
                <w:rFonts w:ascii="Arial" w:cs="Arial" w:eastAsia="Arial" w:hAnsi="Arial"/>
                <w:sz w:val="16"/>
                <w:szCs w:val="16"/>
                <w:b w:val="1"/>
                <w:bCs w:val="1"/>
                <w:color w:val="auto"/>
              </w:rPr>
              <w:t>99,162</w:t>
            </w:r>
          </w:p>
        </w:tc>
        <w:tc>
          <w:tcPr>
            <w:tcW w:w="0" w:type="dxa"/>
            <w:vAlign w:val="bottom"/>
          </w:tcPr>
          <w:p>
            <w:pPr>
              <w:spacing w:after="0"/>
              <w:rPr>
                <w:sz w:val="1"/>
                <w:szCs w:val="1"/>
                <w:color w:val="auto"/>
              </w:rPr>
            </w:pPr>
          </w:p>
        </w:tc>
      </w:tr>
      <w:tr>
        <w:trPr>
          <w:trHeight w:val="182"/>
        </w:trPr>
        <w:tc>
          <w:tcPr>
            <w:tcW w:w="60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revenue</w:t>
            </w:r>
          </w:p>
        </w:tc>
        <w:tc>
          <w:tcPr>
            <w:tcW w:w="19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$ 142,074</w:t>
            </w:r>
          </w:p>
        </w:tc>
        <w:tc>
          <w:tcPr>
            <w:tcW w:w="1840" w:type="dxa"/>
            <w:vAlign w:val="bottom"/>
            <w:tcBorders>
              <w:bottom w:val="single" w:sz="8" w:color="auto"/>
            </w:tcBorders>
            <w:gridSpan w:val="2"/>
          </w:tcPr>
          <w:p>
            <w:pPr>
              <w:jc w:val="right"/>
              <w:ind w:right="539"/>
              <w:spacing w:after="0" w:line="183" w:lineRule="exact"/>
              <w:rPr>
                <w:sz w:val="20"/>
                <w:szCs w:val="20"/>
                <w:color w:val="auto"/>
              </w:rPr>
            </w:pPr>
            <w:r>
              <w:rPr>
                <w:rFonts w:ascii="Arial" w:cs="Arial" w:eastAsia="Arial" w:hAnsi="Arial"/>
                <w:sz w:val="16"/>
                <w:szCs w:val="16"/>
                <w:b w:val="1"/>
                <w:bCs w:val="1"/>
                <w:color w:val="auto"/>
              </w:rPr>
              <w:t>$ 93,690</w:t>
            </w:r>
          </w:p>
        </w:tc>
        <w:tc>
          <w:tcPr>
            <w:tcW w:w="13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$ 235,764</w:t>
            </w:r>
          </w:p>
        </w:tc>
        <w:tc>
          <w:tcPr>
            <w:tcW w:w="0" w:type="dxa"/>
            <w:vAlign w:val="bottom"/>
          </w:tcPr>
          <w:p>
            <w:pPr>
              <w:spacing w:after="0"/>
              <w:rPr>
                <w:sz w:val="1"/>
                <w:szCs w:val="1"/>
                <w:color w:val="auto"/>
              </w:rPr>
            </w:pPr>
          </w:p>
        </w:tc>
      </w:tr>
      <w:tr>
        <w:trPr>
          <w:trHeight w:val="156"/>
        </w:trPr>
        <w:tc>
          <w:tcPr>
            <w:tcW w:w="608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gridSpan w:val="3"/>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tcPr>
          <w:p>
            <w:pPr>
              <w:spacing w:after="0"/>
              <w:rPr>
                <w:sz w:val="13"/>
                <w:szCs w:val="13"/>
                <w:color w:val="auto"/>
              </w:rPr>
            </w:pPr>
          </w:p>
        </w:tc>
        <w:tc>
          <w:tcPr>
            <w:tcW w:w="3800" w:type="dxa"/>
            <w:vAlign w:val="bottom"/>
            <w:tcBorders>
              <w:bottom w:val="single" w:sz="8" w:color="auto"/>
            </w:tcBorders>
            <w:gridSpan w:val="3"/>
          </w:tcPr>
          <w:p>
            <w:pPr>
              <w:jc w:val="right"/>
              <w:ind w:right="579"/>
              <w:spacing w:after="0" w:line="155" w:lineRule="exact"/>
              <w:rPr>
                <w:sz w:val="20"/>
                <w:szCs w:val="20"/>
                <w:color w:val="auto"/>
              </w:rPr>
            </w:pPr>
            <w:r>
              <w:rPr>
                <w:rFonts w:ascii="Arial" w:cs="Arial" w:eastAsia="Arial" w:hAnsi="Arial"/>
                <w:sz w:val="14"/>
                <w:szCs w:val="14"/>
                <w:b w:val="1"/>
                <w:bCs w:val="1"/>
                <w:color w:val="auto"/>
              </w:rPr>
              <w:t>Three months ended March 31, 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9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Point in Time Revenue</w:t>
            </w:r>
          </w:p>
        </w:tc>
        <w:tc>
          <w:tcPr>
            <w:tcW w:w="18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Over Time Revenue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Recognition</w:t>
            </w: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Recognition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71"/>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Machine Clothing</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$ 143,534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800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$ 144,334</w:t>
            </w:r>
          </w:p>
        </w:tc>
        <w:tc>
          <w:tcPr>
            <w:tcW w:w="0" w:type="dxa"/>
            <w:vAlign w:val="bottom"/>
          </w:tcPr>
          <w:p>
            <w:pPr>
              <w:spacing w:after="0"/>
              <w:rPr>
                <w:sz w:val="1"/>
                <w:szCs w:val="1"/>
                <w:color w:val="auto"/>
              </w:rPr>
            </w:pPr>
          </w:p>
        </w:tc>
      </w:tr>
      <w:tr>
        <w:trPr>
          <w:trHeight w:val="373"/>
        </w:trPr>
        <w:tc>
          <w:tcPr>
            <w:tcW w:w="60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1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80" w:type="dxa"/>
            <w:vAlign w:val="bottom"/>
          </w:tcPr>
          <w:p>
            <w:pPr>
              <w:spacing w:after="0"/>
              <w:rPr>
                <w:sz w:val="20"/>
                <w:szCs w:val="20"/>
                <w:color w:val="auto"/>
              </w:rPr>
            </w:pPr>
            <w:r>
              <w:rPr>
                <w:rFonts w:ascii="Arial" w:cs="Arial" w:eastAsia="Arial" w:hAnsi="Arial"/>
                <w:sz w:val="16"/>
                <w:szCs w:val="16"/>
                <w:color w:val="auto"/>
              </w:rPr>
              <w:t>ASC</w:t>
            </w:r>
          </w:p>
        </w:tc>
        <w:tc>
          <w:tcPr>
            <w:tcW w:w="196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color w:val="auto"/>
              </w:rPr>
              <w:t>55,442</w:t>
            </w:r>
          </w:p>
        </w:tc>
        <w:tc>
          <w:tcPr>
            <w:tcW w:w="1360" w:type="dxa"/>
            <w:vAlign w:val="bottom"/>
          </w:tcPr>
          <w:p>
            <w:pPr>
              <w:jc w:val="right"/>
              <w:ind w:right="261"/>
              <w:spacing w:after="0"/>
              <w:rPr>
                <w:sz w:val="20"/>
                <w:szCs w:val="20"/>
                <w:color w:val="auto"/>
              </w:rPr>
            </w:pPr>
            <w:r>
              <w:rPr>
                <w:rFonts w:ascii="Arial" w:cs="Arial" w:eastAsia="Arial" w:hAnsi="Arial"/>
                <w:sz w:val="16"/>
                <w:szCs w:val="16"/>
                <w:color w:val="auto"/>
              </w:rPr>
              <w:t>55,442</w:t>
            </w:r>
          </w:p>
        </w:tc>
        <w:tc>
          <w:tcPr>
            <w:tcW w:w="0" w:type="dxa"/>
            <w:vAlign w:val="bottom"/>
          </w:tcPr>
          <w:p>
            <w:pPr>
              <w:spacing w:after="0"/>
              <w:rPr>
                <w:sz w:val="1"/>
                <w:szCs w:val="1"/>
                <w:color w:val="auto"/>
              </w:rPr>
            </w:pPr>
          </w:p>
        </w:tc>
      </w:tr>
      <w:tr>
        <w:trPr>
          <w:trHeight w:val="187"/>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AEC</w:t>
            </w:r>
          </w:p>
        </w:tc>
        <w:tc>
          <w:tcPr>
            <w:tcW w:w="196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6,245</w:t>
            </w: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45,352</w:t>
            </w:r>
          </w:p>
        </w:tc>
        <w:tc>
          <w:tcPr>
            <w:tcW w:w="13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51,597</w:t>
            </w:r>
          </w:p>
        </w:tc>
        <w:tc>
          <w:tcPr>
            <w:tcW w:w="0" w:type="dxa"/>
            <w:vAlign w:val="bottom"/>
          </w:tcPr>
          <w:p>
            <w:pPr>
              <w:spacing w:after="0"/>
              <w:rPr>
                <w:sz w:val="1"/>
                <w:szCs w:val="1"/>
                <w:color w:val="auto"/>
              </w:rPr>
            </w:pPr>
          </w:p>
        </w:tc>
      </w:tr>
      <w:tr>
        <w:trPr>
          <w:trHeight w:val="183"/>
        </w:trPr>
        <w:tc>
          <w:tcPr>
            <w:tcW w:w="60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Albany Engineered Composites</w:t>
            </w:r>
          </w:p>
        </w:tc>
        <w:tc>
          <w:tcPr>
            <w:tcW w:w="1960" w:type="dxa"/>
            <w:vAlign w:val="bottom"/>
            <w:tcBorders>
              <w:bottom w:val="single" w:sz="8" w:color="auto"/>
            </w:tcBorders>
          </w:tcPr>
          <w:p>
            <w:pPr>
              <w:jc w:val="right"/>
              <w:ind w:right="582"/>
              <w:spacing w:after="0" w:line="183" w:lineRule="exact"/>
              <w:rPr>
                <w:sz w:val="20"/>
                <w:szCs w:val="20"/>
                <w:color w:val="auto"/>
              </w:rPr>
            </w:pPr>
            <w:r>
              <w:rPr>
                <w:rFonts w:ascii="Arial" w:cs="Arial" w:eastAsia="Arial" w:hAnsi="Arial"/>
                <w:sz w:val="16"/>
                <w:szCs w:val="16"/>
                <w:color w:val="auto"/>
              </w:rPr>
              <w:t>6,245</w:t>
            </w:r>
          </w:p>
        </w:tc>
        <w:tc>
          <w:tcPr>
            <w:tcW w:w="1840" w:type="dxa"/>
            <w:vAlign w:val="bottom"/>
            <w:tcBorders>
              <w:bottom w:val="single" w:sz="8" w:color="auto"/>
            </w:tcBorders>
            <w:gridSpan w:val="2"/>
          </w:tcPr>
          <w:p>
            <w:pPr>
              <w:jc w:val="center"/>
              <w:spacing w:after="0" w:line="183" w:lineRule="exact"/>
              <w:rPr>
                <w:sz w:val="20"/>
                <w:szCs w:val="20"/>
                <w:color w:val="auto"/>
              </w:rPr>
            </w:pPr>
            <w:r>
              <w:rPr>
                <w:rFonts w:ascii="Arial" w:cs="Arial" w:eastAsia="Arial" w:hAnsi="Arial"/>
                <w:sz w:val="16"/>
                <w:szCs w:val="16"/>
                <w:color w:val="auto"/>
              </w:rPr>
              <w:t>100,794</w:t>
            </w:r>
          </w:p>
        </w:tc>
        <w:tc>
          <w:tcPr>
            <w:tcW w:w="1360" w:type="dxa"/>
            <w:vAlign w:val="bottom"/>
            <w:tcBorders>
              <w:bottom w:val="single" w:sz="8" w:color="auto"/>
            </w:tcBorders>
          </w:tcPr>
          <w:p>
            <w:pPr>
              <w:jc w:val="right"/>
              <w:ind w:right="261"/>
              <w:spacing w:after="0" w:line="183" w:lineRule="exact"/>
              <w:rPr>
                <w:sz w:val="20"/>
                <w:szCs w:val="20"/>
                <w:color w:val="auto"/>
              </w:rPr>
            </w:pPr>
            <w:r>
              <w:rPr>
                <w:rFonts w:ascii="Arial" w:cs="Arial" w:eastAsia="Arial" w:hAnsi="Arial"/>
                <w:sz w:val="16"/>
                <w:szCs w:val="16"/>
                <w:color w:val="auto"/>
              </w:rPr>
              <w:t>107,039</w:t>
            </w:r>
          </w:p>
        </w:tc>
        <w:tc>
          <w:tcPr>
            <w:tcW w:w="0" w:type="dxa"/>
            <w:vAlign w:val="bottom"/>
          </w:tcPr>
          <w:p>
            <w:pPr>
              <w:spacing w:after="0"/>
              <w:rPr>
                <w:sz w:val="1"/>
                <w:szCs w:val="1"/>
                <w:color w:val="auto"/>
              </w:rPr>
            </w:pPr>
          </w:p>
        </w:tc>
      </w:tr>
      <w:tr>
        <w:trPr>
          <w:trHeight w:val="183"/>
        </w:trPr>
        <w:tc>
          <w:tcPr>
            <w:tcW w:w="60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revenue</w:t>
            </w:r>
          </w:p>
        </w:tc>
        <w:tc>
          <w:tcPr>
            <w:tcW w:w="19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$ 149,779</w:t>
            </w:r>
          </w:p>
        </w:tc>
        <w:tc>
          <w:tcPr>
            <w:tcW w:w="1840" w:type="dxa"/>
            <w:vAlign w:val="bottom"/>
            <w:tcBorders>
              <w:bottom w:val="single" w:sz="8" w:color="auto"/>
            </w:tcBorders>
            <w:gridSpan w:val="2"/>
          </w:tcPr>
          <w:p>
            <w:pPr>
              <w:jc w:val="right"/>
              <w:ind w:right="499"/>
              <w:spacing w:after="0" w:line="183" w:lineRule="exact"/>
              <w:rPr>
                <w:sz w:val="20"/>
                <w:szCs w:val="20"/>
                <w:color w:val="auto"/>
              </w:rPr>
            </w:pPr>
            <w:r>
              <w:rPr>
                <w:rFonts w:ascii="Arial" w:cs="Arial" w:eastAsia="Arial" w:hAnsi="Arial"/>
                <w:sz w:val="16"/>
                <w:szCs w:val="16"/>
                <w:color w:val="auto"/>
              </w:rPr>
              <w:t>$ 101,594</w:t>
            </w:r>
          </w:p>
        </w:tc>
        <w:tc>
          <w:tcPr>
            <w:tcW w:w="13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$ 251,373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4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3"/>
          </w:tcPr>
          <w:p>
            <w:pPr>
              <w:jc w:val="center"/>
              <w:ind w:right="38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left="52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8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26"/>
        </w:trPr>
        <w:tc>
          <w:tcPr>
            <w:tcW w:w="6480" w:type="dxa"/>
            <w:vAlign w:val="bottom"/>
          </w:tcPr>
          <w:p>
            <w:pPr>
              <w:spacing w:after="0"/>
              <w:rPr>
                <w:sz w:val="20"/>
                <w:szCs w:val="20"/>
                <w:color w:val="auto"/>
              </w:rPr>
            </w:pPr>
            <w:r>
              <w:rPr>
                <w:rFonts w:ascii="Arial" w:cs="Arial" w:eastAsia="Arial" w:hAnsi="Arial"/>
                <w:sz w:val="16"/>
                <w:szCs w:val="16"/>
                <w:color w:val="auto"/>
              </w:rPr>
              <w:t>Americas PMC</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583"/>
              <w:spacing w:after="0"/>
              <w:rPr>
                <w:sz w:val="20"/>
                <w:szCs w:val="20"/>
                <w:color w:val="auto"/>
              </w:rPr>
            </w:pPr>
            <w:r>
              <w:rPr>
                <w:rFonts w:ascii="Arial" w:cs="Arial" w:eastAsia="Arial" w:hAnsi="Arial"/>
                <w:sz w:val="16"/>
                <w:szCs w:val="16"/>
                <w:b w:val="1"/>
                <w:bCs w:val="1"/>
                <w:color w:val="auto"/>
              </w:rPr>
              <w:t>73,677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61"/>
              <w:spacing w:after="0"/>
              <w:rPr>
                <w:sz w:val="20"/>
                <w:szCs w:val="20"/>
                <w:color w:val="auto"/>
              </w:rPr>
            </w:pPr>
            <w:r>
              <w:rPr>
                <w:rFonts w:ascii="Arial" w:cs="Arial" w:eastAsia="Arial" w:hAnsi="Arial"/>
                <w:sz w:val="16"/>
                <w:szCs w:val="16"/>
                <w:color w:val="auto"/>
              </w:rPr>
              <w:t>75,341</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Eurasia PMC</w:t>
            </w:r>
          </w:p>
        </w:tc>
        <w:tc>
          <w:tcPr>
            <w:tcW w:w="460" w:type="dxa"/>
            <w:vAlign w:val="bottom"/>
          </w:tcPr>
          <w:p>
            <w:pPr>
              <w:spacing w:after="0"/>
              <w:rPr>
                <w:sz w:val="16"/>
                <w:szCs w:val="16"/>
                <w:color w:val="auto"/>
              </w:rPr>
            </w:pPr>
          </w:p>
        </w:tc>
        <w:tc>
          <w:tcPr>
            <w:tcW w:w="1260" w:type="dxa"/>
            <w:vAlign w:val="bottom"/>
          </w:tcPr>
          <w:p>
            <w:pPr>
              <w:ind w:left="80"/>
              <w:spacing w:after="0"/>
              <w:rPr>
                <w:sz w:val="20"/>
                <w:szCs w:val="20"/>
                <w:color w:val="auto"/>
              </w:rPr>
            </w:pPr>
            <w:r>
              <w:rPr>
                <w:rFonts w:ascii="Arial" w:cs="Arial" w:eastAsia="Arial" w:hAnsi="Arial"/>
                <w:sz w:val="16"/>
                <w:szCs w:val="16"/>
                <w:b w:val="1"/>
                <w:bCs w:val="1"/>
                <w:color w:val="auto"/>
              </w:rPr>
              <w:t>45,131</w:t>
            </w:r>
          </w:p>
        </w:tc>
        <w:tc>
          <w:tcPr>
            <w:tcW w:w="120" w:type="dxa"/>
            <w:vAlign w:val="bottom"/>
          </w:tcPr>
          <w:p>
            <w:pPr>
              <w:spacing w:after="0"/>
              <w:rPr>
                <w:sz w:val="16"/>
                <w:szCs w:val="16"/>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51,438</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Engineered Fabrics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17,794</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17,555</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Machine Clothing Net sales</w:t>
            </w: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583"/>
              <w:spacing w:after="0" w:line="183" w:lineRule="exact"/>
              <w:rPr>
                <w:sz w:val="20"/>
                <w:szCs w:val="20"/>
                <w:color w:val="auto"/>
              </w:rPr>
            </w:pPr>
            <w:r>
              <w:rPr>
                <w:rFonts w:ascii="Arial" w:cs="Arial" w:eastAsia="Arial" w:hAnsi="Arial"/>
                <w:sz w:val="16"/>
                <w:szCs w:val="16"/>
                <w:b w:val="1"/>
                <w:bCs w:val="1"/>
                <w:color w:val="auto"/>
              </w:rPr>
              <w:t>136,602</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61"/>
              <w:spacing w:after="0" w:line="183" w:lineRule="exact"/>
              <w:rPr>
                <w:sz w:val="20"/>
                <w:szCs w:val="20"/>
                <w:color w:val="auto"/>
              </w:rPr>
            </w:pPr>
            <w:r>
              <w:rPr>
                <w:rFonts w:ascii="Arial" w:cs="Arial" w:eastAsia="Arial" w:hAnsi="Arial"/>
                <w:sz w:val="16"/>
                <w:szCs w:val="16"/>
                <w:color w:val="auto"/>
              </w:rPr>
              <w:t>144,334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accordance with ASC 606, we do not disclose the value of unsatisfied performance obligations for contracts with an original expected duration of one year or less. 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$82 million and $90 million as of March 31, 2020 and 2019, respectively, and related primarily to firm contracts in the AEC segment. Of the remaining performance obligations as of March 31, 2020, we expect to recognize as revenue approximately $48 million during 2020 and the remainder during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Business Acquisition</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On November 20, 2019, the Company acquired CirComp GmbH, a privately-held developer and manufacturer of high-performance composite components located in Kaiserslautern, Germany for $32.4 million. The Company also agreed to pay approximately $5.5 million that will become due as certain post-closing obligations are performed. Expense related to that agreement will be recognized over the five-year performance period. The Company funded the acquisition using a combination of cash on hand and funds drawn on its revolving credit facility. In March 2020, the Company purchased, in cash, the primary operating facility in Germany for $5.8 million, which resulted in the recording of land and building assets, and the removal of the Right of use assets and associated lease liabilities included in the acquisition-date balance sheet</w:t>
      </w:r>
    </w:p>
    <w:p>
      <w:pPr>
        <w:spacing w:after="0" w:line="9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seller provided representations, warranties and indemnities customary for acquisition transactions, including indemnities for certain customer claims identified, before closing. The acquired entity is part of the AEC segment. CirComp specializes in designing and manufacturing customized engineered composite components for aerospace and other demanding industrial applications.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provisional allocation of the purchase price to the fair value of the assets and liabilities acquired:</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5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880" w:type="dxa"/>
            <w:vAlign w:val="bottom"/>
            <w:tcBorders>
              <w:top w:val="single" w:sz="8" w:color="auto"/>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November 20, 2019</w:t>
            </w:r>
          </w:p>
        </w:tc>
      </w:tr>
      <w:tr>
        <w:trPr>
          <w:trHeight w:val="184"/>
        </w:trPr>
        <w:tc>
          <w:tcPr>
            <w:tcW w:w="5380" w:type="dxa"/>
            <w:vAlign w:val="bottom"/>
          </w:tcPr>
          <w:p>
            <w:pPr>
              <w:spacing w:after="0"/>
              <w:rPr>
                <w:sz w:val="20"/>
                <w:szCs w:val="20"/>
                <w:color w:val="auto"/>
              </w:rPr>
            </w:pPr>
            <w:r>
              <w:rPr>
                <w:rFonts w:ascii="Arial" w:cs="Arial" w:eastAsia="Arial" w:hAnsi="Arial"/>
                <w:sz w:val="16"/>
                <w:szCs w:val="16"/>
                <w:b w:val="1"/>
                <w:bCs w:val="1"/>
                <w:color w:val="auto"/>
              </w:rPr>
              <w:t>Assets acquired</w:t>
            </w:r>
          </w:p>
        </w:tc>
        <w:tc>
          <w:tcPr>
            <w:tcW w:w="27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Cash</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39"/>
              <w:spacing w:after="0"/>
              <w:rPr>
                <w:sz w:val="20"/>
                <w:szCs w:val="20"/>
                <w:color w:val="auto"/>
              </w:rPr>
            </w:pPr>
            <w:r>
              <w:rPr>
                <w:rFonts w:ascii="Arial" w:cs="Arial" w:eastAsia="Arial" w:hAnsi="Arial"/>
                <w:sz w:val="16"/>
                <w:szCs w:val="16"/>
                <w:color w:val="auto"/>
              </w:rPr>
              <w:t>1,607</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Accounts receivable</w:t>
            </w:r>
          </w:p>
        </w:tc>
        <w:tc>
          <w:tcPr>
            <w:tcW w:w="2740" w:type="dxa"/>
            <w:vAlign w:val="bottom"/>
          </w:tcPr>
          <w:p>
            <w:pPr>
              <w:spacing w:after="0"/>
              <w:rPr>
                <w:sz w:val="16"/>
                <w:szCs w:val="16"/>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986</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Contract assets</w:t>
            </w:r>
          </w:p>
        </w:tc>
        <w:tc>
          <w:tcPr>
            <w:tcW w:w="2740" w:type="dxa"/>
            <w:vAlign w:val="bottom"/>
          </w:tcPr>
          <w:p>
            <w:pPr>
              <w:spacing w:after="0"/>
              <w:rPr>
                <w:sz w:val="16"/>
                <w:szCs w:val="16"/>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2,269</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Inventories</w:t>
            </w:r>
          </w:p>
        </w:tc>
        <w:tc>
          <w:tcPr>
            <w:tcW w:w="2740" w:type="dxa"/>
            <w:vAlign w:val="bottom"/>
          </w:tcPr>
          <w:p>
            <w:pPr>
              <w:spacing w:after="0"/>
              <w:rPr>
                <w:sz w:val="16"/>
                <w:szCs w:val="16"/>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525</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2740" w:type="dxa"/>
            <w:vAlign w:val="bottom"/>
          </w:tcPr>
          <w:p>
            <w:pPr>
              <w:spacing w:after="0"/>
              <w:rPr>
                <w:sz w:val="16"/>
                <w:szCs w:val="16"/>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452</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Right of use assets</w:t>
            </w:r>
          </w:p>
        </w:tc>
        <w:tc>
          <w:tcPr>
            <w:tcW w:w="2740" w:type="dxa"/>
            <w:vAlign w:val="bottom"/>
          </w:tcPr>
          <w:p>
            <w:pPr>
              <w:spacing w:after="0"/>
              <w:rPr>
                <w:sz w:val="16"/>
                <w:szCs w:val="16"/>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5,686</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2740" w:type="dxa"/>
            <w:vAlign w:val="bottom"/>
          </w:tcPr>
          <w:p>
            <w:pPr>
              <w:spacing w:after="0"/>
              <w:rPr>
                <w:sz w:val="16"/>
                <w:szCs w:val="16"/>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4,884</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Amortizable intangible assets</w:t>
            </w:r>
          </w:p>
        </w:tc>
        <w:tc>
          <w:tcPr>
            <w:tcW w:w="2740" w:type="dxa"/>
            <w:vAlign w:val="bottom"/>
          </w:tcPr>
          <w:p>
            <w:pPr>
              <w:spacing w:after="0"/>
              <w:rPr>
                <w:sz w:val="16"/>
                <w:szCs w:val="16"/>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color w:val="auto"/>
                <w:w w:val="98"/>
              </w:rPr>
              <w:t>10,302</w:t>
            </w:r>
          </w:p>
        </w:tc>
      </w:tr>
      <w:tr>
        <w:trPr>
          <w:trHeight w:val="187"/>
        </w:trPr>
        <w:tc>
          <w:tcPr>
            <w:tcW w:w="5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Goodwill</w:t>
            </w:r>
          </w:p>
        </w:tc>
        <w:tc>
          <w:tcPr>
            <w:tcW w:w="2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98"/>
              </w:rPr>
              <w:t>17,114</w:t>
            </w:r>
          </w:p>
        </w:tc>
      </w:tr>
      <w:tr>
        <w:trPr>
          <w:trHeight w:val="183"/>
        </w:trPr>
        <w:tc>
          <w:tcPr>
            <w:tcW w:w="53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assets acquired</w:t>
            </w:r>
          </w:p>
        </w:tc>
        <w:tc>
          <w:tcPr>
            <w:tcW w:w="2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43,825</w:t>
            </w:r>
          </w:p>
        </w:tc>
      </w:tr>
      <w:tr>
        <w:trPr>
          <w:trHeight w:val="373"/>
        </w:trPr>
        <w:tc>
          <w:tcPr>
            <w:tcW w:w="5380" w:type="dxa"/>
            <w:vAlign w:val="bottom"/>
          </w:tcPr>
          <w:p>
            <w:pPr>
              <w:spacing w:after="0"/>
              <w:rPr>
                <w:sz w:val="20"/>
                <w:szCs w:val="20"/>
                <w:color w:val="auto"/>
              </w:rPr>
            </w:pPr>
            <w:r>
              <w:rPr>
                <w:rFonts w:ascii="Arial" w:cs="Arial" w:eastAsia="Arial" w:hAnsi="Arial"/>
                <w:sz w:val="16"/>
                <w:szCs w:val="16"/>
                <w:b w:val="1"/>
                <w:bCs w:val="1"/>
                <w:color w:val="auto"/>
              </w:rPr>
              <w:t>Liabilities assumed</w:t>
            </w:r>
          </w:p>
        </w:tc>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Accounts payable</w:t>
            </w:r>
          </w:p>
        </w:tc>
        <w:tc>
          <w:tcPr>
            <w:tcW w:w="27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39"/>
              <w:spacing w:after="0"/>
              <w:rPr>
                <w:sz w:val="20"/>
                <w:szCs w:val="20"/>
                <w:color w:val="auto"/>
              </w:rPr>
            </w:pPr>
            <w:r>
              <w:rPr>
                <w:rFonts w:ascii="Arial" w:cs="Arial" w:eastAsia="Arial" w:hAnsi="Arial"/>
                <w:sz w:val="16"/>
                <w:szCs w:val="16"/>
                <w:color w:val="auto"/>
              </w:rPr>
              <w:t>65</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Accrued liabilities</w:t>
            </w:r>
          </w:p>
        </w:tc>
        <w:tc>
          <w:tcPr>
            <w:tcW w:w="2740" w:type="dxa"/>
            <w:vAlign w:val="bottom"/>
          </w:tcPr>
          <w:p>
            <w:pPr>
              <w:spacing w:after="0"/>
              <w:rPr>
                <w:sz w:val="16"/>
                <w:szCs w:val="16"/>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2,249</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Lease liabilities</w:t>
            </w:r>
          </w:p>
        </w:tc>
        <w:tc>
          <w:tcPr>
            <w:tcW w:w="2740" w:type="dxa"/>
            <w:vAlign w:val="bottom"/>
          </w:tcPr>
          <w:p>
            <w:pPr>
              <w:spacing w:after="0"/>
              <w:rPr>
                <w:sz w:val="16"/>
                <w:szCs w:val="16"/>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502</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Deferred income taxes</w:t>
            </w:r>
          </w:p>
        </w:tc>
        <w:tc>
          <w:tcPr>
            <w:tcW w:w="2740" w:type="dxa"/>
            <w:vAlign w:val="bottom"/>
          </w:tcPr>
          <w:p>
            <w:pPr>
              <w:spacing w:after="0"/>
              <w:rPr>
                <w:sz w:val="16"/>
                <w:szCs w:val="16"/>
                <w:color w:val="auto"/>
              </w:rPr>
            </w:pP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3,425</w:t>
            </w:r>
          </w:p>
        </w:tc>
      </w:tr>
      <w:tr>
        <w:trPr>
          <w:trHeight w:val="187"/>
        </w:trPr>
        <w:tc>
          <w:tcPr>
            <w:tcW w:w="5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noncurrent liabilities</w:t>
            </w:r>
          </w:p>
        </w:tc>
        <w:tc>
          <w:tcPr>
            <w:tcW w:w="2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5,184</w:t>
            </w:r>
          </w:p>
        </w:tc>
      </w:tr>
      <w:tr>
        <w:trPr>
          <w:trHeight w:val="183"/>
        </w:trPr>
        <w:tc>
          <w:tcPr>
            <w:tcW w:w="53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liabilities assumed</w:t>
            </w:r>
          </w:p>
        </w:tc>
        <w:tc>
          <w:tcPr>
            <w:tcW w:w="2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11,425</w:t>
            </w:r>
          </w:p>
        </w:tc>
      </w:tr>
      <w:tr>
        <w:trPr>
          <w:trHeight w:val="183"/>
        </w:trPr>
        <w:tc>
          <w:tcPr>
            <w:tcW w:w="538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3"/>
        </w:trPr>
        <w:tc>
          <w:tcPr>
            <w:tcW w:w="53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assets acquired</w:t>
            </w:r>
          </w:p>
        </w:tc>
        <w:tc>
          <w:tcPr>
            <w:tcW w:w="2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32,400</w:t>
            </w:r>
          </w:p>
        </w:tc>
      </w:tr>
      <w:tr>
        <w:trPr>
          <w:trHeight w:val="183"/>
        </w:trPr>
        <w:tc>
          <w:tcPr>
            <w:tcW w:w="53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Purchase of business, net of cash acquired</w:t>
            </w:r>
          </w:p>
        </w:tc>
        <w:tc>
          <w:tcPr>
            <w:tcW w:w="2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30,793</w:t>
            </w:r>
          </w:p>
        </w:tc>
      </w:tr>
    </w:tbl>
    <w:p>
      <w:pPr>
        <w:spacing w:after="0" w:line="18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 is continuing to perform procedures to verify the value of assets and liabilities acquired, particularly Contract assets and, accordingly, adjustments to the values in the above table may be required in future periods. In the course of performing its ongoing opening balance sheet procedures during the first quarter of 2020, management identified adjustments to the provisional value of assets and liabilities acquired reported in the Form 10-K for the year ended December 31, 2019, which resulted in an increase to Amortizable intangible assets of $0.3 million, an increase to Deferred income tax liabilities of $0.1 million, and a reduction to Goodwill of $0.2 million.</w:t>
      </w:r>
    </w:p>
    <w:p>
      <w:pPr>
        <w:spacing w:after="0" w:line="9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Acquired Goodwill of $17.1 million reflects the Company’s belief that the acquisition complements and expands Albany’s portfolio of proprietary, advanced manufacturing technologies for composite components, increases the Company’s position as a leading innovator in advanced materials processing and automation, and opens a geographic footprint in Europe to better serve our global customer base. The acquisition significantly increases the Company’s opportunities for future growth. The goodwill is non-deductible for tax purposes.</w:t>
      </w:r>
    </w:p>
    <w:p>
      <w:pPr>
        <w:spacing w:after="0" w:line="75" w:lineRule="exact"/>
        <w:rPr>
          <w:sz w:val="20"/>
          <w:szCs w:val="20"/>
          <w:color w:val="auto"/>
        </w:rPr>
      </w:pPr>
    </w:p>
    <w:p>
      <w:pPr>
        <w:ind w:right="6820" w:firstLine="8"/>
        <w:spacing w:after="0" w:line="372" w:lineRule="auto"/>
        <w:tabs>
          <w:tab w:leader="none" w:pos="2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Pensions and Other Postretirement Benefit Plans </w:t>
      </w:r>
      <w:r>
        <w:rPr>
          <w:rFonts w:ascii="Arial" w:cs="Arial" w:eastAsia="Arial" w:hAnsi="Arial"/>
          <w:sz w:val="18"/>
          <w:szCs w:val="18"/>
          <w:i w:val="1"/>
          <w:iCs w:val="1"/>
          <w:color w:val="auto"/>
        </w:rPr>
        <w:t>Pension Plans</w:t>
      </w:r>
    </w:p>
    <w:p>
      <w:pPr>
        <w:spacing w:after="0" w:line="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benefits accrued under this plan have been frozen since February 2009.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2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Company also provides certain postretirement benefits to retired employees in the U.S. and Canada. The Company accrues the cost of providing postretirement benefits during the active service period of the employees. The Company currently funds the plans as claims are paid.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net periodic benefit cost for the three months ended March 31, 2020 and 2019,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60" w:type="dxa"/>
            <w:vAlign w:val="bottom"/>
            <w:tcBorders>
              <w:top w:val="single" w:sz="8" w:color="auto"/>
              <w:bottom w:val="single" w:sz="8" w:color="auto"/>
            </w:tcBorders>
          </w:tcPr>
          <w:p>
            <w:pPr>
              <w:spacing w:after="0"/>
              <w:rPr>
                <w:sz w:val="15"/>
                <w:szCs w:val="15"/>
                <w:color w:val="auto"/>
              </w:rPr>
            </w:pPr>
          </w:p>
        </w:tc>
        <w:tc>
          <w:tcPr>
            <w:tcW w:w="2680" w:type="dxa"/>
            <w:vAlign w:val="bottom"/>
            <w:tcBorders>
              <w:top w:val="single" w:sz="8" w:color="auto"/>
              <w:bottom w:val="single" w:sz="8" w:color="auto"/>
            </w:tcBorders>
            <w:gridSpan w:val="4"/>
          </w:tcPr>
          <w:p>
            <w:pPr>
              <w:jc w:val="right"/>
              <w:ind w:right="26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55"/>
        </w:trPr>
        <w:tc>
          <w:tcPr>
            <w:tcW w:w="586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41"/>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5860" w:type="dxa"/>
            <w:vAlign w:val="bottom"/>
          </w:tcPr>
          <w:p>
            <w:pPr>
              <w:spacing w:after="0"/>
              <w:rPr>
                <w:sz w:val="20"/>
                <w:szCs w:val="20"/>
                <w:color w:val="auto"/>
              </w:rPr>
            </w:pPr>
            <w:r>
              <w:rPr>
                <w:rFonts w:ascii="Arial" w:cs="Arial" w:eastAsia="Arial" w:hAnsi="Arial"/>
                <w:sz w:val="16"/>
                <w:szCs w:val="16"/>
                <w:color w:val="auto"/>
              </w:rPr>
              <w:t>Components of net periodic benefit cost:</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580</w:t>
            </w: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50</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60" w:type="dxa"/>
            <w:vAlign w:val="bottom"/>
          </w:tcPr>
          <w:p>
            <w:pPr>
              <w:spacing w:after="0" w:line="169" w:lineRule="exact"/>
              <w:rPr>
                <w:sz w:val="20"/>
                <w:szCs w:val="20"/>
                <w:color w:val="auto"/>
              </w:rPr>
            </w:pPr>
            <w:r>
              <w:rPr>
                <w:rFonts w:ascii="Arial" w:cs="Arial" w:eastAsia="Arial" w:hAnsi="Arial"/>
                <w:sz w:val="16"/>
                <w:szCs w:val="16"/>
                <w:color w:val="auto"/>
              </w:rPr>
              <w:t>Service cost</w:t>
            </w:r>
          </w:p>
        </w:tc>
        <w:tc>
          <w:tcPr>
            <w:tcW w:w="4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301"/>
              <w:spacing w:after="0" w:line="169" w:lineRule="exact"/>
              <w:rPr>
                <w:sz w:val="20"/>
                <w:szCs w:val="20"/>
                <w:color w:val="auto"/>
              </w:rPr>
            </w:pPr>
            <w:r>
              <w:rPr>
                <w:rFonts w:ascii="Arial" w:cs="Arial" w:eastAsia="Arial" w:hAnsi="Arial"/>
                <w:sz w:val="16"/>
                <w:szCs w:val="16"/>
                <w:color w:val="auto"/>
              </w:rPr>
              <w:t>632</w:t>
            </w:r>
          </w:p>
        </w:tc>
        <w:tc>
          <w:tcPr>
            <w:tcW w:w="4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301"/>
              <w:spacing w:after="0" w:line="169"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Arial" w:cs="Arial" w:eastAsia="Arial" w:hAnsi="Arial"/>
                <w:sz w:val="16"/>
                <w:szCs w:val="16"/>
                <w:b w:val="1"/>
                <w:bCs w:val="1"/>
                <w:color w:val="auto"/>
              </w:rPr>
              <w:t>1,550</w:t>
            </w:r>
          </w:p>
        </w:tc>
        <w:tc>
          <w:tcPr>
            <w:tcW w:w="46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Arial" w:cs="Arial" w:eastAsia="Arial" w:hAnsi="Arial"/>
                <w:sz w:val="16"/>
                <w:szCs w:val="16"/>
                <w:color w:val="auto"/>
              </w:rPr>
              <w:t>1,794</w:t>
            </w:r>
          </w:p>
        </w:tc>
        <w:tc>
          <w:tcPr>
            <w:tcW w:w="48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Arial" w:cs="Arial" w:eastAsia="Arial" w:hAnsi="Arial"/>
                <w:sz w:val="16"/>
                <w:szCs w:val="16"/>
                <w:b w:val="1"/>
                <w:bCs w:val="1"/>
                <w:color w:val="auto"/>
              </w:rPr>
              <w:t>428</w:t>
            </w:r>
          </w:p>
        </w:tc>
        <w:tc>
          <w:tcPr>
            <w:tcW w:w="4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380" w:type="dxa"/>
            <w:vAlign w:val="bottom"/>
            <w:gridSpan w:val="2"/>
          </w:tcPr>
          <w:p>
            <w:pPr>
              <w:jc w:val="right"/>
              <w:ind w:right="262"/>
              <w:spacing w:after="0"/>
              <w:rPr>
                <w:sz w:val="20"/>
                <w:szCs w:val="20"/>
                <w:color w:val="auto"/>
              </w:rPr>
            </w:pPr>
            <w:r>
              <w:rPr>
                <w:rFonts w:ascii="Arial" w:cs="Arial" w:eastAsia="Arial" w:hAnsi="Arial"/>
                <w:sz w:val="16"/>
                <w:szCs w:val="16"/>
                <w:b w:val="1"/>
                <w:bCs w:val="1"/>
                <w:color w:val="auto"/>
              </w:rPr>
              <w:t>( 1,723 )</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( 2,057 )</w:t>
            </w:r>
          </w:p>
        </w:tc>
        <w:tc>
          <w:tcPr>
            <w:tcW w:w="48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Amortization of prior service cost/(credit)</w:t>
            </w:r>
          </w:p>
        </w:tc>
        <w:tc>
          <w:tcPr>
            <w:tcW w:w="48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Arial" w:cs="Arial" w:eastAsia="Arial" w:hAnsi="Arial"/>
                <w:sz w:val="16"/>
                <w:szCs w:val="16"/>
                <w:b w:val="1"/>
                <w:bCs w:val="1"/>
                <w:color w:val="auto"/>
              </w:rPr>
              <w:t>8</w:t>
            </w:r>
          </w:p>
        </w:tc>
        <w:tc>
          <w:tcPr>
            <w:tcW w:w="460" w:type="dxa"/>
            <w:vAlign w:val="bottom"/>
          </w:tcPr>
          <w:p>
            <w:pPr>
              <w:spacing w:after="0"/>
              <w:rPr>
                <w:sz w:val="16"/>
                <w:szCs w:val="16"/>
                <w:color w:val="auto"/>
              </w:rPr>
            </w:pPr>
          </w:p>
        </w:tc>
        <w:tc>
          <w:tcPr>
            <w:tcW w:w="860" w:type="dxa"/>
            <w:vAlign w:val="bottom"/>
          </w:tcPr>
          <w:p>
            <w:pPr>
              <w:jc w:val="right"/>
              <w:ind w:right="321"/>
              <w:spacing w:after="0"/>
              <w:rPr>
                <w:sz w:val="20"/>
                <w:szCs w:val="20"/>
                <w:color w:val="auto"/>
              </w:rPr>
            </w:pPr>
            <w:r>
              <w:rPr>
                <w:rFonts w:ascii="Arial" w:cs="Arial" w:eastAsia="Arial" w:hAnsi="Arial"/>
                <w:sz w:val="16"/>
                <w:szCs w:val="16"/>
                <w:color w:val="auto"/>
              </w:rPr>
              <w:t>17</w:t>
            </w:r>
          </w:p>
        </w:tc>
        <w:tc>
          <w:tcPr>
            <w:tcW w:w="1380" w:type="dxa"/>
            <w:vAlign w:val="bottom"/>
            <w:gridSpan w:val="2"/>
          </w:tcPr>
          <w:p>
            <w:pPr>
              <w:jc w:val="right"/>
              <w:ind w:right="261"/>
              <w:spacing w:after="0"/>
              <w:rPr>
                <w:sz w:val="20"/>
                <w:szCs w:val="20"/>
                <w:color w:val="auto"/>
              </w:rPr>
            </w:pPr>
            <w:r>
              <w:rPr>
                <w:rFonts w:ascii="Arial" w:cs="Arial" w:eastAsia="Arial" w:hAnsi="Arial"/>
                <w:sz w:val="16"/>
                <w:szCs w:val="16"/>
                <w:b w:val="1"/>
                <w:bCs w:val="1"/>
                <w:color w:val="auto"/>
              </w:rPr>
              <w:t>( 1,122 )</w:t>
            </w:r>
          </w:p>
        </w:tc>
        <w:tc>
          <w:tcPr>
            <w:tcW w:w="1300" w:type="dxa"/>
            <w:vAlign w:val="bottom"/>
            <w:gridSpan w:val="2"/>
          </w:tcPr>
          <w:p>
            <w:pPr>
              <w:jc w:val="right"/>
              <w:ind w:right="221"/>
              <w:spacing w:after="0"/>
              <w:rPr>
                <w:sz w:val="20"/>
                <w:szCs w:val="20"/>
                <w:color w:val="auto"/>
              </w:rPr>
            </w:pPr>
            <w:r>
              <w:rPr>
                <w:rFonts w:ascii="Arial" w:cs="Arial" w:eastAsia="Arial" w:hAnsi="Arial"/>
                <w:sz w:val="16"/>
                <w:szCs w:val="16"/>
                <w:color w:val="auto"/>
              </w:rPr>
              <w:t>( 1,122 )</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of net actuarial loss</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596</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564</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648</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periodic benefit cost</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342"/>
              <w:spacing w:after="0" w:line="183" w:lineRule="exact"/>
              <w:rPr>
                <w:sz w:val="20"/>
                <w:szCs w:val="20"/>
                <w:color w:val="auto"/>
              </w:rPr>
            </w:pPr>
            <w:r>
              <w:rPr>
                <w:rFonts w:ascii="Arial" w:cs="Arial" w:eastAsia="Arial" w:hAnsi="Arial"/>
                <w:sz w:val="16"/>
                <w:szCs w:val="16"/>
                <w:b w:val="1"/>
                <w:bCs w:val="1"/>
                <w:color w:val="auto"/>
              </w:rPr>
              <w:t>1,011</w:t>
            </w: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950</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341"/>
              <w:spacing w:after="0" w:line="183" w:lineRule="exact"/>
              <w:rPr>
                <w:sz w:val="20"/>
                <w:szCs w:val="20"/>
                <w:color w:val="auto"/>
              </w:rPr>
            </w:pPr>
            <w:r>
              <w:rPr>
                <w:rFonts w:ascii="Arial" w:cs="Arial" w:eastAsia="Arial" w:hAnsi="Arial"/>
                <w:sz w:val="16"/>
                <w:szCs w:val="16"/>
                <w:b w:val="1"/>
                <w:bCs w:val="1"/>
                <w:color w:val="auto"/>
              </w:rPr>
              <w:t>4</w:t>
            </w: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amount of net periodic pension cost is determined at the beginning of each year and generally only varies from quarter to quarter when a significant event occurs, such as a curtailment or a settlement. There were no such events in the first three months of 2020 or 2019.</w:t>
      </w:r>
    </w:p>
    <w:p>
      <w:pPr>
        <w:spacing w:after="0" w:line="8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or items as other compensation costs arising from services rendered by the pertinent employees during the period. Other components of net periodic benefit cost are presented in the income statement separately from the service cost component and outside a subtotal of income from operations, in the line item Other (income)/expense, net in the Consolidated Statements of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Machine Clothing restructuring charges include expenses for the first three months of 2020 and 2019 principally related to discontinued operations at its MC production facility in Sélestat, France announced in 2017. Since 2017, we have recorded $13.1 million of restructuring charges related to this action.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100330</wp:posOffset>
            </wp:positionV>
            <wp:extent cx="58807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301"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8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48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13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648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14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$ 642</w:t>
            </w:r>
          </w:p>
        </w:tc>
        <w:tc>
          <w:tcPr>
            <w:tcW w:w="1380" w:type="dxa"/>
            <w:vAlign w:val="bottom"/>
          </w:tcPr>
          <w:p>
            <w:pPr>
              <w:jc w:val="center"/>
              <w:spacing w:after="0" w:line="165" w:lineRule="exact"/>
              <w:rPr>
                <w:sz w:val="20"/>
                <w:szCs w:val="20"/>
                <w:color w:val="auto"/>
              </w:rPr>
            </w:pPr>
            <w:r>
              <w:rPr>
                <w:rFonts w:ascii="Arial" w:cs="Arial" w:eastAsia="Arial" w:hAnsi="Arial"/>
                <w:sz w:val="16"/>
                <w:szCs w:val="16"/>
                <w:color w:val="auto"/>
                <w:w w:val="99"/>
              </w:rPr>
              <w:t>$ 401</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1400" w:type="dxa"/>
            <w:vAlign w:val="bottom"/>
          </w:tcPr>
          <w:p>
            <w:pPr>
              <w:jc w:val="right"/>
              <w:ind w:right="442"/>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41"/>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14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$ 642</w:t>
            </w:r>
          </w:p>
        </w:tc>
        <w:tc>
          <w:tcPr>
            <w:tcW w:w="13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$ 484</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48"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580" w:type="dxa"/>
            <w:vAlign w:val="bottom"/>
            <w:tcBorders>
              <w:top w:val="single" w:sz="8" w:color="auto"/>
            </w:tcBorders>
          </w:tcPr>
          <w:p>
            <w:pPr>
              <w:spacing w:after="0"/>
              <w:rPr>
                <w:sz w:val="14"/>
                <w:szCs w:val="14"/>
                <w:color w:val="auto"/>
              </w:rPr>
            </w:pPr>
          </w:p>
        </w:tc>
        <w:tc>
          <w:tcPr>
            <w:tcW w:w="3340" w:type="dxa"/>
            <w:vAlign w:val="bottom"/>
            <w:tcBorders>
              <w:top w:val="single" w:sz="8" w:color="auto"/>
            </w:tcBorders>
          </w:tcPr>
          <w:p>
            <w:pPr>
              <w:jc w:val="center"/>
              <w:ind w:left="1783"/>
              <w:spacing w:after="0"/>
              <w:rPr>
                <w:sz w:val="20"/>
                <w:szCs w:val="20"/>
                <w:color w:val="auto"/>
              </w:rPr>
            </w:pPr>
            <w:r>
              <w:rPr>
                <w:rFonts w:ascii="Arial" w:cs="Arial" w:eastAsia="Arial" w:hAnsi="Arial"/>
                <w:sz w:val="14"/>
                <w:szCs w:val="14"/>
                <w:b w:val="1"/>
                <w:bCs w:val="1"/>
                <w:color w:val="auto"/>
                <w:w w:val="95"/>
              </w:rPr>
              <w:t>Total</w:t>
            </w: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4580" w:type="dxa"/>
            <w:vAlign w:val="bottom"/>
          </w:tcPr>
          <w:p>
            <w:pPr>
              <w:spacing w:after="0"/>
              <w:rPr>
                <w:sz w:val="14"/>
                <w:szCs w:val="14"/>
                <w:color w:val="auto"/>
              </w:rPr>
            </w:pPr>
          </w:p>
        </w:tc>
        <w:tc>
          <w:tcPr>
            <w:tcW w:w="3340" w:type="dxa"/>
            <w:vAlign w:val="bottom"/>
          </w:tcPr>
          <w:p>
            <w:pPr>
              <w:jc w:val="center"/>
              <w:ind w:left="1803"/>
              <w:spacing w:after="0"/>
              <w:rPr>
                <w:sz w:val="20"/>
                <w:szCs w:val="20"/>
                <w:color w:val="auto"/>
              </w:rPr>
            </w:pPr>
            <w:r>
              <w:rPr>
                <w:rFonts w:ascii="Arial" w:cs="Arial" w:eastAsia="Arial" w:hAnsi="Arial"/>
                <w:sz w:val="14"/>
                <w:szCs w:val="14"/>
                <w:b w:val="1"/>
                <w:bCs w:val="1"/>
                <w:color w:val="auto"/>
              </w:rPr>
              <w:t>restructuring</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and other</w:t>
            </w:r>
          </w:p>
        </w:tc>
      </w:tr>
      <w:tr>
        <w:trPr>
          <w:trHeight w:val="162"/>
        </w:trPr>
        <w:tc>
          <w:tcPr>
            <w:tcW w:w="4580" w:type="dxa"/>
            <w:vAlign w:val="bottom"/>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3340" w:type="dxa"/>
            <w:vAlign w:val="bottom"/>
          </w:tcPr>
          <w:p>
            <w:pPr>
              <w:jc w:val="center"/>
              <w:ind w:left="1783"/>
              <w:spacing w:after="0"/>
              <w:rPr>
                <w:sz w:val="20"/>
                <w:szCs w:val="20"/>
                <w:color w:val="auto"/>
              </w:rPr>
            </w:pPr>
            <w:r>
              <w:rPr>
                <w:rFonts w:ascii="Arial" w:cs="Arial" w:eastAsia="Arial" w:hAnsi="Arial"/>
                <w:sz w:val="14"/>
                <w:szCs w:val="14"/>
                <w:b w:val="1"/>
                <w:bCs w:val="1"/>
                <w:color w:val="auto"/>
              </w:rPr>
              <w:t>costs incurred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costs</w:t>
            </w:r>
          </w:p>
        </w:tc>
      </w:tr>
      <w:tr>
        <w:trPr>
          <w:trHeight w:val="175"/>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64"/>
        </w:trPr>
        <w:tc>
          <w:tcPr>
            <w:tcW w:w="458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3340" w:type="dxa"/>
            <w:vAlign w:val="bottom"/>
          </w:tcPr>
          <w:p>
            <w:pPr>
              <w:jc w:val="center"/>
              <w:ind w:left="1783"/>
              <w:spacing w:after="0" w:line="165" w:lineRule="exact"/>
              <w:rPr>
                <w:sz w:val="20"/>
                <w:szCs w:val="20"/>
                <w:color w:val="auto"/>
              </w:rPr>
            </w:pPr>
            <w:r>
              <w:rPr>
                <w:rFonts w:ascii="Arial" w:cs="Arial" w:eastAsia="Arial" w:hAnsi="Arial"/>
                <w:sz w:val="16"/>
                <w:szCs w:val="16"/>
                <w:b w:val="1"/>
                <w:bCs w:val="1"/>
                <w:color w:val="auto"/>
                <w:w w:val="99"/>
              </w:rPr>
              <w:t>$ 642</w:t>
            </w:r>
          </w:p>
        </w:tc>
        <w:tc>
          <w:tcPr>
            <w:tcW w:w="13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$ 642</w:t>
            </w:r>
          </w:p>
        </w:tc>
      </w:tr>
      <w:tr>
        <w:trPr>
          <w:trHeight w:val="189"/>
        </w:trPr>
        <w:tc>
          <w:tcPr>
            <w:tcW w:w="45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3340" w:type="dxa"/>
            <w:vAlign w:val="bottom"/>
          </w:tcPr>
          <w:p>
            <w:pPr>
              <w:jc w:val="right"/>
              <w:ind w:right="483"/>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443"/>
              <w:spacing w:after="0"/>
              <w:rPr>
                <w:sz w:val="20"/>
                <w:szCs w:val="20"/>
                <w:color w:val="auto"/>
              </w:rPr>
            </w:pPr>
            <w:r>
              <w:rPr>
                <w:rFonts w:ascii="Arial" w:cs="Arial" w:eastAsia="Arial" w:hAnsi="Arial"/>
                <w:sz w:val="16"/>
                <w:szCs w:val="16"/>
                <w:b w:val="1"/>
                <w:bCs w:val="1"/>
                <w:color w:val="auto"/>
              </w:rPr>
              <w:t>-</w:t>
            </w:r>
          </w:p>
        </w:tc>
      </w:tr>
      <w:tr>
        <w:trPr>
          <w:trHeight w:val="207"/>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334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b w:val="1"/>
                <w:bCs w:val="1"/>
                <w:color w:val="auto"/>
              </w:rPr>
              <w:t>-</w:t>
            </w:r>
          </w:p>
        </w:tc>
      </w:tr>
      <w:tr>
        <w:trPr>
          <w:trHeight w:val="183"/>
        </w:trPr>
        <w:tc>
          <w:tcPr>
            <w:tcW w:w="45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3340" w:type="dxa"/>
            <w:vAlign w:val="bottom"/>
            <w:tcBorders>
              <w:bottom w:val="single" w:sz="8" w:color="auto"/>
            </w:tcBorders>
          </w:tcPr>
          <w:p>
            <w:pPr>
              <w:jc w:val="center"/>
              <w:ind w:left="1783"/>
              <w:spacing w:after="0" w:line="183" w:lineRule="exact"/>
              <w:rPr>
                <w:sz w:val="20"/>
                <w:szCs w:val="20"/>
                <w:color w:val="auto"/>
              </w:rPr>
            </w:pPr>
            <w:r>
              <w:rPr>
                <w:rFonts w:ascii="Arial" w:cs="Arial" w:eastAsia="Arial" w:hAnsi="Arial"/>
                <w:sz w:val="16"/>
                <w:szCs w:val="16"/>
                <w:b w:val="1"/>
                <w:bCs w:val="1"/>
                <w:color w:val="auto"/>
                <w:w w:val="99"/>
              </w:rPr>
              <w:t>$ 642</w:t>
            </w:r>
          </w:p>
        </w:tc>
        <w:tc>
          <w:tcPr>
            <w:tcW w:w="13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$ 642</w:t>
            </w:r>
          </w:p>
        </w:tc>
      </w:tr>
      <w:tr>
        <w:trPr>
          <w:trHeight w:val="156"/>
        </w:trPr>
        <w:tc>
          <w:tcPr>
            <w:tcW w:w="458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42"/>
        </w:trPr>
        <w:tc>
          <w:tcPr>
            <w:tcW w:w="4580" w:type="dxa"/>
            <w:vAlign w:val="bottom"/>
          </w:tcPr>
          <w:p>
            <w:pPr>
              <w:spacing w:after="0"/>
              <w:rPr>
                <w:sz w:val="12"/>
                <w:szCs w:val="12"/>
                <w:color w:val="auto"/>
              </w:rPr>
            </w:pPr>
          </w:p>
        </w:tc>
        <w:tc>
          <w:tcPr>
            <w:tcW w:w="3340" w:type="dxa"/>
            <w:vAlign w:val="bottom"/>
          </w:tcPr>
          <w:p>
            <w:pPr>
              <w:jc w:val="center"/>
              <w:ind w:left="1783"/>
              <w:spacing w:after="0" w:line="143" w:lineRule="exact"/>
              <w:rPr>
                <w:sz w:val="20"/>
                <w:szCs w:val="20"/>
                <w:color w:val="auto"/>
              </w:rPr>
            </w:pPr>
            <w:r>
              <w:rPr>
                <w:rFonts w:ascii="Arial" w:cs="Arial" w:eastAsia="Arial" w:hAnsi="Arial"/>
                <w:sz w:val="14"/>
                <w:szCs w:val="14"/>
                <w:b w:val="1"/>
                <w:bCs w:val="1"/>
                <w:color w:val="auto"/>
                <w:w w:val="95"/>
              </w:rPr>
              <w:t>Total</w:t>
            </w:r>
          </w:p>
        </w:tc>
        <w:tc>
          <w:tcPr>
            <w:tcW w:w="13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Termination</w:t>
            </w:r>
          </w:p>
        </w:tc>
      </w:tr>
      <w:tr>
        <w:trPr>
          <w:trHeight w:val="162"/>
        </w:trPr>
        <w:tc>
          <w:tcPr>
            <w:tcW w:w="4580" w:type="dxa"/>
            <w:vAlign w:val="bottom"/>
          </w:tcPr>
          <w:p>
            <w:pPr>
              <w:spacing w:after="0"/>
              <w:rPr>
                <w:sz w:val="14"/>
                <w:szCs w:val="14"/>
                <w:color w:val="auto"/>
              </w:rPr>
            </w:pPr>
          </w:p>
        </w:tc>
        <w:tc>
          <w:tcPr>
            <w:tcW w:w="3340" w:type="dxa"/>
            <w:vAlign w:val="bottom"/>
          </w:tcPr>
          <w:p>
            <w:pPr>
              <w:jc w:val="center"/>
              <w:ind w:left="1803"/>
              <w:spacing w:after="0"/>
              <w:rPr>
                <w:sz w:val="20"/>
                <w:szCs w:val="20"/>
                <w:color w:val="auto"/>
              </w:rPr>
            </w:pPr>
            <w:r>
              <w:rPr>
                <w:rFonts w:ascii="Arial" w:cs="Arial" w:eastAsia="Arial" w:hAnsi="Arial"/>
                <w:sz w:val="14"/>
                <w:szCs w:val="14"/>
                <w:b w:val="1"/>
                <w:bCs w:val="1"/>
                <w:color w:val="auto"/>
              </w:rPr>
              <w:t>restructuring</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and other</w:t>
            </w:r>
          </w:p>
        </w:tc>
      </w:tr>
      <w:tr>
        <w:trPr>
          <w:trHeight w:val="162"/>
        </w:trPr>
        <w:tc>
          <w:tcPr>
            <w:tcW w:w="4580" w:type="dxa"/>
            <w:vAlign w:val="bottom"/>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3340" w:type="dxa"/>
            <w:vAlign w:val="bottom"/>
          </w:tcPr>
          <w:p>
            <w:pPr>
              <w:jc w:val="center"/>
              <w:ind w:left="1783"/>
              <w:spacing w:after="0"/>
              <w:rPr>
                <w:sz w:val="20"/>
                <w:szCs w:val="20"/>
                <w:color w:val="auto"/>
              </w:rPr>
            </w:pPr>
            <w:r>
              <w:rPr>
                <w:rFonts w:ascii="Arial" w:cs="Arial" w:eastAsia="Arial" w:hAnsi="Arial"/>
                <w:sz w:val="14"/>
                <w:szCs w:val="14"/>
                <w:b w:val="1"/>
                <w:bCs w:val="1"/>
                <w:color w:val="auto"/>
              </w:rPr>
              <w:t>costs incurred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costs</w:t>
            </w:r>
          </w:p>
        </w:tc>
      </w:tr>
      <w:tr>
        <w:trPr>
          <w:trHeight w:val="175"/>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84"/>
        </w:trPr>
        <w:tc>
          <w:tcPr>
            <w:tcW w:w="4580" w:type="dxa"/>
            <w:vAlign w:val="bottom"/>
          </w:tcPr>
          <w:p>
            <w:pPr>
              <w:spacing w:after="0"/>
              <w:rPr>
                <w:sz w:val="20"/>
                <w:szCs w:val="20"/>
                <w:color w:val="auto"/>
              </w:rPr>
            </w:pPr>
            <w:r>
              <w:rPr>
                <w:rFonts w:ascii="Arial" w:cs="Arial" w:eastAsia="Arial" w:hAnsi="Arial"/>
                <w:sz w:val="16"/>
                <w:szCs w:val="16"/>
                <w:color w:val="auto"/>
              </w:rPr>
              <w:t>Machine Clothing</w:t>
            </w:r>
          </w:p>
        </w:tc>
        <w:tc>
          <w:tcPr>
            <w:tcW w:w="3340" w:type="dxa"/>
            <w:vAlign w:val="bottom"/>
          </w:tcPr>
          <w:p>
            <w:pPr>
              <w:jc w:val="center"/>
              <w:ind w:left="1783"/>
              <w:spacing w:after="0"/>
              <w:rPr>
                <w:sz w:val="20"/>
                <w:szCs w:val="20"/>
                <w:color w:val="auto"/>
              </w:rPr>
            </w:pPr>
            <w:r>
              <w:rPr>
                <w:rFonts w:ascii="Arial" w:cs="Arial" w:eastAsia="Arial" w:hAnsi="Arial"/>
                <w:sz w:val="16"/>
                <w:szCs w:val="16"/>
                <w:color w:val="auto"/>
                <w:w w:val="99"/>
              </w:rPr>
              <w:t>$ 401</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$ 401</w:t>
            </w:r>
          </w:p>
        </w:tc>
      </w:tr>
      <w:tr>
        <w:trPr>
          <w:trHeight w:val="189"/>
        </w:trPr>
        <w:tc>
          <w:tcPr>
            <w:tcW w:w="45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3340" w:type="dxa"/>
            <w:vAlign w:val="bottom"/>
          </w:tcPr>
          <w:p>
            <w:pPr>
              <w:jc w:val="right"/>
              <w:ind w:right="483"/>
              <w:spacing w:after="0"/>
              <w:rPr>
                <w:sz w:val="20"/>
                <w:szCs w:val="20"/>
                <w:color w:val="auto"/>
              </w:rPr>
            </w:pPr>
            <w:r>
              <w:rPr>
                <w:rFonts w:ascii="Arial" w:cs="Arial" w:eastAsia="Arial" w:hAnsi="Arial"/>
                <w:sz w:val="16"/>
                <w:szCs w:val="16"/>
                <w:color w:val="auto"/>
              </w:rPr>
              <w:t>83</w:t>
            </w:r>
          </w:p>
        </w:tc>
        <w:tc>
          <w:tcPr>
            <w:tcW w:w="1340" w:type="dxa"/>
            <w:vAlign w:val="bottom"/>
          </w:tcPr>
          <w:p>
            <w:pPr>
              <w:jc w:val="right"/>
              <w:ind w:right="443"/>
              <w:spacing w:after="0"/>
              <w:rPr>
                <w:sz w:val="20"/>
                <w:szCs w:val="20"/>
                <w:color w:val="auto"/>
              </w:rPr>
            </w:pPr>
            <w:r>
              <w:rPr>
                <w:rFonts w:ascii="Arial" w:cs="Arial" w:eastAsia="Arial" w:hAnsi="Arial"/>
                <w:sz w:val="16"/>
                <w:szCs w:val="16"/>
                <w:color w:val="auto"/>
              </w:rPr>
              <w:t>83</w:t>
            </w:r>
          </w:p>
        </w:tc>
      </w:tr>
      <w:tr>
        <w:trPr>
          <w:trHeight w:val="187"/>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334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color w:val="auto"/>
              </w:rPr>
              <w:t>-</w:t>
            </w:r>
          </w:p>
        </w:tc>
      </w:tr>
      <w:tr>
        <w:trPr>
          <w:trHeight w:val="183"/>
        </w:trPr>
        <w:tc>
          <w:tcPr>
            <w:tcW w:w="45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3340" w:type="dxa"/>
            <w:vAlign w:val="bottom"/>
            <w:tcBorders>
              <w:bottom w:val="single" w:sz="8" w:color="auto"/>
            </w:tcBorders>
          </w:tcPr>
          <w:p>
            <w:pPr>
              <w:jc w:val="center"/>
              <w:ind w:left="1783"/>
              <w:spacing w:after="0" w:line="183" w:lineRule="exact"/>
              <w:rPr>
                <w:sz w:val="20"/>
                <w:szCs w:val="20"/>
                <w:color w:val="auto"/>
              </w:rPr>
            </w:pPr>
            <w:r>
              <w:rPr>
                <w:rFonts w:ascii="Arial" w:cs="Arial" w:eastAsia="Arial" w:hAnsi="Arial"/>
                <w:sz w:val="16"/>
                <w:szCs w:val="16"/>
                <w:color w:val="auto"/>
                <w:w w:val="99"/>
              </w:rPr>
              <w:t>$ 484</w:t>
            </w:r>
          </w:p>
        </w:tc>
        <w:tc>
          <w:tcPr>
            <w:tcW w:w="13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$ 484</w:t>
            </w:r>
          </w:p>
        </w:tc>
      </w:tr>
    </w:tbl>
    <w:p>
      <w:pPr>
        <w:spacing w:after="0" w:line="20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expect that approximately $1.5 million of Accrued liabilities for restructuring at March 31, 2020 will be paid within one year and approximately $ 0.4 million will be paid the following year. The table below presents the year-to-date changes in restructuring liabilities for 2020 and 2019, all of which are related to termination costs: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tcPr>
          <w:p>
            <w:pPr>
              <w:ind w:left="120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Restructuring</w:t>
            </w:r>
          </w:p>
        </w:tc>
        <w:tc>
          <w:tcPr>
            <w:tcW w:w="1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Currency</w:t>
            </w:r>
          </w:p>
        </w:tc>
        <w:tc>
          <w:tcPr>
            <w:tcW w:w="1220" w:type="dxa"/>
            <w:vAlign w:val="bottom"/>
            <w:tcBorders>
              <w:top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Borders>
              <w:bottom w:val="single" w:sz="8" w:color="auto"/>
            </w:tcBorders>
          </w:tcPr>
          <w:p>
            <w:pPr>
              <w:jc w:val="center"/>
              <w:ind w:left="965"/>
              <w:spacing w:after="0"/>
              <w:rPr>
                <w:sz w:val="20"/>
                <w:szCs w:val="20"/>
                <w:color w:val="auto"/>
              </w:rPr>
            </w:pPr>
            <w:r>
              <w:rPr>
                <w:rFonts w:ascii="Arial" w:cs="Arial" w:eastAsia="Arial" w:hAnsi="Arial"/>
                <w:sz w:val="14"/>
                <w:szCs w:val="14"/>
                <w:b w:val="1"/>
                <w:bCs w:val="1"/>
                <w:color w:val="auto"/>
              </w:rPr>
              <w:t>2019</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charges accrued</w:t>
            </w: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Payments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 /other</w:t>
            </w:r>
          </w:p>
        </w:tc>
        <w:tc>
          <w:tcPr>
            <w:tcW w:w="12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2020</w:t>
            </w:r>
          </w:p>
        </w:tc>
      </w:tr>
      <w:tr>
        <w:trPr>
          <w:trHeight w:val="352"/>
        </w:trPr>
        <w:tc>
          <w:tcPr>
            <w:tcW w:w="3520" w:type="dxa"/>
            <w:vAlign w:val="bottom"/>
          </w:tcPr>
          <w:p>
            <w:pPr>
              <w:spacing w:after="0"/>
              <w:rPr>
                <w:sz w:val="20"/>
                <w:szCs w:val="20"/>
                <w:color w:val="auto"/>
              </w:rPr>
            </w:pPr>
            <w:r>
              <w:rPr>
                <w:rFonts w:ascii="Arial" w:cs="Arial" w:eastAsia="Arial" w:hAnsi="Arial"/>
                <w:sz w:val="16"/>
                <w:szCs w:val="16"/>
                <w:color w:val="auto"/>
              </w:rPr>
              <w:t>Total termination and other costs</w:t>
            </w:r>
          </w:p>
        </w:tc>
        <w:tc>
          <w:tcPr>
            <w:tcW w:w="2280" w:type="dxa"/>
            <w:vAlign w:val="bottom"/>
          </w:tcPr>
          <w:p>
            <w:pPr>
              <w:jc w:val="center"/>
              <w:ind w:left="945"/>
              <w:spacing w:after="0"/>
              <w:rPr>
                <w:sz w:val="20"/>
                <w:szCs w:val="20"/>
                <w:color w:val="auto"/>
              </w:rPr>
            </w:pPr>
            <w:r>
              <w:rPr>
                <w:rFonts w:ascii="Arial" w:cs="Arial" w:eastAsia="Arial" w:hAnsi="Arial"/>
                <w:sz w:val="16"/>
                <w:szCs w:val="16"/>
                <w:b w:val="1"/>
                <w:bCs w:val="1"/>
                <w:color w:val="auto"/>
              </w:rPr>
              <w:t>$ 2,042</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$ 642</w:t>
            </w:r>
          </w:p>
        </w:tc>
        <w:tc>
          <w:tcPr>
            <w:tcW w:w="1100" w:type="dxa"/>
            <w:vAlign w:val="bottom"/>
          </w:tcPr>
          <w:p>
            <w:pPr>
              <w:jc w:val="right"/>
              <w:ind w:right="164"/>
              <w:spacing w:after="0"/>
              <w:rPr>
                <w:sz w:val="20"/>
                <w:szCs w:val="20"/>
                <w:color w:val="auto"/>
              </w:rPr>
            </w:pPr>
            <w:r>
              <w:rPr>
                <w:rFonts w:ascii="Arial" w:cs="Arial" w:eastAsia="Arial" w:hAnsi="Arial"/>
                <w:sz w:val="16"/>
                <w:szCs w:val="16"/>
                <w:b w:val="1"/>
                <w:bCs w:val="1"/>
                <w:color w:val="auto"/>
              </w:rPr>
              <w:t>$( 731 )</w:t>
            </w:r>
          </w:p>
        </w:tc>
        <w:tc>
          <w:tcPr>
            <w:tcW w:w="1600" w:type="dxa"/>
            <w:vAlign w:val="bottom"/>
          </w:tcPr>
          <w:p>
            <w:pPr>
              <w:jc w:val="right"/>
              <w:ind w:right="465"/>
              <w:spacing w:after="0"/>
              <w:rPr>
                <w:sz w:val="20"/>
                <w:szCs w:val="20"/>
                <w:color w:val="auto"/>
              </w:rPr>
            </w:pPr>
            <w:r>
              <w:rPr>
                <w:rFonts w:ascii="Arial" w:cs="Arial" w:eastAsia="Arial" w:hAnsi="Arial"/>
                <w:sz w:val="16"/>
                <w:szCs w:val="16"/>
                <w:b w:val="1"/>
                <w:bCs w:val="1"/>
                <w:color w:val="auto"/>
              </w:rPr>
              <w:t>$(92)</w:t>
            </w:r>
          </w:p>
        </w:tc>
        <w:tc>
          <w:tcPr>
            <w:tcW w:w="1220" w:type="dxa"/>
            <w:vAlign w:val="bottom"/>
          </w:tcPr>
          <w:p>
            <w:pPr>
              <w:jc w:val="center"/>
              <w:ind w:right="45"/>
              <w:spacing w:after="0"/>
              <w:rPr>
                <w:sz w:val="20"/>
                <w:szCs w:val="20"/>
                <w:color w:val="auto"/>
              </w:rPr>
            </w:pPr>
            <w:r>
              <w:rPr>
                <w:rFonts w:ascii="Arial" w:cs="Arial" w:eastAsia="Arial" w:hAnsi="Arial"/>
                <w:sz w:val="16"/>
                <w:szCs w:val="16"/>
                <w:b w:val="1"/>
                <w:bCs w:val="1"/>
                <w:color w:val="auto"/>
              </w:rPr>
              <w:t>$ 1,861</w:t>
            </w:r>
          </w:p>
        </w:tc>
      </w:tr>
      <w:tr>
        <w:trPr>
          <w:trHeight w:val="208"/>
        </w:trPr>
        <w:tc>
          <w:tcPr>
            <w:tcW w:w="35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56"/>
        </w:trPr>
        <w:tc>
          <w:tcPr>
            <w:tcW w:w="35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42"/>
        </w:trPr>
        <w:tc>
          <w:tcPr>
            <w:tcW w:w="3520" w:type="dxa"/>
            <w:vAlign w:val="bottom"/>
          </w:tcPr>
          <w:p>
            <w:pPr>
              <w:spacing w:after="0"/>
              <w:rPr>
                <w:sz w:val="12"/>
                <w:szCs w:val="12"/>
                <w:color w:val="auto"/>
              </w:rPr>
            </w:pPr>
          </w:p>
        </w:tc>
        <w:tc>
          <w:tcPr>
            <w:tcW w:w="2280" w:type="dxa"/>
            <w:vAlign w:val="bottom"/>
          </w:tcPr>
          <w:p>
            <w:pPr>
              <w:ind w:left="1200"/>
              <w:spacing w:after="0" w:line="143" w:lineRule="exact"/>
              <w:rPr>
                <w:sz w:val="20"/>
                <w:szCs w:val="20"/>
                <w:color w:val="auto"/>
              </w:rPr>
            </w:pPr>
            <w:r>
              <w:rPr>
                <w:rFonts w:ascii="Arial" w:cs="Arial" w:eastAsia="Arial" w:hAnsi="Arial"/>
                <w:sz w:val="14"/>
                <w:szCs w:val="14"/>
                <w:b w:val="1"/>
                <w:bCs w:val="1"/>
                <w:color w:val="auto"/>
              </w:rPr>
              <w:t>December 31,</w:t>
            </w:r>
          </w:p>
        </w:tc>
        <w:tc>
          <w:tcPr>
            <w:tcW w:w="15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Restructuring</w:t>
            </w:r>
          </w:p>
        </w:tc>
        <w:tc>
          <w:tcPr>
            <w:tcW w:w="1100" w:type="dxa"/>
            <w:vAlign w:val="bottom"/>
          </w:tcPr>
          <w:p>
            <w:pPr>
              <w:spacing w:after="0"/>
              <w:rPr>
                <w:sz w:val="12"/>
                <w:szCs w:val="12"/>
                <w:color w:val="auto"/>
              </w:rPr>
            </w:pPr>
          </w:p>
        </w:tc>
        <w:tc>
          <w:tcPr>
            <w:tcW w:w="16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Currency</w:t>
            </w:r>
          </w:p>
        </w:tc>
        <w:tc>
          <w:tcPr>
            <w:tcW w:w="1220" w:type="dxa"/>
            <w:vAlign w:val="bottom"/>
          </w:tcPr>
          <w:p>
            <w:pPr>
              <w:jc w:val="center"/>
              <w:ind w:right="45"/>
              <w:spacing w:after="0" w:line="143" w:lineRule="exact"/>
              <w:rPr>
                <w:sz w:val="20"/>
                <w:szCs w:val="20"/>
                <w:color w:val="auto"/>
              </w:rPr>
            </w:pPr>
            <w:r>
              <w:rPr>
                <w:rFonts w:ascii="Arial" w:cs="Arial" w:eastAsia="Arial" w:hAnsi="Arial"/>
                <w:sz w:val="14"/>
                <w:szCs w:val="14"/>
                <w:b w:val="1"/>
                <w:bCs w:val="1"/>
                <w:color w:val="auto"/>
              </w:rPr>
              <w:t>March 31,</w:t>
            </w:r>
          </w:p>
        </w:tc>
      </w:tr>
      <w:tr>
        <w:trPr>
          <w:trHeight w:val="175"/>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Borders>
              <w:bottom w:val="single" w:sz="8" w:color="auto"/>
            </w:tcBorders>
          </w:tcPr>
          <w:p>
            <w:pPr>
              <w:jc w:val="center"/>
              <w:ind w:left="965"/>
              <w:spacing w:after="0"/>
              <w:rPr>
                <w:sz w:val="20"/>
                <w:szCs w:val="20"/>
                <w:color w:val="auto"/>
              </w:rPr>
            </w:pPr>
            <w:r>
              <w:rPr>
                <w:rFonts w:ascii="Arial" w:cs="Arial" w:eastAsia="Arial" w:hAnsi="Arial"/>
                <w:sz w:val="14"/>
                <w:szCs w:val="14"/>
                <w:b w:val="1"/>
                <w:bCs w:val="1"/>
                <w:color w:val="auto"/>
              </w:rPr>
              <w:t>2018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charges accrued</w:t>
            </w: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Payments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 /other</w:t>
            </w:r>
          </w:p>
        </w:tc>
        <w:tc>
          <w:tcPr>
            <w:tcW w:w="122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rPr>
              <w:t>2019</w:t>
            </w:r>
          </w:p>
        </w:tc>
      </w:tr>
      <w:tr>
        <w:trPr>
          <w:trHeight w:val="344"/>
        </w:trPr>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termination and other costs</w:t>
            </w:r>
          </w:p>
        </w:tc>
        <w:tc>
          <w:tcPr>
            <w:tcW w:w="2280" w:type="dxa"/>
            <w:vAlign w:val="bottom"/>
            <w:tcBorders>
              <w:bottom w:val="single" w:sz="8" w:color="auto"/>
            </w:tcBorders>
          </w:tcPr>
          <w:p>
            <w:pPr>
              <w:jc w:val="center"/>
              <w:ind w:left="945"/>
              <w:spacing w:after="0"/>
              <w:rPr>
                <w:sz w:val="20"/>
                <w:szCs w:val="20"/>
                <w:color w:val="auto"/>
              </w:rPr>
            </w:pPr>
            <w:r>
              <w:rPr>
                <w:rFonts w:ascii="Arial" w:cs="Arial" w:eastAsia="Arial" w:hAnsi="Arial"/>
                <w:sz w:val="16"/>
                <w:szCs w:val="16"/>
                <w:color w:val="auto"/>
              </w:rPr>
              <w:t>$ 5,570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$ 484</w:t>
            </w:r>
          </w:p>
        </w:tc>
        <w:tc>
          <w:tcPr>
            <w:tcW w:w="110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$( 876 )</w:t>
            </w:r>
          </w:p>
        </w:tc>
        <w:tc>
          <w:tcPr>
            <w:tcW w:w="16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$ 23</w:t>
            </w:r>
          </w:p>
        </w:tc>
        <w:tc>
          <w:tcPr>
            <w:tcW w:w="1220" w:type="dxa"/>
            <w:vAlign w:val="bottom"/>
            <w:tcBorders>
              <w:bottom w:val="single" w:sz="8" w:color="auto"/>
            </w:tcBorders>
          </w:tcPr>
          <w:p>
            <w:pPr>
              <w:jc w:val="center"/>
              <w:ind w:right="45"/>
              <w:spacing w:after="0"/>
              <w:rPr>
                <w:sz w:val="20"/>
                <w:szCs w:val="20"/>
                <w:color w:val="auto"/>
              </w:rPr>
            </w:pPr>
            <w:r>
              <w:rPr>
                <w:rFonts w:ascii="Arial" w:cs="Arial" w:eastAsia="Arial" w:hAnsi="Arial"/>
                <w:sz w:val="16"/>
                <w:szCs w:val="16"/>
                <w:color w:val="auto"/>
              </w:rPr>
              <w:t>$ 5,201</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Other (Income)/Expense, net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(Income)/Expense, net are:</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64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80" w:type="dxa"/>
            <w:vAlign w:val="bottom"/>
            <w:tcBorders>
              <w:top w:val="single" w:sz="8" w:color="auto"/>
              <w:bottom w:val="single" w:sz="8" w:color="auto"/>
            </w:tcBorders>
            <w:gridSpan w:val="2"/>
          </w:tcPr>
          <w:p>
            <w:pPr>
              <w:jc w:val="right"/>
              <w:ind w:right="81"/>
              <w:spacing w:after="0"/>
              <w:rPr>
                <w:sz w:val="20"/>
                <w:szCs w:val="20"/>
                <w:color w:val="auto"/>
              </w:rPr>
            </w:pPr>
            <w:r>
              <w:rPr>
                <w:rFonts w:ascii="Arial" w:cs="Arial" w:eastAsia="Arial" w:hAnsi="Arial"/>
                <w:sz w:val="14"/>
                <w:szCs w:val="14"/>
                <w:b w:val="1"/>
                <w:bCs w:val="1"/>
                <w:color w:val="auto"/>
              </w:rPr>
              <w:t>Three months ended March 31, 2020</w:t>
            </w:r>
          </w:p>
        </w:tc>
        <w:tc>
          <w:tcPr>
            <w:tcW w:w="0" w:type="dxa"/>
            <w:vAlign w:val="bottom"/>
          </w:tcPr>
          <w:p>
            <w:pPr>
              <w:spacing w:after="0"/>
              <w:rPr>
                <w:sz w:val="1"/>
                <w:szCs w:val="1"/>
                <w:color w:val="auto"/>
              </w:rPr>
            </w:pPr>
          </w:p>
        </w:tc>
      </w:tr>
      <w:tr>
        <w:trPr>
          <w:trHeight w:val="156"/>
        </w:trPr>
        <w:tc>
          <w:tcPr>
            <w:tcW w:w="648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138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6480" w:type="dxa"/>
            <w:vAlign w:val="bottom"/>
          </w:tcPr>
          <w:p>
            <w:pPr>
              <w:spacing w:after="0" w:line="165" w:lineRule="exact"/>
              <w:rPr>
                <w:sz w:val="20"/>
                <w:szCs w:val="20"/>
                <w:color w:val="auto"/>
              </w:rPr>
            </w:pPr>
            <w:r>
              <w:rPr>
                <w:rFonts w:ascii="Arial" w:cs="Arial" w:eastAsia="Arial" w:hAnsi="Arial"/>
                <w:sz w:val="16"/>
                <w:szCs w:val="16"/>
                <w:color w:val="auto"/>
              </w:rPr>
              <w:t>Currency transaction (gains)/losses</w:t>
            </w:r>
          </w:p>
        </w:tc>
        <w:tc>
          <w:tcPr>
            <w:tcW w:w="14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$ 14,834</w:t>
            </w:r>
          </w:p>
        </w:tc>
        <w:tc>
          <w:tcPr>
            <w:tcW w:w="1380" w:type="dxa"/>
            <w:vAlign w:val="bottom"/>
          </w:tcPr>
          <w:p>
            <w:pPr>
              <w:jc w:val="right"/>
              <w:ind w:right="241"/>
              <w:spacing w:after="0" w:line="165" w:lineRule="exact"/>
              <w:rPr>
                <w:sz w:val="20"/>
                <w:szCs w:val="20"/>
                <w:color w:val="auto"/>
              </w:rPr>
            </w:pPr>
            <w:r>
              <w:rPr>
                <w:rFonts w:ascii="Arial" w:cs="Arial" w:eastAsia="Arial" w:hAnsi="Arial"/>
                <w:sz w:val="16"/>
                <w:szCs w:val="16"/>
                <w:color w:val="auto"/>
              </w:rPr>
              <w:t>$( 2,038 )</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Bank fees and amortization of debt issuance costs</w:t>
            </w:r>
          </w:p>
        </w:tc>
        <w:tc>
          <w:tcPr>
            <w:tcW w:w="1400" w:type="dxa"/>
            <w:vAlign w:val="bottom"/>
          </w:tcPr>
          <w:p>
            <w:pPr>
              <w:jc w:val="right"/>
              <w:ind w:right="322"/>
              <w:spacing w:after="0"/>
              <w:rPr>
                <w:sz w:val="20"/>
                <w:szCs w:val="20"/>
                <w:color w:val="auto"/>
              </w:rPr>
            </w:pPr>
            <w:r>
              <w:rPr>
                <w:rFonts w:ascii="Arial" w:cs="Arial" w:eastAsia="Arial" w:hAnsi="Arial"/>
                <w:sz w:val="16"/>
                <w:szCs w:val="16"/>
                <w:b w:val="1"/>
                <w:bCs w:val="1"/>
                <w:color w:val="auto"/>
              </w:rPr>
              <w:t>75</w:t>
            </w:r>
          </w:p>
        </w:tc>
        <w:tc>
          <w:tcPr>
            <w:tcW w:w="1380" w:type="dxa"/>
            <w:vAlign w:val="bottom"/>
          </w:tcPr>
          <w:p>
            <w:pPr>
              <w:jc w:val="right"/>
              <w:ind w:right="341"/>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Components of net periodic pension and postretirement cost other than service</w:t>
            </w:r>
          </w:p>
        </w:tc>
        <w:tc>
          <w:tcPr>
            <w:tcW w:w="1400" w:type="dxa"/>
            <w:vAlign w:val="bottom"/>
          </w:tcPr>
          <w:p>
            <w:pPr>
              <w:jc w:val="right"/>
              <w:ind w:right="322"/>
              <w:spacing w:after="0"/>
              <w:rPr>
                <w:sz w:val="20"/>
                <w:szCs w:val="20"/>
                <w:color w:val="auto"/>
              </w:rPr>
            </w:pPr>
            <w:r>
              <w:rPr>
                <w:rFonts w:ascii="Arial" w:cs="Arial" w:eastAsia="Arial" w:hAnsi="Arial"/>
                <w:sz w:val="16"/>
                <w:szCs w:val="16"/>
                <w:b w:val="1"/>
                <w:bCs w:val="1"/>
                <w:color w:val="auto"/>
              </w:rPr>
              <w:t>385</w:t>
            </w:r>
          </w:p>
        </w:tc>
        <w:tc>
          <w:tcPr>
            <w:tcW w:w="1380" w:type="dxa"/>
            <w:vAlign w:val="bottom"/>
          </w:tcPr>
          <w:p>
            <w:pPr>
              <w:jc w:val="right"/>
              <w:ind w:right="341"/>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4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275</w:t>
            </w:r>
          </w:p>
        </w:tc>
        <w:tc>
          <w:tcPr>
            <w:tcW w:w="13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$ 15,569</w:t>
            </w:r>
          </w:p>
        </w:tc>
        <w:tc>
          <w:tcPr>
            <w:tcW w:w="1380" w:type="dxa"/>
            <w:vAlign w:val="bottom"/>
            <w:tcBorders>
              <w:bottom w:val="single" w:sz="8" w:color="auto"/>
            </w:tcBorders>
          </w:tcPr>
          <w:p>
            <w:pPr>
              <w:jc w:val="right"/>
              <w:ind w:right="241"/>
              <w:spacing w:after="0" w:line="183" w:lineRule="exact"/>
              <w:rPr>
                <w:sz w:val="20"/>
                <w:szCs w:val="20"/>
                <w:color w:val="auto"/>
              </w:rPr>
            </w:pPr>
            <w:r>
              <w:rPr>
                <w:rFonts w:ascii="Arial" w:cs="Arial" w:eastAsia="Arial" w:hAnsi="Arial"/>
                <w:sz w:val="16"/>
                <w:szCs w:val="16"/>
                <w:color w:val="auto"/>
              </w:rPr>
              <w:t>$( 1,208 )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Other (income)/expense, net for the first three months of 2020 includes losses related to the revaluation of nonfunctional-currency balances of $14.8 million, which principally resulted from an intercompany demand loan payable by a Mexican subsidiary combined with the effects of a much weaker peso in 2020. As a result of changes in business conditions that occurred in the first quarter of 2020, loan repayments are not expected in the foreseeable future and, beginning April 1, 2020, revaluation effects will be recorded in Other comprehensive income. Other (income)/expense, net, for the first three months of 2019 included gains related to the revaluation of nonfunctional-currency balances of $2.0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components of income tax expense for the three months ended March 31, 2020 and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gridSpan w:val="3"/>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8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7880" w:type="dxa"/>
            <w:vAlign w:val="bottom"/>
          </w:tcPr>
          <w:p>
            <w:pPr>
              <w:spacing w:after="0"/>
              <w:rPr>
                <w:sz w:val="20"/>
                <w:szCs w:val="20"/>
                <w:color w:val="auto"/>
              </w:rPr>
            </w:pPr>
            <w:r>
              <w:rPr>
                <w:rFonts w:ascii="Arial" w:cs="Arial" w:eastAsia="Arial" w:hAnsi="Arial"/>
                <w:sz w:val="16"/>
                <w:szCs w:val="16"/>
                <w:color w:val="auto"/>
              </w:rPr>
              <w:t>Income tax based on income from continuing operations, at estimated tax rates of 36.5% and 29.4%,</w:t>
            </w: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7,309</w:t>
            </w: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120"/>
              <w:spacing w:after="0"/>
              <w:rPr>
                <w:sz w:val="20"/>
                <w:szCs w:val="20"/>
                <w:color w:val="auto"/>
              </w:rPr>
            </w:pPr>
            <w:r>
              <w:rPr>
                <w:rFonts w:ascii="Arial" w:cs="Arial" w:eastAsia="Arial" w:hAnsi="Arial"/>
                <w:sz w:val="16"/>
                <w:szCs w:val="16"/>
                <w:color w:val="auto"/>
              </w:rPr>
              <w:t>respectively</w:t>
            </w:r>
          </w:p>
        </w:tc>
        <w:tc>
          <w:tcPr>
            <w:tcW w:w="6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0"/>
              <w:spacing w:after="0"/>
              <w:rPr>
                <w:sz w:val="20"/>
                <w:szCs w:val="20"/>
                <w:color w:val="auto"/>
              </w:rPr>
            </w:pPr>
            <w:r>
              <w:rPr>
                <w:rFonts w:ascii="Arial" w:cs="Arial" w:eastAsia="Arial" w:hAnsi="Arial"/>
                <w:sz w:val="16"/>
                <w:szCs w:val="16"/>
                <w:color w:val="auto"/>
              </w:rPr>
              <w:t>10,847</w:t>
            </w:r>
          </w:p>
        </w:tc>
        <w:tc>
          <w:tcPr>
            <w:tcW w:w="0" w:type="dxa"/>
            <w:vAlign w:val="bottom"/>
          </w:tcPr>
          <w:p>
            <w:pPr>
              <w:spacing w:after="0"/>
              <w:rPr>
                <w:sz w:val="1"/>
                <w:szCs w:val="1"/>
                <w:color w:val="auto"/>
              </w:rPr>
            </w:pPr>
          </w:p>
        </w:tc>
      </w:tr>
      <w:tr>
        <w:trPr>
          <w:trHeight w:val="154"/>
        </w:trPr>
        <w:tc>
          <w:tcPr>
            <w:tcW w:w="7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880" w:type="dxa"/>
            <w:vAlign w:val="bottom"/>
          </w:tcPr>
          <w:p>
            <w:pPr>
              <w:spacing w:after="0"/>
              <w:rPr>
                <w:sz w:val="20"/>
                <w:szCs w:val="20"/>
                <w:color w:val="auto"/>
              </w:rPr>
            </w:pPr>
            <w:r>
              <w:rPr>
                <w:rFonts w:ascii="Arial" w:cs="Arial" w:eastAsia="Arial" w:hAnsi="Arial"/>
                <w:sz w:val="16"/>
                <w:szCs w:val="16"/>
                <w:color w:val="auto"/>
              </w:rPr>
              <w:t>Income tax before discrete items</w:t>
            </w:r>
          </w:p>
        </w:tc>
        <w:tc>
          <w:tcPr>
            <w:tcW w:w="64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b w:val="1"/>
                <w:bCs w:val="1"/>
                <w:color w:val="auto"/>
              </w:rPr>
              <w:t>7,309</w:t>
            </w:r>
          </w:p>
        </w:tc>
        <w:tc>
          <w:tcPr>
            <w:tcW w:w="1000" w:type="dxa"/>
            <w:vAlign w:val="bottom"/>
          </w:tcPr>
          <w:p>
            <w:pPr>
              <w:spacing w:after="0"/>
              <w:rPr>
                <w:sz w:val="18"/>
                <w:szCs w:val="18"/>
                <w:color w:val="auto"/>
              </w:rPr>
            </w:pPr>
          </w:p>
        </w:tc>
        <w:tc>
          <w:tcPr>
            <w:tcW w:w="1060" w:type="dxa"/>
            <w:vAlign w:val="bottom"/>
          </w:tcPr>
          <w:p>
            <w:pPr>
              <w:jc w:val="right"/>
              <w:ind w:right="460"/>
              <w:spacing w:after="0"/>
              <w:rPr>
                <w:sz w:val="20"/>
                <w:szCs w:val="20"/>
                <w:color w:val="auto"/>
              </w:rPr>
            </w:pPr>
            <w:r>
              <w:rPr>
                <w:rFonts w:ascii="Arial" w:cs="Arial" w:eastAsia="Arial" w:hAnsi="Arial"/>
                <w:sz w:val="16"/>
                <w:szCs w:val="16"/>
                <w:color w:val="auto"/>
              </w:rPr>
              <w:t>10,847</w:t>
            </w:r>
          </w:p>
        </w:tc>
        <w:tc>
          <w:tcPr>
            <w:tcW w:w="0" w:type="dxa"/>
            <w:vAlign w:val="bottom"/>
          </w:tcPr>
          <w:p>
            <w:pPr>
              <w:spacing w:after="0"/>
              <w:rPr>
                <w:sz w:val="1"/>
                <w:szCs w:val="1"/>
                <w:color w:val="auto"/>
              </w:rPr>
            </w:pPr>
          </w:p>
        </w:tc>
      </w:tr>
      <w:tr>
        <w:trPr>
          <w:trHeight w:val="333"/>
        </w:trPr>
        <w:tc>
          <w:tcPr>
            <w:tcW w:w="7880" w:type="dxa"/>
            <w:vAlign w:val="bottom"/>
          </w:tcPr>
          <w:p>
            <w:pPr>
              <w:spacing w:after="0"/>
              <w:rPr>
                <w:sz w:val="20"/>
                <w:szCs w:val="20"/>
                <w:color w:val="auto"/>
              </w:rPr>
            </w:pPr>
            <w:r>
              <w:rPr>
                <w:rFonts w:ascii="Arial" w:cs="Arial" w:eastAsia="Arial" w:hAnsi="Arial"/>
                <w:sz w:val="16"/>
                <w:szCs w:val="16"/>
                <w:color w:val="auto"/>
              </w:rPr>
              <w:t>Discrete tax expense:</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7880" w:type="dxa"/>
            <w:vAlign w:val="bottom"/>
          </w:tcPr>
          <w:p>
            <w:pPr>
              <w:spacing w:after="0"/>
              <w:rPr>
                <w:sz w:val="20"/>
                <w:szCs w:val="20"/>
                <w:color w:val="auto"/>
              </w:rPr>
            </w:pPr>
            <w:r>
              <w:rPr>
                <w:rFonts w:ascii="Arial" w:cs="Arial" w:eastAsia="Arial" w:hAnsi="Arial"/>
                <w:sz w:val="16"/>
                <w:szCs w:val="16"/>
                <w:color w:val="auto"/>
              </w:rPr>
              <w:t>Exercise of U.S. stock options</w:t>
            </w:r>
          </w:p>
        </w:tc>
        <w:tc>
          <w:tcPr>
            <w:tcW w:w="640" w:type="dxa"/>
            <w:vAlign w:val="bottom"/>
          </w:tcPr>
          <w:p>
            <w:pPr>
              <w:spacing w:after="0"/>
              <w:rPr>
                <w:sz w:val="24"/>
                <w:szCs w:val="24"/>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spacing w:after="0"/>
              <w:rPr>
                <w:sz w:val="24"/>
                <w:szCs w:val="24"/>
                <w:color w:val="auto"/>
              </w:rPr>
            </w:pPr>
          </w:p>
        </w:tc>
        <w:tc>
          <w:tcPr>
            <w:tcW w:w="1060" w:type="dxa"/>
            <w:vAlign w:val="bottom"/>
          </w:tcPr>
          <w:p>
            <w:pPr>
              <w:jc w:val="right"/>
              <w:ind w:right="3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Adjustments to prior period tax liabilities</w:t>
            </w:r>
          </w:p>
        </w:tc>
        <w:tc>
          <w:tcPr>
            <w:tcW w:w="6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(112)</w:t>
            </w:r>
          </w:p>
        </w:tc>
        <w:tc>
          <w:tcPr>
            <w:tcW w:w="100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Provision for/resolution of tax audits and contingencies, net</w:t>
            </w:r>
          </w:p>
        </w:tc>
        <w:tc>
          <w:tcPr>
            <w:tcW w:w="6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(244)</w:t>
            </w:r>
          </w:p>
        </w:tc>
        <w:tc>
          <w:tcPr>
            <w:tcW w:w="1000" w:type="dxa"/>
            <w:vAlign w:val="bottom"/>
          </w:tcPr>
          <w:p>
            <w:pPr>
              <w:spacing w:after="0"/>
              <w:rPr>
                <w:sz w:val="16"/>
                <w:szCs w:val="16"/>
                <w:color w:val="auto"/>
              </w:rPr>
            </w:pPr>
          </w:p>
        </w:tc>
        <w:tc>
          <w:tcPr>
            <w:tcW w:w="1060" w:type="dxa"/>
            <w:vAlign w:val="bottom"/>
          </w:tcPr>
          <w:p>
            <w:pPr>
              <w:jc w:val="right"/>
              <w:ind w:right="360"/>
              <w:spacing w:after="0"/>
              <w:rPr>
                <w:sz w:val="20"/>
                <w:szCs w:val="20"/>
                <w:color w:val="auto"/>
              </w:rPr>
            </w:pPr>
            <w:r>
              <w:rPr>
                <w:rFonts w:ascii="Arial" w:cs="Arial" w:eastAsia="Arial" w:hAnsi="Arial"/>
                <w:sz w:val="16"/>
                <w:szCs w:val="16"/>
                <w:color w:val="auto"/>
              </w:rPr>
              <w:t>( 2,232 )</w:t>
            </w:r>
          </w:p>
        </w:tc>
        <w:tc>
          <w:tcPr>
            <w:tcW w:w="0" w:type="dxa"/>
            <w:vAlign w:val="bottom"/>
          </w:tcPr>
          <w:p>
            <w:pPr>
              <w:spacing w:after="0"/>
              <w:rPr>
                <w:sz w:val="1"/>
                <w:szCs w:val="1"/>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Out-of-period adjustments to deferred tax assets</w:t>
            </w:r>
          </w:p>
        </w:tc>
        <w:tc>
          <w:tcPr>
            <w:tcW w:w="640" w:type="dxa"/>
            <w:vAlign w:val="bottom"/>
          </w:tcPr>
          <w:p>
            <w:pPr>
              <w:spacing w:after="0"/>
              <w:rPr>
                <w:sz w:val="16"/>
                <w:szCs w:val="16"/>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b w:val="1"/>
                <w:bCs w:val="1"/>
                <w:color w:val="auto"/>
              </w:rPr>
              <w:t>1,830</w:t>
            </w:r>
          </w:p>
        </w:tc>
        <w:tc>
          <w:tcPr>
            <w:tcW w:w="1000" w:type="dxa"/>
            <w:vAlign w:val="bottom"/>
          </w:tcPr>
          <w:p>
            <w:pPr>
              <w:spacing w:after="0"/>
              <w:rPr>
                <w:sz w:val="16"/>
                <w:szCs w:val="16"/>
                <w:color w:val="auto"/>
              </w:rPr>
            </w:pPr>
          </w:p>
        </w:tc>
        <w:tc>
          <w:tcPr>
            <w:tcW w:w="1060" w:type="dxa"/>
            <w:vAlign w:val="bottom"/>
          </w:tcPr>
          <w:p>
            <w:pPr>
              <w:jc w:val="right"/>
              <w:ind w:right="360"/>
              <w:spacing w:after="0"/>
              <w:rPr>
                <w:sz w:val="20"/>
                <w:szCs w:val="20"/>
                <w:color w:val="auto"/>
              </w:rPr>
            </w:pPr>
            <w:r>
              <w:rPr>
                <w:rFonts w:ascii="Arial" w:cs="Arial" w:eastAsia="Arial" w:hAnsi="Arial"/>
                <w:sz w:val="16"/>
                <w:szCs w:val="16"/>
                <w:color w:val="auto"/>
              </w:rPr>
              <w:t>( 1,346 )</w:t>
            </w:r>
          </w:p>
        </w:tc>
        <w:tc>
          <w:tcPr>
            <w:tcW w:w="0" w:type="dxa"/>
            <w:vAlign w:val="bottom"/>
          </w:tcPr>
          <w:p>
            <w:pPr>
              <w:spacing w:after="0"/>
              <w:rPr>
                <w:sz w:val="1"/>
                <w:szCs w:val="1"/>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Tax effect of non-deductible foreign exchange loss on intercompany loan</w:t>
            </w:r>
          </w:p>
        </w:tc>
        <w:tc>
          <w:tcPr>
            <w:tcW w:w="640" w:type="dxa"/>
            <w:vAlign w:val="bottom"/>
          </w:tcPr>
          <w:p>
            <w:pPr>
              <w:spacing w:after="0"/>
              <w:rPr>
                <w:sz w:val="16"/>
                <w:szCs w:val="16"/>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b w:val="1"/>
                <w:bCs w:val="1"/>
                <w:color w:val="auto"/>
              </w:rPr>
              <w:t>3,668</w:t>
            </w:r>
          </w:p>
        </w:tc>
        <w:tc>
          <w:tcPr>
            <w:tcW w:w="100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83"/>
        </w:trPr>
        <w:tc>
          <w:tcPr>
            <w:tcW w:w="78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income tax expense</w:t>
            </w: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b w:val="1"/>
                <w:bCs w:val="1"/>
                <w:color w:val="auto"/>
              </w:rPr>
              <w:t>12,454</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40"/>
              <w:spacing w:after="0" w:line="183" w:lineRule="exact"/>
              <w:rPr>
                <w:sz w:val="20"/>
                <w:szCs w:val="20"/>
                <w:color w:val="auto"/>
              </w:rPr>
            </w:pPr>
            <w:r>
              <w:rPr>
                <w:rFonts w:ascii="Arial" w:cs="Arial" w:eastAsia="Arial" w:hAnsi="Arial"/>
                <w:sz w:val="16"/>
                <w:szCs w:val="16"/>
                <w:color w:val="auto"/>
              </w:rPr>
              <w:t>7,476</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first-quarter estimated annual effective tax rate on continuing operations was 36.5 percent in 2020, compared to 29.4 percent for the same period in 2019.</w:t>
      </w:r>
    </w:p>
    <w:p>
      <w:pPr>
        <w:spacing w:after="0" w:line="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Company’s tax rate is affected by recurring items such as the income tax rate in the U.S. and in non-U.S. jurisdictions and the mix of income earned in those jurisdictions, including changes in losses and income from excluded loss jurisdictions, and the impact of discrete items in the respective quarter. The unusually higher estimated Q1 2020 income tax rate is primarily driven by an increase in losses in a foreign jurisdiction that is excluded in calculating the quarterly income tax provision.</w:t>
      </w:r>
    </w:p>
    <w:p>
      <w:pPr>
        <w:spacing w:after="0" w:line="9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$144 million of current year and prior year earnings of the Company’s foreign operations. If these earnings were distributed, the Company would be subject to foreign withholding taxes of $2.2 million and state income taxes of $2.4 million, which have already been recorded.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2007 to 2020. The Company is currently under audit in U.S and non-U.S. tax jurisdictions, including but not limited to New Hampshire, Canada and Italy. In the first quarter of 2020, the Company recorded a $1.8 million out-of-period immaterial charge related to developments in ongoing tax audits, which resulted in a corresponding decrease in deferred tax assets.</w:t>
      </w:r>
    </w:p>
    <w:p>
      <w:pPr>
        <w:spacing w:after="0" w:line="97"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Company’s subsidiary in Mexico has an intercompany loan payable in U.S. dollars. As a result of the weaker Mexican peso, the Company recorded a revaluation loss of $12.7 million in the first quarter of 2020. That foreign currency loss is not deductible under Mexican tax law, which led to a $3.7 million discrete tax charge in the first quarter of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3"/>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6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88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72"/>
        </w:trPr>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income attributable to the Company</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9,109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29,190</w:t>
            </w:r>
          </w:p>
        </w:tc>
        <w:tc>
          <w:tcPr>
            <w:tcW w:w="0" w:type="dxa"/>
            <w:vAlign w:val="bottom"/>
          </w:tcPr>
          <w:p>
            <w:pPr>
              <w:spacing w:after="0"/>
              <w:rPr>
                <w:sz w:val="1"/>
                <w:szCs w:val="1"/>
                <w:color w:val="auto"/>
              </w:rPr>
            </w:pPr>
          </w:p>
        </w:tc>
      </w:tr>
      <w:tr>
        <w:trPr>
          <w:trHeight w:val="373"/>
        </w:trPr>
        <w:tc>
          <w:tcPr>
            <w:tcW w:w="7880" w:type="dxa"/>
            <w:vAlign w:val="bottom"/>
          </w:tcPr>
          <w:p>
            <w:pPr>
              <w:spacing w:after="0"/>
              <w:rPr>
                <w:sz w:val="20"/>
                <w:szCs w:val="20"/>
                <w:color w:val="auto"/>
              </w:rPr>
            </w:pPr>
            <w:r>
              <w:rPr>
                <w:rFonts w:ascii="Arial" w:cs="Arial" w:eastAsia="Arial" w:hAnsi="Arial"/>
                <w:sz w:val="16"/>
                <w:szCs w:val="16"/>
                <w:b w:val="1"/>
                <w:bCs w:val="1"/>
                <w:color w:val="auto"/>
              </w:rPr>
              <w:t>Weighted average number of shares:</w:t>
            </w:r>
          </w:p>
        </w:tc>
        <w:tc>
          <w:tcPr>
            <w:tcW w:w="620" w:type="dxa"/>
            <w:vAlign w:val="bottom"/>
          </w:tcPr>
          <w:p>
            <w:pPr>
              <w:spacing w:after="0"/>
              <w:rPr>
                <w:sz w:val="24"/>
                <w:szCs w:val="24"/>
                <w:color w:val="auto"/>
              </w:rPr>
            </w:pPr>
          </w:p>
        </w:tc>
        <w:tc>
          <w:tcPr>
            <w:tcW w:w="6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32,312</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120"/>
              <w:spacing w:after="0" w:line="169" w:lineRule="exact"/>
              <w:rPr>
                <w:sz w:val="20"/>
                <w:szCs w:val="20"/>
                <w:color w:val="auto"/>
              </w:rPr>
            </w:pPr>
            <w:r>
              <w:rPr>
                <w:rFonts w:ascii="Arial" w:cs="Arial" w:eastAsia="Arial" w:hAnsi="Arial"/>
                <w:sz w:val="16"/>
                <w:szCs w:val="16"/>
                <w:color w:val="auto"/>
              </w:rPr>
              <w:t>Weighted average number of shares used in calculating basic net income per share</w:t>
            </w:r>
          </w:p>
        </w:tc>
        <w:tc>
          <w:tcPr>
            <w:tcW w:w="6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460"/>
              <w:spacing w:after="0" w:line="169" w:lineRule="exact"/>
              <w:rPr>
                <w:sz w:val="20"/>
                <w:szCs w:val="20"/>
                <w:color w:val="auto"/>
              </w:rPr>
            </w:pPr>
            <w:r>
              <w:rPr>
                <w:rFonts w:ascii="Arial" w:cs="Arial" w:eastAsia="Arial" w:hAnsi="Arial"/>
                <w:sz w:val="16"/>
                <w:szCs w:val="16"/>
                <w:color w:val="auto"/>
              </w:rPr>
              <w:t>32,272</w:t>
            </w:r>
          </w:p>
        </w:tc>
        <w:tc>
          <w:tcPr>
            <w:tcW w:w="0" w:type="dxa"/>
            <w:vAlign w:val="bottom"/>
          </w:tcPr>
          <w:p>
            <w:pPr>
              <w:spacing w:after="0"/>
              <w:rPr>
                <w:sz w:val="1"/>
                <w:szCs w:val="1"/>
                <w:color w:val="auto"/>
              </w:rPr>
            </w:pPr>
          </w:p>
        </w:tc>
      </w:tr>
      <w:tr>
        <w:trPr>
          <w:trHeight w:val="209"/>
        </w:trPr>
        <w:tc>
          <w:tcPr>
            <w:tcW w:w="7880" w:type="dxa"/>
            <w:vAlign w:val="bottom"/>
          </w:tcPr>
          <w:p>
            <w:pPr>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620" w:type="dxa"/>
            <w:vAlign w:val="bottom"/>
          </w:tcPr>
          <w:p>
            <w:pPr>
              <w:spacing w:after="0"/>
              <w:rPr>
                <w:sz w:val="18"/>
                <w:szCs w:val="18"/>
                <w:color w:val="auto"/>
              </w:rPr>
            </w:pPr>
          </w:p>
        </w:tc>
        <w:tc>
          <w:tcPr>
            <w:tcW w:w="6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8</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8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Stock options</w:t>
            </w:r>
          </w:p>
        </w:tc>
        <w:tc>
          <w:tcPr>
            <w:tcW w:w="6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72"/>
        </w:trPr>
        <w:tc>
          <w:tcPr>
            <w:tcW w:w="78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Weighted average number of shares used in calculating diluted net income per share</w:t>
            </w: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32,320</w:t>
            </w:r>
          </w:p>
        </w:tc>
        <w:tc>
          <w:tcPr>
            <w:tcW w:w="10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32,285</w:t>
            </w:r>
          </w:p>
        </w:tc>
        <w:tc>
          <w:tcPr>
            <w:tcW w:w="0" w:type="dxa"/>
            <w:vAlign w:val="bottom"/>
          </w:tcPr>
          <w:p>
            <w:pPr>
              <w:spacing w:after="0"/>
              <w:rPr>
                <w:sz w:val="1"/>
                <w:szCs w:val="1"/>
                <w:color w:val="auto"/>
              </w:rPr>
            </w:pPr>
          </w:p>
        </w:tc>
      </w:tr>
      <w:tr>
        <w:trPr>
          <w:trHeight w:val="379"/>
        </w:trPr>
        <w:tc>
          <w:tcPr>
            <w:tcW w:w="7880" w:type="dxa"/>
            <w:vAlign w:val="bottom"/>
          </w:tcPr>
          <w:p>
            <w:pPr>
              <w:ind w:left="120"/>
              <w:spacing w:after="0"/>
              <w:rPr>
                <w:sz w:val="20"/>
                <w:szCs w:val="20"/>
                <w:color w:val="auto"/>
              </w:rPr>
            </w:pPr>
            <w:r>
              <w:rPr>
                <w:rFonts w:ascii="Arial" w:cs="Arial" w:eastAsia="Arial" w:hAnsi="Arial"/>
                <w:sz w:val="16"/>
                <w:szCs w:val="16"/>
                <w:color w:val="auto"/>
              </w:rPr>
              <w:t>Average market price of common stock used for calculation of dilutive shares</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b w:val="1"/>
                <w:bCs w:val="1"/>
                <w:color w:val="auto"/>
              </w:rPr>
              <w:t>65.47</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0"/>
              <w:spacing w:after="0"/>
              <w:rPr>
                <w:sz w:val="20"/>
                <w:szCs w:val="20"/>
                <w:color w:val="auto"/>
              </w:rPr>
            </w:pPr>
            <w:r>
              <w:rPr>
                <w:rFonts w:ascii="Arial" w:cs="Arial" w:eastAsia="Arial" w:hAnsi="Arial"/>
                <w:sz w:val="16"/>
                <w:szCs w:val="16"/>
                <w:color w:val="auto"/>
              </w:rPr>
              <w:t>71.24</w:t>
            </w:r>
          </w:p>
        </w:tc>
        <w:tc>
          <w:tcPr>
            <w:tcW w:w="0" w:type="dxa"/>
            <w:vAlign w:val="bottom"/>
          </w:tcPr>
          <w:p>
            <w:pPr>
              <w:spacing w:after="0"/>
              <w:rPr>
                <w:sz w:val="1"/>
                <w:szCs w:val="1"/>
                <w:color w:val="auto"/>
              </w:rPr>
            </w:pPr>
          </w:p>
        </w:tc>
      </w:tr>
      <w:tr>
        <w:trPr>
          <w:trHeight w:val="372"/>
        </w:trPr>
        <w:tc>
          <w:tcPr>
            <w:tcW w:w="7880" w:type="dxa"/>
            <w:vAlign w:val="bottom"/>
          </w:tcPr>
          <w:p>
            <w:pPr>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0.28</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120"/>
              <w:spacing w:after="0" w:line="169" w:lineRule="exact"/>
              <w:rPr>
                <w:sz w:val="20"/>
                <w:szCs w:val="20"/>
                <w:color w:val="auto"/>
              </w:rPr>
            </w:pPr>
            <w:r>
              <w:rPr>
                <w:rFonts w:ascii="Arial" w:cs="Arial" w:eastAsia="Arial" w:hAnsi="Arial"/>
                <w:sz w:val="16"/>
                <w:szCs w:val="16"/>
                <w:color w:val="auto"/>
              </w:rPr>
              <w:t>Basic</w:t>
            </w:r>
          </w:p>
        </w:tc>
        <w:tc>
          <w:tcPr>
            <w:tcW w:w="6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440"/>
              <w:spacing w:after="0" w:line="169" w:lineRule="exact"/>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Diluted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0.28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Accumulated Other Comprehensive Income (AOCI)</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2019 to March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Pension and</w:t>
            </w:r>
          </w:p>
        </w:tc>
        <w:tc>
          <w:tcPr>
            <w:tcW w:w="3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r>
      <w:tr>
        <w:trPr>
          <w:trHeight w:val="162"/>
        </w:trPr>
        <w:tc>
          <w:tcPr>
            <w:tcW w:w="5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postretirement</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Derivative</w:t>
            </w:r>
          </w:p>
        </w:tc>
        <w:tc>
          <w:tcPr>
            <w:tcW w:w="1400" w:type="dxa"/>
            <w:vAlign w:val="bottom"/>
          </w:tcPr>
          <w:p>
            <w:pPr>
              <w:jc w:val="center"/>
              <w:ind w:left="2"/>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5940" w:type="dxa"/>
            <w:vAlign w:val="bottom"/>
          </w:tcPr>
          <w:p>
            <w:pPr>
              <w:spacing w:after="0"/>
              <w:rPr>
                <w:sz w:val="14"/>
                <w:szCs w:val="14"/>
                <w:color w:val="auto"/>
              </w:rPr>
            </w:pPr>
          </w:p>
        </w:tc>
        <w:tc>
          <w:tcPr>
            <w:tcW w:w="1240" w:type="dxa"/>
            <w:vAlign w:val="bottom"/>
          </w:tcPr>
          <w:p>
            <w:pPr>
              <w:jc w:val="right"/>
              <w:ind w:right="181"/>
              <w:spacing w:after="0"/>
              <w:rPr>
                <w:sz w:val="20"/>
                <w:szCs w:val="20"/>
                <w:color w:val="auto"/>
              </w:rPr>
            </w:pPr>
            <w:r>
              <w:rPr>
                <w:rFonts w:ascii="Arial" w:cs="Arial" w:eastAsia="Arial" w:hAnsi="Arial"/>
                <w:sz w:val="14"/>
                <w:szCs w:val="14"/>
                <w:b w:val="1"/>
                <w:bCs w:val="1"/>
                <w:color w:val="auto"/>
              </w:rPr>
              <w:t>Translation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liability</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valuation</w:t>
            </w:r>
          </w:p>
        </w:tc>
        <w:tc>
          <w:tcPr>
            <w:tcW w:w="1400" w:type="dxa"/>
            <w:vAlign w:val="bottom"/>
          </w:tcPr>
          <w:p>
            <w:pPr>
              <w:jc w:val="center"/>
              <w:ind w:left="2"/>
              <w:spacing w:after="0"/>
              <w:rPr>
                <w:sz w:val="20"/>
                <w:szCs w:val="20"/>
                <w:color w:val="auto"/>
              </w:rPr>
            </w:pPr>
            <w:r>
              <w:rPr>
                <w:rFonts w:ascii="Arial" w:cs="Arial" w:eastAsia="Arial" w:hAnsi="Arial"/>
                <w:sz w:val="14"/>
                <w:szCs w:val="14"/>
                <w:b w:val="1"/>
                <w:bCs w:val="1"/>
                <w:color w:val="auto"/>
              </w:rPr>
              <w:t>Comprehensive</w:t>
            </w:r>
          </w:p>
        </w:tc>
      </w:tr>
      <w:tr>
        <w:trPr>
          <w:trHeight w:val="175"/>
        </w:trPr>
        <w:tc>
          <w:tcPr>
            <w:tcW w:w="5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adjustments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adjustment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w:t>
            </w:r>
          </w:p>
        </w:tc>
      </w:tr>
      <w:tr>
        <w:trPr>
          <w:trHeight w:val="183"/>
        </w:trPr>
        <w:tc>
          <w:tcPr>
            <w:tcW w:w="59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December 31, 2019</w:t>
            </w:r>
          </w:p>
        </w:tc>
        <w:tc>
          <w:tcPr>
            <w:tcW w:w="12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b w:val="1"/>
                <w:bCs w:val="1"/>
                <w:color w:val="auto"/>
              </w:rPr>
              <w:t>$( 122,852 )</w:t>
            </w:r>
          </w:p>
        </w:tc>
        <w:tc>
          <w:tcPr>
            <w:tcW w:w="1400" w:type="dxa"/>
            <w:vAlign w:val="bottom"/>
            <w:tcBorders>
              <w:bottom w:val="single" w:sz="8" w:color="auto"/>
            </w:tcBorders>
          </w:tcPr>
          <w:p>
            <w:pPr>
              <w:jc w:val="right"/>
              <w:ind w:right="203"/>
              <w:spacing w:after="0" w:line="183" w:lineRule="exact"/>
              <w:rPr>
                <w:sz w:val="20"/>
                <w:szCs w:val="20"/>
                <w:color w:val="auto"/>
              </w:rPr>
            </w:pPr>
            <w:r>
              <w:rPr>
                <w:rFonts w:ascii="Arial" w:cs="Arial" w:eastAsia="Arial" w:hAnsi="Arial"/>
                <w:sz w:val="16"/>
                <w:szCs w:val="16"/>
                <w:b w:val="1"/>
                <w:bCs w:val="1"/>
                <w:color w:val="auto"/>
              </w:rPr>
              <w:t>$( 49,994 )</w:t>
            </w:r>
          </w:p>
        </w:tc>
        <w:tc>
          <w:tcPr>
            <w:tcW w:w="38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( 3,135 )</w:t>
            </w:r>
          </w:p>
        </w:tc>
        <w:tc>
          <w:tcPr>
            <w:tcW w:w="1400" w:type="dxa"/>
            <w:vAlign w:val="bottom"/>
            <w:tcBorders>
              <w:bottom w:val="single" w:sz="8" w:color="auto"/>
            </w:tcBorders>
          </w:tcPr>
          <w:p>
            <w:pPr>
              <w:jc w:val="right"/>
              <w:ind w:right="122"/>
              <w:spacing w:after="0" w:line="183" w:lineRule="exact"/>
              <w:rPr>
                <w:sz w:val="20"/>
                <w:szCs w:val="20"/>
                <w:color w:val="auto"/>
              </w:rPr>
            </w:pPr>
            <w:r>
              <w:rPr>
                <w:rFonts w:ascii="Arial" w:cs="Arial" w:eastAsia="Arial" w:hAnsi="Arial"/>
                <w:sz w:val="16"/>
                <w:szCs w:val="16"/>
                <w:b w:val="1"/>
                <w:bCs w:val="1"/>
                <w:color w:val="auto"/>
              </w:rPr>
              <w:t>$( 175,981 )</w:t>
            </w:r>
          </w:p>
        </w:tc>
      </w:tr>
      <w:tr>
        <w:trPr>
          <w:trHeight w:val="184"/>
        </w:trPr>
        <w:tc>
          <w:tcPr>
            <w:tcW w:w="594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( 25,747 )</w:t>
            </w:r>
          </w:p>
        </w:tc>
        <w:tc>
          <w:tcPr>
            <w:tcW w:w="1400" w:type="dxa"/>
            <w:vAlign w:val="bottom"/>
          </w:tcPr>
          <w:p>
            <w:pPr>
              <w:jc w:val="right"/>
              <w:ind w:right="303"/>
              <w:spacing w:after="0"/>
              <w:rPr>
                <w:sz w:val="20"/>
                <w:szCs w:val="20"/>
                <w:color w:val="auto"/>
              </w:rPr>
            </w:pPr>
            <w:r>
              <w:rPr>
                <w:rFonts w:ascii="Arial" w:cs="Arial" w:eastAsia="Arial" w:hAnsi="Arial"/>
                <w:sz w:val="16"/>
                <w:szCs w:val="16"/>
                <w:color w:val="auto"/>
              </w:rPr>
              <w:t>792</w:t>
            </w:r>
          </w:p>
        </w:tc>
        <w:tc>
          <w:tcPr>
            <w:tcW w:w="3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( 8,011 )</w:t>
            </w:r>
          </w:p>
        </w:tc>
        <w:tc>
          <w:tcPr>
            <w:tcW w:w="1400" w:type="dxa"/>
            <w:vAlign w:val="bottom"/>
          </w:tcPr>
          <w:p>
            <w:pPr>
              <w:jc w:val="right"/>
              <w:ind w:right="122"/>
              <w:spacing w:after="0"/>
              <w:rPr>
                <w:sz w:val="20"/>
                <w:szCs w:val="20"/>
                <w:color w:val="auto"/>
              </w:rPr>
            </w:pPr>
            <w:r>
              <w:rPr>
                <w:rFonts w:ascii="Arial" w:cs="Arial" w:eastAsia="Arial" w:hAnsi="Arial"/>
                <w:sz w:val="16"/>
                <w:szCs w:val="16"/>
                <w:color w:val="auto"/>
              </w:rPr>
              <w:t>( 32,966 )</w:t>
            </w:r>
          </w:p>
        </w:tc>
      </w:tr>
      <w:tr>
        <w:trPr>
          <w:trHeight w:val="189"/>
        </w:trPr>
        <w:tc>
          <w:tcPr>
            <w:tcW w:w="5940" w:type="dxa"/>
            <w:vAlign w:val="bottom"/>
          </w:tcPr>
          <w:p>
            <w:pPr>
              <w:spacing w:after="0"/>
              <w:rPr>
                <w:sz w:val="20"/>
                <w:szCs w:val="20"/>
                <w:color w:val="auto"/>
              </w:rPr>
            </w:pPr>
            <w:r>
              <w:rPr>
                <w:rFonts w:ascii="Arial" w:cs="Arial" w:eastAsia="Arial" w:hAnsi="Arial"/>
                <w:sz w:val="16"/>
                <w:szCs w:val="16"/>
                <w:color w:val="auto"/>
              </w:rPr>
              <w:t>Interest expense related to swaps reclassified to the Consolidated Statements of</w:t>
            </w:r>
          </w:p>
        </w:tc>
        <w:tc>
          <w:tcPr>
            <w:tcW w:w="1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5940" w:type="dxa"/>
            <w:vAlign w:val="bottom"/>
          </w:tcPr>
          <w:p>
            <w:pPr>
              <w:ind w:left="120"/>
              <w:spacing w:after="0"/>
              <w:rPr>
                <w:sz w:val="20"/>
                <w:szCs w:val="20"/>
                <w:color w:val="auto"/>
              </w:rPr>
            </w:pPr>
            <w:r>
              <w:rPr>
                <w:rFonts w:ascii="Arial" w:cs="Arial" w:eastAsia="Arial" w:hAnsi="Arial"/>
                <w:sz w:val="16"/>
                <w:szCs w:val="16"/>
                <w:color w:val="auto"/>
              </w:rPr>
              <w:t>Income, net of tax</w:t>
            </w:r>
          </w:p>
        </w:tc>
        <w:tc>
          <w:tcPr>
            <w:tcW w:w="12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303</w:t>
            </w:r>
          </w:p>
        </w:tc>
        <w:tc>
          <w:tcPr>
            <w:tcW w:w="1400" w:type="dxa"/>
            <w:vAlign w:val="bottom"/>
          </w:tcPr>
          <w:p>
            <w:pPr>
              <w:jc w:val="right"/>
              <w:ind w:right="222"/>
              <w:spacing w:after="0"/>
              <w:rPr>
                <w:sz w:val="20"/>
                <w:szCs w:val="20"/>
                <w:color w:val="auto"/>
              </w:rPr>
            </w:pPr>
            <w:r>
              <w:rPr>
                <w:rFonts w:ascii="Arial" w:cs="Arial" w:eastAsia="Arial" w:hAnsi="Arial"/>
                <w:sz w:val="16"/>
                <w:szCs w:val="16"/>
                <w:color w:val="auto"/>
              </w:rPr>
              <w:t>303</w:t>
            </w:r>
          </w:p>
        </w:tc>
      </w:tr>
      <w:tr>
        <w:trPr>
          <w:trHeight w:val="189"/>
        </w:trPr>
        <w:tc>
          <w:tcPr>
            <w:tcW w:w="5940" w:type="dxa"/>
            <w:vAlign w:val="bottom"/>
          </w:tcPr>
          <w:p>
            <w:pPr>
              <w:spacing w:after="0"/>
              <w:rPr>
                <w:sz w:val="20"/>
                <w:szCs w:val="20"/>
                <w:color w:val="auto"/>
              </w:rPr>
            </w:pPr>
            <w:r>
              <w:rPr>
                <w:rFonts w:ascii="Arial" w:cs="Arial" w:eastAsia="Arial" w:hAnsi="Arial"/>
                <w:sz w:val="16"/>
                <w:szCs w:val="16"/>
                <w:color w:val="auto"/>
              </w:rPr>
              <w:t>Pension and postretirement liability adjustments reclassified to Consolidated</w:t>
            </w:r>
          </w:p>
        </w:tc>
        <w:tc>
          <w:tcPr>
            <w:tcW w:w="1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7"/>
        </w:trPr>
        <w:tc>
          <w:tcPr>
            <w:tcW w:w="59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Statements of Income, net of tax</w:t>
            </w:r>
          </w:p>
        </w:tc>
        <w:tc>
          <w:tcPr>
            <w:tcW w:w="12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98</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98</w:t>
            </w:r>
          </w:p>
        </w:tc>
      </w:tr>
      <w:tr>
        <w:trPr>
          <w:trHeight w:val="183"/>
        </w:trPr>
        <w:tc>
          <w:tcPr>
            <w:tcW w:w="59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current period other comprehensive income</w:t>
            </w:r>
          </w:p>
        </w:tc>
        <w:tc>
          <w:tcPr>
            <w:tcW w:w="12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( 25,747 )</w:t>
            </w:r>
          </w:p>
        </w:tc>
        <w:tc>
          <w:tcPr>
            <w:tcW w:w="1400" w:type="dxa"/>
            <w:vAlign w:val="bottom"/>
            <w:tcBorders>
              <w:bottom w:val="single" w:sz="8" w:color="auto"/>
            </w:tcBorders>
          </w:tcPr>
          <w:p>
            <w:pPr>
              <w:jc w:val="right"/>
              <w:ind w:right="303"/>
              <w:spacing w:after="0" w:line="183" w:lineRule="exact"/>
              <w:rPr>
                <w:sz w:val="20"/>
                <w:szCs w:val="20"/>
                <w:color w:val="auto"/>
              </w:rPr>
            </w:pPr>
            <w:r>
              <w:rPr>
                <w:rFonts w:ascii="Arial" w:cs="Arial" w:eastAsia="Arial" w:hAnsi="Arial"/>
                <w:sz w:val="16"/>
                <w:szCs w:val="16"/>
                <w:color w:val="auto"/>
              </w:rPr>
              <w:t>890</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( 7,708 )</w:t>
            </w:r>
          </w:p>
        </w:tc>
        <w:tc>
          <w:tcPr>
            <w:tcW w:w="1400" w:type="dxa"/>
            <w:vAlign w:val="bottom"/>
            <w:tcBorders>
              <w:bottom w:val="single" w:sz="8" w:color="auto"/>
            </w:tcBorders>
          </w:tcPr>
          <w:p>
            <w:pPr>
              <w:jc w:val="right"/>
              <w:ind w:right="122"/>
              <w:spacing w:after="0" w:line="183" w:lineRule="exact"/>
              <w:rPr>
                <w:sz w:val="20"/>
                <w:szCs w:val="20"/>
                <w:color w:val="auto"/>
              </w:rPr>
            </w:pPr>
            <w:r>
              <w:rPr>
                <w:rFonts w:ascii="Arial" w:cs="Arial" w:eastAsia="Arial" w:hAnsi="Arial"/>
                <w:sz w:val="16"/>
                <w:szCs w:val="16"/>
                <w:color w:val="auto"/>
              </w:rPr>
              <w:t>( 32,565 )</w:t>
            </w:r>
          </w:p>
        </w:tc>
      </w:tr>
      <w:tr>
        <w:trPr>
          <w:trHeight w:val="183"/>
        </w:trPr>
        <w:tc>
          <w:tcPr>
            <w:tcW w:w="59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March 31, 2020</w:t>
            </w:r>
          </w:p>
        </w:tc>
        <w:tc>
          <w:tcPr>
            <w:tcW w:w="12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b w:val="1"/>
                <w:bCs w:val="1"/>
                <w:color w:val="auto"/>
              </w:rPr>
              <w:t>$( 148,599 )</w:t>
            </w:r>
          </w:p>
        </w:tc>
        <w:tc>
          <w:tcPr>
            <w:tcW w:w="1400" w:type="dxa"/>
            <w:vAlign w:val="bottom"/>
            <w:tcBorders>
              <w:bottom w:val="single" w:sz="8" w:color="auto"/>
            </w:tcBorders>
          </w:tcPr>
          <w:p>
            <w:pPr>
              <w:jc w:val="right"/>
              <w:ind w:right="203"/>
              <w:spacing w:after="0" w:line="183" w:lineRule="exact"/>
              <w:rPr>
                <w:sz w:val="20"/>
                <w:szCs w:val="20"/>
                <w:color w:val="auto"/>
              </w:rPr>
            </w:pPr>
            <w:r>
              <w:rPr>
                <w:rFonts w:ascii="Arial" w:cs="Arial" w:eastAsia="Arial" w:hAnsi="Arial"/>
                <w:sz w:val="16"/>
                <w:szCs w:val="16"/>
                <w:b w:val="1"/>
                <w:bCs w:val="1"/>
                <w:color w:val="auto"/>
              </w:rPr>
              <w:t>$( 49,104 )</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w w:val="96"/>
              </w:rPr>
              <w:t>( 10,843 )</w:t>
            </w:r>
          </w:p>
        </w:tc>
        <w:tc>
          <w:tcPr>
            <w:tcW w:w="1400" w:type="dxa"/>
            <w:vAlign w:val="bottom"/>
            <w:tcBorders>
              <w:bottom w:val="single" w:sz="8" w:color="auto"/>
            </w:tcBorders>
          </w:tcPr>
          <w:p>
            <w:pPr>
              <w:jc w:val="right"/>
              <w:ind w:right="122"/>
              <w:spacing w:after="0" w:line="183" w:lineRule="exact"/>
              <w:rPr>
                <w:sz w:val="20"/>
                <w:szCs w:val="20"/>
                <w:color w:val="auto"/>
              </w:rPr>
            </w:pPr>
            <w:r>
              <w:rPr>
                <w:rFonts w:ascii="Arial" w:cs="Arial" w:eastAsia="Arial" w:hAnsi="Arial"/>
                <w:sz w:val="16"/>
                <w:szCs w:val="16"/>
                <w:b w:val="1"/>
                <w:bCs w:val="1"/>
                <w:color w:val="auto"/>
              </w:rPr>
              <w:t>$( 208,546 )</w:t>
            </w: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2018 to March 31,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Pension and</w:t>
            </w:r>
          </w:p>
        </w:tc>
        <w:tc>
          <w:tcPr>
            <w:tcW w:w="1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162"/>
        </w:trPr>
        <w:tc>
          <w:tcPr>
            <w:tcW w:w="5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postretirement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c>
          <w:tcPr>
            <w:tcW w:w="1420" w:type="dxa"/>
            <w:vAlign w:val="bottom"/>
          </w:tcPr>
          <w:p>
            <w:pPr>
              <w:jc w:val="center"/>
              <w:ind w:left="22"/>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5940" w:type="dxa"/>
            <w:vAlign w:val="bottom"/>
          </w:tcPr>
          <w:p>
            <w:pPr>
              <w:spacing w:after="0"/>
              <w:rPr>
                <w:sz w:val="14"/>
                <w:szCs w:val="14"/>
                <w:color w:val="auto"/>
              </w:rPr>
            </w:pPr>
          </w:p>
        </w:tc>
        <w:tc>
          <w:tcPr>
            <w:tcW w:w="1240" w:type="dxa"/>
            <w:vAlign w:val="bottom"/>
          </w:tcPr>
          <w:p>
            <w:pPr>
              <w:jc w:val="right"/>
              <w:ind w:right="181"/>
              <w:spacing w:after="0"/>
              <w:rPr>
                <w:sz w:val="20"/>
                <w:szCs w:val="20"/>
                <w:color w:val="auto"/>
              </w:rPr>
            </w:pPr>
            <w:r>
              <w:rPr>
                <w:rFonts w:ascii="Arial" w:cs="Arial" w:eastAsia="Arial" w:hAnsi="Arial"/>
                <w:sz w:val="14"/>
                <w:szCs w:val="14"/>
                <w:b w:val="1"/>
                <w:bCs w:val="1"/>
                <w:color w:val="auto"/>
              </w:rPr>
              <w:t>Translation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liability</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valuation</w:t>
            </w:r>
          </w:p>
        </w:tc>
        <w:tc>
          <w:tcPr>
            <w:tcW w:w="1420" w:type="dxa"/>
            <w:vAlign w:val="bottom"/>
          </w:tcPr>
          <w:p>
            <w:pPr>
              <w:jc w:val="center"/>
              <w:ind w:left="22"/>
              <w:spacing w:after="0"/>
              <w:rPr>
                <w:sz w:val="20"/>
                <w:szCs w:val="20"/>
                <w:color w:val="auto"/>
              </w:rPr>
            </w:pPr>
            <w:r>
              <w:rPr>
                <w:rFonts w:ascii="Arial" w:cs="Arial" w:eastAsia="Arial" w:hAnsi="Arial"/>
                <w:sz w:val="14"/>
                <w:szCs w:val="14"/>
                <w:b w:val="1"/>
                <w:bCs w:val="1"/>
                <w:color w:val="auto"/>
              </w:rPr>
              <w:t>Comprehensive</w:t>
            </w:r>
          </w:p>
        </w:tc>
      </w:tr>
      <w:tr>
        <w:trPr>
          <w:trHeight w:val="175"/>
        </w:trPr>
        <w:tc>
          <w:tcPr>
            <w:tcW w:w="5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adjustments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w:t>
            </w:r>
          </w:p>
        </w:tc>
        <w:tc>
          <w:tcPr>
            <w:tcW w:w="14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Income</w:t>
            </w:r>
          </w:p>
        </w:tc>
      </w:tr>
      <w:tr>
        <w:trPr>
          <w:trHeight w:val="183"/>
        </w:trPr>
        <w:tc>
          <w:tcPr>
            <w:tcW w:w="59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December 31, 2018</w:t>
            </w:r>
          </w:p>
        </w:tc>
        <w:tc>
          <w:tcPr>
            <w:tcW w:w="12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b w:val="1"/>
                <w:bCs w:val="1"/>
                <w:color w:val="auto"/>
              </w:rPr>
              <w:t>$( 115,976 )</w:t>
            </w:r>
          </w:p>
        </w:tc>
        <w:tc>
          <w:tcPr>
            <w:tcW w:w="1440" w:type="dxa"/>
            <w:vAlign w:val="bottom"/>
            <w:tcBorders>
              <w:bottom w:val="single" w:sz="8" w:color="auto"/>
            </w:tcBorders>
          </w:tcPr>
          <w:p>
            <w:pPr>
              <w:jc w:val="right"/>
              <w:ind w:right="242"/>
              <w:spacing w:after="0" w:line="183" w:lineRule="exact"/>
              <w:rPr>
                <w:sz w:val="20"/>
                <w:szCs w:val="20"/>
                <w:color w:val="auto"/>
              </w:rPr>
            </w:pPr>
            <w:r>
              <w:rPr>
                <w:rFonts w:ascii="Arial" w:cs="Arial" w:eastAsia="Arial" w:hAnsi="Arial"/>
                <w:sz w:val="16"/>
                <w:szCs w:val="16"/>
                <w:b w:val="1"/>
                <w:bCs w:val="1"/>
                <w:color w:val="auto"/>
              </w:rPr>
              <w:t>$( 47,109 )</w:t>
            </w:r>
          </w:p>
        </w:tc>
        <w:tc>
          <w:tcPr>
            <w:tcW w:w="12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$ 4,697</w:t>
            </w:r>
          </w:p>
        </w:tc>
        <w:tc>
          <w:tcPr>
            <w:tcW w:w="1420" w:type="dxa"/>
            <w:vAlign w:val="bottom"/>
            <w:tcBorders>
              <w:bottom w:val="single" w:sz="8" w:color="auto"/>
            </w:tcBorders>
          </w:tcPr>
          <w:p>
            <w:pPr>
              <w:jc w:val="right"/>
              <w:ind w:right="122"/>
              <w:spacing w:after="0" w:line="183" w:lineRule="exact"/>
              <w:rPr>
                <w:sz w:val="20"/>
                <w:szCs w:val="20"/>
                <w:color w:val="auto"/>
              </w:rPr>
            </w:pPr>
            <w:r>
              <w:rPr>
                <w:rFonts w:ascii="Arial" w:cs="Arial" w:eastAsia="Arial" w:hAnsi="Arial"/>
                <w:sz w:val="16"/>
                <w:szCs w:val="16"/>
                <w:b w:val="1"/>
                <w:bCs w:val="1"/>
                <w:color w:val="auto"/>
              </w:rPr>
              <w:t>$( 158,388 )</w:t>
            </w:r>
          </w:p>
        </w:tc>
      </w:tr>
      <w:tr>
        <w:trPr>
          <w:trHeight w:val="184"/>
        </w:trPr>
        <w:tc>
          <w:tcPr>
            <w:tcW w:w="594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(654)</w:t>
            </w:r>
          </w:p>
        </w:tc>
        <w:tc>
          <w:tcPr>
            <w:tcW w:w="1440" w:type="dxa"/>
            <w:vAlign w:val="bottom"/>
          </w:tcPr>
          <w:p>
            <w:pPr>
              <w:jc w:val="right"/>
              <w:ind w:right="242"/>
              <w:spacing w:after="0"/>
              <w:rPr>
                <w:sz w:val="20"/>
                <w:szCs w:val="20"/>
                <w:color w:val="auto"/>
              </w:rPr>
            </w:pPr>
            <w:r>
              <w:rPr>
                <w:rFonts w:ascii="Arial" w:cs="Arial" w:eastAsia="Arial" w:hAnsi="Arial"/>
                <w:sz w:val="16"/>
                <w:szCs w:val="16"/>
                <w:color w:val="auto"/>
              </w:rPr>
              <w:t>(152)</w:t>
            </w:r>
          </w:p>
        </w:tc>
        <w:tc>
          <w:tcPr>
            <w:tcW w:w="1200" w:type="dxa"/>
            <w:vAlign w:val="bottom"/>
          </w:tcPr>
          <w:p>
            <w:pPr>
              <w:jc w:val="right"/>
              <w:ind w:right="142"/>
              <w:spacing w:after="0"/>
              <w:rPr>
                <w:sz w:val="20"/>
                <w:szCs w:val="20"/>
                <w:color w:val="auto"/>
              </w:rPr>
            </w:pPr>
            <w:r>
              <w:rPr>
                <w:rFonts w:ascii="Arial" w:cs="Arial" w:eastAsia="Arial" w:hAnsi="Arial"/>
                <w:sz w:val="16"/>
                <w:szCs w:val="16"/>
                <w:color w:val="auto"/>
              </w:rPr>
              <w:t>( 2,514 )</w:t>
            </w: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( 3,320 )</w:t>
            </w:r>
          </w:p>
        </w:tc>
      </w:tr>
      <w:tr>
        <w:trPr>
          <w:trHeight w:val="189"/>
        </w:trPr>
        <w:tc>
          <w:tcPr>
            <w:tcW w:w="5940" w:type="dxa"/>
            <w:vAlign w:val="bottom"/>
          </w:tcPr>
          <w:p>
            <w:pPr>
              <w:spacing w:after="0"/>
              <w:rPr>
                <w:sz w:val="20"/>
                <w:szCs w:val="20"/>
                <w:color w:val="auto"/>
              </w:rPr>
            </w:pPr>
            <w:r>
              <w:rPr>
                <w:rFonts w:ascii="Arial" w:cs="Arial" w:eastAsia="Arial" w:hAnsi="Arial"/>
                <w:sz w:val="16"/>
                <w:szCs w:val="16"/>
                <w:color w:val="auto"/>
              </w:rPr>
              <w:t>Interest expense related to swaps reclassified to the Consolidated Statements of</w:t>
            </w: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940" w:type="dxa"/>
            <w:vAlign w:val="bottom"/>
          </w:tcPr>
          <w:p>
            <w:pPr>
              <w:ind w:left="120"/>
              <w:spacing w:after="0"/>
              <w:rPr>
                <w:sz w:val="20"/>
                <w:szCs w:val="20"/>
                <w:color w:val="auto"/>
              </w:rPr>
            </w:pPr>
            <w:r>
              <w:rPr>
                <w:rFonts w:ascii="Arial" w:cs="Arial" w:eastAsia="Arial" w:hAnsi="Arial"/>
                <w:sz w:val="16"/>
                <w:szCs w:val="16"/>
                <w:color w:val="auto"/>
              </w:rPr>
              <w:t>Income, net of tax</w:t>
            </w:r>
          </w:p>
        </w:tc>
        <w:tc>
          <w:tcPr>
            <w:tcW w:w="12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2"/>
              <w:spacing w:after="0"/>
              <w:rPr>
                <w:sz w:val="20"/>
                <w:szCs w:val="20"/>
                <w:color w:val="auto"/>
              </w:rPr>
            </w:pPr>
            <w:r>
              <w:rPr>
                <w:rFonts w:ascii="Arial" w:cs="Arial" w:eastAsia="Arial" w:hAnsi="Arial"/>
                <w:sz w:val="16"/>
                <w:szCs w:val="16"/>
                <w:color w:val="auto"/>
              </w:rPr>
              <w:t>(337)</w:t>
            </w:r>
          </w:p>
        </w:tc>
        <w:tc>
          <w:tcPr>
            <w:tcW w:w="1420" w:type="dxa"/>
            <w:vAlign w:val="bottom"/>
          </w:tcPr>
          <w:p>
            <w:pPr>
              <w:jc w:val="right"/>
              <w:ind w:right="122"/>
              <w:spacing w:after="0"/>
              <w:rPr>
                <w:sz w:val="20"/>
                <w:szCs w:val="20"/>
                <w:color w:val="auto"/>
              </w:rPr>
            </w:pPr>
            <w:r>
              <w:rPr>
                <w:rFonts w:ascii="Arial" w:cs="Arial" w:eastAsia="Arial" w:hAnsi="Arial"/>
                <w:sz w:val="16"/>
                <w:szCs w:val="16"/>
                <w:color w:val="auto"/>
              </w:rPr>
              <w:t>(337)</w:t>
            </w:r>
          </w:p>
        </w:tc>
      </w:tr>
      <w:tr>
        <w:trPr>
          <w:trHeight w:val="189"/>
        </w:trPr>
        <w:tc>
          <w:tcPr>
            <w:tcW w:w="5940" w:type="dxa"/>
            <w:vAlign w:val="bottom"/>
          </w:tcPr>
          <w:p>
            <w:pPr>
              <w:spacing w:after="0"/>
              <w:rPr>
                <w:sz w:val="20"/>
                <w:szCs w:val="20"/>
                <w:color w:val="auto"/>
              </w:rPr>
            </w:pPr>
            <w:r>
              <w:rPr>
                <w:rFonts w:ascii="Arial" w:cs="Arial" w:eastAsia="Arial" w:hAnsi="Arial"/>
                <w:sz w:val="16"/>
                <w:szCs w:val="16"/>
                <w:color w:val="auto"/>
              </w:rPr>
              <w:t>Pension and postretirement liability adjustments reclassified to Consolidated</w:t>
            </w: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940" w:type="dxa"/>
            <w:vAlign w:val="bottom"/>
          </w:tcPr>
          <w:p>
            <w:pPr>
              <w:ind w:left="120"/>
              <w:spacing w:after="0"/>
              <w:rPr>
                <w:sz w:val="20"/>
                <w:szCs w:val="20"/>
                <w:color w:val="auto"/>
              </w:rPr>
            </w:pPr>
            <w:r>
              <w:rPr>
                <w:rFonts w:ascii="Arial" w:cs="Arial" w:eastAsia="Arial" w:hAnsi="Arial"/>
                <w:sz w:val="16"/>
                <w:szCs w:val="16"/>
                <w:color w:val="auto"/>
              </w:rPr>
              <w:t>Statements of Income, net of tax</w:t>
            </w:r>
          </w:p>
        </w:tc>
        <w:tc>
          <w:tcPr>
            <w:tcW w:w="12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42"/>
              <w:spacing w:after="0"/>
              <w:rPr>
                <w:sz w:val="20"/>
                <w:szCs w:val="20"/>
                <w:color w:val="auto"/>
              </w:rPr>
            </w:pPr>
            <w:r>
              <w:rPr>
                <w:rFonts w:ascii="Arial" w:cs="Arial" w:eastAsia="Arial" w:hAnsi="Arial"/>
                <w:sz w:val="16"/>
                <w:szCs w:val="16"/>
                <w:color w:val="auto"/>
              </w:rPr>
              <w:t>11</w:t>
            </w:r>
          </w:p>
        </w:tc>
        <w:tc>
          <w:tcPr>
            <w:tcW w:w="12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22"/>
              <w:spacing w:after="0"/>
              <w:rPr>
                <w:sz w:val="20"/>
                <w:szCs w:val="20"/>
                <w:color w:val="auto"/>
              </w:rPr>
            </w:pPr>
            <w:r>
              <w:rPr>
                <w:rFonts w:ascii="Arial" w:cs="Arial" w:eastAsia="Arial" w:hAnsi="Arial"/>
                <w:sz w:val="16"/>
                <w:szCs w:val="16"/>
                <w:color w:val="auto"/>
              </w:rPr>
              <w:t>11</w:t>
            </w:r>
          </w:p>
        </w:tc>
      </w:tr>
      <w:tr>
        <w:trPr>
          <w:trHeight w:val="187"/>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Adjustment related to prior period change in opening valuation allowance</w:t>
            </w:r>
          </w:p>
        </w:tc>
        <w:tc>
          <w:tcPr>
            <w:tcW w:w="12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( 1,346 )</w:t>
            </w: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( 1,346 )</w:t>
            </w:r>
          </w:p>
        </w:tc>
      </w:tr>
      <w:tr>
        <w:trPr>
          <w:trHeight w:val="183"/>
        </w:trPr>
        <w:tc>
          <w:tcPr>
            <w:tcW w:w="59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current period other comprehensive income</w:t>
            </w:r>
          </w:p>
        </w:tc>
        <w:tc>
          <w:tcPr>
            <w:tcW w:w="124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color w:val="auto"/>
              </w:rPr>
              <w:t>(654)</w:t>
            </w:r>
          </w:p>
        </w:tc>
        <w:tc>
          <w:tcPr>
            <w:tcW w:w="1440" w:type="dxa"/>
            <w:vAlign w:val="bottom"/>
            <w:tcBorders>
              <w:bottom w:val="single" w:sz="8" w:color="auto"/>
            </w:tcBorders>
          </w:tcPr>
          <w:p>
            <w:pPr>
              <w:jc w:val="right"/>
              <w:ind w:right="242"/>
              <w:spacing w:after="0" w:line="183" w:lineRule="exact"/>
              <w:rPr>
                <w:sz w:val="20"/>
                <w:szCs w:val="20"/>
                <w:color w:val="auto"/>
              </w:rPr>
            </w:pPr>
            <w:r>
              <w:rPr>
                <w:rFonts w:ascii="Arial" w:cs="Arial" w:eastAsia="Arial" w:hAnsi="Arial"/>
                <w:sz w:val="16"/>
                <w:szCs w:val="16"/>
                <w:color w:val="auto"/>
              </w:rPr>
              <w:t>( 1,487 )</w:t>
            </w:r>
          </w:p>
        </w:tc>
        <w:tc>
          <w:tcPr>
            <w:tcW w:w="1200" w:type="dxa"/>
            <w:vAlign w:val="bottom"/>
            <w:tcBorders>
              <w:bottom w:val="single" w:sz="8" w:color="auto"/>
            </w:tcBorders>
          </w:tcPr>
          <w:p>
            <w:pPr>
              <w:jc w:val="right"/>
              <w:ind w:right="142"/>
              <w:spacing w:after="0" w:line="183" w:lineRule="exact"/>
              <w:rPr>
                <w:sz w:val="20"/>
                <w:szCs w:val="20"/>
                <w:color w:val="auto"/>
              </w:rPr>
            </w:pPr>
            <w:r>
              <w:rPr>
                <w:rFonts w:ascii="Arial" w:cs="Arial" w:eastAsia="Arial" w:hAnsi="Arial"/>
                <w:sz w:val="16"/>
                <w:szCs w:val="16"/>
                <w:color w:val="auto"/>
              </w:rPr>
              <w:t>( 2,851 )</w:t>
            </w:r>
          </w:p>
        </w:tc>
        <w:tc>
          <w:tcPr>
            <w:tcW w:w="1420" w:type="dxa"/>
            <w:vAlign w:val="bottom"/>
            <w:tcBorders>
              <w:bottom w:val="single" w:sz="8" w:color="auto"/>
            </w:tcBorders>
          </w:tcPr>
          <w:p>
            <w:pPr>
              <w:jc w:val="right"/>
              <w:ind w:right="122"/>
              <w:spacing w:after="0" w:line="183" w:lineRule="exact"/>
              <w:rPr>
                <w:sz w:val="20"/>
                <w:szCs w:val="20"/>
                <w:color w:val="auto"/>
              </w:rPr>
            </w:pPr>
            <w:r>
              <w:rPr>
                <w:rFonts w:ascii="Arial" w:cs="Arial" w:eastAsia="Arial" w:hAnsi="Arial"/>
                <w:sz w:val="16"/>
                <w:szCs w:val="16"/>
                <w:color w:val="auto"/>
              </w:rPr>
              <w:t>( 4,992 )</w:t>
            </w:r>
          </w:p>
        </w:tc>
      </w:tr>
      <w:tr>
        <w:trPr>
          <w:trHeight w:val="183"/>
        </w:trPr>
        <w:tc>
          <w:tcPr>
            <w:tcW w:w="59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March 31, 2019</w:t>
            </w:r>
          </w:p>
        </w:tc>
        <w:tc>
          <w:tcPr>
            <w:tcW w:w="12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b w:val="1"/>
                <w:bCs w:val="1"/>
                <w:color w:val="auto"/>
              </w:rPr>
              <w:t>$( 116,630 )</w:t>
            </w:r>
          </w:p>
        </w:tc>
        <w:tc>
          <w:tcPr>
            <w:tcW w:w="1440" w:type="dxa"/>
            <w:vAlign w:val="bottom"/>
            <w:tcBorders>
              <w:bottom w:val="single" w:sz="8" w:color="auto"/>
            </w:tcBorders>
          </w:tcPr>
          <w:p>
            <w:pPr>
              <w:jc w:val="right"/>
              <w:ind w:right="242"/>
              <w:spacing w:after="0" w:line="183" w:lineRule="exact"/>
              <w:rPr>
                <w:sz w:val="20"/>
                <w:szCs w:val="20"/>
                <w:color w:val="auto"/>
              </w:rPr>
            </w:pPr>
            <w:r>
              <w:rPr>
                <w:rFonts w:ascii="Arial" w:cs="Arial" w:eastAsia="Arial" w:hAnsi="Arial"/>
                <w:sz w:val="16"/>
                <w:szCs w:val="16"/>
                <w:b w:val="1"/>
                <w:bCs w:val="1"/>
                <w:color w:val="auto"/>
              </w:rPr>
              <w:t>$( 48,596 )</w:t>
            </w:r>
          </w:p>
        </w:tc>
        <w:tc>
          <w:tcPr>
            <w:tcW w:w="12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$ 1,846</w:t>
            </w:r>
          </w:p>
        </w:tc>
        <w:tc>
          <w:tcPr>
            <w:tcW w:w="1420" w:type="dxa"/>
            <w:vAlign w:val="bottom"/>
            <w:tcBorders>
              <w:bottom w:val="single" w:sz="8" w:color="auto"/>
            </w:tcBorders>
          </w:tcPr>
          <w:p>
            <w:pPr>
              <w:jc w:val="right"/>
              <w:ind w:right="122"/>
              <w:spacing w:after="0" w:line="183" w:lineRule="exact"/>
              <w:rPr>
                <w:sz w:val="20"/>
                <w:szCs w:val="20"/>
                <w:color w:val="auto"/>
              </w:rPr>
            </w:pPr>
            <w:r>
              <w:rPr>
                <w:rFonts w:ascii="Arial" w:cs="Arial" w:eastAsia="Arial" w:hAnsi="Arial"/>
                <w:sz w:val="16"/>
                <w:szCs w:val="16"/>
                <w:b w:val="1"/>
                <w:bCs w:val="1"/>
                <w:color w:val="auto"/>
              </w:rPr>
              <w:t>$( 163,380 )</w:t>
            </w:r>
          </w:p>
        </w:tc>
      </w:tr>
    </w:tbl>
    <w:p>
      <w:pPr>
        <w:spacing w:after="0" w:line="2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Statement of Income that were affected for the three months ended March 31, 2020 and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gridSpan w:val="3"/>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7880" w:type="dxa"/>
            <w:vAlign w:val="bottom"/>
          </w:tcPr>
          <w:p>
            <w:pPr>
              <w:spacing w:after="0"/>
              <w:rPr>
                <w:sz w:val="20"/>
                <w:szCs w:val="20"/>
                <w:color w:val="auto"/>
              </w:rPr>
            </w:pPr>
            <w:r>
              <w:rPr>
                <w:rFonts w:ascii="Arial" w:cs="Arial" w:eastAsia="Arial" w:hAnsi="Arial"/>
                <w:sz w:val="16"/>
                <w:szCs w:val="16"/>
                <w:b w:val="1"/>
                <w:bCs w:val="1"/>
                <w:color w:val="auto"/>
              </w:rPr>
              <w:t>Pretax Derivative valuation reclassified from Accumulated Other Comprehensive Income:</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407</w:t>
            </w: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120"/>
              <w:spacing w:after="0" w:line="169" w:lineRule="exact"/>
              <w:rPr>
                <w:sz w:val="20"/>
                <w:szCs w:val="20"/>
                <w:color w:val="auto"/>
              </w:rPr>
            </w:pPr>
            <w:r>
              <w:rPr>
                <w:rFonts w:ascii="Arial" w:cs="Arial" w:eastAsia="Arial" w:hAnsi="Arial"/>
                <w:sz w:val="16"/>
                <w:szCs w:val="16"/>
                <w:color w:val="auto"/>
              </w:rPr>
              <w:t>Expense/(income) related to interest rate swaps included in Income before taxes (a)</w:t>
            </w:r>
          </w:p>
        </w:tc>
        <w:tc>
          <w:tcPr>
            <w:tcW w:w="6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60" w:type="dxa"/>
            <w:vAlign w:val="bottom"/>
          </w:tcPr>
          <w:p>
            <w:pPr>
              <w:jc w:val="right"/>
              <w:ind w:right="41"/>
              <w:spacing w:after="0" w:line="169"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360"/>
              <w:spacing w:after="0" w:line="169" w:lineRule="exact"/>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Income tax effect</w:t>
            </w: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w:t>
            </w:r>
          </w:p>
        </w:tc>
        <w:tc>
          <w:tcPr>
            <w:tcW w:w="10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3"/>
        </w:trPr>
        <w:tc>
          <w:tcPr>
            <w:tcW w:w="78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Effect on net income due to items reclassified from Accumulated Other Comprehensive Income</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b w:val="1"/>
                <w:bCs w:val="1"/>
                <w:color w:val="auto"/>
              </w:rPr>
              <w:t>303</w:t>
            </w:r>
          </w:p>
        </w:tc>
        <w:tc>
          <w:tcPr>
            <w:tcW w:w="106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353"/>
        </w:trPr>
        <w:tc>
          <w:tcPr>
            <w:tcW w:w="7880" w:type="dxa"/>
            <w:vAlign w:val="bottom"/>
          </w:tcPr>
          <w:p>
            <w:pPr>
              <w:spacing w:after="0"/>
              <w:rPr>
                <w:sz w:val="20"/>
                <w:szCs w:val="20"/>
                <w:color w:val="auto"/>
              </w:rPr>
            </w:pPr>
            <w:r>
              <w:rPr>
                <w:rFonts w:ascii="Arial" w:cs="Arial" w:eastAsia="Arial" w:hAnsi="Arial"/>
                <w:sz w:val="16"/>
                <w:szCs w:val="16"/>
                <w:b w:val="1"/>
                <w:bCs w:val="1"/>
                <w:color w:val="auto"/>
              </w:rPr>
              <w:t>Pretax pension and postretirement liabilities reclassified from Accumulated Other Comprehensive</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880" w:type="dxa"/>
            <w:vAlign w:val="bottom"/>
          </w:tcPr>
          <w:p>
            <w:pPr>
              <w:ind w:left="120"/>
              <w:spacing w:after="0"/>
              <w:rPr>
                <w:sz w:val="20"/>
                <w:szCs w:val="20"/>
                <w:color w:val="auto"/>
              </w:rPr>
            </w:pPr>
            <w:r>
              <w:rPr>
                <w:rFonts w:ascii="Arial" w:cs="Arial" w:eastAsia="Arial" w:hAnsi="Arial"/>
                <w:sz w:val="16"/>
                <w:szCs w:val="16"/>
                <w:b w:val="1"/>
                <w:bCs w:val="1"/>
                <w:color w:val="auto"/>
              </w:rPr>
              <w:t>Income:</w:t>
            </w: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( 1,114 )</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120"/>
              <w:spacing w:after="0" w:line="169" w:lineRule="exact"/>
              <w:rPr>
                <w:sz w:val="20"/>
                <w:szCs w:val="20"/>
                <w:color w:val="auto"/>
              </w:rPr>
            </w:pPr>
            <w:r>
              <w:rPr>
                <w:rFonts w:ascii="Arial" w:cs="Arial" w:eastAsia="Arial" w:hAnsi="Arial"/>
                <w:sz w:val="16"/>
                <w:szCs w:val="16"/>
                <w:color w:val="auto"/>
              </w:rPr>
              <w:t>Amortization of prior service credit</w:t>
            </w:r>
          </w:p>
        </w:tc>
        <w:tc>
          <w:tcPr>
            <w:tcW w:w="1280" w:type="dxa"/>
            <w:vAlign w:val="bottom"/>
            <w:gridSpan w:val="2"/>
            <w:vMerge w:val="continue"/>
          </w:tcPr>
          <w:p>
            <w:pPr>
              <w:spacing w:after="0"/>
              <w:rPr>
                <w:sz w:val="14"/>
                <w:szCs w:val="14"/>
                <w:color w:val="auto"/>
              </w:rPr>
            </w:pPr>
          </w:p>
        </w:tc>
        <w:tc>
          <w:tcPr>
            <w:tcW w:w="2080" w:type="dxa"/>
            <w:vAlign w:val="bottom"/>
            <w:gridSpan w:val="2"/>
          </w:tcPr>
          <w:p>
            <w:pPr>
              <w:jc w:val="right"/>
              <w:ind w:right="380"/>
              <w:spacing w:after="0" w:line="169" w:lineRule="exact"/>
              <w:rPr>
                <w:sz w:val="20"/>
                <w:szCs w:val="20"/>
                <w:color w:val="auto"/>
              </w:rPr>
            </w:pPr>
            <w:r>
              <w:rPr>
                <w:rFonts w:ascii="Arial" w:cs="Arial" w:eastAsia="Arial" w:hAnsi="Arial"/>
                <w:sz w:val="16"/>
                <w:szCs w:val="16"/>
                <w:color w:val="auto"/>
              </w:rPr>
              <w:t>( 1,105 )</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Amortization of net actuarial loss</w:t>
            </w: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1,244</w:t>
            </w:r>
          </w:p>
        </w:tc>
        <w:tc>
          <w:tcPr>
            <w:tcW w:w="10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164"/>
        </w:trPr>
        <w:tc>
          <w:tcPr>
            <w:tcW w:w="7880" w:type="dxa"/>
            <w:vAlign w:val="bottom"/>
          </w:tcPr>
          <w:p>
            <w:pPr>
              <w:spacing w:after="0" w:line="165" w:lineRule="exact"/>
              <w:rPr>
                <w:sz w:val="20"/>
                <w:szCs w:val="20"/>
                <w:color w:val="auto"/>
              </w:rPr>
            </w:pPr>
            <w:r>
              <w:rPr>
                <w:rFonts w:ascii="Arial" w:cs="Arial" w:eastAsia="Arial" w:hAnsi="Arial"/>
                <w:sz w:val="16"/>
                <w:szCs w:val="16"/>
                <w:color w:val="auto"/>
              </w:rPr>
              <w:t>Total pretax amount reclassified (b)</w:t>
            </w:r>
          </w:p>
        </w:tc>
        <w:tc>
          <w:tcPr>
            <w:tcW w:w="660" w:type="dxa"/>
            <w:vAlign w:val="bottom"/>
          </w:tcPr>
          <w:p>
            <w:pPr>
              <w:spacing w:after="0"/>
              <w:rPr>
                <w:sz w:val="14"/>
                <w:szCs w:val="14"/>
                <w:color w:val="auto"/>
              </w:rPr>
            </w:pPr>
          </w:p>
        </w:tc>
        <w:tc>
          <w:tcPr>
            <w:tcW w:w="620" w:type="dxa"/>
            <w:vAlign w:val="bottom"/>
          </w:tcPr>
          <w:p>
            <w:pPr>
              <w:jc w:val="right"/>
              <w:ind w:right="81"/>
              <w:spacing w:after="0" w:line="165" w:lineRule="exact"/>
              <w:rPr>
                <w:sz w:val="20"/>
                <w:szCs w:val="20"/>
                <w:color w:val="auto"/>
              </w:rPr>
            </w:pPr>
            <w:r>
              <w:rPr>
                <w:rFonts w:ascii="Arial" w:cs="Arial" w:eastAsia="Arial" w:hAnsi="Arial"/>
                <w:sz w:val="16"/>
                <w:szCs w:val="16"/>
                <w:b w:val="1"/>
                <w:bCs w:val="1"/>
                <w:color w:val="auto"/>
              </w:rPr>
              <w:t>130</w:t>
            </w:r>
          </w:p>
        </w:tc>
        <w:tc>
          <w:tcPr>
            <w:tcW w:w="1060" w:type="dxa"/>
            <w:vAlign w:val="bottom"/>
          </w:tcPr>
          <w:p>
            <w:pPr>
              <w:spacing w:after="0"/>
              <w:rPr>
                <w:sz w:val="14"/>
                <w:szCs w:val="14"/>
                <w:color w:val="auto"/>
              </w:rPr>
            </w:pPr>
          </w:p>
        </w:tc>
        <w:tc>
          <w:tcPr>
            <w:tcW w:w="1020" w:type="dxa"/>
            <w:vAlign w:val="bottom"/>
          </w:tcPr>
          <w:p>
            <w:pPr>
              <w:jc w:val="right"/>
              <w:ind w:right="480"/>
              <w:spacing w:after="0" w:line="165"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tax effect</w:t>
            </w: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(32)</w:t>
            </w:r>
          </w:p>
        </w:tc>
        <w:tc>
          <w:tcPr>
            <w:tcW w:w="10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( 5 )</w:t>
            </w:r>
          </w:p>
        </w:tc>
        <w:tc>
          <w:tcPr>
            <w:tcW w:w="0" w:type="dxa"/>
            <w:vAlign w:val="bottom"/>
          </w:tcPr>
          <w:p>
            <w:pPr>
              <w:spacing w:after="0"/>
              <w:rPr>
                <w:sz w:val="1"/>
                <w:szCs w:val="1"/>
                <w:color w:val="auto"/>
              </w:rPr>
            </w:pPr>
          </w:p>
        </w:tc>
      </w:tr>
      <w:tr>
        <w:trPr>
          <w:trHeight w:val="198"/>
        </w:trPr>
        <w:tc>
          <w:tcPr>
            <w:tcW w:w="7880" w:type="dxa"/>
            <w:vAlign w:val="bottom"/>
          </w:tcPr>
          <w:p>
            <w:pPr>
              <w:spacing w:after="0"/>
              <w:rPr>
                <w:sz w:val="20"/>
                <w:szCs w:val="20"/>
                <w:color w:val="auto"/>
              </w:rPr>
            </w:pPr>
            <w:r>
              <w:rPr>
                <w:rFonts w:ascii="Arial" w:cs="Arial" w:eastAsia="Arial" w:hAnsi="Arial"/>
                <w:sz w:val="16"/>
                <w:szCs w:val="16"/>
                <w:color w:val="auto"/>
              </w:rPr>
              <w:t>Effect on net income due to items reclassified from Accumulated Other Comprehensive Income</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61"/>
              <w:spacing w:after="0"/>
              <w:rPr>
                <w:sz w:val="20"/>
                <w:szCs w:val="20"/>
                <w:color w:val="auto"/>
              </w:rPr>
            </w:pPr>
            <w:r>
              <w:rPr>
                <w:rFonts w:ascii="Arial" w:cs="Arial" w:eastAsia="Arial" w:hAnsi="Arial"/>
                <w:sz w:val="16"/>
                <w:szCs w:val="16"/>
                <w:b w:val="1"/>
                <w:bCs w:val="1"/>
                <w:color w:val="auto"/>
              </w:rPr>
              <w:t>98</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Interest expense, net are payments related to the interest rate swap agreements and amortization of swap buyouts (see Notes 15 and 16).</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These accumulated other comprehensive income components are included in the computation of net periodic pension cost (see Note 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Noncontrolling Interest</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will be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9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percent equity interest, and increases over time as LEAP production increases.</w:t>
      </w:r>
    </w:p>
    <w:p>
      <w:pPr>
        <w:spacing w:after="0" w:line="97"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 Company’s subsidiary Albany Safran Composites, LLC:</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6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6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8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2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w w:val="96"/>
              </w:rPr>
              <w:t>2019</w:t>
            </w:r>
          </w:p>
        </w:tc>
      </w:tr>
      <w:tr>
        <w:trPr>
          <w:trHeight w:val="164"/>
        </w:trPr>
        <w:tc>
          <w:tcPr>
            <w:tcW w:w="6160" w:type="dxa"/>
            <w:vAlign w:val="bottom"/>
            <w:gridSpan w:val="2"/>
          </w:tcPr>
          <w:p>
            <w:pPr>
              <w:spacing w:after="0" w:line="165" w:lineRule="exact"/>
              <w:rPr>
                <w:sz w:val="20"/>
                <w:szCs w:val="20"/>
                <w:color w:val="auto"/>
              </w:rPr>
            </w:pPr>
            <w:r>
              <w:rPr>
                <w:rFonts w:ascii="Arial" w:cs="Arial" w:eastAsia="Arial" w:hAnsi="Arial"/>
                <w:sz w:val="16"/>
                <w:szCs w:val="16"/>
                <w:color w:val="auto"/>
              </w:rPr>
              <w:t>Net (loss)/income of Albany Safran Composites (ASC)</w:t>
            </w:r>
          </w:p>
        </w:tc>
        <w:tc>
          <w:tcPr>
            <w:tcW w:w="2080" w:type="dxa"/>
            <w:vAlign w:val="bottom"/>
            <w:gridSpan w:val="2"/>
          </w:tcPr>
          <w:p>
            <w:pPr>
              <w:jc w:val="right"/>
              <w:ind w:right="562"/>
              <w:spacing w:after="0" w:line="165" w:lineRule="exact"/>
              <w:rPr>
                <w:sz w:val="20"/>
                <w:szCs w:val="20"/>
                <w:color w:val="auto"/>
              </w:rPr>
            </w:pPr>
            <w:r>
              <w:rPr>
                <w:rFonts w:ascii="Arial" w:cs="Arial" w:eastAsia="Arial" w:hAnsi="Arial"/>
                <w:sz w:val="16"/>
                <w:szCs w:val="16"/>
                <w:b w:val="1"/>
                <w:bCs w:val="1"/>
                <w:color w:val="auto"/>
              </w:rPr>
              <w:t>$( 14,849 )</w:t>
            </w:r>
          </w:p>
        </w:tc>
        <w:tc>
          <w:tcPr>
            <w:tcW w:w="16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340"/>
              <w:spacing w:after="0" w:line="165" w:lineRule="exact"/>
              <w:rPr>
                <w:sz w:val="20"/>
                <w:szCs w:val="20"/>
                <w:color w:val="auto"/>
              </w:rPr>
            </w:pPr>
            <w:r>
              <w:rPr>
                <w:rFonts w:ascii="Arial" w:cs="Arial" w:eastAsia="Arial" w:hAnsi="Arial"/>
                <w:sz w:val="16"/>
                <w:szCs w:val="16"/>
                <w:color w:val="auto"/>
              </w:rPr>
              <w:t>2,510</w:t>
            </w:r>
          </w:p>
        </w:tc>
      </w:tr>
      <w:tr>
        <w:trPr>
          <w:trHeight w:val="207"/>
        </w:trPr>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Less: Return attributable to the Company's preferred holding</w:t>
            </w: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302</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328</w:t>
            </w:r>
          </w:p>
        </w:tc>
      </w:tr>
      <w:tr>
        <w:trPr>
          <w:trHeight w:val="164"/>
        </w:trPr>
        <w:tc>
          <w:tcPr>
            <w:tcW w:w="6160" w:type="dxa"/>
            <w:vAlign w:val="bottom"/>
            <w:gridSpan w:val="2"/>
          </w:tcPr>
          <w:p>
            <w:pPr>
              <w:spacing w:after="0" w:line="165" w:lineRule="exact"/>
              <w:rPr>
                <w:sz w:val="20"/>
                <w:szCs w:val="20"/>
                <w:color w:val="auto"/>
              </w:rPr>
            </w:pPr>
            <w:r>
              <w:rPr>
                <w:rFonts w:ascii="Arial" w:cs="Arial" w:eastAsia="Arial" w:hAnsi="Arial"/>
                <w:sz w:val="16"/>
                <w:szCs w:val="16"/>
                <w:color w:val="auto"/>
              </w:rPr>
              <w:t>Net (loss)/income of ASC available for common ownership</w:t>
            </w:r>
          </w:p>
        </w:tc>
        <w:tc>
          <w:tcPr>
            <w:tcW w:w="2080" w:type="dxa"/>
            <w:vAlign w:val="bottom"/>
            <w:gridSpan w:val="2"/>
          </w:tcPr>
          <w:p>
            <w:pPr>
              <w:jc w:val="right"/>
              <w:ind w:right="562"/>
              <w:spacing w:after="0" w:line="165" w:lineRule="exact"/>
              <w:rPr>
                <w:sz w:val="20"/>
                <w:szCs w:val="20"/>
                <w:color w:val="auto"/>
              </w:rPr>
            </w:pPr>
            <w:r>
              <w:rPr>
                <w:rFonts w:ascii="Arial" w:cs="Arial" w:eastAsia="Arial" w:hAnsi="Arial"/>
                <w:sz w:val="16"/>
                <w:szCs w:val="16"/>
                <w:b w:val="1"/>
                <w:bCs w:val="1"/>
                <w:color w:val="auto"/>
              </w:rPr>
              <w:t>$( 15,151 )</w:t>
            </w:r>
          </w:p>
        </w:tc>
        <w:tc>
          <w:tcPr>
            <w:tcW w:w="16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340"/>
              <w:spacing w:after="0" w:line="165" w:lineRule="exact"/>
              <w:rPr>
                <w:sz w:val="20"/>
                <w:szCs w:val="20"/>
                <w:color w:val="auto"/>
              </w:rPr>
            </w:pPr>
            <w:r>
              <w:rPr>
                <w:rFonts w:ascii="Arial" w:cs="Arial" w:eastAsia="Arial" w:hAnsi="Arial"/>
                <w:sz w:val="16"/>
                <w:szCs w:val="16"/>
                <w:color w:val="auto"/>
              </w:rPr>
              <w:t>2,182</w:t>
            </w:r>
          </w:p>
        </w:tc>
      </w:tr>
      <w:tr>
        <w:trPr>
          <w:trHeight w:val="207"/>
        </w:trPr>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Ownership percentage of noncontrolling shareholder</w:t>
            </w: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10 %</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10 %</w:t>
            </w:r>
          </w:p>
        </w:tc>
      </w:tr>
      <w:tr>
        <w:trPr>
          <w:trHeight w:val="183"/>
        </w:trPr>
        <w:tc>
          <w:tcPr>
            <w:tcW w:w="616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Net (loss)/income attributable to noncontrolling interest</w:t>
            </w:r>
          </w:p>
        </w:tc>
        <w:tc>
          <w:tcPr>
            <w:tcW w:w="8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542"/>
              <w:spacing w:after="0" w:line="183" w:lineRule="exact"/>
              <w:rPr>
                <w:sz w:val="20"/>
                <w:szCs w:val="20"/>
                <w:color w:val="auto"/>
              </w:rPr>
            </w:pPr>
            <w:r>
              <w:rPr>
                <w:rFonts w:ascii="Arial" w:cs="Arial" w:eastAsia="Arial" w:hAnsi="Arial"/>
                <w:sz w:val="16"/>
                <w:szCs w:val="16"/>
                <w:b w:val="1"/>
                <w:bCs w:val="1"/>
                <w:color w:val="auto"/>
              </w:rPr>
              <w:t>( 1,515 )</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40"/>
              <w:spacing w:after="0" w:line="183" w:lineRule="exact"/>
              <w:rPr>
                <w:sz w:val="20"/>
                <w:szCs w:val="20"/>
                <w:color w:val="auto"/>
              </w:rPr>
            </w:pPr>
            <w:r>
              <w:rPr>
                <w:rFonts w:ascii="Arial" w:cs="Arial" w:eastAsia="Arial" w:hAnsi="Arial"/>
                <w:sz w:val="16"/>
                <w:szCs w:val="16"/>
                <w:color w:val="auto"/>
              </w:rPr>
              <w:t>218</w:t>
            </w:r>
          </w:p>
        </w:tc>
      </w:tr>
      <w:tr>
        <w:trPr>
          <w:trHeight w:val="353"/>
        </w:trPr>
        <w:tc>
          <w:tcPr>
            <w:tcW w:w="6160" w:type="dxa"/>
            <w:vAlign w:val="bottom"/>
            <w:gridSpan w:val="2"/>
          </w:tcPr>
          <w:p>
            <w:pPr>
              <w:spacing w:after="0"/>
              <w:rPr>
                <w:sz w:val="20"/>
                <w:szCs w:val="20"/>
                <w:color w:val="auto"/>
              </w:rPr>
            </w:pPr>
            <w:r>
              <w:rPr>
                <w:rFonts w:ascii="Arial" w:cs="Arial" w:eastAsia="Arial" w:hAnsi="Arial"/>
                <w:sz w:val="16"/>
                <w:szCs w:val="16"/>
                <w:color w:val="auto"/>
              </w:rPr>
              <w:t>Noncontrolling interest, beginning of year</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42"/>
              <w:spacing w:after="0"/>
              <w:rPr>
                <w:sz w:val="20"/>
                <w:szCs w:val="20"/>
                <w:color w:val="auto"/>
              </w:rPr>
            </w:pPr>
            <w:r>
              <w:rPr>
                <w:rFonts w:ascii="Arial" w:cs="Arial" w:eastAsia="Arial" w:hAnsi="Arial"/>
                <w:sz w:val="16"/>
                <w:szCs w:val="16"/>
                <w:b w:val="1"/>
                <w:bCs w:val="1"/>
                <w:color w:val="auto"/>
              </w:rPr>
              <w:t>4,006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40"/>
              <w:spacing w:after="0"/>
              <w:rPr>
                <w:sz w:val="20"/>
                <w:szCs w:val="20"/>
                <w:color w:val="auto"/>
              </w:rPr>
            </w:pPr>
            <w:r>
              <w:rPr>
                <w:rFonts w:ascii="Arial" w:cs="Arial" w:eastAsia="Arial" w:hAnsi="Arial"/>
                <w:sz w:val="16"/>
                <w:szCs w:val="16"/>
                <w:color w:val="auto"/>
              </w:rPr>
              <w:t>3,031</w:t>
            </w:r>
          </w:p>
        </w:tc>
      </w:tr>
      <w:tr>
        <w:trPr>
          <w:trHeight w:val="189"/>
        </w:trPr>
        <w:tc>
          <w:tcPr>
            <w:tcW w:w="6160" w:type="dxa"/>
            <w:vAlign w:val="bottom"/>
            <w:gridSpan w:val="2"/>
          </w:tcPr>
          <w:p>
            <w:pPr>
              <w:spacing w:after="0"/>
              <w:rPr>
                <w:sz w:val="20"/>
                <w:szCs w:val="20"/>
                <w:color w:val="auto"/>
              </w:rPr>
            </w:pPr>
            <w:r>
              <w:rPr>
                <w:rFonts w:ascii="Arial" w:cs="Arial" w:eastAsia="Arial" w:hAnsi="Arial"/>
                <w:sz w:val="16"/>
                <w:szCs w:val="16"/>
                <w:color w:val="auto"/>
              </w:rPr>
              <w:t>Net (loss)/income attributable to noncontrolling interest</w:t>
            </w:r>
          </w:p>
        </w:tc>
        <w:tc>
          <w:tcPr>
            <w:tcW w:w="800" w:type="dxa"/>
            <w:vAlign w:val="bottom"/>
          </w:tcPr>
          <w:p>
            <w:pPr>
              <w:spacing w:after="0"/>
              <w:rPr>
                <w:sz w:val="16"/>
                <w:szCs w:val="16"/>
                <w:color w:val="auto"/>
              </w:rPr>
            </w:pPr>
          </w:p>
        </w:tc>
        <w:tc>
          <w:tcPr>
            <w:tcW w:w="1280" w:type="dxa"/>
            <w:vAlign w:val="bottom"/>
          </w:tcPr>
          <w:p>
            <w:pPr>
              <w:jc w:val="right"/>
              <w:ind w:right="562"/>
              <w:spacing w:after="0"/>
              <w:rPr>
                <w:sz w:val="20"/>
                <w:szCs w:val="20"/>
                <w:color w:val="auto"/>
              </w:rPr>
            </w:pPr>
            <w:r>
              <w:rPr>
                <w:rFonts w:ascii="Arial" w:cs="Arial" w:eastAsia="Arial" w:hAnsi="Arial"/>
                <w:sz w:val="16"/>
                <w:szCs w:val="16"/>
                <w:b w:val="1"/>
                <w:bCs w:val="1"/>
                <w:color w:val="auto"/>
              </w:rPr>
              <w:t>( 1,515 )</w:t>
            </w:r>
          </w:p>
        </w:tc>
        <w:tc>
          <w:tcPr>
            <w:tcW w:w="160" w:type="dxa"/>
            <w:vAlign w:val="bottom"/>
          </w:tcPr>
          <w:p>
            <w:pPr>
              <w:spacing w:after="0"/>
              <w:rPr>
                <w:sz w:val="16"/>
                <w:szCs w:val="16"/>
                <w:color w:val="auto"/>
              </w:rPr>
            </w:pPr>
          </w:p>
        </w:tc>
        <w:tc>
          <w:tcPr>
            <w:tcW w:w="860" w:type="dxa"/>
            <w:vAlign w:val="bottom"/>
          </w:tcPr>
          <w:p>
            <w:pPr>
              <w:jc w:val="right"/>
              <w:ind w:right="380"/>
              <w:spacing w:after="0"/>
              <w:rPr>
                <w:sz w:val="20"/>
                <w:szCs w:val="20"/>
                <w:color w:val="auto"/>
              </w:rPr>
            </w:pPr>
            <w:r>
              <w:rPr>
                <w:rFonts w:ascii="Arial" w:cs="Arial" w:eastAsia="Arial" w:hAnsi="Arial"/>
                <w:sz w:val="16"/>
                <w:szCs w:val="16"/>
                <w:color w:val="auto"/>
              </w:rPr>
              <w:t>218</w:t>
            </w:r>
          </w:p>
        </w:tc>
      </w:tr>
      <w:tr>
        <w:trPr>
          <w:trHeight w:val="207"/>
        </w:trPr>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Changes in other comprehensive income attributable to noncontrolling interest</w:t>
            </w: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109</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( 8 )</w:t>
            </w:r>
          </w:p>
        </w:tc>
      </w:tr>
      <w:tr>
        <w:trPr>
          <w:trHeight w:val="183"/>
        </w:trPr>
        <w:tc>
          <w:tcPr>
            <w:tcW w:w="616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Noncontrolling interest, end of interim period</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42"/>
              <w:spacing w:after="0" w:line="183" w:lineRule="exact"/>
              <w:rPr>
                <w:sz w:val="20"/>
                <w:szCs w:val="20"/>
                <w:color w:val="auto"/>
              </w:rPr>
            </w:pPr>
            <w:r>
              <w:rPr>
                <w:rFonts w:ascii="Arial" w:cs="Arial" w:eastAsia="Arial" w:hAnsi="Arial"/>
                <w:sz w:val="16"/>
                <w:szCs w:val="16"/>
                <w:b w:val="1"/>
                <w:bCs w:val="1"/>
                <w:color w:val="auto"/>
              </w:rPr>
              <w:t>2,600</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40"/>
              <w:spacing w:after="0" w:line="183" w:lineRule="exact"/>
              <w:rPr>
                <w:sz w:val="20"/>
                <w:szCs w:val="20"/>
                <w:color w:val="auto"/>
              </w:rPr>
            </w:pPr>
            <w:r>
              <w:rPr>
                <w:rFonts w:ascii="Arial" w:cs="Arial" w:eastAsia="Arial" w:hAnsi="Arial"/>
                <w:sz w:val="16"/>
                <w:szCs w:val="16"/>
                <w:color w:val="auto"/>
              </w:rPr>
              <w:t>3,241</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Accounts receivable includes trade receivables. In connection with certain sales in Asia, the Company accepts a bank promissory note as customer payment. The notes may be presented for payment at maturity, which is less than one year. As of March 31, 2020 and December 31, 2019, Accounts receivable consisted of the following:</w:t>
      </w:r>
    </w:p>
    <w:p>
      <w:pPr>
        <w:spacing w:after="0" w:line="12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720" w:type="dxa"/>
            <w:vAlign w:val="bottom"/>
            <w:tcBorders>
              <w:top w:val="single" w:sz="8" w:color="auto"/>
            </w:tcBorders>
          </w:tcPr>
          <w:p>
            <w:pPr>
              <w:spacing w:after="0"/>
              <w:rPr>
                <w:sz w:val="14"/>
                <w:szCs w:val="14"/>
                <w:color w:val="auto"/>
              </w:rPr>
            </w:pPr>
          </w:p>
        </w:tc>
        <w:tc>
          <w:tcPr>
            <w:tcW w:w="3140" w:type="dxa"/>
            <w:vAlign w:val="bottom"/>
            <w:tcBorders>
              <w:top w:val="single" w:sz="8" w:color="auto"/>
            </w:tcBorders>
          </w:tcPr>
          <w:p>
            <w:pPr>
              <w:jc w:val="center"/>
              <w:ind w:left="1722"/>
              <w:spacing w:after="0"/>
              <w:rPr>
                <w:sz w:val="20"/>
                <w:szCs w:val="20"/>
                <w:color w:val="auto"/>
              </w:rPr>
            </w:pPr>
            <w:r>
              <w:rPr>
                <w:rFonts w:ascii="Arial" w:cs="Arial" w:eastAsia="Arial" w:hAnsi="Arial"/>
                <w:sz w:val="14"/>
                <w:szCs w:val="14"/>
                <w:b w:val="1"/>
                <w:bCs w:val="1"/>
                <w:color w:val="auto"/>
              </w:rPr>
              <w:t>March 31,</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14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2020</w:t>
            </w: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2019</w:t>
            </w:r>
          </w:p>
        </w:tc>
      </w:tr>
      <w:tr>
        <w:trPr>
          <w:trHeight w:val="164"/>
        </w:trPr>
        <w:tc>
          <w:tcPr>
            <w:tcW w:w="4720" w:type="dxa"/>
            <w:vAlign w:val="bottom"/>
          </w:tcPr>
          <w:p>
            <w:pPr>
              <w:spacing w:after="0" w:line="165" w:lineRule="exact"/>
              <w:rPr>
                <w:sz w:val="20"/>
                <w:szCs w:val="20"/>
                <w:color w:val="auto"/>
              </w:rPr>
            </w:pPr>
            <w:r>
              <w:rPr>
                <w:rFonts w:ascii="Arial" w:cs="Arial" w:eastAsia="Arial" w:hAnsi="Arial"/>
                <w:sz w:val="16"/>
                <w:szCs w:val="16"/>
                <w:color w:val="auto"/>
              </w:rPr>
              <w:t>Trade and other accounts receivable</w:t>
            </w:r>
          </w:p>
        </w:tc>
        <w:tc>
          <w:tcPr>
            <w:tcW w:w="3140" w:type="dxa"/>
            <w:vAlign w:val="bottom"/>
          </w:tcPr>
          <w:p>
            <w:pPr>
              <w:jc w:val="center"/>
              <w:ind w:left="1702"/>
              <w:spacing w:after="0" w:line="165" w:lineRule="exact"/>
              <w:rPr>
                <w:sz w:val="20"/>
                <w:szCs w:val="20"/>
                <w:color w:val="auto"/>
              </w:rPr>
            </w:pPr>
            <w:r>
              <w:rPr>
                <w:rFonts w:ascii="Arial" w:cs="Arial" w:eastAsia="Arial" w:hAnsi="Arial"/>
                <w:sz w:val="16"/>
                <w:szCs w:val="16"/>
                <w:b w:val="1"/>
                <w:bCs w:val="1"/>
                <w:color w:val="auto"/>
              </w:rPr>
              <w:t>$ 197,951</w:t>
            </w:r>
          </w:p>
        </w:tc>
        <w:tc>
          <w:tcPr>
            <w:tcW w:w="1400" w:type="dxa"/>
            <w:vAlign w:val="bottom"/>
          </w:tcPr>
          <w:p>
            <w:pPr>
              <w:jc w:val="center"/>
              <w:spacing w:after="0" w:line="165" w:lineRule="exact"/>
              <w:rPr>
                <w:sz w:val="20"/>
                <w:szCs w:val="20"/>
                <w:color w:val="auto"/>
              </w:rPr>
            </w:pPr>
            <w:r>
              <w:rPr>
                <w:rFonts w:ascii="Arial" w:cs="Arial" w:eastAsia="Arial" w:hAnsi="Arial"/>
                <w:sz w:val="16"/>
                <w:szCs w:val="16"/>
                <w:color w:val="auto"/>
              </w:rPr>
              <w:t>$ 201,427</w:t>
            </w: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Bank promissory notes</w:t>
            </w:r>
          </w:p>
        </w:tc>
        <w:tc>
          <w:tcPr>
            <w:tcW w:w="3140" w:type="dxa"/>
            <w:vAlign w:val="bottom"/>
          </w:tcPr>
          <w:p>
            <w:pPr>
              <w:ind w:left="2300"/>
              <w:spacing w:after="0"/>
              <w:rPr>
                <w:sz w:val="20"/>
                <w:szCs w:val="20"/>
                <w:color w:val="auto"/>
              </w:rPr>
            </w:pPr>
            <w:r>
              <w:rPr>
                <w:rFonts w:ascii="Arial" w:cs="Arial" w:eastAsia="Arial" w:hAnsi="Arial"/>
                <w:sz w:val="16"/>
                <w:szCs w:val="16"/>
                <w:b w:val="1"/>
                <w:bCs w:val="1"/>
                <w:color w:val="auto"/>
              </w:rPr>
              <w:t>17,063</w:t>
            </w:r>
          </w:p>
        </w:tc>
        <w:tc>
          <w:tcPr>
            <w:tcW w:w="1400" w:type="dxa"/>
            <w:vAlign w:val="bottom"/>
          </w:tcPr>
          <w:p>
            <w:pPr>
              <w:ind w:left="540"/>
              <w:spacing w:after="0"/>
              <w:rPr>
                <w:sz w:val="20"/>
                <w:szCs w:val="20"/>
                <w:color w:val="auto"/>
              </w:rPr>
            </w:pPr>
            <w:r>
              <w:rPr>
                <w:rFonts w:ascii="Arial" w:cs="Arial" w:eastAsia="Arial" w:hAnsi="Arial"/>
                <w:sz w:val="16"/>
                <w:szCs w:val="16"/>
                <w:color w:val="auto"/>
              </w:rPr>
              <w:t>18,563</w:t>
            </w:r>
          </w:p>
        </w:tc>
      </w:tr>
      <w:tr>
        <w:trPr>
          <w:trHeight w:val="207"/>
        </w:trPr>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Allowance for expected credit losses</w:t>
            </w:r>
          </w:p>
        </w:tc>
        <w:tc>
          <w:tcPr>
            <w:tcW w:w="3140" w:type="dxa"/>
            <w:vAlign w:val="bottom"/>
            <w:tcBorders>
              <w:bottom w:val="single" w:sz="8" w:color="auto"/>
            </w:tcBorders>
          </w:tcPr>
          <w:p>
            <w:pPr>
              <w:ind w:left="2300"/>
              <w:spacing w:after="0"/>
              <w:rPr>
                <w:sz w:val="20"/>
                <w:szCs w:val="20"/>
                <w:color w:val="auto"/>
              </w:rPr>
            </w:pPr>
            <w:r>
              <w:rPr>
                <w:rFonts w:ascii="Arial" w:cs="Arial" w:eastAsia="Arial" w:hAnsi="Arial"/>
                <w:sz w:val="16"/>
                <w:szCs w:val="16"/>
                <w:b w:val="1"/>
                <w:bCs w:val="1"/>
                <w:color w:val="auto"/>
              </w:rPr>
              <w:t>( 3,933 )</w:t>
            </w: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( 1,719 )</w:t>
            </w:r>
          </w:p>
        </w:tc>
      </w:tr>
      <w:tr>
        <w:trPr>
          <w:trHeight w:val="183"/>
        </w:trPr>
        <w:tc>
          <w:tcPr>
            <w:tcW w:w="47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Accounts receivable, net</w:t>
            </w:r>
          </w:p>
        </w:tc>
        <w:tc>
          <w:tcPr>
            <w:tcW w:w="3140" w:type="dxa"/>
            <w:vAlign w:val="bottom"/>
            <w:tcBorders>
              <w:bottom w:val="single" w:sz="8" w:color="auto"/>
            </w:tcBorders>
          </w:tcPr>
          <w:p>
            <w:pPr>
              <w:jc w:val="center"/>
              <w:ind w:left="1702"/>
              <w:spacing w:after="0" w:line="183" w:lineRule="exact"/>
              <w:rPr>
                <w:sz w:val="20"/>
                <w:szCs w:val="20"/>
                <w:color w:val="auto"/>
              </w:rPr>
            </w:pPr>
            <w:r>
              <w:rPr>
                <w:rFonts w:ascii="Arial" w:cs="Arial" w:eastAsia="Arial" w:hAnsi="Arial"/>
                <w:sz w:val="16"/>
                <w:szCs w:val="16"/>
                <w:b w:val="1"/>
                <w:bCs w:val="1"/>
                <w:color w:val="auto"/>
              </w:rPr>
              <w:t>$ 211,081</w:t>
            </w:r>
          </w:p>
        </w:tc>
        <w:tc>
          <w:tcPr>
            <w:tcW w:w="14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$ 218,271</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with 2% interest, over a 10-year period starting in 2020. As of March 31, 2020 and December 31, 2019, Noncurrent receivables consisted of the following:</w:t>
      </w:r>
    </w:p>
    <w:p>
      <w:pPr>
        <w:spacing w:after="0" w:line="12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740" w:type="dxa"/>
            <w:vAlign w:val="bottom"/>
            <w:tcBorders>
              <w:top w:val="single" w:sz="8" w:color="auto"/>
            </w:tcBorders>
          </w:tcPr>
          <w:p>
            <w:pPr>
              <w:spacing w:after="0"/>
              <w:rPr>
                <w:sz w:val="14"/>
                <w:szCs w:val="14"/>
                <w:color w:val="auto"/>
              </w:rPr>
            </w:pPr>
          </w:p>
        </w:tc>
        <w:tc>
          <w:tcPr>
            <w:tcW w:w="310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March 31,</w:t>
            </w:r>
          </w:p>
        </w:tc>
        <w:tc>
          <w:tcPr>
            <w:tcW w:w="1420" w:type="dxa"/>
            <w:vAlign w:val="bottom"/>
            <w:tcBorders>
              <w:top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Borders>
              <w:bottom w:val="single" w:sz="8" w:color="auto"/>
            </w:tcBorders>
          </w:tcPr>
          <w:p>
            <w:pPr>
              <w:jc w:val="center"/>
              <w:ind w:left="1703"/>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r>
      <w:tr>
        <w:trPr>
          <w:trHeight w:val="164"/>
        </w:trPr>
        <w:tc>
          <w:tcPr>
            <w:tcW w:w="4740" w:type="dxa"/>
            <w:vAlign w:val="bottom"/>
          </w:tcPr>
          <w:p>
            <w:pPr>
              <w:spacing w:after="0" w:line="165" w:lineRule="exact"/>
              <w:rPr>
                <w:sz w:val="20"/>
                <w:szCs w:val="20"/>
                <w:color w:val="auto"/>
              </w:rPr>
            </w:pPr>
            <w:r>
              <w:rPr>
                <w:rFonts w:ascii="Arial" w:cs="Arial" w:eastAsia="Arial" w:hAnsi="Arial"/>
                <w:sz w:val="16"/>
                <w:szCs w:val="16"/>
                <w:color w:val="auto"/>
              </w:rPr>
              <w:t>Noncurrent receivables</w:t>
            </w:r>
          </w:p>
        </w:tc>
        <w:tc>
          <w:tcPr>
            <w:tcW w:w="3100" w:type="dxa"/>
            <w:vAlign w:val="bottom"/>
          </w:tcPr>
          <w:p>
            <w:pPr>
              <w:jc w:val="center"/>
              <w:ind w:left="1703"/>
              <w:spacing w:after="0" w:line="165" w:lineRule="exact"/>
              <w:rPr>
                <w:sz w:val="20"/>
                <w:szCs w:val="20"/>
                <w:color w:val="auto"/>
              </w:rPr>
            </w:pPr>
            <w:r>
              <w:rPr>
                <w:rFonts w:ascii="Arial" w:cs="Arial" w:eastAsia="Arial" w:hAnsi="Arial"/>
                <w:sz w:val="16"/>
                <w:szCs w:val="16"/>
                <w:b w:val="1"/>
                <w:bCs w:val="1"/>
                <w:color w:val="auto"/>
              </w:rPr>
              <w:t>$ 39,325</w:t>
            </w:r>
          </w:p>
        </w:tc>
        <w:tc>
          <w:tcPr>
            <w:tcW w:w="1420" w:type="dxa"/>
            <w:vAlign w:val="bottom"/>
          </w:tcPr>
          <w:p>
            <w:pPr>
              <w:jc w:val="center"/>
              <w:spacing w:after="0" w:line="165" w:lineRule="exact"/>
              <w:rPr>
                <w:sz w:val="20"/>
                <w:szCs w:val="20"/>
                <w:color w:val="auto"/>
              </w:rPr>
            </w:pPr>
            <w:r>
              <w:rPr>
                <w:rFonts w:ascii="Arial" w:cs="Arial" w:eastAsia="Arial" w:hAnsi="Arial"/>
                <w:sz w:val="16"/>
                <w:szCs w:val="16"/>
                <w:color w:val="auto"/>
                <w:w w:val="99"/>
              </w:rPr>
              <w:t>$ 41,234</w:t>
            </w:r>
          </w:p>
        </w:tc>
      </w:tr>
      <w:tr>
        <w:trPr>
          <w:trHeight w:val="207"/>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Allowance for expected credit losses</w:t>
            </w:r>
          </w:p>
        </w:tc>
        <w:tc>
          <w:tcPr>
            <w:tcW w:w="310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(396)</w:t>
            </w:r>
          </w:p>
        </w:tc>
        <w:tc>
          <w:tcPr>
            <w:tcW w:w="142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w:t>
            </w:r>
          </w:p>
        </w:tc>
      </w:tr>
      <w:tr>
        <w:trPr>
          <w:trHeight w:val="183"/>
        </w:trPr>
        <w:tc>
          <w:tcPr>
            <w:tcW w:w="47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Noncurrent receivables, net</w:t>
            </w:r>
          </w:p>
        </w:tc>
        <w:tc>
          <w:tcPr>
            <w:tcW w:w="3100" w:type="dxa"/>
            <w:vAlign w:val="bottom"/>
            <w:tcBorders>
              <w:bottom w:val="single" w:sz="8" w:color="auto"/>
            </w:tcBorders>
          </w:tcPr>
          <w:p>
            <w:pPr>
              <w:jc w:val="center"/>
              <w:ind w:left="1703"/>
              <w:spacing w:after="0" w:line="183" w:lineRule="exact"/>
              <w:rPr>
                <w:sz w:val="20"/>
                <w:szCs w:val="20"/>
                <w:color w:val="auto"/>
              </w:rPr>
            </w:pPr>
            <w:r>
              <w:rPr>
                <w:rFonts w:ascii="Arial" w:cs="Arial" w:eastAsia="Arial" w:hAnsi="Arial"/>
                <w:sz w:val="16"/>
                <w:szCs w:val="16"/>
                <w:b w:val="1"/>
                <w:bCs w:val="1"/>
                <w:color w:val="auto"/>
              </w:rPr>
              <w:t>$ 38,929</w:t>
            </w:r>
          </w:p>
        </w:tc>
        <w:tc>
          <w:tcPr>
            <w:tcW w:w="14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$ 41,234</w:t>
            </w:r>
          </w:p>
        </w:tc>
      </w:tr>
    </w:tbl>
    <w:p>
      <w:pPr>
        <w:spacing w:after="0" w:line="17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 xml:space="preserve">As described in Note 1, effective January 1, 2020, the Company adopted the provisions of ASC 326, </w:t>
      </w:r>
      <w:r>
        <w:rPr>
          <w:rFonts w:ascii="Arial" w:cs="Arial" w:eastAsia="Arial" w:hAnsi="Arial"/>
          <w:sz w:val="18"/>
          <w:szCs w:val="18"/>
          <w:i w:val="1"/>
          <w:iCs w:val="1"/>
          <w:color w:val="auto"/>
        </w:rPr>
        <w:t>Current Expected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(CECL). </w:t>
      </w:r>
      <w:r>
        <w:rPr>
          <w:rFonts w:ascii="Arial" w:cs="Arial" w:eastAsia="Arial" w:hAnsi="Arial"/>
          <w:sz w:val="18"/>
          <w:szCs w:val="18"/>
          <w:color w:val="auto"/>
        </w:rPr>
        <w:t>The overarching purpose of the new standard is to provide greater transparency and understanding of the Company’s 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CECL accounting update replaces the incurred loss impairment methodology under current GAAP with a methodology that reflects expected credit losses and requires consideration of a broader range of reasonable and supportable information to inform credit loss estimates. Under the new standard, the Company recognizes an allowance for expected credit losses on financial assets measured at amortized cost, such as Accounts receivable, Contract assets and Noncurrent receivables.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pacing w:after="0" w:line="98" w:lineRule="exact"/>
        <w:rPr>
          <w:sz w:val="20"/>
          <w:szCs w:val="20"/>
          <w:color w:val="auto"/>
        </w:rPr>
      </w:pPr>
    </w:p>
    <w:p>
      <w:pPr>
        <w:jc w:val="both"/>
        <w:ind w:firstLine="324"/>
        <w:spacing w:after="0" w:line="207" w:lineRule="exact"/>
        <w:rPr>
          <w:sz w:val="20"/>
          <w:szCs w:val="20"/>
          <w:color w:val="auto"/>
        </w:rPr>
      </w:pPr>
      <w:r>
        <w:rPr>
          <w:rFonts w:ascii="Arial" w:cs="Arial" w:eastAsia="Arial" w:hAnsi="Arial"/>
          <w:sz w:val="18"/>
          <w:szCs w:val="18"/>
          <w:color w:val="auto"/>
        </w:rPr>
        <w:t xml:space="preserve">While an expected credit loss allowance is recorded at the same time the financial asset is recorded, the Company monitors financial assets for credit impairment events to assess whether there has been a significant increase in credit risk since initial recognition, and considers both quantitative and qualitative information. The risk of loss due to credit default increases when one or more events occurs that can have a detrimental impact on estimated future cash </w:t>
      </w:r>
      <w:r>
        <w:rPr>
          <w:rFonts w:ascii="Arial Unicode MS" w:cs="Arial Unicode MS" w:eastAsia="Arial Unicode MS" w:hAnsi="Arial Unicode MS"/>
          <w:sz w:val="18"/>
          <w:szCs w:val="18"/>
          <w:color w:val="auto"/>
        </w:rPr>
        <w:t></w:t>
      </w:r>
      <w:r>
        <w:rPr>
          <w:rFonts w:ascii="Arial" w:cs="Arial" w:eastAsia="Arial" w:hAnsi="Arial"/>
          <w:sz w:val="18"/>
          <w:szCs w:val="18"/>
          <w:color w:val="auto"/>
        </w:rPr>
        <w:t>ows of that financial asset. Evidence that a financial asset is subject to greater credit risk include observable data about significant financial difficulty of the customer, a breach of contract, such as a default or past due event, or it becoming probable that the customer will enter bankruptcy or other financial reorganization, among other factors. It may not be possible to identify a single discrete event, but rather, the combined eﬀect of several events may cause an increase in risk of loss.</w:t>
      </w:r>
    </w:p>
    <w:p>
      <w:pPr>
        <w:spacing w:after="0" w:line="8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probability of default is driven by the relative financial health of our customer base and that of the industries in which we do business, as well as the broader macro-economic environment. A changing economic environment or forecasted economic scenario can lead to a diﬀerent probability of default and can suggest that credit risk has changed. Such is the case with the global COVID-19 pandemic, which has increased uncertainty and poses a significant challenge to the macro-economic environment. Management believes this has increased the probability of credit default, causing the Company to increase the allowance for expected credit losses during the first quarter of 2020.</w:t>
      </w:r>
    </w:p>
    <w:p>
      <w:pPr>
        <w:spacing w:after="0" w:line="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At each reporting period, the Company will recognize the amount of change in current expected credit losses as an allowance gain or loss in Selling, general, and administrative expenses in the Consolidated Statements of Income.</w:t>
      </w:r>
    </w:p>
    <w:p>
      <w:pPr>
        <w:spacing w:after="0" w:line="43" w:lineRule="exact"/>
        <w:rPr>
          <w:sz w:val="20"/>
          <w:szCs w:val="20"/>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Financial assets are written oﬀ when the Company has no reasonable expectation of recovering the financial asset, either in its entirety, or a portion thereof. This is the case when the Company determines that the customer does not have assets or sources of income that could generate sufficient cash </w:t>
      </w:r>
      <w:r>
        <w:rPr>
          <w:rFonts w:ascii="Arial Unicode MS" w:cs="Arial Unicode MS" w:eastAsia="Arial Unicode MS" w:hAnsi="Arial Unicode MS"/>
          <w:sz w:val="18"/>
          <w:szCs w:val="18"/>
          <w:color w:val="auto"/>
        </w:rPr>
        <w:t></w:t>
      </w:r>
      <w:r>
        <w:rPr>
          <w:rFonts w:ascii="Arial" w:cs="Arial" w:eastAsia="Arial" w:hAnsi="Arial"/>
          <w:sz w:val="18"/>
          <w:szCs w:val="18"/>
          <w:color w:val="auto"/>
        </w:rPr>
        <w:t>ows to repay the amounts subject to the write-oﬀ.</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year-to-date (increases)/ decreases in the allowance for credit losses for Accounts receivable: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rPr>
              <w:t>CECL</w:t>
            </w:r>
          </w:p>
        </w:tc>
        <w:tc>
          <w:tcPr>
            <w:tcW w:w="4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1300" w:type="dxa"/>
            <w:vAlign w:val="bottom"/>
          </w:tcPr>
          <w:p>
            <w:pPr>
              <w:jc w:val="right"/>
              <w:ind w:right="163"/>
              <w:spacing w:after="0"/>
              <w:rPr>
                <w:sz w:val="20"/>
                <w:szCs w:val="20"/>
                <w:color w:val="auto"/>
              </w:rPr>
            </w:pPr>
            <w:r>
              <w:rPr>
                <w:rFonts w:ascii="Arial" w:cs="Arial" w:eastAsia="Arial" w:hAnsi="Arial"/>
                <w:sz w:val="14"/>
                <w:szCs w:val="14"/>
                <w:b w:val="1"/>
                <w:bCs w:val="1"/>
                <w:color w:val="auto"/>
              </w:rPr>
              <w:t>December 31,</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transition</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jc w:val="center"/>
              <w:ind w:right="23"/>
              <w:spacing w:after="0"/>
              <w:rPr>
                <w:sz w:val="20"/>
                <w:szCs w:val="20"/>
                <w:color w:val="auto"/>
              </w:rPr>
            </w:pPr>
            <w:r>
              <w:rPr>
                <w:rFonts w:ascii="Arial" w:cs="Arial" w:eastAsia="Arial" w:hAnsi="Arial"/>
                <w:sz w:val="14"/>
                <w:szCs w:val="14"/>
                <w:b w:val="1"/>
                <w:bCs w:val="1"/>
                <w:color w:val="auto"/>
              </w:rPr>
              <w:t>Currency</w:t>
            </w:r>
          </w:p>
        </w:tc>
        <w:tc>
          <w:tcPr>
            <w:tcW w:w="1220" w:type="dxa"/>
            <w:vAlign w:val="bottom"/>
          </w:tcPr>
          <w:p>
            <w:pPr>
              <w:spacing w:after="0"/>
              <w:rPr>
                <w:sz w:val="14"/>
                <w:szCs w:val="14"/>
                <w:color w:val="auto"/>
              </w:rPr>
            </w:pPr>
          </w:p>
        </w:tc>
        <w:tc>
          <w:tcPr>
            <w:tcW w:w="1380" w:type="dxa"/>
            <w:vAlign w:val="bottom"/>
          </w:tcPr>
          <w:p>
            <w:pPr>
              <w:jc w:val="right"/>
              <w:ind w:right="263"/>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adjustment</w:t>
            </w:r>
          </w:p>
        </w:tc>
        <w:tc>
          <w:tcPr>
            <w:tcW w:w="136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rPr>
              <w:t>Charges</w:t>
            </w:r>
          </w:p>
        </w:tc>
        <w:tc>
          <w:tcPr>
            <w:tcW w:w="14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translation</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Other</w:t>
            </w:r>
          </w:p>
        </w:tc>
        <w:tc>
          <w:tcPr>
            <w:tcW w:w="13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r>
      <w:tr>
        <w:trPr>
          <w:trHeight w:val="184"/>
        </w:trPr>
        <w:tc>
          <w:tcPr>
            <w:tcW w:w="3240" w:type="dxa"/>
            <w:vAlign w:val="bottom"/>
          </w:tcPr>
          <w:p>
            <w:pPr>
              <w:spacing w:after="0"/>
              <w:rPr>
                <w:sz w:val="20"/>
                <w:szCs w:val="20"/>
                <w:color w:val="auto"/>
              </w:rPr>
            </w:pPr>
            <w:r>
              <w:rPr>
                <w:rFonts w:ascii="Arial" w:cs="Arial" w:eastAsia="Arial" w:hAnsi="Arial"/>
                <w:sz w:val="16"/>
                <w:szCs w:val="16"/>
                <w:color w:val="auto"/>
              </w:rPr>
              <w:t>Specific customer reserves</w:t>
            </w:r>
          </w:p>
        </w:tc>
        <w:tc>
          <w:tcPr>
            <w:tcW w:w="1300" w:type="dxa"/>
            <w:vAlign w:val="bottom"/>
          </w:tcPr>
          <w:p>
            <w:pPr>
              <w:jc w:val="right"/>
              <w:ind w:right="263"/>
              <w:spacing w:after="0"/>
              <w:rPr>
                <w:sz w:val="20"/>
                <w:szCs w:val="20"/>
                <w:color w:val="auto"/>
              </w:rPr>
            </w:pPr>
            <w:r>
              <w:rPr>
                <w:rFonts w:ascii="Arial" w:cs="Arial" w:eastAsia="Arial" w:hAnsi="Arial"/>
                <w:sz w:val="16"/>
                <w:szCs w:val="16"/>
                <w:color w:val="auto"/>
              </w:rPr>
              <w:t>$( 1,719 )</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2"/>
              <w:spacing w:after="0"/>
              <w:rPr>
                <w:sz w:val="20"/>
                <w:szCs w:val="20"/>
                <w:color w:val="auto"/>
              </w:rPr>
            </w:pPr>
            <w:r>
              <w:rPr>
                <w:rFonts w:ascii="Arial" w:cs="Arial" w:eastAsia="Arial" w:hAnsi="Arial"/>
                <w:sz w:val="16"/>
                <w:szCs w:val="16"/>
                <w:color w:val="auto"/>
              </w:rPr>
              <w:t>(44)</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(89)</w:t>
            </w:r>
          </w:p>
        </w:tc>
        <w:tc>
          <w:tcPr>
            <w:tcW w:w="1420" w:type="dxa"/>
            <w:vAlign w:val="bottom"/>
          </w:tcPr>
          <w:p>
            <w:pPr>
              <w:jc w:val="center"/>
              <w:ind w:right="23"/>
              <w:spacing w:after="0"/>
              <w:rPr>
                <w:sz w:val="20"/>
                <w:szCs w:val="20"/>
                <w:color w:val="auto"/>
              </w:rPr>
            </w:pPr>
            <w:r>
              <w:rPr>
                <w:rFonts w:ascii="Arial" w:cs="Arial" w:eastAsia="Arial" w:hAnsi="Arial"/>
                <w:sz w:val="16"/>
                <w:szCs w:val="16"/>
                <w:color w:val="auto"/>
                <w:w w:val="99"/>
              </w:rPr>
              <w:t>$ 116</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$ 42</w:t>
            </w:r>
          </w:p>
        </w:tc>
        <w:tc>
          <w:tcPr>
            <w:tcW w:w="1380" w:type="dxa"/>
            <w:vAlign w:val="bottom"/>
          </w:tcPr>
          <w:p>
            <w:pPr>
              <w:jc w:val="right"/>
              <w:ind w:right="223"/>
              <w:spacing w:after="0"/>
              <w:rPr>
                <w:sz w:val="20"/>
                <w:szCs w:val="20"/>
                <w:color w:val="auto"/>
              </w:rPr>
            </w:pPr>
            <w:r>
              <w:rPr>
                <w:rFonts w:ascii="Arial" w:cs="Arial" w:eastAsia="Arial" w:hAnsi="Arial"/>
                <w:sz w:val="16"/>
                <w:szCs w:val="16"/>
                <w:color w:val="auto"/>
              </w:rPr>
              <w:t>$( 1,694 )</w:t>
            </w:r>
          </w:p>
        </w:tc>
      </w:tr>
      <w:tr>
        <w:trPr>
          <w:trHeight w:val="187"/>
        </w:trPr>
        <w:tc>
          <w:tcPr>
            <w:tcW w:w="3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Incremental expected credit losses</w:t>
            </w:r>
          </w:p>
        </w:tc>
        <w:tc>
          <w:tcPr>
            <w:tcW w:w="13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6"/>
                <w:szCs w:val="16"/>
                <w:color w:val="auto"/>
              </w:rPr>
              <w:t>( 1,139 )</w:t>
            </w:r>
          </w:p>
        </w:tc>
        <w:tc>
          <w:tcPr>
            <w:tcW w:w="13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rPr>
              <w:t>( 1,133 )</w:t>
            </w:r>
          </w:p>
        </w:tc>
        <w:tc>
          <w:tcPr>
            <w:tcW w:w="142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38</w:t>
            </w:r>
          </w:p>
        </w:tc>
        <w:tc>
          <w:tcPr>
            <w:tcW w:w="12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( 5 )</w:t>
            </w:r>
          </w:p>
        </w:tc>
        <w:tc>
          <w:tcPr>
            <w:tcW w:w="13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( 2,239 )</w:t>
            </w:r>
          </w:p>
        </w:tc>
      </w:tr>
      <w:tr>
        <w:trPr>
          <w:trHeight w:val="183"/>
        </w:trPr>
        <w:tc>
          <w:tcPr>
            <w:tcW w:w="32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Accounts receivable expected credit losses</w:t>
            </w:r>
          </w:p>
        </w:tc>
        <w:tc>
          <w:tcPr>
            <w:tcW w:w="1300" w:type="dxa"/>
            <w:vAlign w:val="bottom"/>
            <w:tcBorders>
              <w:bottom w:val="single" w:sz="8" w:color="auto"/>
            </w:tcBorders>
          </w:tcPr>
          <w:p>
            <w:pPr>
              <w:jc w:val="right"/>
              <w:ind w:right="263"/>
              <w:spacing w:after="0" w:line="183" w:lineRule="exact"/>
              <w:rPr>
                <w:sz w:val="20"/>
                <w:szCs w:val="20"/>
                <w:color w:val="auto"/>
              </w:rPr>
            </w:pPr>
            <w:r>
              <w:rPr>
                <w:rFonts w:ascii="Arial" w:cs="Arial" w:eastAsia="Arial" w:hAnsi="Arial"/>
                <w:sz w:val="16"/>
                <w:szCs w:val="16"/>
                <w:color w:val="auto"/>
              </w:rPr>
              <w:t>$( 1,719 )</w:t>
            </w: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22"/>
              <w:spacing w:after="0" w:line="183" w:lineRule="exact"/>
              <w:rPr>
                <w:sz w:val="20"/>
                <w:szCs w:val="20"/>
                <w:color w:val="auto"/>
              </w:rPr>
            </w:pPr>
            <w:r>
              <w:rPr>
                <w:rFonts w:ascii="Arial" w:cs="Arial" w:eastAsia="Arial" w:hAnsi="Arial"/>
                <w:sz w:val="16"/>
                <w:szCs w:val="16"/>
                <w:color w:val="auto"/>
              </w:rPr>
              <w:t>( 1,183 )</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w w:val="97"/>
              </w:rPr>
              <w:t>( 1,222 )</w:t>
            </w:r>
          </w:p>
        </w:tc>
        <w:tc>
          <w:tcPr>
            <w:tcW w:w="1420" w:type="dxa"/>
            <w:vAlign w:val="bottom"/>
            <w:tcBorders>
              <w:bottom w:val="single" w:sz="8" w:color="auto"/>
            </w:tcBorders>
          </w:tcPr>
          <w:p>
            <w:pPr>
              <w:jc w:val="center"/>
              <w:ind w:right="23"/>
              <w:spacing w:after="0" w:line="183" w:lineRule="exact"/>
              <w:rPr>
                <w:sz w:val="20"/>
                <w:szCs w:val="20"/>
                <w:color w:val="auto"/>
              </w:rPr>
            </w:pPr>
            <w:r>
              <w:rPr>
                <w:rFonts w:ascii="Arial" w:cs="Arial" w:eastAsia="Arial" w:hAnsi="Arial"/>
                <w:sz w:val="16"/>
                <w:szCs w:val="16"/>
                <w:color w:val="auto"/>
                <w:w w:val="99"/>
              </w:rPr>
              <w:t>$ 154</w:t>
            </w:r>
          </w:p>
        </w:tc>
        <w:tc>
          <w:tcPr>
            <w:tcW w:w="12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$ 37</w:t>
            </w:r>
          </w:p>
        </w:tc>
        <w:tc>
          <w:tcPr>
            <w:tcW w:w="138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6"/>
                <w:szCs w:val="16"/>
                <w:color w:val="auto"/>
              </w:rPr>
              <w:t>$( 3,933 )</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year-to-date (increases)/decreases in the allowance for credit losses for Noncurrent receivables: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6"/>
              <w:spacing w:after="0"/>
              <w:rPr>
                <w:sz w:val="20"/>
                <w:szCs w:val="20"/>
                <w:color w:val="auto"/>
              </w:rPr>
            </w:pPr>
            <w:r>
              <w:rPr>
                <w:rFonts w:ascii="Arial" w:cs="Arial" w:eastAsia="Arial" w:hAnsi="Arial"/>
                <w:sz w:val="14"/>
                <w:szCs w:val="14"/>
                <w:b w:val="1"/>
                <w:bCs w:val="1"/>
                <w:color w:val="auto"/>
              </w:rPr>
              <w:t>CECL</w:t>
            </w:r>
          </w:p>
        </w:tc>
        <w:tc>
          <w:tcPr>
            <w:tcW w:w="12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1460" w:type="dxa"/>
            <w:vAlign w:val="bottom"/>
          </w:tcPr>
          <w:p>
            <w:pPr>
              <w:ind w:left="28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Pr>
          <w:p>
            <w:pPr>
              <w:jc w:val="center"/>
              <w:ind w:right="6"/>
              <w:spacing w:after="0"/>
              <w:rPr>
                <w:sz w:val="20"/>
                <w:szCs w:val="20"/>
                <w:color w:val="auto"/>
              </w:rPr>
            </w:pPr>
            <w:r>
              <w:rPr>
                <w:rFonts w:ascii="Arial" w:cs="Arial" w:eastAsia="Arial" w:hAnsi="Arial"/>
                <w:sz w:val="14"/>
                <w:szCs w:val="14"/>
                <w:b w:val="1"/>
                <w:bCs w:val="1"/>
                <w:color w:val="auto"/>
              </w:rPr>
              <w:t>transition</w:t>
            </w:r>
          </w:p>
        </w:tc>
        <w:tc>
          <w:tcPr>
            <w:tcW w:w="12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1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rPr>
              <w:t>adjustment</w:t>
            </w:r>
          </w:p>
        </w:tc>
        <w:tc>
          <w:tcPr>
            <w:tcW w:w="12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Charges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Other</w:t>
            </w:r>
          </w:p>
        </w:tc>
        <w:tc>
          <w:tcPr>
            <w:tcW w:w="140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2020</w:t>
            </w:r>
          </w:p>
        </w:tc>
      </w:tr>
      <w:tr>
        <w:trPr>
          <w:trHeight w:val="184"/>
        </w:trPr>
        <w:tc>
          <w:tcPr>
            <w:tcW w:w="3080" w:type="dxa"/>
            <w:vAlign w:val="bottom"/>
          </w:tcPr>
          <w:p>
            <w:pPr>
              <w:spacing w:after="0"/>
              <w:rPr>
                <w:sz w:val="20"/>
                <w:szCs w:val="20"/>
                <w:color w:val="auto"/>
              </w:rPr>
            </w:pPr>
            <w:r>
              <w:rPr>
                <w:rFonts w:ascii="Arial" w:cs="Arial" w:eastAsia="Arial" w:hAnsi="Arial"/>
                <w:sz w:val="16"/>
                <w:szCs w:val="16"/>
                <w:color w:val="auto"/>
              </w:rPr>
              <w:t>Noncurrent receivables expected credit</w:t>
            </w: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7"/>
        </w:trPr>
        <w:tc>
          <w:tcPr>
            <w:tcW w:w="30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losses</w:t>
            </w:r>
          </w:p>
        </w:tc>
        <w:tc>
          <w:tcPr>
            <w:tcW w:w="1460" w:type="dxa"/>
            <w:vAlign w:val="bottom"/>
            <w:tcBorders>
              <w:bottom w:val="single" w:sz="8" w:color="auto"/>
            </w:tcBorders>
          </w:tcPr>
          <w:p>
            <w:pPr>
              <w:jc w:val="right"/>
              <w:ind w:right="545"/>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color w:val="auto"/>
              </w:rPr>
              <w:t>$( 206 )</w:t>
            </w:r>
          </w:p>
        </w:tc>
        <w:tc>
          <w:tcPr>
            <w:tcW w:w="128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color w:val="auto"/>
              </w:rPr>
              <w:t>$( 201 )</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$ 11</w:t>
            </w:r>
          </w:p>
        </w:tc>
        <w:tc>
          <w:tcPr>
            <w:tcW w:w="120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$( 396 )</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Contract Assets and Liabilities</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spacing w:after="0" w:line="9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and December 31, 2019, Contract assets and Contract liabilities consisted of the following:</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740" w:type="dxa"/>
            <w:vAlign w:val="bottom"/>
            <w:tcBorders>
              <w:top w:val="single" w:sz="8" w:color="auto"/>
            </w:tcBorders>
          </w:tcPr>
          <w:p>
            <w:pPr>
              <w:spacing w:after="0"/>
              <w:rPr>
                <w:sz w:val="14"/>
                <w:szCs w:val="14"/>
                <w:color w:val="auto"/>
              </w:rPr>
            </w:pPr>
          </w:p>
        </w:tc>
        <w:tc>
          <w:tcPr>
            <w:tcW w:w="3100" w:type="dxa"/>
            <w:vAlign w:val="bottom"/>
            <w:tcBorders>
              <w:top w:val="single" w:sz="8" w:color="auto"/>
            </w:tcBorders>
            <w:gridSpan w:val="2"/>
          </w:tcPr>
          <w:p>
            <w:pPr>
              <w:ind w:left="2120"/>
              <w:spacing w:after="0"/>
              <w:rPr>
                <w:sz w:val="20"/>
                <w:szCs w:val="20"/>
                <w:color w:val="auto"/>
              </w:rPr>
            </w:pPr>
            <w:r>
              <w:rPr>
                <w:rFonts w:ascii="Arial" w:cs="Arial" w:eastAsia="Arial" w:hAnsi="Arial"/>
                <w:sz w:val="14"/>
                <w:szCs w:val="14"/>
                <w:b w:val="1"/>
                <w:bCs w:val="1"/>
                <w:color w:val="auto"/>
              </w:rPr>
              <w:t>March 31,</w:t>
            </w:r>
          </w:p>
        </w:tc>
        <w:tc>
          <w:tcPr>
            <w:tcW w:w="1420" w:type="dxa"/>
            <w:vAlign w:val="bottom"/>
            <w:tcBorders>
              <w:top w:val="single" w:sz="8" w:color="auto"/>
            </w:tcBorders>
            <w:gridSpan w:val="2"/>
          </w:tcPr>
          <w:p>
            <w:pPr>
              <w:jc w:val="right"/>
              <w:ind w:right="14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164"/>
        </w:trPr>
        <w:tc>
          <w:tcPr>
            <w:tcW w:w="4740" w:type="dxa"/>
            <w:vAlign w:val="bottom"/>
          </w:tcPr>
          <w:p>
            <w:pPr>
              <w:spacing w:after="0" w:line="165" w:lineRule="exact"/>
              <w:rPr>
                <w:sz w:val="20"/>
                <w:szCs w:val="20"/>
                <w:color w:val="auto"/>
              </w:rPr>
            </w:pPr>
            <w:r>
              <w:rPr>
                <w:rFonts w:ascii="Arial" w:cs="Arial" w:eastAsia="Arial" w:hAnsi="Arial"/>
                <w:sz w:val="16"/>
                <w:szCs w:val="16"/>
                <w:color w:val="auto"/>
              </w:rPr>
              <w:t>Contract assets</w:t>
            </w:r>
          </w:p>
        </w:tc>
        <w:tc>
          <w:tcPr>
            <w:tcW w:w="2240" w:type="dxa"/>
            <w:vAlign w:val="bottom"/>
          </w:tcPr>
          <w:p>
            <w:pPr>
              <w:ind w:left="2120"/>
              <w:spacing w:after="0" w:line="165" w:lineRule="exact"/>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61"/>
              <w:spacing w:after="0" w:line="165" w:lineRule="exact"/>
              <w:rPr>
                <w:sz w:val="20"/>
                <w:szCs w:val="20"/>
                <w:color w:val="auto"/>
              </w:rPr>
            </w:pPr>
            <w:r>
              <w:rPr>
                <w:rFonts w:ascii="Arial" w:cs="Arial" w:eastAsia="Arial" w:hAnsi="Arial"/>
                <w:sz w:val="16"/>
                <w:szCs w:val="16"/>
                <w:b w:val="1"/>
                <w:bCs w:val="1"/>
                <w:color w:val="auto"/>
              </w:rPr>
              <w:t>85,257</w:t>
            </w:r>
          </w:p>
        </w:tc>
        <w:tc>
          <w:tcPr>
            <w:tcW w:w="52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301"/>
              <w:spacing w:after="0" w:line="165" w:lineRule="exact"/>
              <w:rPr>
                <w:sz w:val="20"/>
                <w:szCs w:val="20"/>
                <w:color w:val="auto"/>
              </w:rPr>
            </w:pPr>
            <w:r>
              <w:rPr>
                <w:rFonts w:ascii="Arial" w:cs="Arial" w:eastAsia="Arial" w:hAnsi="Arial"/>
                <w:sz w:val="16"/>
                <w:szCs w:val="16"/>
                <w:color w:val="auto"/>
              </w:rPr>
              <w:t>79,070</w:t>
            </w:r>
          </w:p>
        </w:tc>
      </w:tr>
      <w:tr>
        <w:trPr>
          <w:trHeight w:val="207"/>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Allowance for expected credit losses</w:t>
            </w:r>
          </w:p>
        </w:tc>
        <w:tc>
          <w:tcPr>
            <w:tcW w:w="2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(679)</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w:t>
            </w:r>
          </w:p>
        </w:tc>
      </w:tr>
      <w:tr>
        <w:trPr>
          <w:trHeight w:val="183"/>
        </w:trPr>
        <w:tc>
          <w:tcPr>
            <w:tcW w:w="47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Contract assets, net</w:t>
            </w:r>
          </w:p>
        </w:tc>
        <w:tc>
          <w:tcPr>
            <w:tcW w:w="2240" w:type="dxa"/>
            <w:vAlign w:val="bottom"/>
            <w:tcBorders>
              <w:bottom w:val="single" w:sz="8" w:color="auto"/>
            </w:tcBorders>
          </w:tcPr>
          <w:p>
            <w:pPr>
              <w:ind w:left="2120"/>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61"/>
              <w:spacing w:after="0" w:line="183" w:lineRule="exact"/>
              <w:rPr>
                <w:sz w:val="20"/>
                <w:szCs w:val="20"/>
                <w:color w:val="auto"/>
              </w:rPr>
            </w:pPr>
            <w:r>
              <w:rPr>
                <w:rFonts w:ascii="Arial" w:cs="Arial" w:eastAsia="Arial" w:hAnsi="Arial"/>
                <w:sz w:val="16"/>
                <w:szCs w:val="16"/>
                <w:b w:val="1"/>
                <w:bCs w:val="1"/>
                <w:color w:val="auto"/>
              </w:rPr>
              <w:t>84,578</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79,070</w:t>
            </w:r>
          </w:p>
        </w:tc>
      </w:tr>
      <w:tr>
        <w:trPr>
          <w:trHeight w:val="155"/>
        </w:trPr>
        <w:tc>
          <w:tcPr>
            <w:tcW w:w="47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83"/>
        </w:trPr>
        <w:tc>
          <w:tcPr>
            <w:tcW w:w="47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Contract liabilities</w:t>
            </w:r>
          </w:p>
        </w:tc>
        <w:tc>
          <w:tcPr>
            <w:tcW w:w="2240" w:type="dxa"/>
            <w:vAlign w:val="bottom"/>
            <w:tcBorders>
              <w:bottom w:val="single" w:sz="8" w:color="auto"/>
            </w:tcBorders>
          </w:tcPr>
          <w:p>
            <w:pPr>
              <w:ind w:left="2140"/>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261"/>
              <w:spacing w:after="0" w:line="183" w:lineRule="exact"/>
              <w:rPr>
                <w:sz w:val="20"/>
                <w:szCs w:val="20"/>
                <w:color w:val="auto"/>
              </w:rPr>
            </w:pPr>
            <w:r>
              <w:rPr>
                <w:rFonts w:ascii="Arial" w:cs="Arial" w:eastAsia="Arial" w:hAnsi="Arial"/>
                <w:sz w:val="16"/>
                <w:szCs w:val="16"/>
                <w:b w:val="1"/>
                <w:bCs w:val="1"/>
                <w:color w:val="auto"/>
              </w:rPr>
              <w:t>9,005</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5,656</w:t>
            </w:r>
          </w:p>
        </w:tc>
      </w:tr>
    </w:tbl>
    <w:p>
      <w:pPr>
        <w:spacing w:after="0" w:line="18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Contract assets increased $5.5 million during the three-month period ended March 31, 2020. The increase was primarily due to an increase in unbilled revenue related to the satisfaction of performance obligations, in excess of the amounts billed to customers for contracts that were in a contract asset position. There were no impairment losses related to our Contract assets during the three month periods ended March 31, 2020.</w:t>
      </w:r>
    </w:p>
    <w:p>
      <w:pPr>
        <w:spacing w:after="0" w:line="79" w:lineRule="exact"/>
        <w:rPr>
          <w:sz w:val="20"/>
          <w:szCs w:val="20"/>
          <w:color w:val="auto"/>
        </w:rPr>
      </w:pPr>
    </w:p>
    <w:p>
      <w:pPr>
        <w:jc w:val="both"/>
        <w:ind w:right="20" w:firstLine="324"/>
        <w:spacing w:after="0" w:line="267" w:lineRule="auto"/>
        <w:rPr>
          <w:sz w:val="20"/>
          <w:szCs w:val="20"/>
          <w:color w:val="auto"/>
        </w:rPr>
      </w:pPr>
      <w:r>
        <w:rPr>
          <w:rFonts w:ascii="Arial" w:cs="Arial" w:eastAsia="Arial" w:hAnsi="Arial"/>
          <w:sz w:val="18"/>
          <w:szCs w:val="18"/>
          <w:color w:val="auto"/>
        </w:rPr>
        <w:t xml:space="preserve">As described in Notes 1 and 11, effective January 1, 2020, the Company adopted the provisions of ASC 326, </w:t>
      </w:r>
      <w:r>
        <w:rPr>
          <w:rFonts w:ascii="Arial" w:cs="Arial" w:eastAsia="Arial" w:hAnsi="Arial"/>
          <w:sz w:val="18"/>
          <w:szCs w:val="18"/>
          <w:i w:val="1"/>
          <w:iCs w:val="1"/>
          <w:color w:val="auto"/>
        </w:rPr>
        <w:t>Current Expected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(CECL).</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year-to-date (increases)/ decreases in the allowance for credit losses for Contract assets: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6"/>
              <w:spacing w:after="0"/>
              <w:rPr>
                <w:sz w:val="20"/>
                <w:szCs w:val="20"/>
                <w:color w:val="auto"/>
              </w:rPr>
            </w:pPr>
            <w:r>
              <w:rPr>
                <w:rFonts w:ascii="Arial" w:cs="Arial" w:eastAsia="Arial" w:hAnsi="Arial"/>
                <w:sz w:val="14"/>
                <w:szCs w:val="14"/>
                <w:b w:val="1"/>
                <w:bCs w:val="1"/>
                <w:color w:val="auto"/>
              </w:rPr>
              <w:t>CECL</w:t>
            </w:r>
          </w:p>
        </w:tc>
        <w:tc>
          <w:tcPr>
            <w:tcW w:w="12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940" w:type="dxa"/>
            <w:vAlign w:val="bottom"/>
          </w:tcPr>
          <w:p>
            <w:pPr>
              <w:ind w:left="76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Pr>
          <w:p>
            <w:pPr>
              <w:jc w:val="center"/>
              <w:ind w:right="6"/>
              <w:spacing w:after="0"/>
              <w:rPr>
                <w:sz w:val="20"/>
                <w:szCs w:val="20"/>
                <w:color w:val="auto"/>
              </w:rPr>
            </w:pPr>
            <w:r>
              <w:rPr>
                <w:rFonts w:ascii="Arial" w:cs="Arial" w:eastAsia="Arial" w:hAnsi="Arial"/>
                <w:sz w:val="14"/>
                <w:szCs w:val="14"/>
                <w:b w:val="1"/>
                <w:bCs w:val="1"/>
                <w:color w:val="auto"/>
              </w:rPr>
              <w:t>transition</w:t>
            </w:r>
          </w:p>
        </w:tc>
        <w:tc>
          <w:tcPr>
            <w:tcW w:w="12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1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rPr>
              <w:t>adjustment</w:t>
            </w:r>
          </w:p>
        </w:tc>
        <w:tc>
          <w:tcPr>
            <w:tcW w:w="12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Charges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w:t>
            </w:r>
          </w:p>
        </w:tc>
        <w:tc>
          <w:tcPr>
            <w:tcW w:w="12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Other</w:t>
            </w:r>
          </w:p>
        </w:tc>
        <w:tc>
          <w:tcPr>
            <w:tcW w:w="138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2020</w:t>
            </w:r>
          </w:p>
        </w:tc>
      </w:tr>
      <w:tr>
        <w:trPr>
          <w:trHeight w:val="184"/>
        </w:trPr>
        <w:tc>
          <w:tcPr>
            <w:tcW w:w="2600" w:type="dxa"/>
            <w:vAlign w:val="bottom"/>
          </w:tcPr>
          <w:p>
            <w:pPr>
              <w:spacing w:after="0"/>
              <w:rPr>
                <w:sz w:val="20"/>
                <w:szCs w:val="20"/>
                <w:color w:val="auto"/>
              </w:rPr>
            </w:pPr>
            <w:r>
              <w:rPr>
                <w:rFonts w:ascii="Arial" w:cs="Arial" w:eastAsia="Arial" w:hAnsi="Arial"/>
                <w:sz w:val="16"/>
                <w:szCs w:val="16"/>
                <w:color w:val="auto"/>
              </w:rPr>
              <w:t>Contract assets expected</w:t>
            </w: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7"/>
        </w:trPr>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credit losses</w:t>
            </w:r>
          </w:p>
        </w:tc>
        <w:tc>
          <w:tcPr>
            <w:tcW w:w="1940" w:type="dxa"/>
            <w:vAlign w:val="bottom"/>
            <w:tcBorders>
              <w:bottom w:val="single" w:sz="8" w:color="auto"/>
            </w:tcBorders>
          </w:tcPr>
          <w:p>
            <w:pPr>
              <w:jc w:val="right"/>
              <w:ind w:right="545"/>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color w:val="auto"/>
              </w:rPr>
              <w:t>$( 404 )</w:t>
            </w:r>
          </w:p>
        </w:tc>
        <w:tc>
          <w:tcPr>
            <w:tcW w:w="128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color w:val="auto"/>
              </w:rPr>
              <w:t>$( 232 )</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$ 12</w:t>
            </w: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$(55)</w:t>
            </w:r>
          </w:p>
        </w:tc>
        <w:tc>
          <w:tcPr>
            <w:tcW w:w="138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$( 679 )</w:t>
            </w:r>
          </w:p>
        </w:tc>
      </w:tr>
    </w:tbl>
    <w:p>
      <w:pPr>
        <w:spacing w:after="0" w:line="20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Contract liabilities increased $3.3 million during the three-month period ended March 31, 2020, primarily due to increased billings in excess of revenue recognized from satisfied performance obligations for contracts that were in a contract liability position. Revenue recognized for the three- month periods ended March 31, 2020 and 2019 that was included in the Contract liability balance at the beginning of the year was $1.9 million and $3.7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Inventories</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and December 31, 2019, Inventories consisted of the following:</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3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740" w:type="dxa"/>
            <w:vAlign w:val="bottom"/>
            <w:tcBorders>
              <w:top w:val="single" w:sz="8" w:color="auto"/>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March 31, 2020</w:t>
            </w:r>
          </w:p>
        </w:tc>
        <w:tc>
          <w:tcPr>
            <w:tcW w:w="1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2019</w:t>
            </w:r>
          </w:p>
        </w:tc>
      </w:tr>
      <w:tr>
        <w:trPr>
          <w:trHeight w:val="164"/>
        </w:trPr>
        <w:tc>
          <w:tcPr>
            <w:tcW w:w="3620" w:type="dxa"/>
            <w:vAlign w:val="bottom"/>
          </w:tcPr>
          <w:p>
            <w:pPr>
              <w:spacing w:after="0" w:line="165" w:lineRule="exact"/>
              <w:rPr>
                <w:sz w:val="20"/>
                <w:szCs w:val="20"/>
                <w:color w:val="auto"/>
              </w:rPr>
            </w:pPr>
            <w:r>
              <w:rPr>
                <w:rFonts w:ascii="Arial" w:cs="Arial" w:eastAsia="Arial" w:hAnsi="Arial"/>
                <w:sz w:val="16"/>
                <w:szCs w:val="16"/>
                <w:color w:val="auto"/>
              </w:rPr>
              <w:t>Raw materials</w:t>
            </w:r>
          </w:p>
        </w:tc>
        <w:tc>
          <w:tcPr>
            <w:tcW w:w="270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339"/>
              <w:spacing w:after="0" w:line="165" w:lineRule="exact"/>
              <w:rPr>
                <w:sz w:val="20"/>
                <w:szCs w:val="20"/>
                <w:color w:val="auto"/>
              </w:rPr>
            </w:pPr>
            <w:r>
              <w:rPr>
                <w:rFonts w:ascii="Arial" w:cs="Arial" w:eastAsia="Arial" w:hAnsi="Arial"/>
                <w:sz w:val="16"/>
                <w:szCs w:val="16"/>
                <w:b w:val="1"/>
                <w:bCs w:val="1"/>
                <w:color w:val="auto"/>
              </w:rPr>
              <w:t>60,907</w:t>
            </w:r>
          </w:p>
        </w:tc>
        <w:tc>
          <w:tcPr>
            <w:tcW w:w="1900" w:type="dxa"/>
            <w:vAlign w:val="bottom"/>
          </w:tcPr>
          <w:p>
            <w:pPr>
              <w:jc w:val="center"/>
              <w:spacing w:after="0" w:line="165" w:lineRule="exact"/>
              <w:rPr>
                <w:sz w:val="20"/>
                <w:szCs w:val="20"/>
                <w:color w:val="auto"/>
              </w:rPr>
            </w:pPr>
            <w:r>
              <w:rPr>
                <w:rFonts w:ascii="Arial" w:cs="Arial" w:eastAsia="Arial" w:hAnsi="Arial"/>
                <w:sz w:val="16"/>
                <w:szCs w:val="16"/>
                <w:color w:val="auto"/>
              </w:rPr>
              <w:t>$ 52,960</w:t>
            </w: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Work in process</w:t>
            </w:r>
          </w:p>
        </w:tc>
        <w:tc>
          <w:tcPr>
            <w:tcW w:w="270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34,266</w:t>
            </w:r>
          </w:p>
        </w:tc>
        <w:tc>
          <w:tcPr>
            <w:tcW w:w="1900" w:type="dxa"/>
            <w:vAlign w:val="bottom"/>
          </w:tcPr>
          <w:p>
            <w:pPr>
              <w:jc w:val="right"/>
              <w:ind w:right="601"/>
              <w:spacing w:after="0"/>
              <w:rPr>
                <w:sz w:val="20"/>
                <w:szCs w:val="20"/>
                <w:color w:val="auto"/>
              </w:rPr>
            </w:pPr>
            <w:r>
              <w:rPr>
                <w:rFonts w:ascii="Arial" w:cs="Arial" w:eastAsia="Arial" w:hAnsi="Arial"/>
                <w:sz w:val="16"/>
                <w:szCs w:val="16"/>
                <w:color w:val="auto"/>
              </w:rPr>
              <w:t>31,744</w:t>
            </w:r>
          </w:p>
        </w:tc>
      </w:tr>
      <w:tr>
        <w:trPr>
          <w:trHeight w:val="207"/>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Finished goods</w:t>
            </w:r>
          </w:p>
        </w:tc>
        <w:tc>
          <w:tcPr>
            <w:tcW w:w="2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14,253</w:t>
            </w:r>
          </w:p>
        </w:tc>
        <w:tc>
          <w:tcPr>
            <w:tcW w:w="190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10,445</w:t>
            </w:r>
          </w:p>
        </w:tc>
      </w:tr>
      <w:tr>
        <w:trPr>
          <w:trHeight w:val="183"/>
        </w:trPr>
        <w:tc>
          <w:tcPr>
            <w:tcW w:w="36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inventories</w:t>
            </w:r>
          </w:p>
        </w:tc>
        <w:tc>
          <w:tcPr>
            <w:tcW w:w="2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109,426</w:t>
            </w:r>
          </w:p>
        </w:tc>
        <w:tc>
          <w:tcPr>
            <w:tcW w:w="19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$ 95,149</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Goodwill and Other Intangible Assets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reportable segments are consistent with our operating segments.</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9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94" w:lineRule="exact"/>
        <w:rPr>
          <w:sz w:val="20"/>
          <w:szCs w:val="20"/>
          <w:color w:val="auto"/>
        </w:rPr>
      </w:pPr>
    </w:p>
    <w:p>
      <w:pPr>
        <w:jc w:val="both"/>
        <w:ind w:right="20" w:firstLine="324"/>
        <w:spacing w:after="0" w:line="238" w:lineRule="auto"/>
        <w:rPr>
          <w:sz w:val="20"/>
          <w:szCs w:val="20"/>
          <w:color w:val="auto"/>
        </w:rPr>
      </w:pPr>
      <w:r>
        <w:rPr>
          <w:rFonts w:ascii="Arial" w:cs="Arial" w:eastAsia="Arial" w:hAnsi="Arial"/>
          <w:sz w:val="18"/>
          <w:szCs w:val="18"/>
          <w:color w:val="auto"/>
        </w:rPr>
        <w:t>In the second quarter of 2019, management performed their annual qualitative goodwill impairment test. As part of this qualitative evaluation, the Company considered earnings before interest expense, taxes, depreciation and amortization (EBITDA) and market multiples for the Machine Clothing and AEC – Salt Lake City reporting units. Based on the results of this analysis, management concluded that it was more likely than not that the fair value was in excess of the carrying value for all reporting units and that a step one of the goodwill impairment test was not considered necessary.</w:t>
      </w:r>
    </w:p>
    <w:p>
      <w:pPr>
        <w:spacing w:after="0" w:line="9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the first quarter of 2020, global equity market conditions deteriorated in reaction to the COVID-19 pandemic resulting in a corresponding decrease in the Company's stock price and market capitalization. As a result, management performed assessments as to whether the fair value of reporting units was less than carrying value as of March 31, 2020 and concluded that it was more likely than not that the fair value continued to be in excess of the carrying value for all reporting units.</w:t>
      </w:r>
    </w:p>
    <w:p>
      <w:pPr>
        <w:spacing w:after="0" w:line="97"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Management is scheduled to perform the 2020 annual goodwill impairment test during the second quarter. In the event that the Company’s market value declines further, or additional changes to the outlook for the Company’s reporting units occur, a goodwill impairment charge could be required.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are continuing to amortize certain patents, trade names, customer relationships, customer contracts and technology assets that have finite lives. The gross carrying value, accumulated amortization and net values of intangible assets and goodwill as of March 31, 2020 and December 31, 2019,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Borders>
              <w:top w:val="single" w:sz="8" w:color="auto"/>
            </w:tcBorders>
          </w:tcPr>
          <w:p>
            <w:pPr>
              <w:spacing w:after="0"/>
              <w:rPr>
                <w:sz w:val="14"/>
                <w:szCs w:val="14"/>
                <w:color w:val="auto"/>
              </w:rPr>
            </w:pPr>
          </w:p>
        </w:tc>
        <w:tc>
          <w:tcPr>
            <w:tcW w:w="2960" w:type="dxa"/>
            <w:vAlign w:val="bottom"/>
            <w:tcBorders>
              <w:top w:val="single" w:sz="8" w:color="auto"/>
            </w:tcBorders>
          </w:tcPr>
          <w:p>
            <w:pPr>
              <w:jc w:val="center"/>
              <w:ind w:left="1302"/>
              <w:spacing w:after="0"/>
              <w:rPr>
                <w:sz w:val="20"/>
                <w:szCs w:val="20"/>
                <w:color w:val="auto"/>
              </w:rPr>
            </w:pPr>
            <w:r>
              <w:rPr>
                <w:rFonts w:ascii="Arial" w:cs="Arial" w:eastAsia="Arial" w:hAnsi="Arial"/>
                <w:sz w:val="14"/>
                <w:szCs w:val="14"/>
                <w:b w:val="1"/>
                <w:bCs w:val="1"/>
                <w:color w:val="auto"/>
              </w:rPr>
              <w:t>Weighted average</w:t>
            </w:r>
          </w:p>
        </w:tc>
        <w:tc>
          <w:tcPr>
            <w:tcW w:w="4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162"/>
        </w:trPr>
        <w:tc>
          <w:tcPr>
            <w:tcW w:w="4180" w:type="dxa"/>
            <w:vAlign w:val="bottom"/>
          </w:tcPr>
          <w:p>
            <w:pPr>
              <w:spacing w:after="0"/>
              <w:rPr>
                <w:sz w:val="20"/>
                <w:szCs w:val="20"/>
                <w:color w:val="auto"/>
              </w:rPr>
            </w:pPr>
            <w:r>
              <w:rPr>
                <w:rFonts w:ascii="Arial" w:cs="Arial" w:eastAsia="Arial" w:hAnsi="Arial"/>
                <w:sz w:val="14"/>
                <w:szCs w:val="14"/>
                <w:b w:val="1"/>
                <w:bCs w:val="1"/>
                <w:color w:val="auto"/>
              </w:rPr>
              <w:t>As of March 31, 2020</w:t>
            </w:r>
          </w:p>
        </w:tc>
        <w:tc>
          <w:tcPr>
            <w:tcW w:w="2960" w:type="dxa"/>
            <w:vAlign w:val="bottom"/>
          </w:tcPr>
          <w:p>
            <w:pPr>
              <w:jc w:val="center"/>
              <w:ind w:left="1302"/>
              <w:spacing w:after="0"/>
              <w:rPr>
                <w:sz w:val="20"/>
                <w:szCs w:val="20"/>
                <w:color w:val="auto"/>
              </w:rPr>
            </w:pPr>
            <w:r>
              <w:rPr>
                <w:rFonts w:ascii="Arial" w:cs="Arial" w:eastAsia="Arial" w:hAnsi="Arial"/>
                <w:sz w:val="14"/>
                <w:szCs w:val="14"/>
                <w:b w:val="1"/>
                <w:bCs w:val="1"/>
                <w:color w:val="auto"/>
              </w:rPr>
              <w:t>amortization life</w:t>
            </w: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Gross carrying</w:t>
            </w: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Accumulated</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Net carrying</w:t>
            </w:r>
          </w:p>
        </w:tc>
      </w:tr>
      <w:tr>
        <w:trPr>
          <w:trHeight w:val="175"/>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960" w:type="dxa"/>
            <w:vAlign w:val="bottom"/>
            <w:tcBorders>
              <w:bottom w:val="single" w:sz="8" w:color="auto"/>
            </w:tcBorders>
          </w:tcPr>
          <w:p>
            <w:pPr>
              <w:jc w:val="center"/>
              <w:ind w:left="1302"/>
              <w:spacing w:after="0"/>
              <w:rPr>
                <w:sz w:val="20"/>
                <w:szCs w:val="20"/>
                <w:color w:val="auto"/>
              </w:rPr>
            </w:pPr>
            <w:r>
              <w:rPr>
                <w:rFonts w:ascii="Arial" w:cs="Arial" w:eastAsia="Arial" w:hAnsi="Arial"/>
                <w:sz w:val="14"/>
                <w:szCs w:val="14"/>
                <w:b w:val="1"/>
                <w:bCs w:val="1"/>
                <w:color w:val="auto"/>
              </w:rPr>
              <w:t>in years</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00"/>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amount</w:t>
            </w:r>
          </w:p>
        </w:tc>
      </w:tr>
      <w:tr>
        <w:trPr>
          <w:trHeight w:val="346"/>
        </w:trPr>
        <w:tc>
          <w:tcPr>
            <w:tcW w:w="4180" w:type="dxa"/>
            <w:vAlign w:val="bottom"/>
          </w:tcPr>
          <w:p>
            <w:pPr>
              <w:spacing w:after="0"/>
              <w:rPr>
                <w:sz w:val="20"/>
                <w:szCs w:val="20"/>
                <w:color w:val="auto"/>
              </w:rPr>
            </w:pPr>
            <w:r>
              <w:rPr>
                <w:rFonts w:ascii="Arial" w:cs="Arial" w:eastAsia="Arial" w:hAnsi="Arial"/>
                <w:sz w:val="16"/>
                <w:szCs w:val="16"/>
                <w:color w:val="auto"/>
              </w:rPr>
              <w:t>Amortized intangible assets:</w:t>
            </w: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9"/>
        </w:trPr>
        <w:tc>
          <w:tcPr>
            <w:tcW w:w="4180" w:type="dxa"/>
            <w:vAlign w:val="bottom"/>
          </w:tcPr>
          <w:p>
            <w:pPr>
              <w:ind w:left="120"/>
              <w:spacing w:after="0"/>
              <w:rPr>
                <w:sz w:val="20"/>
                <w:szCs w:val="20"/>
                <w:color w:val="auto"/>
              </w:rPr>
            </w:pPr>
            <w:r>
              <w:rPr>
                <w:rFonts w:ascii="Arial" w:cs="Arial" w:eastAsia="Arial" w:hAnsi="Arial"/>
                <w:sz w:val="16"/>
                <w:szCs w:val="16"/>
                <w:color w:val="auto"/>
              </w:rPr>
              <w:t>AEC Trademarks and trade names</w:t>
            </w:r>
          </w:p>
        </w:tc>
        <w:tc>
          <w:tcPr>
            <w:tcW w:w="2960" w:type="dxa"/>
            <w:vAlign w:val="bottom"/>
          </w:tcPr>
          <w:p>
            <w:pPr>
              <w:jc w:val="center"/>
              <w:ind w:left="1322"/>
              <w:spacing w:after="0"/>
              <w:rPr>
                <w:sz w:val="20"/>
                <w:szCs w:val="20"/>
                <w:color w:val="auto"/>
              </w:rPr>
            </w:pPr>
            <w:r>
              <w:rPr>
                <w:rFonts w:ascii="Arial" w:cs="Arial" w:eastAsia="Arial" w:hAnsi="Arial"/>
                <w:sz w:val="16"/>
                <w:szCs w:val="16"/>
                <w:color w:val="auto"/>
                <w:w w:val="99"/>
              </w:rPr>
              <w:t>6-15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40"/>
              <w:spacing w:after="0"/>
              <w:rPr>
                <w:sz w:val="20"/>
                <w:szCs w:val="20"/>
                <w:color w:val="auto"/>
              </w:rPr>
            </w:pPr>
            <w:r>
              <w:rPr>
                <w:rFonts w:ascii="Arial" w:cs="Arial" w:eastAsia="Arial" w:hAnsi="Arial"/>
                <w:sz w:val="16"/>
                <w:szCs w:val="16"/>
                <w:color w:val="auto"/>
              </w:rPr>
              <w:t>208</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(139)</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69</w:t>
            </w:r>
          </w:p>
        </w:tc>
      </w:tr>
      <w:tr>
        <w:trPr>
          <w:trHeight w:val="189"/>
        </w:trPr>
        <w:tc>
          <w:tcPr>
            <w:tcW w:w="4180" w:type="dxa"/>
            <w:vAlign w:val="bottom"/>
          </w:tcPr>
          <w:p>
            <w:pPr>
              <w:ind w:left="120"/>
              <w:spacing w:after="0"/>
              <w:rPr>
                <w:sz w:val="20"/>
                <w:szCs w:val="20"/>
                <w:color w:val="auto"/>
              </w:rPr>
            </w:pPr>
            <w:r>
              <w:rPr>
                <w:rFonts w:ascii="Arial" w:cs="Arial" w:eastAsia="Arial" w:hAnsi="Arial"/>
                <w:sz w:val="16"/>
                <w:szCs w:val="16"/>
                <w:color w:val="auto"/>
              </w:rPr>
              <w:t>AEC Technology</w:t>
            </w:r>
          </w:p>
        </w:tc>
        <w:tc>
          <w:tcPr>
            <w:tcW w:w="2960" w:type="dxa"/>
            <w:vAlign w:val="bottom"/>
          </w:tcPr>
          <w:p>
            <w:pPr>
              <w:jc w:val="center"/>
              <w:ind w:left="1302"/>
              <w:spacing w:after="0"/>
              <w:rPr>
                <w:sz w:val="20"/>
                <w:szCs w:val="20"/>
                <w:color w:val="auto"/>
              </w:rPr>
            </w:pPr>
            <w:r>
              <w:rPr>
                <w:rFonts w:ascii="Arial" w:cs="Arial" w:eastAsia="Arial" w:hAnsi="Arial"/>
                <w:sz w:val="16"/>
                <w:szCs w:val="16"/>
                <w:color w:val="auto"/>
              </w:rPr>
              <w:t>10-15</w:t>
            </w:r>
          </w:p>
        </w:tc>
        <w:tc>
          <w:tcPr>
            <w:tcW w:w="400" w:type="dxa"/>
            <w:vAlign w:val="bottom"/>
          </w:tcPr>
          <w:p>
            <w:pPr>
              <w:spacing w:after="0"/>
              <w:rPr>
                <w:sz w:val="16"/>
                <w:szCs w:val="16"/>
                <w:color w:val="auto"/>
              </w:rPr>
            </w:pPr>
          </w:p>
        </w:tc>
        <w:tc>
          <w:tcPr>
            <w:tcW w:w="1040" w:type="dxa"/>
            <w:vAlign w:val="bottom"/>
          </w:tcPr>
          <w:p>
            <w:pPr>
              <w:jc w:val="right"/>
              <w:ind w:right="360"/>
              <w:spacing w:after="0"/>
              <w:rPr>
                <w:sz w:val="20"/>
                <w:szCs w:val="20"/>
                <w:color w:val="auto"/>
              </w:rPr>
            </w:pPr>
            <w:r>
              <w:rPr>
                <w:rFonts w:ascii="Arial" w:cs="Arial" w:eastAsia="Arial" w:hAnsi="Arial"/>
                <w:sz w:val="16"/>
                <w:szCs w:val="16"/>
                <w:color w:val="auto"/>
              </w:rPr>
              <w:t>6,142</w:t>
            </w:r>
          </w:p>
        </w:tc>
        <w:tc>
          <w:tcPr>
            <w:tcW w:w="540" w:type="dxa"/>
            <w:vAlign w:val="bottom"/>
          </w:tcPr>
          <w:p>
            <w:pPr>
              <w:spacing w:after="0"/>
              <w:rPr>
                <w:sz w:val="16"/>
                <w:szCs w:val="16"/>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(537)</w:t>
            </w:r>
          </w:p>
        </w:tc>
        <w:tc>
          <w:tcPr>
            <w:tcW w:w="40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5,605</w:t>
            </w:r>
          </w:p>
        </w:tc>
      </w:tr>
      <w:tr>
        <w:trPr>
          <w:trHeight w:val="189"/>
        </w:trPr>
        <w:tc>
          <w:tcPr>
            <w:tcW w:w="4180" w:type="dxa"/>
            <w:vAlign w:val="bottom"/>
          </w:tcPr>
          <w:p>
            <w:pPr>
              <w:ind w:left="120"/>
              <w:spacing w:after="0"/>
              <w:rPr>
                <w:sz w:val="20"/>
                <w:szCs w:val="20"/>
                <w:color w:val="auto"/>
              </w:rPr>
            </w:pPr>
            <w:r>
              <w:rPr>
                <w:rFonts w:ascii="Arial" w:cs="Arial" w:eastAsia="Arial" w:hAnsi="Arial"/>
                <w:sz w:val="16"/>
                <w:szCs w:val="16"/>
                <w:color w:val="auto"/>
              </w:rPr>
              <w:t>AEC Intellectual property</w:t>
            </w:r>
          </w:p>
        </w:tc>
        <w:tc>
          <w:tcPr>
            <w:tcW w:w="2960" w:type="dxa"/>
            <w:vAlign w:val="bottom"/>
          </w:tcPr>
          <w:p>
            <w:pPr>
              <w:jc w:val="center"/>
              <w:ind w:left="1302"/>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6"/>
                <w:szCs w:val="16"/>
                <w:color w:val="auto"/>
              </w:rPr>
            </w:pPr>
          </w:p>
        </w:tc>
        <w:tc>
          <w:tcPr>
            <w:tcW w:w="1040" w:type="dxa"/>
            <w:vAlign w:val="bottom"/>
          </w:tcPr>
          <w:p>
            <w:pPr>
              <w:jc w:val="right"/>
              <w:ind w:right="360"/>
              <w:spacing w:after="0"/>
              <w:rPr>
                <w:sz w:val="20"/>
                <w:szCs w:val="20"/>
                <w:color w:val="auto"/>
              </w:rPr>
            </w:pPr>
            <w:r>
              <w:rPr>
                <w:rFonts w:ascii="Arial" w:cs="Arial" w:eastAsia="Arial" w:hAnsi="Arial"/>
                <w:sz w:val="16"/>
                <w:szCs w:val="16"/>
                <w:color w:val="auto"/>
              </w:rPr>
              <w:t>1,250</w:t>
            </w:r>
          </w:p>
        </w:tc>
        <w:tc>
          <w:tcPr>
            <w:tcW w:w="540" w:type="dxa"/>
            <w:vAlign w:val="bottom"/>
          </w:tcPr>
          <w:p>
            <w:pPr>
              <w:spacing w:after="0"/>
              <w:rPr>
                <w:sz w:val="16"/>
                <w:szCs w:val="16"/>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(28)</w:t>
            </w:r>
          </w:p>
        </w:tc>
        <w:tc>
          <w:tcPr>
            <w:tcW w:w="40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1,222</w:t>
            </w:r>
          </w:p>
        </w:tc>
      </w:tr>
      <w:tr>
        <w:trPr>
          <w:trHeight w:val="189"/>
        </w:trPr>
        <w:tc>
          <w:tcPr>
            <w:tcW w:w="4180" w:type="dxa"/>
            <w:vAlign w:val="bottom"/>
          </w:tcPr>
          <w:p>
            <w:pPr>
              <w:ind w:left="120"/>
              <w:spacing w:after="0"/>
              <w:rPr>
                <w:sz w:val="20"/>
                <w:szCs w:val="20"/>
                <w:color w:val="auto"/>
              </w:rPr>
            </w:pPr>
            <w:r>
              <w:rPr>
                <w:rFonts w:ascii="Arial" w:cs="Arial" w:eastAsia="Arial" w:hAnsi="Arial"/>
                <w:sz w:val="16"/>
                <w:szCs w:val="16"/>
                <w:color w:val="auto"/>
              </w:rPr>
              <w:t>AEC Customer contracts</w:t>
            </w:r>
          </w:p>
        </w:tc>
        <w:tc>
          <w:tcPr>
            <w:tcW w:w="2960" w:type="dxa"/>
            <w:vAlign w:val="bottom"/>
          </w:tcPr>
          <w:p>
            <w:pPr>
              <w:jc w:val="center"/>
              <w:ind w:left="1302"/>
              <w:spacing w:after="0"/>
              <w:rPr>
                <w:sz w:val="20"/>
                <w:szCs w:val="20"/>
                <w:color w:val="auto"/>
              </w:rPr>
            </w:pPr>
            <w:r>
              <w:rPr>
                <w:rFonts w:ascii="Arial" w:cs="Arial" w:eastAsia="Arial" w:hAnsi="Arial"/>
                <w:sz w:val="16"/>
                <w:szCs w:val="16"/>
                <w:color w:val="auto"/>
              </w:rPr>
              <w:t>6</w:t>
            </w:r>
          </w:p>
        </w:tc>
        <w:tc>
          <w:tcPr>
            <w:tcW w:w="400" w:type="dxa"/>
            <w:vAlign w:val="bottom"/>
          </w:tcPr>
          <w:p>
            <w:pPr>
              <w:spacing w:after="0"/>
              <w:rPr>
                <w:sz w:val="16"/>
                <w:szCs w:val="16"/>
                <w:color w:val="auto"/>
              </w:rPr>
            </w:pPr>
          </w:p>
        </w:tc>
        <w:tc>
          <w:tcPr>
            <w:tcW w:w="1040" w:type="dxa"/>
            <w:vAlign w:val="bottom"/>
          </w:tcPr>
          <w:p>
            <w:pPr>
              <w:jc w:val="right"/>
              <w:ind w:right="360"/>
              <w:spacing w:after="0"/>
              <w:rPr>
                <w:sz w:val="20"/>
                <w:szCs w:val="20"/>
                <w:color w:val="auto"/>
              </w:rPr>
            </w:pPr>
            <w:r>
              <w:rPr>
                <w:rFonts w:ascii="Arial" w:cs="Arial" w:eastAsia="Arial" w:hAnsi="Arial"/>
                <w:sz w:val="16"/>
                <w:szCs w:val="16"/>
                <w:color w:val="auto"/>
              </w:rPr>
              <w:t>17,471</w:t>
            </w:r>
          </w:p>
        </w:tc>
        <w:tc>
          <w:tcPr>
            <w:tcW w:w="1380" w:type="dxa"/>
            <w:vAlign w:val="bottom"/>
            <w:gridSpan w:val="2"/>
          </w:tcPr>
          <w:p>
            <w:pPr>
              <w:jc w:val="right"/>
              <w:ind w:right="179"/>
              <w:spacing w:after="0"/>
              <w:rPr>
                <w:sz w:val="20"/>
                <w:szCs w:val="20"/>
                <w:color w:val="auto"/>
              </w:rPr>
            </w:pPr>
            <w:r>
              <w:rPr>
                <w:rFonts w:ascii="Arial" w:cs="Arial" w:eastAsia="Arial" w:hAnsi="Arial"/>
                <w:sz w:val="16"/>
                <w:szCs w:val="16"/>
                <w:color w:val="auto"/>
              </w:rPr>
              <w:t>( 11,655 )</w:t>
            </w:r>
          </w:p>
        </w:tc>
        <w:tc>
          <w:tcPr>
            <w:tcW w:w="40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5,816</w:t>
            </w:r>
          </w:p>
        </w:tc>
      </w:tr>
      <w:tr>
        <w:trPr>
          <w:trHeight w:val="189"/>
        </w:trPr>
        <w:tc>
          <w:tcPr>
            <w:tcW w:w="4180" w:type="dxa"/>
            <w:vAlign w:val="bottom"/>
          </w:tcPr>
          <w:p>
            <w:pPr>
              <w:ind w:left="120"/>
              <w:spacing w:after="0"/>
              <w:rPr>
                <w:sz w:val="20"/>
                <w:szCs w:val="20"/>
                <w:color w:val="auto"/>
              </w:rPr>
            </w:pPr>
            <w:r>
              <w:rPr>
                <w:rFonts w:ascii="Arial" w:cs="Arial" w:eastAsia="Arial" w:hAnsi="Arial"/>
                <w:sz w:val="16"/>
                <w:szCs w:val="16"/>
                <w:color w:val="auto"/>
              </w:rPr>
              <w:t>AEC Customer relationships</w:t>
            </w:r>
          </w:p>
        </w:tc>
        <w:tc>
          <w:tcPr>
            <w:tcW w:w="2960" w:type="dxa"/>
            <w:vAlign w:val="bottom"/>
          </w:tcPr>
          <w:p>
            <w:pPr>
              <w:jc w:val="center"/>
              <w:ind w:left="1322"/>
              <w:spacing w:after="0"/>
              <w:rPr>
                <w:sz w:val="20"/>
                <w:szCs w:val="20"/>
                <w:color w:val="auto"/>
              </w:rPr>
            </w:pPr>
            <w:r>
              <w:rPr>
                <w:rFonts w:ascii="Arial" w:cs="Arial" w:eastAsia="Arial" w:hAnsi="Arial"/>
                <w:sz w:val="16"/>
                <w:szCs w:val="16"/>
                <w:color w:val="auto"/>
                <w:w w:val="99"/>
              </w:rPr>
              <w:t>8-15</w:t>
            </w:r>
          </w:p>
        </w:tc>
        <w:tc>
          <w:tcPr>
            <w:tcW w:w="400" w:type="dxa"/>
            <w:vAlign w:val="bottom"/>
          </w:tcPr>
          <w:p>
            <w:pPr>
              <w:spacing w:after="0"/>
              <w:rPr>
                <w:sz w:val="16"/>
                <w:szCs w:val="16"/>
                <w:color w:val="auto"/>
              </w:rPr>
            </w:pPr>
          </w:p>
        </w:tc>
        <w:tc>
          <w:tcPr>
            <w:tcW w:w="1040" w:type="dxa"/>
            <w:vAlign w:val="bottom"/>
          </w:tcPr>
          <w:p>
            <w:pPr>
              <w:jc w:val="right"/>
              <w:ind w:right="360"/>
              <w:spacing w:after="0"/>
              <w:rPr>
                <w:sz w:val="20"/>
                <w:szCs w:val="20"/>
                <w:color w:val="auto"/>
              </w:rPr>
            </w:pPr>
            <w:r>
              <w:rPr>
                <w:rFonts w:ascii="Arial" w:cs="Arial" w:eastAsia="Arial" w:hAnsi="Arial"/>
                <w:sz w:val="16"/>
                <w:szCs w:val="16"/>
                <w:color w:val="auto"/>
              </w:rPr>
              <w:t>51,556</w:t>
            </w:r>
          </w:p>
        </w:tc>
        <w:tc>
          <w:tcPr>
            <w:tcW w:w="1380" w:type="dxa"/>
            <w:vAlign w:val="bottom"/>
            <w:gridSpan w:val="2"/>
          </w:tcPr>
          <w:p>
            <w:pPr>
              <w:jc w:val="right"/>
              <w:ind w:right="199"/>
              <w:spacing w:after="0"/>
              <w:rPr>
                <w:sz w:val="20"/>
                <w:szCs w:val="20"/>
                <w:color w:val="auto"/>
              </w:rPr>
            </w:pPr>
            <w:r>
              <w:rPr>
                <w:rFonts w:ascii="Arial" w:cs="Arial" w:eastAsia="Arial" w:hAnsi="Arial"/>
                <w:sz w:val="16"/>
                <w:szCs w:val="16"/>
                <w:color w:val="auto"/>
              </w:rPr>
              <w:t>( 13,010 )</w:t>
            </w:r>
          </w:p>
        </w:tc>
        <w:tc>
          <w:tcPr>
            <w:tcW w:w="40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38,546</w:t>
            </w:r>
          </w:p>
        </w:tc>
      </w:tr>
      <w:tr>
        <w:trPr>
          <w:trHeight w:val="187"/>
        </w:trPr>
        <w:tc>
          <w:tcPr>
            <w:tcW w:w="41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AEC Other intangibles</w:t>
            </w:r>
          </w:p>
        </w:tc>
        <w:tc>
          <w:tcPr>
            <w:tcW w:w="2960" w:type="dxa"/>
            <w:vAlign w:val="bottom"/>
            <w:tcBorders>
              <w:bottom w:val="single" w:sz="8" w:color="auto"/>
            </w:tcBorders>
          </w:tcPr>
          <w:p>
            <w:pPr>
              <w:jc w:val="center"/>
              <w:ind w:left="1302"/>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322</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(257)</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65</w:t>
            </w:r>
          </w:p>
        </w:tc>
      </w:tr>
      <w:tr>
        <w:trPr>
          <w:trHeight w:val="183"/>
        </w:trPr>
        <w:tc>
          <w:tcPr>
            <w:tcW w:w="41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amortized intangible assets</w:t>
            </w:r>
          </w:p>
        </w:tc>
        <w:tc>
          <w:tcPr>
            <w:tcW w:w="29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40"/>
              <w:spacing w:after="0" w:line="183" w:lineRule="exact"/>
              <w:rPr>
                <w:sz w:val="20"/>
                <w:szCs w:val="20"/>
                <w:color w:val="auto"/>
              </w:rPr>
            </w:pPr>
            <w:r>
              <w:rPr>
                <w:rFonts w:ascii="Arial" w:cs="Arial" w:eastAsia="Arial" w:hAnsi="Arial"/>
                <w:sz w:val="16"/>
                <w:szCs w:val="16"/>
                <w:color w:val="auto"/>
              </w:rPr>
              <w:t>76,949</w:t>
            </w:r>
          </w:p>
        </w:tc>
        <w:tc>
          <w:tcPr>
            <w:tcW w:w="1380" w:type="dxa"/>
            <w:vAlign w:val="bottom"/>
            <w:tcBorders>
              <w:bottom w:val="single" w:sz="8" w:color="auto"/>
            </w:tcBorders>
            <w:gridSpan w:val="2"/>
          </w:tcPr>
          <w:p>
            <w:pPr>
              <w:jc w:val="right"/>
              <w:ind w:right="199"/>
              <w:spacing w:after="0" w:line="183" w:lineRule="exact"/>
              <w:rPr>
                <w:sz w:val="20"/>
                <w:szCs w:val="20"/>
                <w:color w:val="auto"/>
              </w:rPr>
            </w:pPr>
            <w:r>
              <w:rPr>
                <w:rFonts w:ascii="Arial" w:cs="Arial" w:eastAsia="Arial" w:hAnsi="Arial"/>
                <w:sz w:val="16"/>
                <w:szCs w:val="16"/>
                <w:color w:val="auto"/>
              </w:rPr>
              <w:t>$( 25,626 )</w:t>
            </w: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51,323</w:t>
            </w:r>
          </w:p>
        </w:tc>
      </w:tr>
      <w:tr>
        <w:trPr>
          <w:trHeight w:val="373"/>
        </w:trPr>
        <w:tc>
          <w:tcPr>
            <w:tcW w:w="4180" w:type="dxa"/>
            <w:vAlign w:val="bottom"/>
          </w:tcPr>
          <w:p>
            <w:pPr>
              <w:spacing w:after="0"/>
              <w:rPr>
                <w:sz w:val="20"/>
                <w:szCs w:val="20"/>
                <w:color w:val="auto"/>
              </w:rPr>
            </w:pPr>
            <w:r>
              <w:rPr>
                <w:rFonts w:ascii="Arial" w:cs="Arial" w:eastAsia="Arial" w:hAnsi="Arial"/>
                <w:sz w:val="16"/>
                <w:szCs w:val="16"/>
                <w:color w:val="auto"/>
              </w:rPr>
              <w:t>Unamortized intangible assets:</w:t>
            </w: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9"/>
        </w:trPr>
        <w:tc>
          <w:tcPr>
            <w:tcW w:w="4180" w:type="dxa"/>
            <w:vAlign w:val="bottom"/>
          </w:tcPr>
          <w:p>
            <w:pPr>
              <w:ind w:left="120"/>
              <w:spacing w:after="0"/>
              <w:rPr>
                <w:sz w:val="20"/>
                <w:szCs w:val="20"/>
                <w:color w:val="auto"/>
              </w:rPr>
            </w:pPr>
            <w:r>
              <w:rPr>
                <w:rFonts w:ascii="Arial" w:cs="Arial" w:eastAsia="Arial" w:hAnsi="Arial"/>
                <w:sz w:val="16"/>
                <w:szCs w:val="16"/>
                <w:color w:val="auto"/>
              </w:rPr>
              <w:t>MC Goodwill</w:t>
            </w:r>
          </w:p>
        </w:tc>
        <w:tc>
          <w:tcPr>
            <w:tcW w:w="29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40"/>
              <w:spacing w:after="0"/>
              <w:rPr>
                <w:sz w:val="20"/>
                <w:szCs w:val="20"/>
                <w:color w:val="auto"/>
              </w:rPr>
            </w:pPr>
            <w:r>
              <w:rPr>
                <w:rFonts w:ascii="Arial" w:cs="Arial" w:eastAsia="Arial" w:hAnsi="Arial"/>
                <w:sz w:val="16"/>
                <w:szCs w:val="16"/>
                <w:color w:val="auto"/>
              </w:rPr>
              <w:t>66,679</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66,679</w:t>
            </w:r>
          </w:p>
        </w:tc>
      </w:tr>
      <w:tr>
        <w:trPr>
          <w:trHeight w:val="187"/>
        </w:trPr>
        <w:tc>
          <w:tcPr>
            <w:tcW w:w="41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AEC Goodwill</w:t>
            </w:r>
          </w:p>
        </w:tc>
        <w:tc>
          <w:tcPr>
            <w:tcW w:w="2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112,687</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112,687</w:t>
            </w:r>
          </w:p>
        </w:tc>
      </w:tr>
      <w:tr>
        <w:trPr>
          <w:trHeight w:val="183"/>
        </w:trPr>
        <w:tc>
          <w:tcPr>
            <w:tcW w:w="41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unamortized intangible assets:</w:t>
            </w:r>
          </w:p>
        </w:tc>
        <w:tc>
          <w:tcPr>
            <w:tcW w:w="2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320"/>
              <w:spacing w:after="0" w:line="183" w:lineRule="exact"/>
              <w:rPr>
                <w:sz w:val="20"/>
                <w:szCs w:val="20"/>
                <w:color w:val="auto"/>
              </w:rPr>
            </w:pPr>
            <w:r>
              <w:rPr>
                <w:rFonts w:ascii="Arial" w:cs="Arial" w:eastAsia="Arial" w:hAnsi="Arial"/>
                <w:sz w:val="16"/>
                <w:szCs w:val="16"/>
                <w:color w:val="auto"/>
              </w:rPr>
              <w:t>$ 179,366</w:t>
            </w:r>
          </w:p>
        </w:tc>
        <w:tc>
          <w:tcPr>
            <w:tcW w:w="5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jc w:val="right"/>
              <w:ind w:right="180"/>
              <w:spacing w:after="0" w:line="183" w:lineRule="exact"/>
              <w:rPr>
                <w:sz w:val="20"/>
                <w:szCs w:val="20"/>
                <w:color w:val="auto"/>
              </w:rPr>
            </w:pPr>
            <w:r>
              <w:rPr>
                <w:rFonts w:ascii="Arial" w:cs="Arial" w:eastAsia="Arial" w:hAnsi="Arial"/>
                <w:sz w:val="16"/>
                <w:szCs w:val="16"/>
                <w:color w:val="auto"/>
              </w:rPr>
              <w:t>$ 179,366</w:t>
            </w:r>
          </w:p>
        </w:tc>
      </w:tr>
      <w:tr>
        <w:trPr>
          <w:trHeight w:val="156"/>
        </w:trPr>
        <w:tc>
          <w:tcPr>
            <w:tcW w:w="418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42"/>
        </w:trPr>
        <w:tc>
          <w:tcPr>
            <w:tcW w:w="4180" w:type="dxa"/>
            <w:vAlign w:val="bottom"/>
          </w:tcPr>
          <w:p>
            <w:pPr>
              <w:spacing w:after="0"/>
              <w:rPr>
                <w:sz w:val="12"/>
                <w:szCs w:val="12"/>
                <w:color w:val="auto"/>
              </w:rPr>
            </w:pPr>
          </w:p>
        </w:tc>
        <w:tc>
          <w:tcPr>
            <w:tcW w:w="2960" w:type="dxa"/>
            <w:vAlign w:val="bottom"/>
          </w:tcPr>
          <w:p>
            <w:pPr>
              <w:jc w:val="center"/>
              <w:ind w:left="1302"/>
              <w:spacing w:after="0" w:line="143" w:lineRule="exact"/>
              <w:rPr>
                <w:sz w:val="20"/>
                <w:szCs w:val="20"/>
                <w:color w:val="auto"/>
              </w:rPr>
            </w:pPr>
            <w:r>
              <w:rPr>
                <w:rFonts w:ascii="Arial" w:cs="Arial" w:eastAsia="Arial" w:hAnsi="Arial"/>
                <w:sz w:val="14"/>
                <w:szCs w:val="14"/>
                <w:b w:val="1"/>
                <w:bCs w:val="1"/>
                <w:color w:val="auto"/>
              </w:rPr>
              <w:t>Weighted average</w:t>
            </w: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2"/>
        </w:trPr>
        <w:tc>
          <w:tcPr>
            <w:tcW w:w="4180" w:type="dxa"/>
            <w:vAlign w:val="bottom"/>
          </w:tcPr>
          <w:p>
            <w:pPr>
              <w:spacing w:after="0"/>
              <w:rPr>
                <w:sz w:val="20"/>
                <w:szCs w:val="20"/>
                <w:color w:val="auto"/>
              </w:rPr>
            </w:pPr>
            <w:r>
              <w:rPr>
                <w:rFonts w:ascii="Arial" w:cs="Arial" w:eastAsia="Arial" w:hAnsi="Arial"/>
                <w:sz w:val="14"/>
                <w:szCs w:val="14"/>
                <w:b w:val="1"/>
                <w:bCs w:val="1"/>
                <w:color w:val="auto"/>
              </w:rPr>
              <w:t>As of December 31, 2019</w:t>
            </w:r>
          </w:p>
        </w:tc>
        <w:tc>
          <w:tcPr>
            <w:tcW w:w="2960" w:type="dxa"/>
            <w:vAlign w:val="bottom"/>
          </w:tcPr>
          <w:p>
            <w:pPr>
              <w:jc w:val="center"/>
              <w:ind w:left="1302"/>
              <w:spacing w:after="0"/>
              <w:rPr>
                <w:sz w:val="20"/>
                <w:szCs w:val="20"/>
                <w:color w:val="auto"/>
              </w:rPr>
            </w:pPr>
            <w:r>
              <w:rPr>
                <w:rFonts w:ascii="Arial" w:cs="Arial" w:eastAsia="Arial" w:hAnsi="Arial"/>
                <w:sz w:val="14"/>
                <w:szCs w:val="14"/>
                <w:b w:val="1"/>
                <w:bCs w:val="1"/>
                <w:color w:val="auto"/>
              </w:rPr>
              <w:t>amortization life</w:t>
            </w: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Gross carrying</w:t>
            </w: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Accumulated</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Net carrying</w:t>
            </w:r>
          </w:p>
        </w:tc>
      </w:tr>
      <w:tr>
        <w:trPr>
          <w:trHeight w:val="175"/>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960" w:type="dxa"/>
            <w:vAlign w:val="bottom"/>
            <w:tcBorders>
              <w:bottom w:val="single" w:sz="8" w:color="auto"/>
            </w:tcBorders>
          </w:tcPr>
          <w:p>
            <w:pPr>
              <w:jc w:val="center"/>
              <w:ind w:left="1302"/>
              <w:spacing w:after="0"/>
              <w:rPr>
                <w:sz w:val="20"/>
                <w:szCs w:val="20"/>
                <w:color w:val="auto"/>
              </w:rPr>
            </w:pPr>
            <w:r>
              <w:rPr>
                <w:rFonts w:ascii="Arial" w:cs="Arial" w:eastAsia="Arial" w:hAnsi="Arial"/>
                <w:sz w:val="14"/>
                <w:szCs w:val="14"/>
                <w:b w:val="1"/>
                <w:bCs w:val="1"/>
                <w:color w:val="auto"/>
              </w:rPr>
              <w:t>in years</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00"/>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amount</w:t>
            </w:r>
          </w:p>
        </w:tc>
      </w:tr>
      <w:tr>
        <w:trPr>
          <w:trHeight w:val="346"/>
        </w:trPr>
        <w:tc>
          <w:tcPr>
            <w:tcW w:w="4180" w:type="dxa"/>
            <w:vAlign w:val="bottom"/>
          </w:tcPr>
          <w:p>
            <w:pPr>
              <w:spacing w:after="0"/>
              <w:rPr>
                <w:sz w:val="20"/>
                <w:szCs w:val="20"/>
                <w:color w:val="auto"/>
              </w:rPr>
            </w:pPr>
            <w:r>
              <w:rPr>
                <w:rFonts w:ascii="Arial" w:cs="Arial" w:eastAsia="Arial" w:hAnsi="Arial"/>
                <w:sz w:val="16"/>
                <w:szCs w:val="16"/>
                <w:color w:val="auto"/>
              </w:rPr>
              <w:t>Amortized intangible assets:</w:t>
            </w: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9"/>
        </w:trPr>
        <w:tc>
          <w:tcPr>
            <w:tcW w:w="4180" w:type="dxa"/>
            <w:vAlign w:val="bottom"/>
          </w:tcPr>
          <w:p>
            <w:pPr>
              <w:ind w:left="120"/>
              <w:spacing w:after="0"/>
              <w:rPr>
                <w:sz w:val="20"/>
                <w:szCs w:val="20"/>
                <w:color w:val="auto"/>
              </w:rPr>
            </w:pPr>
            <w:r>
              <w:rPr>
                <w:rFonts w:ascii="Arial" w:cs="Arial" w:eastAsia="Arial" w:hAnsi="Arial"/>
                <w:sz w:val="16"/>
                <w:szCs w:val="16"/>
                <w:color w:val="auto"/>
              </w:rPr>
              <w:t>AEC Trademarks and trade names</w:t>
            </w:r>
          </w:p>
        </w:tc>
        <w:tc>
          <w:tcPr>
            <w:tcW w:w="2960" w:type="dxa"/>
            <w:vAlign w:val="bottom"/>
          </w:tcPr>
          <w:p>
            <w:pPr>
              <w:jc w:val="center"/>
              <w:ind w:left="1322"/>
              <w:spacing w:after="0"/>
              <w:rPr>
                <w:sz w:val="20"/>
                <w:szCs w:val="20"/>
                <w:color w:val="auto"/>
              </w:rPr>
            </w:pPr>
            <w:r>
              <w:rPr>
                <w:rFonts w:ascii="Arial" w:cs="Arial" w:eastAsia="Arial" w:hAnsi="Arial"/>
                <w:sz w:val="16"/>
                <w:szCs w:val="16"/>
                <w:color w:val="auto"/>
                <w:w w:val="99"/>
              </w:rPr>
              <w:t>6-15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40"/>
              <w:spacing w:after="0"/>
              <w:rPr>
                <w:sz w:val="20"/>
                <w:szCs w:val="20"/>
                <w:color w:val="auto"/>
              </w:rPr>
            </w:pPr>
            <w:r>
              <w:rPr>
                <w:rFonts w:ascii="Arial" w:cs="Arial" w:eastAsia="Arial" w:hAnsi="Arial"/>
                <w:sz w:val="16"/>
                <w:szCs w:val="16"/>
                <w:color w:val="auto"/>
              </w:rPr>
              <w:t>208</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(135)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73</w:t>
            </w:r>
          </w:p>
        </w:tc>
      </w:tr>
      <w:tr>
        <w:trPr>
          <w:trHeight w:val="189"/>
        </w:trPr>
        <w:tc>
          <w:tcPr>
            <w:tcW w:w="4180" w:type="dxa"/>
            <w:vAlign w:val="bottom"/>
          </w:tcPr>
          <w:p>
            <w:pPr>
              <w:ind w:left="120"/>
              <w:spacing w:after="0"/>
              <w:rPr>
                <w:sz w:val="20"/>
                <w:szCs w:val="20"/>
                <w:color w:val="auto"/>
              </w:rPr>
            </w:pPr>
            <w:r>
              <w:rPr>
                <w:rFonts w:ascii="Arial" w:cs="Arial" w:eastAsia="Arial" w:hAnsi="Arial"/>
                <w:sz w:val="16"/>
                <w:szCs w:val="16"/>
                <w:color w:val="auto"/>
              </w:rPr>
              <w:t>AEC Technology</w:t>
            </w:r>
          </w:p>
        </w:tc>
        <w:tc>
          <w:tcPr>
            <w:tcW w:w="2960" w:type="dxa"/>
            <w:vAlign w:val="bottom"/>
          </w:tcPr>
          <w:p>
            <w:pPr>
              <w:jc w:val="center"/>
              <w:ind w:left="1302"/>
              <w:spacing w:after="0"/>
              <w:rPr>
                <w:sz w:val="20"/>
                <w:szCs w:val="20"/>
                <w:color w:val="auto"/>
              </w:rPr>
            </w:pPr>
            <w:r>
              <w:rPr>
                <w:rFonts w:ascii="Arial" w:cs="Arial" w:eastAsia="Arial" w:hAnsi="Arial"/>
                <w:sz w:val="16"/>
                <w:szCs w:val="16"/>
                <w:color w:val="auto"/>
              </w:rPr>
              <w:t>10-15</w:t>
            </w:r>
          </w:p>
        </w:tc>
        <w:tc>
          <w:tcPr>
            <w:tcW w:w="400" w:type="dxa"/>
            <w:vAlign w:val="bottom"/>
          </w:tcPr>
          <w:p>
            <w:pPr>
              <w:spacing w:after="0"/>
              <w:rPr>
                <w:sz w:val="16"/>
                <w:szCs w:val="16"/>
                <w:color w:val="auto"/>
              </w:rPr>
            </w:pPr>
          </w:p>
        </w:tc>
        <w:tc>
          <w:tcPr>
            <w:tcW w:w="1040" w:type="dxa"/>
            <w:vAlign w:val="bottom"/>
          </w:tcPr>
          <w:p>
            <w:pPr>
              <w:jc w:val="right"/>
              <w:ind w:right="360"/>
              <w:spacing w:after="0"/>
              <w:rPr>
                <w:sz w:val="20"/>
                <w:szCs w:val="20"/>
                <w:color w:val="auto"/>
              </w:rPr>
            </w:pPr>
            <w:r>
              <w:rPr>
                <w:rFonts w:ascii="Arial" w:cs="Arial" w:eastAsia="Arial" w:hAnsi="Arial"/>
                <w:sz w:val="16"/>
                <w:szCs w:val="16"/>
                <w:color w:val="auto"/>
              </w:rPr>
              <w:t>6,191</w:t>
            </w:r>
          </w:p>
        </w:tc>
        <w:tc>
          <w:tcPr>
            <w:tcW w:w="540" w:type="dxa"/>
            <w:vAlign w:val="bottom"/>
          </w:tcPr>
          <w:p>
            <w:pPr>
              <w:spacing w:after="0"/>
              <w:rPr>
                <w:sz w:val="16"/>
                <w:szCs w:val="16"/>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(387)</w:t>
            </w:r>
          </w:p>
        </w:tc>
        <w:tc>
          <w:tcPr>
            <w:tcW w:w="40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5,804</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AEC Intellectual property</w:t>
            </w:r>
          </w:p>
        </w:tc>
        <w:tc>
          <w:tcPr>
            <w:tcW w:w="2960" w:type="dxa"/>
            <w:vAlign w:val="bottom"/>
          </w:tcPr>
          <w:p>
            <w:pPr>
              <w:jc w:val="center"/>
              <w:ind w:left="1302"/>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6"/>
                <w:szCs w:val="16"/>
                <w:color w:val="auto"/>
              </w:rPr>
            </w:pPr>
          </w:p>
        </w:tc>
        <w:tc>
          <w:tcPr>
            <w:tcW w:w="1040" w:type="dxa"/>
            <w:vAlign w:val="bottom"/>
          </w:tcPr>
          <w:p>
            <w:pPr>
              <w:jc w:val="right"/>
              <w:ind w:right="360"/>
              <w:spacing w:after="0"/>
              <w:rPr>
                <w:sz w:val="20"/>
                <w:szCs w:val="20"/>
                <w:color w:val="auto"/>
              </w:rPr>
            </w:pPr>
            <w:r>
              <w:rPr>
                <w:rFonts w:ascii="Arial" w:cs="Arial" w:eastAsia="Arial" w:hAnsi="Arial"/>
                <w:sz w:val="16"/>
                <w:szCs w:val="16"/>
                <w:color w:val="auto"/>
              </w:rPr>
              <w:t>1,250</w:t>
            </w:r>
          </w:p>
        </w:tc>
        <w:tc>
          <w:tcPr>
            <w:tcW w:w="540" w:type="dxa"/>
            <w:vAlign w:val="bottom"/>
          </w:tcPr>
          <w:p>
            <w:pPr>
              <w:spacing w:after="0"/>
              <w:rPr>
                <w:sz w:val="16"/>
                <w:szCs w:val="16"/>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( 7 )</w:t>
            </w:r>
          </w:p>
        </w:tc>
        <w:tc>
          <w:tcPr>
            <w:tcW w:w="40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1,243</w:t>
            </w:r>
          </w:p>
        </w:tc>
      </w:tr>
      <w:tr>
        <w:trPr>
          <w:trHeight w:val="189"/>
        </w:trPr>
        <w:tc>
          <w:tcPr>
            <w:tcW w:w="4180" w:type="dxa"/>
            <w:vAlign w:val="bottom"/>
          </w:tcPr>
          <w:p>
            <w:pPr>
              <w:ind w:left="120"/>
              <w:spacing w:after="0"/>
              <w:rPr>
                <w:sz w:val="20"/>
                <w:szCs w:val="20"/>
                <w:color w:val="auto"/>
              </w:rPr>
            </w:pPr>
            <w:r>
              <w:rPr>
                <w:rFonts w:ascii="Arial" w:cs="Arial" w:eastAsia="Arial" w:hAnsi="Arial"/>
                <w:sz w:val="16"/>
                <w:szCs w:val="16"/>
                <w:color w:val="auto"/>
              </w:rPr>
              <w:t>AEC Customer contracts</w:t>
            </w:r>
          </w:p>
        </w:tc>
        <w:tc>
          <w:tcPr>
            <w:tcW w:w="2960" w:type="dxa"/>
            <w:vAlign w:val="bottom"/>
          </w:tcPr>
          <w:p>
            <w:pPr>
              <w:jc w:val="center"/>
              <w:ind w:left="1302"/>
              <w:spacing w:after="0"/>
              <w:rPr>
                <w:sz w:val="20"/>
                <w:szCs w:val="20"/>
                <w:color w:val="auto"/>
              </w:rPr>
            </w:pPr>
            <w:r>
              <w:rPr>
                <w:rFonts w:ascii="Arial" w:cs="Arial" w:eastAsia="Arial" w:hAnsi="Arial"/>
                <w:sz w:val="16"/>
                <w:szCs w:val="16"/>
                <w:color w:val="auto"/>
              </w:rPr>
              <w:t>6</w:t>
            </w:r>
          </w:p>
        </w:tc>
        <w:tc>
          <w:tcPr>
            <w:tcW w:w="400" w:type="dxa"/>
            <w:vAlign w:val="bottom"/>
          </w:tcPr>
          <w:p>
            <w:pPr>
              <w:spacing w:after="0"/>
              <w:rPr>
                <w:sz w:val="16"/>
                <w:szCs w:val="16"/>
                <w:color w:val="auto"/>
              </w:rPr>
            </w:pPr>
          </w:p>
        </w:tc>
        <w:tc>
          <w:tcPr>
            <w:tcW w:w="1040" w:type="dxa"/>
            <w:vAlign w:val="bottom"/>
          </w:tcPr>
          <w:p>
            <w:pPr>
              <w:jc w:val="right"/>
              <w:ind w:right="360"/>
              <w:spacing w:after="0"/>
              <w:rPr>
                <w:sz w:val="20"/>
                <w:szCs w:val="20"/>
                <w:color w:val="auto"/>
              </w:rPr>
            </w:pPr>
            <w:r>
              <w:rPr>
                <w:rFonts w:ascii="Arial" w:cs="Arial" w:eastAsia="Arial" w:hAnsi="Arial"/>
                <w:sz w:val="16"/>
                <w:szCs w:val="16"/>
                <w:color w:val="auto"/>
              </w:rPr>
              <w:t>17,471</w:t>
            </w:r>
          </w:p>
        </w:tc>
        <w:tc>
          <w:tcPr>
            <w:tcW w:w="1380" w:type="dxa"/>
            <w:vAlign w:val="bottom"/>
            <w:gridSpan w:val="2"/>
          </w:tcPr>
          <w:p>
            <w:pPr>
              <w:jc w:val="right"/>
              <w:ind w:right="199"/>
              <w:spacing w:after="0"/>
              <w:rPr>
                <w:sz w:val="20"/>
                <w:szCs w:val="20"/>
                <w:color w:val="auto"/>
              </w:rPr>
            </w:pPr>
            <w:r>
              <w:rPr>
                <w:rFonts w:ascii="Arial" w:cs="Arial" w:eastAsia="Arial" w:hAnsi="Arial"/>
                <w:sz w:val="16"/>
                <w:szCs w:val="16"/>
                <w:color w:val="auto"/>
              </w:rPr>
              <w:t>( 10,927 )</w:t>
            </w:r>
          </w:p>
        </w:tc>
        <w:tc>
          <w:tcPr>
            <w:tcW w:w="40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6,544</w:t>
            </w:r>
          </w:p>
        </w:tc>
      </w:tr>
      <w:tr>
        <w:trPr>
          <w:trHeight w:val="189"/>
        </w:trPr>
        <w:tc>
          <w:tcPr>
            <w:tcW w:w="4180" w:type="dxa"/>
            <w:vAlign w:val="bottom"/>
          </w:tcPr>
          <w:p>
            <w:pPr>
              <w:ind w:left="120"/>
              <w:spacing w:after="0"/>
              <w:rPr>
                <w:sz w:val="20"/>
                <w:szCs w:val="20"/>
                <w:color w:val="auto"/>
              </w:rPr>
            </w:pPr>
            <w:r>
              <w:rPr>
                <w:rFonts w:ascii="Arial" w:cs="Arial" w:eastAsia="Arial" w:hAnsi="Arial"/>
                <w:sz w:val="16"/>
                <w:szCs w:val="16"/>
                <w:color w:val="auto"/>
              </w:rPr>
              <w:t>AEC Customer relationships</w:t>
            </w:r>
          </w:p>
        </w:tc>
        <w:tc>
          <w:tcPr>
            <w:tcW w:w="2960" w:type="dxa"/>
            <w:vAlign w:val="bottom"/>
          </w:tcPr>
          <w:p>
            <w:pPr>
              <w:jc w:val="center"/>
              <w:ind w:left="1322"/>
              <w:spacing w:after="0"/>
              <w:rPr>
                <w:sz w:val="20"/>
                <w:szCs w:val="20"/>
                <w:color w:val="auto"/>
              </w:rPr>
            </w:pPr>
            <w:r>
              <w:rPr>
                <w:rFonts w:ascii="Arial" w:cs="Arial" w:eastAsia="Arial" w:hAnsi="Arial"/>
                <w:sz w:val="16"/>
                <w:szCs w:val="16"/>
                <w:color w:val="auto"/>
                <w:w w:val="99"/>
              </w:rPr>
              <w:t>8-15</w:t>
            </w:r>
          </w:p>
        </w:tc>
        <w:tc>
          <w:tcPr>
            <w:tcW w:w="400" w:type="dxa"/>
            <w:vAlign w:val="bottom"/>
          </w:tcPr>
          <w:p>
            <w:pPr>
              <w:spacing w:after="0"/>
              <w:rPr>
                <w:sz w:val="16"/>
                <w:szCs w:val="16"/>
                <w:color w:val="auto"/>
              </w:rPr>
            </w:pPr>
          </w:p>
        </w:tc>
        <w:tc>
          <w:tcPr>
            <w:tcW w:w="1040" w:type="dxa"/>
            <w:vAlign w:val="bottom"/>
          </w:tcPr>
          <w:p>
            <w:pPr>
              <w:jc w:val="right"/>
              <w:ind w:right="360"/>
              <w:spacing w:after="0"/>
              <w:rPr>
                <w:sz w:val="20"/>
                <w:szCs w:val="20"/>
                <w:color w:val="auto"/>
              </w:rPr>
            </w:pPr>
            <w:r>
              <w:rPr>
                <w:rFonts w:ascii="Arial" w:cs="Arial" w:eastAsia="Arial" w:hAnsi="Arial"/>
                <w:sz w:val="16"/>
                <w:szCs w:val="16"/>
                <w:color w:val="auto"/>
              </w:rPr>
              <w:t>51,255</w:t>
            </w:r>
          </w:p>
        </w:tc>
        <w:tc>
          <w:tcPr>
            <w:tcW w:w="1380" w:type="dxa"/>
            <w:vAlign w:val="bottom"/>
            <w:gridSpan w:val="2"/>
          </w:tcPr>
          <w:p>
            <w:pPr>
              <w:jc w:val="right"/>
              <w:ind w:right="199"/>
              <w:spacing w:after="0"/>
              <w:rPr>
                <w:sz w:val="20"/>
                <w:szCs w:val="20"/>
                <w:color w:val="auto"/>
              </w:rPr>
            </w:pPr>
            <w:r>
              <w:rPr>
                <w:rFonts w:ascii="Arial" w:cs="Arial" w:eastAsia="Arial" w:hAnsi="Arial"/>
                <w:sz w:val="16"/>
                <w:szCs w:val="16"/>
                <w:color w:val="auto"/>
              </w:rPr>
              <w:t>( 12,108 )</w:t>
            </w:r>
          </w:p>
        </w:tc>
        <w:tc>
          <w:tcPr>
            <w:tcW w:w="40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39,147</w:t>
            </w:r>
          </w:p>
        </w:tc>
      </w:tr>
      <w:tr>
        <w:trPr>
          <w:trHeight w:val="187"/>
        </w:trPr>
        <w:tc>
          <w:tcPr>
            <w:tcW w:w="41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AEC Other intangibles</w:t>
            </w:r>
          </w:p>
        </w:tc>
        <w:tc>
          <w:tcPr>
            <w:tcW w:w="2960" w:type="dxa"/>
            <w:vAlign w:val="bottom"/>
            <w:tcBorders>
              <w:bottom w:val="single" w:sz="8" w:color="auto"/>
            </w:tcBorders>
          </w:tcPr>
          <w:p>
            <w:pPr>
              <w:jc w:val="center"/>
              <w:ind w:left="1302"/>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322</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(241)</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81</w:t>
            </w:r>
          </w:p>
        </w:tc>
      </w:tr>
      <w:tr>
        <w:trPr>
          <w:trHeight w:val="183"/>
        </w:trPr>
        <w:tc>
          <w:tcPr>
            <w:tcW w:w="41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amortized intangible assets</w:t>
            </w:r>
          </w:p>
        </w:tc>
        <w:tc>
          <w:tcPr>
            <w:tcW w:w="29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40"/>
              <w:spacing w:after="0" w:line="183" w:lineRule="exact"/>
              <w:rPr>
                <w:sz w:val="20"/>
                <w:szCs w:val="20"/>
                <w:color w:val="auto"/>
              </w:rPr>
            </w:pPr>
            <w:r>
              <w:rPr>
                <w:rFonts w:ascii="Arial" w:cs="Arial" w:eastAsia="Arial" w:hAnsi="Arial"/>
                <w:sz w:val="16"/>
                <w:szCs w:val="16"/>
                <w:color w:val="auto"/>
              </w:rPr>
              <w:t>76,697</w:t>
            </w:r>
          </w:p>
        </w:tc>
        <w:tc>
          <w:tcPr>
            <w:tcW w:w="1380" w:type="dxa"/>
            <w:vAlign w:val="bottom"/>
            <w:tcBorders>
              <w:bottom w:val="single" w:sz="8" w:color="auto"/>
            </w:tcBorders>
            <w:gridSpan w:val="2"/>
          </w:tcPr>
          <w:p>
            <w:pPr>
              <w:jc w:val="right"/>
              <w:ind w:right="199"/>
              <w:spacing w:after="0" w:line="183" w:lineRule="exact"/>
              <w:rPr>
                <w:sz w:val="20"/>
                <w:szCs w:val="20"/>
                <w:color w:val="auto"/>
              </w:rPr>
            </w:pPr>
            <w:r>
              <w:rPr>
                <w:rFonts w:ascii="Arial" w:cs="Arial" w:eastAsia="Arial" w:hAnsi="Arial"/>
                <w:sz w:val="16"/>
                <w:szCs w:val="16"/>
                <w:color w:val="auto"/>
              </w:rPr>
              <w:t>$( 23,805 )</w:t>
            </w: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52,892</w:t>
            </w:r>
          </w:p>
        </w:tc>
      </w:tr>
      <w:tr>
        <w:trPr>
          <w:trHeight w:val="373"/>
        </w:trPr>
        <w:tc>
          <w:tcPr>
            <w:tcW w:w="4180" w:type="dxa"/>
            <w:vAlign w:val="bottom"/>
          </w:tcPr>
          <w:p>
            <w:pPr>
              <w:spacing w:after="0"/>
              <w:rPr>
                <w:sz w:val="20"/>
                <w:szCs w:val="20"/>
                <w:color w:val="auto"/>
              </w:rPr>
            </w:pPr>
            <w:r>
              <w:rPr>
                <w:rFonts w:ascii="Arial" w:cs="Arial" w:eastAsia="Arial" w:hAnsi="Arial"/>
                <w:sz w:val="16"/>
                <w:szCs w:val="16"/>
                <w:color w:val="auto"/>
              </w:rPr>
              <w:t>Unamortized intangible assets:</w:t>
            </w: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9"/>
        </w:trPr>
        <w:tc>
          <w:tcPr>
            <w:tcW w:w="4180" w:type="dxa"/>
            <w:vAlign w:val="bottom"/>
          </w:tcPr>
          <w:p>
            <w:pPr>
              <w:ind w:left="120"/>
              <w:spacing w:after="0"/>
              <w:rPr>
                <w:sz w:val="20"/>
                <w:szCs w:val="20"/>
                <w:color w:val="auto"/>
              </w:rPr>
            </w:pPr>
            <w:r>
              <w:rPr>
                <w:rFonts w:ascii="Arial" w:cs="Arial" w:eastAsia="Arial" w:hAnsi="Arial"/>
                <w:sz w:val="16"/>
                <w:szCs w:val="16"/>
                <w:color w:val="auto"/>
              </w:rPr>
              <w:t>MC Goodwill</w:t>
            </w:r>
          </w:p>
        </w:tc>
        <w:tc>
          <w:tcPr>
            <w:tcW w:w="29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40"/>
              <w:spacing w:after="0"/>
              <w:rPr>
                <w:sz w:val="20"/>
                <w:szCs w:val="20"/>
                <w:color w:val="auto"/>
              </w:rPr>
            </w:pPr>
            <w:r>
              <w:rPr>
                <w:rFonts w:ascii="Arial" w:cs="Arial" w:eastAsia="Arial" w:hAnsi="Arial"/>
                <w:sz w:val="16"/>
                <w:szCs w:val="16"/>
                <w:color w:val="auto"/>
              </w:rPr>
              <w:t>67,672</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80"/>
              <w:spacing w:after="0"/>
              <w:rPr>
                <w:sz w:val="20"/>
                <w:szCs w:val="20"/>
                <w:color w:val="auto"/>
              </w:rPr>
            </w:pPr>
            <w:r>
              <w:rPr>
                <w:rFonts w:ascii="Arial" w:cs="Arial" w:eastAsia="Arial" w:hAnsi="Arial"/>
                <w:sz w:val="16"/>
                <w:szCs w:val="16"/>
                <w:color w:val="auto"/>
              </w:rPr>
              <w:t>67,672</w:t>
            </w:r>
          </w:p>
        </w:tc>
      </w:tr>
      <w:tr>
        <w:trPr>
          <w:trHeight w:val="187"/>
        </w:trPr>
        <w:tc>
          <w:tcPr>
            <w:tcW w:w="41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AEC Goodwill</w:t>
            </w:r>
          </w:p>
        </w:tc>
        <w:tc>
          <w:tcPr>
            <w:tcW w:w="2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113,262</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113,262</w:t>
            </w:r>
          </w:p>
        </w:tc>
      </w:tr>
      <w:tr>
        <w:trPr>
          <w:trHeight w:val="183"/>
        </w:trPr>
        <w:tc>
          <w:tcPr>
            <w:tcW w:w="41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unamortized intangible assets:</w:t>
            </w:r>
          </w:p>
        </w:tc>
        <w:tc>
          <w:tcPr>
            <w:tcW w:w="2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320"/>
              <w:spacing w:after="0" w:line="183" w:lineRule="exact"/>
              <w:rPr>
                <w:sz w:val="20"/>
                <w:szCs w:val="20"/>
                <w:color w:val="auto"/>
              </w:rPr>
            </w:pPr>
            <w:r>
              <w:rPr>
                <w:rFonts w:ascii="Arial" w:cs="Arial" w:eastAsia="Arial" w:hAnsi="Arial"/>
                <w:sz w:val="16"/>
                <w:szCs w:val="16"/>
                <w:color w:val="auto"/>
              </w:rPr>
              <w:t>$ 180,934</w:t>
            </w:r>
          </w:p>
        </w:tc>
        <w:tc>
          <w:tcPr>
            <w:tcW w:w="5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jc w:val="right"/>
              <w:ind w:right="180"/>
              <w:spacing w:after="0" w:line="183" w:lineRule="exact"/>
              <w:rPr>
                <w:sz w:val="20"/>
                <w:szCs w:val="20"/>
                <w:color w:val="auto"/>
              </w:rPr>
            </w:pPr>
            <w:r>
              <w:rPr>
                <w:rFonts w:ascii="Arial" w:cs="Arial" w:eastAsia="Arial" w:hAnsi="Arial"/>
                <w:sz w:val="16"/>
                <w:szCs w:val="16"/>
                <w:color w:val="auto"/>
              </w:rPr>
              <w:t>$ 180,934</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intangible assets, net and goodwill from December 31, 2019 to March 31, 2020,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top w:val="single" w:sz="8" w:color="auto"/>
            </w:tcBorders>
            <w:gridSpan w:val="2"/>
          </w:tcPr>
          <w:p>
            <w:pPr>
              <w:jc w:val="right"/>
              <w:ind w:right="559"/>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Currency</w:t>
            </w:r>
          </w:p>
        </w:tc>
        <w:tc>
          <w:tcPr>
            <w:tcW w:w="1580" w:type="dxa"/>
            <w:vAlign w:val="bottom"/>
            <w:tcBorders>
              <w:top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38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4"/>
                <w:szCs w:val="14"/>
                <w:b w:val="1"/>
                <w:bCs w:val="1"/>
                <w:color w:val="auto"/>
              </w:rPr>
              <w:t>Changes</w:t>
            </w: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Amortization</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Translation</w:t>
            </w: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3700" w:type="dxa"/>
            <w:vAlign w:val="bottom"/>
            <w:gridSpan w:val="2"/>
          </w:tcPr>
          <w:p>
            <w:pPr>
              <w:spacing w:after="0"/>
              <w:rPr>
                <w:sz w:val="20"/>
                <w:szCs w:val="20"/>
                <w:color w:val="auto"/>
              </w:rPr>
            </w:pPr>
            <w:r>
              <w:rPr>
                <w:rFonts w:ascii="Arial" w:cs="Arial" w:eastAsia="Arial" w:hAnsi="Arial"/>
                <w:sz w:val="16"/>
                <w:szCs w:val="16"/>
                <w:color w:val="auto"/>
              </w:rPr>
              <w:t>Amortized intangible assets: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20"/>
              <w:spacing w:after="0"/>
              <w:rPr>
                <w:sz w:val="20"/>
                <w:szCs w:val="20"/>
                <w:color w:val="auto"/>
              </w:rPr>
            </w:pPr>
            <w:r>
              <w:rPr>
                <w:rFonts w:ascii="Arial" w:cs="Arial" w:eastAsia="Arial" w:hAnsi="Arial"/>
                <w:sz w:val="16"/>
                <w:szCs w:val="16"/>
                <w:color w:val="auto"/>
              </w:rPr>
              <w:t>AEC Trademarks and trade names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59"/>
              <w:spacing w:after="0"/>
              <w:rPr>
                <w:sz w:val="20"/>
                <w:szCs w:val="20"/>
                <w:color w:val="auto"/>
              </w:rPr>
            </w:pPr>
            <w:r>
              <w:rPr>
                <w:rFonts w:ascii="Arial" w:cs="Arial" w:eastAsia="Arial" w:hAnsi="Arial"/>
                <w:sz w:val="16"/>
                <w:szCs w:val="16"/>
                <w:color w:val="auto"/>
              </w:rPr>
              <w:t>73</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( 4 )</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20"/>
              <w:spacing w:after="0"/>
              <w:rPr>
                <w:sz w:val="20"/>
                <w:szCs w:val="20"/>
                <w:color w:val="auto"/>
              </w:rPr>
            </w:pPr>
            <w:r>
              <w:rPr>
                <w:rFonts w:ascii="Arial" w:cs="Arial" w:eastAsia="Arial" w:hAnsi="Arial"/>
                <w:sz w:val="16"/>
                <w:szCs w:val="16"/>
                <w:color w:val="auto"/>
              </w:rPr>
              <w:t>AEC Technology</w:t>
            </w:r>
          </w:p>
        </w:tc>
        <w:tc>
          <w:tcPr>
            <w:tcW w:w="122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5,804</w:t>
            </w:r>
          </w:p>
        </w:tc>
        <w:tc>
          <w:tcPr>
            <w:tcW w:w="44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(150)</w:t>
            </w:r>
          </w:p>
        </w:tc>
        <w:tc>
          <w:tcPr>
            <w:tcW w:w="6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ind w:right="240"/>
              <w:spacing w:after="0"/>
              <w:rPr>
                <w:sz w:val="20"/>
                <w:szCs w:val="20"/>
                <w:color w:val="auto"/>
              </w:rPr>
            </w:pPr>
            <w:r>
              <w:rPr>
                <w:rFonts w:ascii="Arial" w:cs="Arial" w:eastAsia="Arial" w:hAnsi="Arial"/>
                <w:sz w:val="16"/>
                <w:szCs w:val="16"/>
                <w:color w:val="auto"/>
              </w:rPr>
              <w:t>5,605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20"/>
              <w:spacing w:after="0"/>
              <w:rPr>
                <w:sz w:val="20"/>
                <w:szCs w:val="20"/>
                <w:color w:val="auto"/>
              </w:rPr>
            </w:pPr>
            <w:r>
              <w:rPr>
                <w:rFonts w:ascii="Arial" w:cs="Arial" w:eastAsia="Arial" w:hAnsi="Arial"/>
                <w:sz w:val="16"/>
                <w:szCs w:val="16"/>
                <w:color w:val="auto"/>
              </w:rPr>
              <w:t>AEC Intellectual property</w:t>
            </w:r>
          </w:p>
        </w:tc>
        <w:tc>
          <w:tcPr>
            <w:tcW w:w="122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1,243</w:t>
            </w:r>
          </w:p>
        </w:tc>
        <w:tc>
          <w:tcPr>
            <w:tcW w:w="44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(21)</w:t>
            </w:r>
          </w:p>
        </w:tc>
        <w:tc>
          <w:tcPr>
            <w:tcW w:w="620" w:type="dxa"/>
            <w:vAlign w:val="bottom"/>
          </w:tcPr>
          <w:p>
            <w:pPr>
              <w:spacing w:after="0"/>
              <w:rPr>
                <w:sz w:val="16"/>
                <w:szCs w:val="16"/>
                <w:color w:val="auto"/>
              </w:rPr>
            </w:pPr>
          </w:p>
        </w:tc>
        <w:tc>
          <w:tcPr>
            <w:tcW w:w="6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ind w:right="240"/>
              <w:spacing w:after="0"/>
              <w:rPr>
                <w:sz w:val="20"/>
                <w:szCs w:val="20"/>
                <w:color w:val="auto"/>
              </w:rPr>
            </w:pPr>
            <w:r>
              <w:rPr>
                <w:rFonts w:ascii="Arial" w:cs="Arial" w:eastAsia="Arial" w:hAnsi="Arial"/>
                <w:sz w:val="16"/>
                <w:szCs w:val="16"/>
                <w:color w:val="auto"/>
              </w:rPr>
              <w:t>1,222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20"/>
              <w:spacing w:after="0"/>
              <w:rPr>
                <w:sz w:val="20"/>
                <w:szCs w:val="20"/>
                <w:color w:val="auto"/>
              </w:rPr>
            </w:pPr>
            <w:r>
              <w:rPr>
                <w:rFonts w:ascii="Arial" w:cs="Arial" w:eastAsia="Arial" w:hAnsi="Arial"/>
                <w:sz w:val="16"/>
                <w:szCs w:val="16"/>
                <w:color w:val="auto"/>
              </w:rPr>
              <w:t>AEC Customer contracts</w:t>
            </w:r>
          </w:p>
        </w:tc>
        <w:tc>
          <w:tcPr>
            <w:tcW w:w="122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6,544</w:t>
            </w:r>
          </w:p>
        </w:tc>
        <w:tc>
          <w:tcPr>
            <w:tcW w:w="44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(728)</w:t>
            </w:r>
          </w:p>
        </w:tc>
        <w:tc>
          <w:tcPr>
            <w:tcW w:w="620" w:type="dxa"/>
            <w:vAlign w:val="bottom"/>
          </w:tcPr>
          <w:p>
            <w:pPr>
              <w:spacing w:after="0"/>
              <w:rPr>
                <w:sz w:val="16"/>
                <w:szCs w:val="16"/>
                <w:color w:val="auto"/>
              </w:rPr>
            </w:pPr>
          </w:p>
        </w:tc>
        <w:tc>
          <w:tcPr>
            <w:tcW w:w="6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ind w:right="240"/>
              <w:spacing w:after="0"/>
              <w:rPr>
                <w:sz w:val="20"/>
                <w:szCs w:val="20"/>
                <w:color w:val="auto"/>
              </w:rPr>
            </w:pPr>
            <w:r>
              <w:rPr>
                <w:rFonts w:ascii="Arial" w:cs="Arial" w:eastAsia="Arial" w:hAnsi="Arial"/>
                <w:sz w:val="16"/>
                <w:szCs w:val="16"/>
                <w:color w:val="auto"/>
              </w:rPr>
              <w:t>5,816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20"/>
              <w:spacing w:after="0"/>
              <w:rPr>
                <w:sz w:val="20"/>
                <w:szCs w:val="20"/>
                <w:color w:val="auto"/>
              </w:rPr>
            </w:pPr>
            <w:r>
              <w:rPr>
                <w:rFonts w:ascii="Arial" w:cs="Arial" w:eastAsia="Arial" w:hAnsi="Arial"/>
                <w:sz w:val="16"/>
                <w:szCs w:val="16"/>
                <w:color w:val="auto"/>
              </w:rPr>
              <w:t>AEC Customer relationships</w:t>
            </w:r>
          </w:p>
        </w:tc>
        <w:tc>
          <w:tcPr>
            <w:tcW w:w="122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39,147</w:t>
            </w:r>
          </w:p>
        </w:tc>
        <w:tc>
          <w:tcPr>
            <w:tcW w:w="44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Arial" w:cs="Arial" w:eastAsia="Arial" w:hAnsi="Arial"/>
                <w:sz w:val="16"/>
                <w:szCs w:val="16"/>
                <w:color w:val="auto"/>
              </w:rPr>
              <w:t>329</w:t>
            </w:r>
          </w:p>
        </w:tc>
        <w:tc>
          <w:tcPr>
            <w:tcW w:w="360" w:type="dxa"/>
            <w:vAlign w:val="bottom"/>
          </w:tcPr>
          <w:p>
            <w:pPr>
              <w:spacing w:after="0"/>
              <w:rPr>
                <w:sz w:val="16"/>
                <w:szCs w:val="16"/>
                <w:color w:val="auto"/>
              </w:rPr>
            </w:pP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(871)</w:t>
            </w:r>
          </w:p>
        </w:tc>
        <w:tc>
          <w:tcPr>
            <w:tcW w:w="6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ind w:right="240"/>
              <w:spacing w:after="0"/>
              <w:rPr>
                <w:sz w:val="20"/>
                <w:szCs w:val="20"/>
                <w:color w:val="auto"/>
              </w:rPr>
            </w:pPr>
            <w:r>
              <w:rPr>
                <w:rFonts w:ascii="Arial" w:cs="Arial" w:eastAsia="Arial" w:hAnsi="Arial"/>
                <w:sz w:val="16"/>
                <w:szCs w:val="16"/>
                <w:color w:val="auto"/>
              </w:rPr>
              <w:t>38,546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AEC Other intangibles</w:t>
            </w:r>
          </w:p>
        </w:tc>
        <w:tc>
          <w:tcPr>
            <w:tcW w:w="1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81</w:t>
            </w: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w:t>
            </w: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65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Total amortized intangible assets</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52,892</w:t>
            </w:r>
          </w:p>
        </w:tc>
        <w:tc>
          <w:tcPr>
            <w:tcW w:w="1380" w:type="dxa"/>
            <w:vAlign w:val="bottom"/>
            <w:tcBorders>
              <w:bottom w:val="single" w:sz="8" w:color="auto"/>
            </w:tcBorders>
            <w:gridSpan w:val="2"/>
          </w:tcPr>
          <w:p>
            <w:pPr>
              <w:jc w:val="right"/>
              <w:ind w:right="519"/>
              <w:spacing w:after="0" w:line="183" w:lineRule="exact"/>
              <w:rPr>
                <w:sz w:val="20"/>
                <w:szCs w:val="20"/>
                <w:color w:val="auto"/>
              </w:rPr>
            </w:pPr>
            <w:r>
              <w:rPr>
                <w:rFonts w:ascii="Arial" w:cs="Arial" w:eastAsia="Arial" w:hAnsi="Arial"/>
                <w:sz w:val="16"/>
                <w:szCs w:val="16"/>
                <w:color w:val="auto"/>
              </w:rPr>
              <w:t>$ 329</w:t>
            </w:r>
          </w:p>
        </w:tc>
        <w:tc>
          <w:tcPr>
            <w:tcW w:w="1080" w:type="dxa"/>
            <w:vAlign w:val="bottom"/>
            <w:tcBorders>
              <w:bottom w:val="single" w:sz="8" w:color="auto"/>
            </w:tcBorders>
            <w:gridSpan w:val="2"/>
          </w:tcPr>
          <w:p>
            <w:pPr>
              <w:jc w:val="right"/>
              <w:ind w:right="100"/>
              <w:spacing w:after="0" w:line="183" w:lineRule="exact"/>
              <w:rPr>
                <w:sz w:val="20"/>
                <w:szCs w:val="20"/>
                <w:color w:val="auto"/>
              </w:rPr>
            </w:pPr>
            <w:r>
              <w:rPr>
                <w:rFonts w:ascii="Arial" w:cs="Arial" w:eastAsia="Arial" w:hAnsi="Arial"/>
                <w:sz w:val="16"/>
                <w:szCs w:val="16"/>
                <w:color w:val="auto"/>
              </w:rPr>
              <w:t>$( 1,790 )</w:t>
            </w:r>
          </w:p>
        </w:tc>
        <w:tc>
          <w:tcPr>
            <w:tcW w:w="6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w:t>
            </w:r>
          </w:p>
        </w:tc>
        <w:tc>
          <w:tcPr>
            <w:tcW w:w="660" w:type="dxa"/>
            <w:vAlign w:val="bottom"/>
            <w:tcBorders>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20"/>
              <w:spacing w:after="0" w:line="183" w:lineRule="exact"/>
              <w:rPr>
                <w:sz w:val="20"/>
                <w:szCs w:val="20"/>
                <w:color w:val="auto"/>
              </w:rPr>
            </w:pPr>
            <w:r>
              <w:rPr>
                <w:rFonts w:ascii="Arial" w:cs="Arial" w:eastAsia="Arial" w:hAnsi="Arial"/>
                <w:sz w:val="16"/>
                <w:szCs w:val="16"/>
                <w:color w:val="auto"/>
              </w:rPr>
              <w:t>51,323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3700" w:type="dxa"/>
            <w:vAlign w:val="bottom"/>
            <w:gridSpan w:val="2"/>
          </w:tcPr>
          <w:p>
            <w:pPr>
              <w:spacing w:after="0"/>
              <w:rPr>
                <w:sz w:val="20"/>
                <w:szCs w:val="20"/>
                <w:color w:val="auto"/>
              </w:rPr>
            </w:pPr>
            <w:r>
              <w:rPr>
                <w:rFonts w:ascii="Arial" w:cs="Arial" w:eastAsia="Arial" w:hAnsi="Arial"/>
                <w:sz w:val="16"/>
                <w:szCs w:val="16"/>
                <w:color w:val="auto"/>
              </w:rPr>
              <w:t>Unamortized intangible assets: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20"/>
              <w:spacing w:after="0"/>
              <w:rPr>
                <w:sz w:val="20"/>
                <w:szCs w:val="20"/>
                <w:color w:val="auto"/>
              </w:rPr>
            </w:pPr>
            <w:r>
              <w:rPr>
                <w:rFonts w:ascii="Arial" w:cs="Arial" w:eastAsia="Arial" w:hAnsi="Arial"/>
                <w:sz w:val="16"/>
                <w:szCs w:val="16"/>
                <w:color w:val="auto"/>
              </w:rPr>
              <w:t>MC Goodwill</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59"/>
              <w:spacing w:after="0"/>
              <w:rPr>
                <w:sz w:val="20"/>
                <w:szCs w:val="20"/>
                <w:color w:val="auto"/>
              </w:rPr>
            </w:pPr>
            <w:r>
              <w:rPr>
                <w:rFonts w:ascii="Arial" w:cs="Arial" w:eastAsia="Arial" w:hAnsi="Arial"/>
                <w:sz w:val="16"/>
                <w:szCs w:val="16"/>
                <w:color w:val="auto"/>
              </w:rPr>
              <w:t>67,672</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(993)</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0"/>
              <w:spacing w:after="0"/>
              <w:rPr>
                <w:sz w:val="20"/>
                <w:szCs w:val="20"/>
                <w:color w:val="auto"/>
              </w:rPr>
            </w:pPr>
            <w:r>
              <w:rPr>
                <w:rFonts w:ascii="Arial" w:cs="Arial" w:eastAsia="Arial" w:hAnsi="Arial"/>
                <w:sz w:val="16"/>
                <w:szCs w:val="16"/>
                <w:color w:val="auto"/>
              </w:rPr>
              <w:t>66,679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AEC Goodwill</w:t>
            </w:r>
          </w:p>
        </w:tc>
        <w:tc>
          <w:tcPr>
            <w:tcW w:w="1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113,262</w:t>
            </w:r>
          </w:p>
        </w:tc>
        <w:tc>
          <w:tcPr>
            <w:tcW w:w="138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rPr>
              <w:t>(227)</w:t>
            </w: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112,687</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Total unamortized intangible assets:</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180,934</w:t>
            </w:r>
          </w:p>
        </w:tc>
        <w:tc>
          <w:tcPr>
            <w:tcW w:w="1380" w:type="dxa"/>
            <w:vAlign w:val="bottom"/>
            <w:tcBorders>
              <w:bottom w:val="single" w:sz="8" w:color="auto"/>
            </w:tcBorders>
            <w:gridSpan w:val="2"/>
          </w:tcPr>
          <w:p>
            <w:pPr>
              <w:jc w:val="right"/>
              <w:ind w:right="439"/>
              <w:spacing w:after="0" w:line="183" w:lineRule="exact"/>
              <w:rPr>
                <w:sz w:val="20"/>
                <w:szCs w:val="20"/>
                <w:color w:val="auto"/>
              </w:rPr>
            </w:pPr>
            <w:r>
              <w:rPr>
                <w:rFonts w:ascii="Arial" w:cs="Arial" w:eastAsia="Arial" w:hAnsi="Arial"/>
                <w:sz w:val="16"/>
                <w:szCs w:val="16"/>
                <w:color w:val="auto"/>
              </w:rPr>
              <w:t>$( 227 )</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$( 1,341 )</w:t>
            </w:r>
          </w:p>
        </w:tc>
        <w:tc>
          <w:tcPr>
            <w:tcW w:w="1560" w:type="dxa"/>
            <w:vAlign w:val="bottom"/>
            <w:tcBorders>
              <w:bottom w:val="single" w:sz="8" w:color="auto"/>
            </w:tcBorders>
            <w:gridSpan w:val="3"/>
          </w:tcPr>
          <w:p>
            <w:pPr>
              <w:jc w:val="right"/>
              <w:ind w:right="200"/>
              <w:spacing w:after="0" w:line="183" w:lineRule="exact"/>
              <w:rPr>
                <w:sz w:val="20"/>
                <w:szCs w:val="20"/>
                <w:color w:val="auto"/>
              </w:rPr>
            </w:pPr>
            <w:r>
              <w:rPr>
                <w:rFonts w:ascii="Arial" w:cs="Arial" w:eastAsia="Arial" w:hAnsi="Arial"/>
                <w:sz w:val="16"/>
                <w:szCs w:val="16"/>
                <w:color w:val="auto"/>
              </w:rPr>
              <w:t>$ 179,366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9660" w:type="dxa"/>
            <w:vAlign w:val="bottom"/>
            <w:gridSpan w:val="10"/>
          </w:tcPr>
          <w:p>
            <w:pPr>
              <w:ind w:left="340"/>
              <w:spacing w:after="0"/>
              <w:rPr>
                <w:sz w:val="20"/>
                <w:szCs w:val="20"/>
                <w:color w:val="auto"/>
              </w:rPr>
            </w:pPr>
            <w:r>
              <w:rPr>
                <w:rFonts w:ascii="Arial" w:cs="Arial" w:eastAsia="Arial" w:hAnsi="Arial"/>
                <w:sz w:val="18"/>
                <w:szCs w:val="18"/>
                <w:color w:val="auto"/>
              </w:rPr>
              <w:t>Estimated amortization expense of intangibles for the years ending December 31, 2020 through 2024, is as follows: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3"/>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27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321"/>
              <w:spacing w:after="0" w:line="143" w:lineRule="exact"/>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amortization</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1"/>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00" w:type="dxa"/>
            <w:vAlign w:val="bottom"/>
            <w:gridSpan w:val="2"/>
          </w:tcPr>
          <w:p>
            <w:pPr>
              <w:ind w:left="1000"/>
              <w:spacing w:after="0"/>
              <w:rPr>
                <w:sz w:val="20"/>
                <w:szCs w:val="20"/>
                <w:color w:val="auto"/>
              </w:rPr>
            </w:pPr>
            <w:r>
              <w:rPr>
                <w:rFonts w:ascii="Arial" w:cs="Arial" w:eastAsia="Arial" w:hAnsi="Arial"/>
                <w:sz w:val="16"/>
                <w:szCs w:val="16"/>
                <w:color w:val="auto"/>
              </w:rPr>
              <w:t>2020</w:t>
            </w: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gridSpan w:val="2"/>
          </w:tcPr>
          <w:p>
            <w:pPr>
              <w:jc w:val="center"/>
              <w:ind w:right="21"/>
              <w:spacing w:after="0"/>
              <w:rPr>
                <w:sz w:val="20"/>
                <w:szCs w:val="20"/>
                <w:color w:val="auto"/>
              </w:rPr>
            </w:pPr>
            <w:r>
              <w:rPr>
                <w:rFonts w:ascii="Arial" w:cs="Arial" w:eastAsia="Arial" w:hAnsi="Arial"/>
                <w:sz w:val="16"/>
                <w:szCs w:val="16"/>
                <w:color w:val="auto"/>
              </w:rPr>
              <w:t>$ 7,200</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000"/>
              <w:spacing w:after="0"/>
              <w:rPr>
                <w:sz w:val="20"/>
                <w:szCs w:val="20"/>
                <w:color w:val="auto"/>
              </w:rPr>
            </w:pPr>
            <w:r>
              <w:rPr>
                <w:rFonts w:ascii="Arial" w:cs="Arial" w:eastAsia="Arial" w:hAnsi="Arial"/>
                <w:sz w:val="16"/>
                <w:szCs w:val="16"/>
                <w:color w:val="auto"/>
              </w:rPr>
              <w:t>2021</w:t>
            </w: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6"/>
                <w:szCs w:val="16"/>
                <w:color w:val="auto"/>
              </w:rPr>
              <w:t>7,100</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000"/>
              <w:spacing w:after="0"/>
              <w:rPr>
                <w:sz w:val="20"/>
                <w:szCs w:val="20"/>
                <w:color w:val="auto"/>
              </w:rPr>
            </w:pPr>
            <w:r>
              <w:rPr>
                <w:rFonts w:ascii="Arial" w:cs="Arial" w:eastAsia="Arial" w:hAnsi="Arial"/>
                <w:sz w:val="16"/>
                <w:szCs w:val="16"/>
                <w:color w:val="auto"/>
              </w:rPr>
              <w:t>2022</w:t>
            </w: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6"/>
                <w:szCs w:val="16"/>
                <w:color w:val="auto"/>
              </w:rPr>
              <w:t>4,900</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000"/>
              <w:spacing w:after="0"/>
              <w:rPr>
                <w:sz w:val="20"/>
                <w:szCs w:val="20"/>
                <w:color w:val="auto"/>
              </w:rPr>
            </w:pPr>
            <w:r>
              <w:rPr>
                <w:rFonts w:ascii="Arial" w:cs="Arial" w:eastAsia="Arial" w:hAnsi="Arial"/>
                <w:sz w:val="16"/>
                <w:szCs w:val="16"/>
                <w:color w:val="auto"/>
              </w:rPr>
              <w:t>2023</w:t>
            </w: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6"/>
                <w:szCs w:val="16"/>
                <w:color w:val="auto"/>
              </w:rPr>
              <w:t>4,200</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00" w:type="dxa"/>
            <w:vAlign w:val="bottom"/>
            <w:gridSpan w:val="2"/>
          </w:tcPr>
          <w:p>
            <w:pPr>
              <w:ind w:left="1000"/>
              <w:spacing w:after="0"/>
              <w:rPr>
                <w:sz w:val="20"/>
                <w:szCs w:val="20"/>
                <w:color w:val="auto"/>
              </w:rPr>
            </w:pPr>
            <w:r>
              <w:rPr>
                <w:rFonts w:ascii="Arial" w:cs="Arial" w:eastAsia="Arial" w:hAnsi="Arial"/>
                <w:sz w:val="16"/>
                <w:szCs w:val="16"/>
                <w:color w:val="auto"/>
              </w:rPr>
              <w:t>2024</w:t>
            </w: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6"/>
                <w:szCs w:val="16"/>
                <w:color w:val="auto"/>
              </w:rPr>
              <w:t>4,200</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15. Financial Instruments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980" w:type="dxa"/>
            <w:vAlign w:val="bottom"/>
            <w:gridSpan w:val="4"/>
          </w:tcPr>
          <w:p>
            <w:pPr>
              <w:spacing w:after="0"/>
              <w:rPr>
                <w:sz w:val="20"/>
                <w:szCs w:val="20"/>
                <w:color w:val="auto"/>
              </w:rPr>
            </w:pPr>
            <w:r>
              <w:rPr>
                <w:rFonts w:ascii="Arial" w:cs="Arial" w:eastAsia="Arial" w:hAnsi="Arial"/>
                <w:sz w:val="18"/>
                <w:szCs w:val="18"/>
                <w:color w:val="auto"/>
              </w:rPr>
              <w:t>Long-term debt, principally to banks and noteholders, consists of:</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00" w:type="dxa"/>
            <w:vAlign w:val="bottom"/>
            <w:tcBorders>
              <w:bottom w:val="single" w:sz="8" w:color="auto"/>
            </w:tcBorders>
            <w:gridSpan w:val="2"/>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 except interest rates)</w:t>
            </w:r>
          </w:p>
        </w:tc>
        <w:tc>
          <w:tcPr>
            <w:tcW w:w="1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2020</w:t>
            </w:r>
          </w:p>
        </w:tc>
        <w:tc>
          <w:tcPr>
            <w:tcW w:w="6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40"/>
              <w:spacing w:after="0" w:line="155" w:lineRule="exact"/>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346"/>
        </w:trPr>
        <w:tc>
          <w:tcPr>
            <w:tcW w:w="7360" w:type="dxa"/>
            <w:vAlign w:val="bottom"/>
            <w:gridSpan w:val="6"/>
          </w:tcPr>
          <w:p>
            <w:pPr>
              <w:spacing w:after="0"/>
              <w:rPr>
                <w:sz w:val="20"/>
                <w:szCs w:val="20"/>
                <w:color w:val="auto"/>
              </w:rPr>
            </w:pPr>
            <w:r>
              <w:rPr>
                <w:rFonts w:ascii="Arial" w:cs="Arial" w:eastAsia="Arial" w:hAnsi="Arial"/>
                <w:sz w:val="16"/>
                <w:szCs w:val="16"/>
                <w:color w:val="auto"/>
              </w:rPr>
              <w:t>Revolving credit agreement with borrowings outstanding at an end of period interest rate of 3.15% in</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20" w:type="dxa"/>
            <w:vAlign w:val="bottom"/>
            <w:gridSpan w:val="7"/>
          </w:tcPr>
          <w:p>
            <w:pPr>
              <w:ind w:left="120"/>
              <w:spacing w:after="0"/>
              <w:rPr>
                <w:sz w:val="20"/>
                <w:szCs w:val="20"/>
                <w:color w:val="auto"/>
              </w:rPr>
            </w:pPr>
            <w:r>
              <w:rPr>
                <w:rFonts w:ascii="Arial" w:cs="Arial" w:eastAsia="Arial" w:hAnsi="Arial"/>
                <w:sz w:val="16"/>
                <w:szCs w:val="16"/>
                <w:color w:val="auto"/>
              </w:rPr>
              <w:t>2020 and 3.43% in 2019 (including the effect of interest rate hedging transactions, as described below),</w:t>
            </w:r>
          </w:p>
        </w:tc>
        <w:tc>
          <w:tcPr>
            <w:tcW w:w="1340" w:type="dxa"/>
            <w:vAlign w:val="bottom"/>
            <w:gridSpan w:val="2"/>
            <w:vMerge w:val="restart"/>
          </w:tcPr>
          <w:p>
            <w:pPr>
              <w:jc w:val="right"/>
              <w:ind w:right="121"/>
              <w:spacing w:after="0"/>
              <w:rPr>
                <w:sz w:val="20"/>
                <w:szCs w:val="20"/>
                <w:color w:val="auto"/>
              </w:rPr>
            </w:pPr>
            <w:r>
              <w:rPr>
                <w:rFonts w:ascii="Arial" w:cs="Arial" w:eastAsia="Arial" w:hAnsi="Arial"/>
                <w:sz w:val="16"/>
                <w:szCs w:val="16"/>
                <w:b w:val="1"/>
                <w:bCs w:val="1"/>
                <w:color w:val="auto"/>
              </w:rPr>
              <w:t>$ 491,000</w:t>
            </w: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20"/>
              <w:spacing w:after="0"/>
              <w:rPr>
                <w:sz w:val="20"/>
                <w:szCs w:val="20"/>
                <w:color w:val="auto"/>
              </w:rPr>
            </w:pPr>
            <w:r>
              <w:rPr>
                <w:rFonts w:ascii="Arial" w:cs="Arial" w:eastAsia="Arial" w:hAnsi="Arial"/>
                <w:sz w:val="16"/>
                <w:szCs w:val="16"/>
                <w:color w:val="auto"/>
              </w:rPr>
              <w:t>due in 2022</w:t>
            </w: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6"/>
                <w:szCs w:val="16"/>
                <w:color w:val="auto"/>
              </w:rPr>
              <w:t>$ 424,000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60" w:type="dxa"/>
            <w:vAlign w:val="bottom"/>
            <w:gridSpan w:val="6"/>
          </w:tcPr>
          <w:p>
            <w:pPr>
              <w:spacing w:after="0"/>
              <w:rPr>
                <w:sz w:val="20"/>
                <w:szCs w:val="20"/>
                <w:color w:val="auto"/>
              </w:rPr>
            </w:pPr>
            <w:r>
              <w:rPr>
                <w:rFonts w:ascii="Arial" w:cs="Arial" w:eastAsia="Arial" w:hAnsi="Arial"/>
                <w:sz w:val="16"/>
                <w:szCs w:val="16"/>
                <w:color w:val="auto"/>
              </w:rPr>
              <w:t>Other debt, at an average end of period rate of 5.50% in both 2020 and 2019, due in varying amounts</w:t>
            </w: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22</w:t>
            </w: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through 2021</w:t>
            </w:r>
          </w:p>
        </w:tc>
        <w:tc>
          <w:tcPr>
            <w:tcW w:w="1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700" w:type="dxa"/>
            <w:vAlign w:val="bottom"/>
            <w:gridSpan w:val="2"/>
          </w:tcPr>
          <w:p>
            <w:pPr>
              <w:spacing w:after="0" w:line="165" w:lineRule="exact"/>
              <w:rPr>
                <w:sz w:val="20"/>
                <w:szCs w:val="20"/>
                <w:color w:val="auto"/>
              </w:rPr>
            </w:pPr>
            <w:r>
              <w:rPr>
                <w:rFonts w:ascii="Arial" w:cs="Arial" w:eastAsia="Arial" w:hAnsi="Arial"/>
                <w:sz w:val="16"/>
                <w:szCs w:val="16"/>
                <w:color w:val="auto"/>
              </w:rPr>
              <w:t>Long-term debt</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161"/>
              <w:spacing w:after="0" w:line="165" w:lineRule="exact"/>
              <w:rPr>
                <w:sz w:val="20"/>
                <w:szCs w:val="20"/>
                <w:color w:val="auto"/>
              </w:rPr>
            </w:pPr>
            <w:r>
              <w:rPr>
                <w:rFonts w:ascii="Arial" w:cs="Arial" w:eastAsia="Arial" w:hAnsi="Arial"/>
                <w:sz w:val="16"/>
                <w:szCs w:val="16"/>
                <w:b w:val="1"/>
                <w:bCs w:val="1"/>
                <w:color w:val="auto"/>
              </w:rPr>
              <w:t>491,022</w:t>
            </w:r>
          </w:p>
        </w:tc>
        <w:tc>
          <w:tcPr>
            <w:tcW w:w="600" w:type="dxa"/>
            <w:vAlign w:val="bottom"/>
          </w:tcPr>
          <w:p>
            <w:pPr>
              <w:spacing w:after="0"/>
              <w:rPr>
                <w:sz w:val="14"/>
                <w:szCs w:val="14"/>
                <w:color w:val="auto"/>
              </w:rPr>
            </w:pPr>
          </w:p>
        </w:tc>
        <w:tc>
          <w:tcPr>
            <w:tcW w:w="1560" w:type="dxa"/>
            <w:vAlign w:val="bottom"/>
            <w:gridSpan w:val="3"/>
          </w:tcPr>
          <w:p>
            <w:pPr>
              <w:jc w:val="right"/>
              <w:ind w:right="460"/>
              <w:spacing w:after="0" w:line="165" w:lineRule="exact"/>
              <w:rPr>
                <w:sz w:val="20"/>
                <w:szCs w:val="20"/>
                <w:color w:val="auto"/>
              </w:rPr>
            </w:pPr>
            <w:r>
              <w:rPr>
                <w:rFonts w:ascii="Arial" w:cs="Arial" w:eastAsia="Arial" w:hAnsi="Arial"/>
                <w:sz w:val="16"/>
                <w:szCs w:val="16"/>
                <w:color w:val="auto"/>
              </w:rPr>
              <w:t>424,029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Less: current portion</w:t>
            </w:r>
          </w:p>
        </w:tc>
        <w:tc>
          <w:tcPr>
            <w:tcW w:w="1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w:t>
            </w:r>
          </w:p>
        </w:tc>
        <w:tc>
          <w:tcPr>
            <w:tcW w:w="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Long-term debt, net of current portion</w:t>
            </w: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121"/>
              <w:spacing w:after="0" w:line="183" w:lineRule="exact"/>
              <w:rPr>
                <w:sz w:val="20"/>
                <w:szCs w:val="20"/>
                <w:color w:val="auto"/>
              </w:rPr>
            </w:pPr>
            <w:r>
              <w:rPr>
                <w:rFonts w:ascii="Arial" w:cs="Arial" w:eastAsia="Arial" w:hAnsi="Arial"/>
                <w:sz w:val="16"/>
                <w:szCs w:val="16"/>
                <w:b w:val="1"/>
                <w:bCs w:val="1"/>
                <w:color w:val="auto"/>
              </w:rPr>
              <w:t>$ 491,002</w:t>
            </w:r>
          </w:p>
        </w:tc>
        <w:tc>
          <w:tcPr>
            <w:tcW w:w="6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40"/>
              <w:spacing w:after="0" w:line="183" w:lineRule="exact"/>
              <w:rPr>
                <w:sz w:val="20"/>
                <w:szCs w:val="20"/>
                <w:color w:val="auto"/>
              </w:rPr>
            </w:pPr>
            <w:r>
              <w:rPr>
                <w:rFonts w:ascii="Arial" w:cs="Arial" w:eastAsia="Arial" w:hAnsi="Arial"/>
                <w:sz w:val="16"/>
                <w:szCs w:val="16"/>
                <w:color w:val="auto"/>
              </w:rPr>
              <w:t>$ 424,009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jc w:val="right"/>
              <w:ind w:right="179"/>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0" w:type="dxa"/>
            <w:vAlign w:val="bottom"/>
            <w:tcBorders>
              <w:bottom w:val="single" w:sz="8" w:color="EEEEEE"/>
            </w:tcBorders>
          </w:tcPr>
          <w:p>
            <w:pPr>
              <w:spacing w:after="0"/>
              <w:rPr>
                <w:sz w:val="16"/>
                <w:szCs w:val="16"/>
                <w:color w:val="auto"/>
              </w:rPr>
            </w:pPr>
          </w:p>
        </w:tc>
        <w:tc>
          <w:tcPr>
            <w:tcW w:w="2700" w:type="dxa"/>
            <w:vAlign w:val="bottom"/>
            <w:tcBorders>
              <w:bottom w:val="single" w:sz="8" w:color="EEEEEE"/>
            </w:tcBorders>
          </w:tcPr>
          <w:p>
            <w:pPr>
              <w:spacing w:after="0"/>
              <w:rPr>
                <w:sz w:val="16"/>
                <w:szCs w:val="16"/>
                <w:color w:val="auto"/>
              </w:rPr>
            </w:pPr>
          </w:p>
        </w:tc>
        <w:tc>
          <w:tcPr>
            <w:tcW w:w="1220" w:type="dxa"/>
            <w:vAlign w:val="bottom"/>
            <w:tcBorders>
              <w:bottom w:val="single" w:sz="8" w:color="EEEEEE"/>
            </w:tcBorders>
          </w:tcPr>
          <w:p>
            <w:pPr>
              <w:spacing w:after="0"/>
              <w:rPr>
                <w:sz w:val="16"/>
                <w:szCs w:val="16"/>
                <w:color w:val="auto"/>
              </w:rPr>
            </w:pPr>
          </w:p>
        </w:tc>
        <w:tc>
          <w:tcPr>
            <w:tcW w:w="1060" w:type="dxa"/>
            <w:vAlign w:val="bottom"/>
            <w:tcBorders>
              <w:bottom w:val="single" w:sz="8" w:color="EEEEEE"/>
            </w:tcBorders>
          </w:tcPr>
          <w:p>
            <w:pPr>
              <w:spacing w:after="0"/>
              <w:rPr>
                <w:sz w:val="16"/>
                <w:szCs w:val="16"/>
                <w:color w:val="auto"/>
              </w:rPr>
            </w:pPr>
          </w:p>
        </w:tc>
        <w:tc>
          <w:tcPr>
            <w:tcW w:w="440" w:type="dxa"/>
            <w:vAlign w:val="bottom"/>
            <w:tcBorders>
              <w:bottom w:val="single" w:sz="8" w:color="EEEEEE"/>
            </w:tcBorders>
          </w:tcPr>
          <w:p>
            <w:pPr>
              <w:spacing w:after="0"/>
              <w:rPr>
                <w:sz w:val="16"/>
                <w:szCs w:val="16"/>
                <w:color w:val="auto"/>
              </w:rPr>
            </w:pPr>
          </w:p>
        </w:tc>
        <w:tc>
          <w:tcPr>
            <w:tcW w:w="940" w:type="dxa"/>
            <w:vAlign w:val="bottom"/>
            <w:tcBorders>
              <w:bottom w:val="single" w:sz="8" w:color="EEEEEE"/>
            </w:tcBorders>
          </w:tcPr>
          <w:p>
            <w:pPr>
              <w:spacing w:after="0"/>
              <w:rPr>
                <w:sz w:val="16"/>
                <w:szCs w:val="16"/>
                <w:color w:val="auto"/>
              </w:rPr>
            </w:pPr>
          </w:p>
        </w:tc>
        <w:tc>
          <w:tcPr>
            <w:tcW w:w="360" w:type="dxa"/>
            <w:vAlign w:val="bottom"/>
            <w:tcBorders>
              <w:bottom w:val="single" w:sz="8" w:color="EEEEEE"/>
            </w:tcBorders>
          </w:tcPr>
          <w:p>
            <w:pPr>
              <w:spacing w:after="0"/>
              <w:rPr>
                <w:sz w:val="16"/>
                <w:szCs w:val="16"/>
                <w:color w:val="auto"/>
              </w:rPr>
            </w:pPr>
          </w:p>
        </w:tc>
        <w:tc>
          <w:tcPr>
            <w:tcW w:w="720" w:type="dxa"/>
            <w:vAlign w:val="bottom"/>
            <w:tcBorders>
              <w:bottom w:val="single" w:sz="8" w:color="EEEEEE"/>
            </w:tcBorders>
          </w:tcPr>
          <w:p>
            <w:pPr>
              <w:spacing w:after="0"/>
              <w:rPr>
                <w:sz w:val="16"/>
                <w:szCs w:val="16"/>
                <w:color w:val="auto"/>
              </w:rPr>
            </w:pPr>
          </w:p>
        </w:tc>
        <w:tc>
          <w:tcPr>
            <w:tcW w:w="620" w:type="dxa"/>
            <w:vAlign w:val="bottom"/>
            <w:tcBorders>
              <w:bottom w:val="single" w:sz="8" w:color="EEEEEE"/>
            </w:tcBorders>
          </w:tcPr>
          <w:p>
            <w:pPr>
              <w:spacing w:after="0"/>
              <w:rPr>
                <w:sz w:val="16"/>
                <w:szCs w:val="16"/>
                <w:color w:val="auto"/>
              </w:rPr>
            </w:pPr>
          </w:p>
        </w:tc>
        <w:tc>
          <w:tcPr>
            <w:tcW w:w="600" w:type="dxa"/>
            <w:vAlign w:val="bottom"/>
            <w:tcBorders>
              <w:bottom w:val="single" w:sz="8" w:color="EEEEEE"/>
            </w:tcBorders>
          </w:tcPr>
          <w:p>
            <w:pPr>
              <w:spacing w:after="0"/>
              <w:rPr>
                <w:sz w:val="16"/>
                <w:szCs w:val="16"/>
                <w:color w:val="auto"/>
              </w:rPr>
            </w:pPr>
          </w:p>
        </w:tc>
        <w:tc>
          <w:tcPr>
            <w:tcW w:w="60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900" w:type="dxa"/>
            <w:vAlign w:val="bottom"/>
            <w:tcBorders>
              <w:bottom w:val="single" w:sz="8" w:color="EEEE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$491 million of borrowings were outstanding as of March 31, 2020. The applicable interest rate for borrowings was LIBOR plus a spread, based on our leverage ratio at the time of borrowing. At the time of the last borrowing on March 30, 2020, the spread was 1.375%. The spread was based on a pricing grid, which ranged from 1.250% to 1.750%, based on our leverage ratio. Based on our maximum leverage ratio and our Consolidated EBITDA, and without modification to any other credit agreements, as of March 31, 2020, we would have been able to borrow an additional $194 million under the Agreement.</w:t>
      </w:r>
    </w:p>
    <w:p>
      <w:pPr>
        <w:spacing w:after="0" w:line="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8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8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and that payment will be amortized into interest expense through March 2021.</w:t>
      </w:r>
    </w:p>
    <w:p>
      <w:pPr>
        <w:spacing w:after="0" w:line="9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9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March 16, 2020 was .71%, during the swap period. On March 16, 2020, the all-in-rate on the $350 million of debt was 3.485%.</w:t>
      </w:r>
    </w:p>
    <w:p>
      <w:pPr>
        <w:spacing w:after="0" w:line="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16. No cash collateral was received or pledged in relation to the swap agreements.</w:t>
      </w:r>
    </w:p>
    <w:p>
      <w:pPr>
        <w:spacing w:after="0" w:line="89"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3.50 to 1.00 and minimum interest coverage (as defined) of 3.00 to 1.00.</w:t>
      </w:r>
    </w:p>
    <w:p>
      <w:pPr>
        <w:spacing w:after="0" w:line="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As of March 31, 2020, our leverage ratio was 1.69 to 1.00 and our interest coverage ratio was 13.82 to 1.00. We may purchase our Common Stock or pay dividends to the extent our leverage ratio remains at or below 3.50 to 1.00, and may make acquisitions with cash, provided our leverage ratio does not exceed the limits noted above.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in compliance with all debt covenants as of March 31,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Fair-Value Measurements</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March 31, 2020, or at December 31, 2019.</w:t>
      </w:r>
    </w:p>
    <w:p>
      <w:pPr>
        <w:spacing w:after="0" w:line="9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540" w:type="dxa"/>
            <w:vAlign w:val="bottom"/>
            <w:tcBorders>
              <w:top w:val="single" w:sz="8" w:color="auto"/>
              <w:bottom w:val="single" w:sz="8" w:color="auto"/>
            </w:tcBorders>
            <w:gridSpan w:val="3"/>
          </w:tcPr>
          <w:p>
            <w:pPr>
              <w:jc w:val="right"/>
              <w:ind w:right="805"/>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Borders>
              <w:top w:val="single" w:sz="8" w:color="auto"/>
              <w:bottom w:val="single" w:sz="8" w:color="auto"/>
            </w:tcBorders>
          </w:tcPr>
          <w:p>
            <w:pPr>
              <w:spacing w:after="0"/>
              <w:rPr>
                <w:sz w:val="15"/>
                <w:szCs w:val="15"/>
                <w:color w:val="auto"/>
              </w:rPr>
            </w:pPr>
          </w:p>
        </w:tc>
        <w:tc>
          <w:tcPr>
            <w:tcW w:w="2460" w:type="dxa"/>
            <w:vAlign w:val="bottom"/>
            <w:tcBorders>
              <w:top w:val="single" w:sz="8" w:color="auto"/>
              <w:bottom w:val="single" w:sz="8" w:color="auto"/>
            </w:tcBorders>
            <w:gridSpan w:val="3"/>
          </w:tcPr>
          <w:p>
            <w:pPr>
              <w:jc w:val="right"/>
              <w:ind w:right="60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205"/>
              <w:spacing w:after="0" w:line="143" w:lineRule="exact"/>
              <w:rPr>
                <w:sz w:val="20"/>
                <w:szCs w:val="20"/>
                <w:color w:val="auto"/>
              </w:rPr>
            </w:pPr>
            <w:r>
              <w:rPr>
                <w:rFonts w:ascii="Arial" w:cs="Arial" w:eastAsia="Arial" w:hAnsi="Arial"/>
                <w:sz w:val="14"/>
                <w:szCs w:val="14"/>
                <w:b w:val="1"/>
                <w:bCs w:val="1"/>
                <w:color w:val="auto"/>
              </w:rPr>
              <w:t>Quoted</w:t>
            </w:r>
          </w:p>
        </w:tc>
        <w:tc>
          <w:tcPr>
            <w:tcW w:w="260" w:type="dxa"/>
            <w:vAlign w:val="bottom"/>
          </w:tcPr>
          <w:p>
            <w:pPr>
              <w:spacing w:after="0"/>
              <w:rPr>
                <w:sz w:val="12"/>
                <w:szCs w:val="12"/>
                <w:color w:val="auto"/>
              </w:rPr>
            </w:pPr>
          </w:p>
        </w:tc>
        <w:tc>
          <w:tcPr>
            <w:tcW w:w="1180" w:type="dxa"/>
            <w:vAlign w:val="bottom"/>
          </w:tcPr>
          <w:p>
            <w:pPr>
              <w:jc w:val="center"/>
              <w:ind w:right="165"/>
              <w:spacing w:after="0" w:line="143" w:lineRule="exact"/>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2"/>
                <w:szCs w:val="12"/>
                <w:color w:val="auto"/>
              </w:rPr>
            </w:pPr>
          </w:p>
        </w:tc>
        <w:tc>
          <w:tcPr>
            <w:tcW w:w="1080" w:type="dxa"/>
            <w:vAlign w:val="bottom"/>
          </w:tcPr>
          <w:p>
            <w:pPr>
              <w:jc w:val="center"/>
              <w:ind w:right="185"/>
              <w:spacing w:after="0" w:line="143" w:lineRule="exact"/>
              <w:rPr>
                <w:sz w:val="20"/>
                <w:szCs w:val="20"/>
                <w:color w:val="auto"/>
              </w:rPr>
            </w:pPr>
            <w:r>
              <w:rPr>
                <w:rFonts w:ascii="Arial" w:cs="Arial" w:eastAsia="Arial" w:hAnsi="Arial"/>
                <w:sz w:val="14"/>
                <w:szCs w:val="14"/>
                <w:b w:val="1"/>
                <w:bCs w:val="1"/>
                <w:color w:val="auto"/>
              </w:rPr>
              <w:t>Quoted</w:t>
            </w:r>
          </w:p>
        </w:tc>
        <w:tc>
          <w:tcPr>
            <w:tcW w:w="240" w:type="dxa"/>
            <w:vAlign w:val="bottom"/>
          </w:tcPr>
          <w:p>
            <w:pPr>
              <w:spacing w:after="0"/>
              <w:rPr>
                <w:sz w:val="12"/>
                <w:szCs w:val="12"/>
                <w:color w:val="auto"/>
              </w:rPr>
            </w:pPr>
          </w:p>
        </w:tc>
        <w:tc>
          <w:tcPr>
            <w:tcW w:w="1140" w:type="dxa"/>
            <w:vAlign w:val="bottom"/>
          </w:tcPr>
          <w:p>
            <w:pPr>
              <w:jc w:val="center"/>
              <w:ind w:right="105"/>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205"/>
              <w:spacing w:after="0"/>
              <w:rPr>
                <w:sz w:val="20"/>
                <w:szCs w:val="20"/>
                <w:color w:val="auto"/>
              </w:rPr>
            </w:pPr>
            <w:r>
              <w:rPr>
                <w:rFonts w:ascii="Arial" w:cs="Arial" w:eastAsia="Arial" w:hAnsi="Arial"/>
                <w:sz w:val="14"/>
                <w:szCs w:val="14"/>
                <w:b w:val="1"/>
                <w:bCs w:val="1"/>
                <w:color w:val="auto"/>
              </w:rPr>
              <w:t>prices in</w:t>
            </w:r>
          </w:p>
        </w:tc>
        <w:tc>
          <w:tcPr>
            <w:tcW w:w="260" w:type="dxa"/>
            <w:vAlign w:val="bottom"/>
          </w:tcPr>
          <w:p>
            <w:pPr>
              <w:spacing w:after="0"/>
              <w:rPr>
                <w:sz w:val="14"/>
                <w:szCs w:val="14"/>
                <w:color w:val="auto"/>
              </w:rPr>
            </w:pPr>
          </w:p>
        </w:tc>
        <w:tc>
          <w:tcPr>
            <w:tcW w:w="1180" w:type="dxa"/>
            <w:vAlign w:val="bottom"/>
          </w:tcPr>
          <w:p>
            <w:pPr>
              <w:jc w:val="center"/>
              <w:ind w:right="145"/>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1080" w:type="dxa"/>
            <w:vAlign w:val="bottom"/>
          </w:tcPr>
          <w:p>
            <w:pPr>
              <w:jc w:val="center"/>
              <w:ind w:right="165"/>
              <w:spacing w:after="0"/>
              <w:rPr>
                <w:sz w:val="20"/>
                <w:szCs w:val="20"/>
                <w:color w:val="auto"/>
              </w:rPr>
            </w:pPr>
            <w:r>
              <w:rPr>
                <w:rFonts w:ascii="Arial" w:cs="Arial" w:eastAsia="Arial" w:hAnsi="Arial"/>
                <w:sz w:val="14"/>
                <w:szCs w:val="14"/>
                <w:b w:val="1"/>
                <w:bCs w:val="1"/>
                <w:color w:val="auto"/>
              </w:rPr>
              <w:t>prices in</w:t>
            </w:r>
          </w:p>
        </w:tc>
        <w:tc>
          <w:tcPr>
            <w:tcW w:w="240" w:type="dxa"/>
            <w:vAlign w:val="bottom"/>
          </w:tcPr>
          <w:p>
            <w:pPr>
              <w:spacing w:after="0"/>
              <w:rPr>
                <w:sz w:val="14"/>
                <w:szCs w:val="14"/>
                <w:color w:val="auto"/>
              </w:rPr>
            </w:pPr>
          </w:p>
        </w:tc>
        <w:tc>
          <w:tcPr>
            <w:tcW w:w="1140" w:type="dxa"/>
            <w:vAlign w:val="bottom"/>
          </w:tcPr>
          <w:p>
            <w:pPr>
              <w:jc w:val="center"/>
              <w:ind w:right="105"/>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205"/>
              <w:spacing w:after="0"/>
              <w:rPr>
                <w:sz w:val="20"/>
                <w:szCs w:val="20"/>
                <w:color w:val="auto"/>
              </w:rPr>
            </w:pPr>
            <w:r>
              <w:rPr>
                <w:rFonts w:ascii="Arial" w:cs="Arial" w:eastAsia="Arial" w:hAnsi="Arial"/>
                <w:sz w:val="14"/>
                <w:szCs w:val="14"/>
                <w:b w:val="1"/>
                <w:bCs w:val="1"/>
                <w:color w:val="auto"/>
              </w:rPr>
              <w:t>active</w:t>
            </w:r>
          </w:p>
        </w:tc>
        <w:tc>
          <w:tcPr>
            <w:tcW w:w="260" w:type="dxa"/>
            <w:vAlign w:val="bottom"/>
          </w:tcPr>
          <w:p>
            <w:pPr>
              <w:spacing w:after="0"/>
              <w:rPr>
                <w:sz w:val="14"/>
                <w:szCs w:val="14"/>
                <w:color w:val="auto"/>
              </w:rPr>
            </w:pPr>
          </w:p>
        </w:tc>
        <w:tc>
          <w:tcPr>
            <w:tcW w:w="1180" w:type="dxa"/>
            <w:vAlign w:val="bottom"/>
          </w:tcPr>
          <w:p>
            <w:pPr>
              <w:jc w:val="center"/>
              <w:ind w:right="145"/>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080" w:type="dxa"/>
            <w:vAlign w:val="bottom"/>
          </w:tcPr>
          <w:p>
            <w:pPr>
              <w:jc w:val="center"/>
              <w:ind w:right="165"/>
              <w:spacing w:after="0"/>
              <w:rPr>
                <w:sz w:val="20"/>
                <w:szCs w:val="20"/>
                <w:color w:val="auto"/>
              </w:rPr>
            </w:pPr>
            <w:r>
              <w:rPr>
                <w:rFonts w:ascii="Arial" w:cs="Arial" w:eastAsia="Arial" w:hAnsi="Arial"/>
                <w:sz w:val="14"/>
                <w:szCs w:val="14"/>
                <w:b w:val="1"/>
                <w:bCs w:val="1"/>
                <w:color w:val="auto"/>
              </w:rPr>
              <w:t>active</w:t>
            </w:r>
          </w:p>
        </w:tc>
        <w:tc>
          <w:tcPr>
            <w:tcW w:w="240" w:type="dxa"/>
            <w:vAlign w:val="bottom"/>
          </w:tcPr>
          <w:p>
            <w:pPr>
              <w:spacing w:after="0"/>
              <w:rPr>
                <w:sz w:val="14"/>
                <w:szCs w:val="14"/>
                <w:color w:val="auto"/>
              </w:rPr>
            </w:pPr>
          </w:p>
        </w:tc>
        <w:tc>
          <w:tcPr>
            <w:tcW w:w="1140" w:type="dxa"/>
            <w:vAlign w:val="bottom"/>
          </w:tcPr>
          <w:p>
            <w:pPr>
              <w:jc w:val="center"/>
              <w:ind w:right="105"/>
              <w:spacing w:after="0"/>
              <w:rPr>
                <w:sz w:val="20"/>
                <w:szCs w:val="20"/>
                <w:color w:val="auto"/>
              </w:rPr>
            </w:pPr>
            <w:r>
              <w:rPr>
                <w:rFonts w:ascii="Arial" w:cs="Arial" w:eastAsia="Arial" w:hAnsi="Arial"/>
                <w:sz w:val="14"/>
                <w:szCs w:val="14"/>
                <w:b w:val="1"/>
                <w:bCs w:val="1"/>
                <w:color w:val="auto"/>
              </w:rPr>
              <w:t>observable</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205"/>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4"/>
                <w:szCs w:val="14"/>
                <w:color w:val="auto"/>
              </w:rPr>
            </w:pPr>
          </w:p>
        </w:tc>
        <w:tc>
          <w:tcPr>
            <w:tcW w:w="1180" w:type="dxa"/>
            <w:vAlign w:val="bottom"/>
          </w:tcPr>
          <w:p>
            <w:pPr>
              <w:jc w:val="center"/>
              <w:ind w:right="145"/>
              <w:spacing w:after="0"/>
              <w:rPr>
                <w:sz w:val="20"/>
                <w:szCs w:val="20"/>
                <w:color w:val="auto"/>
              </w:rPr>
            </w:pPr>
            <w:r>
              <w:rPr>
                <w:rFonts w:ascii="Arial" w:cs="Arial" w:eastAsia="Arial" w:hAnsi="Arial"/>
                <w:sz w:val="14"/>
                <w:szCs w:val="14"/>
                <w:b w:val="1"/>
                <w:bCs w:val="1"/>
                <w:color w:val="auto"/>
              </w:rPr>
              <w:t>inputs</w:t>
            </w:r>
          </w:p>
        </w:tc>
        <w:tc>
          <w:tcPr>
            <w:tcW w:w="280" w:type="dxa"/>
            <w:vAlign w:val="bottom"/>
          </w:tcPr>
          <w:p>
            <w:pPr>
              <w:spacing w:after="0"/>
              <w:rPr>
                <w:sz w:val="14"/>
                <w:szCs w:val="14"/>
                <w:color w:val="auto"/>
              </w:rPr>
            </w:pPr>
          </w:p>
        </w:tc>
        <w:tc>
          <w:tcPr>
            <w:tcW w:w="1080" w:type="dxa"/>
            <w:vAlign w:val="bottom"/>
          </w:tcPr>
          <w:p>
            <w:pPr>
              <w:jc w:val="center"/>
              <w:ind w:right="165"/>
              <w:spacing w:after="0"/>
              <w:rPr>
                <w:sz w:val="20"/>
                <w:szCs w:val="20"/>
                <w:color w:val="auto"/>
              </w:rPr>
            </w:pPr>
            <w:r>
              <w:rPr>
                <w:rFonts w:ascii="Arial" w:cs="Arial" w:eastAsia="Arial" w:hAnsi="Arial"/>
                <w:sz w:val="14"/>
                <w:szCs w:val="14"/>
                <w:b w:val="1"/>
                <w:bCs w:val="1"/>
                <w:color w:val="auto"/>
              </w:rPr>
              <w:t>markets</w:t>
            </w:r>
          </w:p>
        </w:tc>
        <w:tc>
          <w:tcPr>
            <w:tcW w:w="240" w:type="dxa"/>
            <w:vAlign w:val="bottom"/>
          </w:tcPr>
          <w:p>
            <w:pPr>
              <w:spacing w:after="0"/>
              <w:rPr>
                <w:sz w:val="14"/>
                <w:szCs w:val="14"/>
                <w:color w:val="auto"/>
              </w:rPr>
            </w:pPr>
          </w:p>
        </w:tc>
        <w:tc>
          <w:tcPr>
            <w:tcW w:w="1140" w:type="dxa"/>
            <w:vAlign w:val="bottom"/>
          </w:tcPr>
          <w:p>
            <w:pPr>
              <w:jc w:val="center"/>
              <w:ind w:right="105"/>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Arial" w:cs="Arial" w:eastAsia="Arial" w:hAnsi="Arial"/>
                <w:sz w:val="16"/>
                <w:szCs w:val="16"/>
                <w:b w:val="1"/>
                <w:bCs w:val="1"/>
                <w:color w:val="auto"/>
              </w:rPr>
              <w:t>Fair Value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960" w:type="dxa"/>
            <w:vAlign w:val="bottom"/>
          </w:tcPr>
          <w:p>
            <w:pPr>
              <w:spacing w:after="0"/>
              <w:rPr>
                <w:sz w:val="20"/>
                <w:szCs w:val="20"/>
                <w:color w:val="auto"/>
              </w:rPr>
            </w:pPr>
            <w:r>
              <w:rPr>
                <w:rFonts w:ascii="Arial" w:cs="Arial" w:eastAsia="Arial" w:hAnsi="Arial"/>
                <w:sz w:val="16"/>
                <w:szCs w:val="16"/>
                <w:i w:val="1"/>
                <w:iCs w:val="1"/>
                <w:color w:val="auto"/>
              </w:rPr>
              <w:t>Assets: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960" w:type="dxa"/>
            <w:vAlign w:val="bottom"/>
          </w:tcPr>
          <w:p>
            <w:pPr>
              <w:ind w:left="120"/>
              <w:spacing w:after="0" w:line="173" w:lineRule="exact"/>
              <w:rPr>
                <w:sz w:val="20"/>
                <w:szCs w:val="20"/>
                <w:color w:val="auto"/>
              </w:rPr>
            </w:pPr>
            <w:r>
              <w:rPr>
                <w:rFonts w:ascii="Arial" w:cs="Arial" w:eastAsia="Arial" w:hAnsi="Arial"/>
                <w:sz w:val="16"/>
                <w:szCs w:val="16"/>
                <w:color w:val="auto"/>
              </w:rPr>
              <w:t>Cash equivalents</w:t>
            </w:r>
          </w:p>
        </w:tc>
        <w:tc>
          <w:tcPr>
            <w:tcW w:w="1000" w:type="dxa"/>
            <w:vAlign w:val="bottom"/>
            <w:gridSpan w:val="2"/>
          </w:tcPr>
          <w:p>
            <w:pPr>
              <w:jc w:val="right"/>
              <w:ind w:right="120"/>
              <w:spacing w:after="0" w:line="173"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3" w:lineRule="exact"/>
              <w:rPr>
                <w:sz w:val="20"/>
                <w:szCs w:val="20"/>
                <w:color w:val="auto"/>
              </w:rPr>
            </w:pPr>
            <w:r>
              <w:rPr>
                <w:rFonts w:ascii="Arial" w:cs="Arial" w:eastAsia="Arial" w:hAnsi="Arial"/>
                <w:sz w:val="16"/>
                <w:szCs w:val="16"/>
                <w:color w:val="auto"/>
              </w:rPr>
              <w:t>13,039</w:t>
            </w:r>
          </w:p>
        </w:tc>
        <w:tc>
          <w:tcPr>
            <w:tcW w:w="260" w:type="dxa"/>
            <w:vAlign w:val="bottom"/>
          </w:tcPr>
          <w:p>
            <w:pPr>
              <w:jc w:val="right"/>
              <w:ind w:right="19"/>
              <w:spacing w:after="0" w:line="17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65"/>
              <w:spacing w:after="0" w:line="173" w:lineRule="exact"/>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line="173"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16,375</w:t>
            </w:r>
          </w:p>
        </w:tc>
        <w:tc>
          <w:tcPr>
            <w:tcW w:w="240" w:type="dxa"/>
            <w:vAlign w:val="bottom"/>
          </w:tcPr>
          <w:p>
            <w:pPr>
              <w:jc w:val="right"/>
              <w:ind w:right="19"/>
              <w:spacing w:after="0" w:line="17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45"/>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tcPr>
          <w:p>
            <w:pPr>
              <w:ind w:left="120"/>
              <w:spacing w:after="0"/>
              <w:rPr>
                <w:sz w:val="20"/>
                <w:szCs w:val="20"/>
                <w:color w:val="auto"/>
              </w:rPr>
            </w:pPr>
            <w:r>
              <w:rPr>
                <w:rFonts w:ascii="Arial" w:cs="Arial" w:eastAsia="Arial" w:hAnsi="Arial"/>
                <w:sz w:val="16"/>
                <w:szCs w:val="16"/>
                <w:i w:val="1"/>
                <w:iCs w:val="1"/>
                <w:color w:val="auto"/>
              </w:rPr>
              <w:t>Other Assets: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60" w:type="dxa"/>
            <w:vAlign w:val="bottom"/>
          </w:tcPr>
          <w:p>
            <w:pPr>
              <w:ind w:left="120"/>
              <w:spacing w:after="0"/>
              <w:rPr>
                <w:sz w:val="20"/>
                <w:szCs w:val="20"/>
                <w:color w:val="auto"/>
              </w:rPr>
            </w:pPr>
            <w:r>
              <w:rPr>
                <w:rFonts w:ascii="Arial" w:cs="Arial" w:eastAsia="Arial" w:hAnsi="Arial"/>
                <w:sz w:val="16"/>
                <w:szCs w:val="16"/>
                <w:color w:val="auto"/>
              </w:rPr>
              <w:t>Common stock of unaffiliated foreign public company (a)</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765</w:t>
            </w:r>
          </w:p>
        </w:tc>
        <w:tc>
          <w:tcPr>
            <w:tcW w:w="260" w:type="dxa"/>
            <w:vAlign w:val="bottom"/>
          </w:tcPr>
          <w:p>
            <w:pPr>
              <w:spacing w:after="0"/>
              <w:rPr>
                <w:sz w:val="16"/>
                <w:szCs w:val="16"/>
                <w:color w:val="auto"/>
              </w:rPr>
            </w:pPr>
          </w:p>
        </w:tc>
        <w:tc>
          <w:tcPr>
            <w:tcW w:w="1180" w:type="dxa"/>
            <w:vAlign w:val="bottom"/>
          </w:tcPr>
          <w:p>
            <w:pPr>
              <w:jc w:val="right"/>
              <w:ind w:right="165"/>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839</w:t>
            </w:r>
          </w:p>
        </w:tc>
        <w:tc>
          <w:tcPr>
            <w:tcW w:w="240" w:type="dxa"/>
            <w:vAlign w:val="bottom"/>
          </w:tcPr>
          <w:p>
            <w:pPr>
              <w:spacing w:after="0"/>
              <w:rPr>
                <w:sz w:val="16"/>
                <w:szCs w:val="16"/>
                <w:color w:val="auto"/>
              </w:rPr>
            </w:pPr>
          </w:p>
        </w:tc>
        <w:tc>
          <w:tcPr>
            <w:tcW w:w="114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4960" w:type="dxa"/>
            <w:vAlign w:val="bottom"/>
          </w:tcPr>
          <w:p>
            <w:pPr>
              <w:ind w:left="220"/>
              <w:spacing w:after="0" w:line="173" w:lineRule="exact"/>
              <w:rPr>
                <w:sz w:val="20"/>
                <w:szCs w:val="20"/>
                <w:color w:val="auto"/>
              </w:rPr>
            </w:pPr>
            <w:r>
              <w:rPr>
                <w:rFonts w:ascii="Arial" w:cs="Arial" w:eastAsia="Arial" w:hAnsi="Arial"/>
                <w:sz w:val="16"/>
                <w:szCs w:val="16"/>
                <w:color w:val="auto"/>
              </w:rPr>
              <w:t>Interest rate swaps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20"/>
                <w:szCs w:val="20"/>
                <w:color w:val="auto"/>
              </w:rPr>
            </w:pPr>
            <w:r>
              <w:rPr>
                <w:rFonts w:ascii="Arial" w:cs="Arial" w:eastAsia="Arial" w:hAnsi="Arial"/>
                <w:sz w:val="16"/>
                <w:szCs w:val="16"/>
                <w:i w:val="1"/>
                <w:iCs w:val="1"/>
                <w:color w:val="auto"/>
              </w:rPr>
              <w:t>Liabilities: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60" w:type="dxa"/>
            <w:vAlign w:val="bottom"/>
          </w:tcPr>
          <w:p>
            <w:pPr>
              <w:ind w:left="120"/>
              <w:spacing w:after="0"/>
              <w:rPr>
                <w:sz w:val="20"/>
                <w:szCs w:val="20"/>
                <w:color w:val="auto"/>
              </w:rPr>
            </w:pPr>
            <w:r>
              <w:rPr>
                <w:rFonts w:ascii="Arial" w:cs="Arial" w:eastAsia="Arial" w:hAnsi="Arial"/>
                <w:sz w:val="16"/>
                <w:szCs w:val="16"/>
                <w:i w:val="1"/>
                <w:iCs w:val="1"/>
                <w:color w:val="auto"/>
              </w:rPr>
              <w:t>Other noncurrent liabilities: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 xml:space="preserve">(15,761) </w:t>
            </w:r>
            <w:r>
              <w:rPr>
                <w:rFonts w:ascii="Arial" w:cs="Arial" w:eastAsia="Arial" w:hAnsi="Arial"/>
                <w:sz w:val="26"/>
                <w:szCs w:val="26"/>
                <w:color w:val="auto"/>
                <w:vertAlign w:val="superscript"/>
              </w:rPr>
              <w:t>b</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 xml:space="preserve">(5,518) </w:t>
            </w:r>
            <w:r>
              <w:rPr>
                <w:rFonts w:ascii="Arial" w:cs="Arial" w:eastAsia="Arial" w:hAnsi="Arial"/>
                <w:sz w:val="26"/>
                <w:szCs w:val="26"/>
                <w:color w:val="auto"/>
                <w:vertAlign w:val="superscript"/>
              </w:rPr>
              <w:t>c</w:t>
            </w:r>
          </w:p>
        </w:tc>
        <w:tc>
          <w:tcPr>
            <w:tcW w:w="0" w:type="dxa"/>
            <w:vAlign w:val="bottom"/>
          </w:tcPr>
          <w:p>
            <w:pPr>
              <w:spacing w:after="0"/>
              <w:rPr>
                <w:sz w:val="1"/>
                <w:szCs w:val="1"/>
                <w:color w:val="auto"/>
              </w:rPr>
            </w:pPr>
          </w:p>
        </w:tc>
      </w:tr>
      <w:tr>
        <w:trPr>
          <w:trHeight w:val="237"/>
        </w:trPr>
        <w:tc>
          <w:tcPr>
            <w:tcW w:w="4960" w:type="dxa"/>
            <w:vAlign w:val="bottom"/>
          </w:tcPr>
          <w:p>
            <w:pPr>
              <w:ind w:left="220"/>
              <w:spacing w:after="0"/>
              <w:rPr>
                <w:sz w:val="20"/>
                <w:szCs w:val="20"/>
                <w:color w:val="auto"/>
              </w:rPr>
            </w:pPr>
            <w:r>
              <w:rPr>
                <w:rFonts w:ascii="Arial" w:cs="Arial" w:eastAsia="Arial" w:hAnsi="Arial"/>
                <w:sz w:val="16"/>
                <w:szCs w:val="16"/>
                <w:color w:val="auto"/>
              </w:rPr>
              <w:t>Interest rate swaps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Original cost basis $0.5 million.</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of $3.5 million receivable floating leg and $19.2 million liability fixed leg.</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of $15.2 million receivable floating leg and $20.7 million liability fixed leg.</w:t>
      </w:r>
    </w:p>
    <w:p>
      <w:pPr>
        <w:spacing w:after="0" w:line="191"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Changes in the fair value of the investment are reported in the Consolidated Statements of Income.</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spacing w:after="0" w:line="9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9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 net. Revaluation gains and losses occur when our business units have cash, intercompany (recorded in Other (income)/expense, net) or third-party trade (recorded in selling, general and administrative expenses) receivable or payable balances in a currency other than their local reporting (or functional) currency.</w:t>
      </w:r>
    </w:p>
    <w:p>
      <w:pPr>
        <w:spacing w:after="0" w:line="9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As of March 31, 2020,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$0.5 million for the three month period ended March 31, 2020, and ($0.3) million for the three month period ended March 31, 2019. Additionally, non-cash interest income related to the amortization of swap buyouts totaled $0.1 million for the three month period ended March 31, 2020 and $0.1 million for the three month period ended March 31, 2019.</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74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740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right"/>
              <w:ind w:right="266"/>
              <w:spacing w:after="0" w:line="155"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740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980" w:type="dxa"/>
            <w:vAlign w:val="bottom"/>
            <w:vMerge w:val="restart"/>
          </w:tcPr>
          <w:p>
            <w:pPr>
              <w:jc w:val="right"/>
              <w:ind w:right="166"/>
              <w:spacing w:after="0"/>
              <w:rPr>
                <w:sz w:val="20"/>
                <w:szCs w:val="20"/>
                <w:color w:val="auto"/>
              </w:rPr>
            </w:pPr>
            <w:r>
              <w:rPr>
                <w:rFonts w:ascii="Arial" w:cs="Arial" w:eastAsia="Arial" w:hAnsi="Arial"/>
                <w:sz w:val="16"/>
                <w:szCs w:val="16"/>
                <w:b w:val="1"/>
                <w:bCs w:val="1"/>
                <w:color w:val="auto"/>
              </w:rPr>
              <w:t>$(64)</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options gains/(losses)</w:t>
            </w:r>
          </w:p>
        </w:tc>
        <w:tc>
          <w:tcPr>
            <w:tcW w:w="9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9560" w:firstLine="8"/>
        <w:spacing w:after="0" w:line="372" w:lineRule="auto"/>
        <w:tabs>
          <w:tab w:leader="none" w:pos="3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b w:val="1"/>
          <w:bCs w:val="1"/>
          <w:color w:val="auto"/>
        </w:rPr>
        <w:t>Asbestos Litigation</w:t>
      </w:r>
    </w:p>
    <w:p>
      <w:pPr>
        <w:spacing w:after="0" w:line="1"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defending 3,691 claims as of March 31, 2020.</w:t>
      </w:r>
    </w:p>
    <w:p>
      <w:pPr>
        <w:spacing w:after="0" w:line="104"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Claims</w:t>
            </w:r>
          </w:p>
        </w:tc>
        <w:tc>
          <w:tcPr>
            <w:tcW w:w="16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Amounts Paid</w:t>
            </w:r>
          </w:p>
        </w:tc>
      </w:tr>
      <w:tr>
        <w:trPr>
          <w:trHeight w:val="162"/>
        </w:trPr>
        <w:tc>
          <w:tcPr>
            <w:tcW w:w="2740" w:type="dxa"/>
            <w:vAlign w:val="bottom"/>
          </w:tcPr>
          <w:p>
            <w:pPr>
              <w:spacing w:after="0"/>
              <w:rPr>
                <w:sz w:val="14"/>
                <w:szCs w:val="14"/>
                <w:color w:val="auto"/>
              </w:rPr>
            </w:pPr>
          </w:p>
        </w:tc>
        <w:tc>
          <w:tcPr>
            <w:tcW w:w="2140" w:type="dxa"/>
            <w:vAlign w:val="bottom"/>
          </w:tcPr>
          <w:p>
            <w:pPr>
              <w:jc w:val="center"/>
              <w:ind w:left="482"/>
              <w:spacing w:after="0"/>
              <w:rPr>
                <w:sz w:val="20"/>
                <w:szCs w:val="20"/>
                <w:color w:val="auto"/>
              </w:rPr>
            </w:pPr>
            <w:r>
              <w:rPr>
                <w:rFonts w:ascii="Arial" w:cs="Arial" w:eastAsia="Arial" w:hAnsi="Arial"/>
                <w:sz w:val="14"/>
                <w:szCs w:val="14"/>
                <w:b w:val="1"/>
                <w:bCs w:val="1"/>
                <w:color w:val="auto"/>
              </w:rPr>
              <w:t>Opening</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Dismissed,</w:t>
            </w:r>
          </w:p>
        </w:tc>
        <w:tc>
          <w:tcPr>
            <w:tcW w:w="16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Closing</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(thousands) to</w:t>
            </w:r>
          </w:p>
        </w:tc>
      </w:tr>
      <w:tr>
        <w:trPr>
          <w:trHeight w:val="162"/>
        </w:trPr>
        <w:tc>
          <w:tcPr>
            <w:tcW w:w="2740" w:type="dxa"/>
            <w:vAlign w:val="bottom"/>
          </w:tcPr>
          <w:p>
            <w:pPr>
              <w:spacing w:after="0"/>
              <w:rPr>
                <w:sz w:val="14"/>
                <w:szCs w:val="14"/>
                <w:color w:val="auto"/>
              </w:rPr>
            </w:pPr>
          </w:p>
        </w:tc>
        <w:tc>
          <w:tcPr>
            <w:tcW w:w="2140" w:type="dxa"/>
            <w:vAlign w:val="bottom"/>
          </w:tcPr>
          <w:p>
            <w:pPr>
              <w:jc w:val="center"/>
              <w:ind w:left="502"/>
              <w:spacing w:after="0"/>
              <w:rPr>
                <w:sz w:val="20"/>
                <w:szCs w:val="20"/>
                <w:color w:val="auto"/>
              </w:rPr>
            </w:pPr>
            <w:r>
              <w:rPr>
                <w:rFonts w:ascii="Arial" w:cs="Arial" w:eastAsia="Arial" w:hAnsi="Arial"/>
                <w:sz w:val="14"/>
                <w:szCs w:val="14"/>
                <w:b w:val="1"/>
                <w:bCs w:val="1"/>
                <w:color w:val="auto"/>
              </w:rPr>
              <w:t>Number of</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Settled, or</w:t>
            </w:r>
          </w:p>
        </w:tc>
        <w:tc>
          <w:tcPr>
            <w:tcW w:w="16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660" w:type="dxa"/>
            <w:vAlign w:val="bottom"/>
            <w:gridSpan w:val="2"/>
          </w:tcPr>
          <w:p>
            <w:pPr>
              <w:jc w:val="center"/>
              <w:ind w:left="5"/>
              <w:spacing w:after="0"/>
              <w:rPr>
                <w:sz w:val="20"/>
                <w:szCs w:val="20"/>
                <w:color w:val="auto"/>
              </w:rPr>
            </w:pPr>
            <w:r>
              <w:rPr>
                <w:rFonts w:ascii="Arial" w:cs="Arial" w:eastAsia="Arial" w:hAnsi="Arial"/>
                <w:sz w:val="14"/>
                <w:szCs w:val="14"/>
                <w:b w:val="1"/>
                <w:bCs w:val="1"/>
                <w:color w:val="auto"/>
              </w:rPr>
              <w:t>Settle or</w:t>
            </w:r>
          </w:p>
        </w:tc>
      </w:tr>
      <w:tr>
        <w:trPr>
          <w:trHeight w:val="175"/>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140" w:type="dxa"/>
            <w:vAlign w:val="bottom"/>
            <w:tcBorders>
              <w:bottom w:val="single" w:sz="8" w:color="auto"/>
            </w:tcBorders>
          </w:tcPr>
          <w:p>
            <w:pPr>
              <w:jc w:val="center"/>
              <w:ind w:left="482"/>
              <w:spacing w:after="0"/>
              <w:rPr>
                <w:sz w:val="20"/>
                <w:szCs w:val="20"/>
                <w:color w:val="auto"/>
              </w:rPr>
            </w:pPr>
            <w:r>
              <w:rPr>
                <w:rFonts w:ascii="Arial" w:cs="Arial" w:eastAsia="Arial" w:hAnsi="Arial"/>
                <w:sz w:val="14"/>
                <w:szCs w:val="14"/>
                <w:b w:val="1"/>
                <w:bCs w:val="1"/>
                <w:color w:val="auto"/>
              </w:rPr>
              <w:t>Claims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Resolved</w:t>
            </w:r>
          </w:p>
        </w:tc>
        <w:tc>
          <w:tcPr>
            <w:tcW w:w="16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New Claims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Claims</w:t>
            </w: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Resolve</w:t>
            </w:r>
          </w:p>
        </w:tc>
      </w:tr>
      <w:tr>
        <w:trPr>
          <w:trHeight w:val="184"/>
        </w:trPr>
        <w:tc>
          <w:tcPr>
            <w:tcW w:w="2740" w:type="dxa"/>
            <w:vAlign w:val="bottom"/>
          </w:tcPr>
          <w:p>
            <w:pPr>
              <w:spacing w:after="0"/>
              <w:rPr>
                <w:sz w:val="20"/>
                <w:szCs w:val="20"/>
                <w:color w:val="auto"/>
              </w:rPr>
            </w:pPr>
            <w:r>
              <w:rPr>
                <w:rFonts w:ascii="Arial" w:cs="Arial" w:eastAsia="Arial" w:hAnsi="Arial"/>
                <w:sz w:val="16"/>
                <w:szCs w:val="16"/>
                <w:color w:val="auto"/>
              </w:rPr>
              <w:t>2015</w:t>
            </w:r>
          </w:p>
        </w:tc>
        <w:tc>
          <w:tcPr>
            <w:tcW w:w="2140" w:type="dxa"/>
            <w:vAlign w:val="bottom"/>
          </w:tcPr>
          <w:p>
            <w:pPr>
              <w:jc w:val="center"/>
              <w:ind w:left="482"/>
              <w:spacing w:after="0"/>
              <w:rPr>
                <w:sz w:val="20"/>
                <w:szCs w:val="20"/>
                <w:color w:val="auto"/>
              </w:rPr>
            </w:pPr>
            <w:r>
              <w:rPr>
                <w:rFonts w:ascii="Arial" w:cs="Arial" w:eastAsia="Arial" w:hAnsi="Arial"/>
                <w:sz w:val="16"/>
                <w:szCs w:val="16"/>
                <w:color w:val="auto"/>
              </w:rPr>
              <w:t>3,821</w:t>
            </w:r>
          </w:p>
        </w:tc>
        <w:tc>
          <w:tcPr>
            <w:tcW w:w="1580" w:type="dxa"/>
            <w:vAlign w:val="bottom"/>
          </w:tcPr>
          <w:p>
            <w:pPr>
              <w:jc w:val="right"/>
              <w:ind w:right="583"/>
              <w:spacing w:after="0"/>
              <w:rPr>
                <w:sz w:val="20"/>
                <w:szCs w:val="20"/>
                <w:color w:val="auto"/>
              </w:rPr>
            </w:pPr>
            <w:r>
              <w:rPr>
                <w:rFonts w:ascii="Arial" w:cs="Arial" w:eastAsia="Arial" w:hAnsi="Arial"/>
                <w:sz w:val="16"/>
                <w:szCs w:val="16"/>
                <w:color w:val="auto"/>
              </w:rPr>
              <w:t>116</w:t>
            </w:r>
          </w:p>
        </w:tc>
        <w:tc>
          <w:tcPr>
            <w:tcW w:w="1620" w:type="dxa"/>
            <w:vAlign w:val="bottom"/>
          </w:tcPr>
          <w:p>
            <w:pPr>
              <w:jc w:val="right"/>
              <w:ind w:right="620"/>
              <w:spacing w:after="0"/>
              <w:rPr>
                <w:sz w:val="20"/>
                <w:szCs w:val="20"/>
                <w:color w:val="auto"/>
              </w:rPr>
            </w:pPr>
            <w:r>
              <w:rPr>
                <w:rFonts w:ascii="Arial" w:cs="Arial" w:eastAsia="Arial" w:hAnsi="Arial"/>
                <w:sz w:val="16"/>
                <w:szCs w:val="16"/>
                <w:color w:val="auto"/>
              </w:rPr>
              <w:t>86</w:t>
            </w:r>
          </w:p>
        </w:tc>
        <w:tc>
          <w:tcPr>
            <w:tcW w:w="1500" w:type="dxa"/>
            <w:vAlign w:val="bottom"/>
          </w:tcPr>
          <w:p>
            <w:pPr>
              <w:jc w:val="center"/>
              <w:spacing w:after="0"/>
              <w:rPr>
                <w:sz w:val="20"/>
                <w:szCs w:val="20"/>
                <w:color w:val="auto"/>
              </w:rPr>
            </w:pPr>
            <w:r>
              <w:rPr>
                <w:rFonts w:ascii="Arial" w:cs="Arial" w:eastAsia="Arial" w:hAnsi="Arial"/>
                <w:sz w:val="16"/>
                <w:szCs w:val="16"/>
                <w:color w:val="auto"/>
              </w:rPr>
              <w:t>3,791</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19"/>
              <w:spacing w:after="0"/>
              <w:rPr>
                <w:sz w:val="20"/>
                <w:szCs w:val="20"/>
                <w:color w:val="auto"/>
              </w:rPr>
            </w:pPr>
            <w:r>
              <w:rPr>
                <w:rFonts w:ascii="Arial" w:cs="Arial" w:eastAsia="Arial" w:hAnsi="Arial"/>
                <w:sz w:val="16"/>
                <w:szCs w:val="16"/>
                <w:color w:val="auto"/>
              </w:rPr>
              <w:t>164</w:t>
            </w: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2016</w:t>
            </w:r>
          </w:p>
        </w:tc>
        <w:tc>
          <w:tcPr>
            <w:tcW w:w="2140" w:type="dxa"/>
            <w:vAlign w:val="bottom"/>
          </w:tcPr>
          <w:p>
            <w:pPr>
              <w:jc w:val="center"/>
              <w:ind w:left="482"/>
              <w:spacing w:after="0"/>
              <w:rPr>
                <w:sz w:val="20"/>
                <w:szCs w:val="20"/>
                <w:color w:val="auto"/>
              </w:rPr>
            </w:pPr>
            <w:r>
              <w:rPr>
                <w:rFonts w:ascii="Arial" w:cs="Arial" w:eastAsia="Arial" w:hAnsi="Arial"/>
                <w:sz w:val="16"/>
                <w:szCs w:val="16"/>
                <w:color w:val="auto"/>
              </w:rPr>
              <w:t>3,791</w:t>
            </w:r>
          </w:p>
        </w:tc>
        <w:tc>
          <w:tcPr>
            <w:tcW w:w="1580" w:type="dxa"/>
            <w:vAlign w:val="bottom"/>
          </w:tcPr>
          <w:p>
            <w:pPr>
              <w:jc w:val="right"/>
              <w:ind w:right="583"/>
              <w:spacing w:after="0"/>
              <w:rPr>
                <w:sz w:val="20"/>
                <w:szCs w:val="20"/>
                <w:color w:val="auto"/>
              </w:rPr>
            </w:pPr>
            <w:r>
              <w:rPr>
                <w:rFonts w:ascii="Arial" w:cs="Arial" w:eastAsia="Arial" w:hAnsi="Arial"/>
                <w:sz w:val="16"/>
                <w:szCs w:val="16"/>
                <w:color w:val="auto"/>
              </w:rPr>
              <w:t>148</w:t>
            </w:r>
          </w:p>
        </w:tc>
        <w:tc>
          <w:tcPr>
            <w:tcW w:w="1620" w:type="dxa"/>
            <w:vAlign w:val="bottom"/>
          </w:tcPr>
          <w:p>
            <w:pPr>
              <w:jc w:val="right"/>
              <w:ind w:right="600"/>
              <w:spacing w:after="0"/>
              <w:rPr>
                <w:sz w:val="20"/>
                <w:szCs w:val="20"/>
                <w:color w:val="auto"/>
              </w:rPr>
            </w:pPr>
            <w:r>
              <w:rPr>
                <w:rFonts w:ascii="Arial" w:cs="Arial" w:eastAsia="Arial" w:hAnsi="Arial"/>
                <w:sz w:val="16"/>
                <w:szCs w:val="16"/>
                <w:color w:val="auto"/>
              </w:rPr>
              <w:t>102</w:t>
            </w:r>
          </w:p>
        </w:tc>
        <w:tc>
          <w:tcPr>
            <w:tcW w:w="1500" w:type="dxa"/>
            <w:vAlign w:val="bottom"/>
          </w:tcPr>
          <w:p>
            <w:pPr>
              <w:jc w:val="center"/>
              <w:spacing w:after="0"/>
              <w:rPr>
                <w:sz w:val="20"/>
                <w:szCs w:val="20"/>
                <w:color w:val="auto"/>
              </w:rPr>
            </w:pPr>
            <w:r>
              <w:rPr>
                <w:rFonts w:ascii="Arial" w:cs="Arial" w:eastAsia="Arial" w:hAnsi="Arial"/>
                <w:sz w:val="16"/>
                <w:szCs w:val="16"/>
                <w:color w:val="auto"/>
              </w:rPr>
              <w:t>3,745</w:t>
            </w:r>
          </w:p>
        </w:tc>
        <w:tc>
          <w:tcPr>
            <w:tcW w:w="760" w:type="dxa"/>
            <w:vAlign w:val="bottom"/>
          </w:tcPr>
          <w:p>
            <w:pPr>
              <w:spacing w:after="0"/>
              <w:rPr>
                <w:sz w:val="16"/>
                <w:szCs w:val="16"/>
                <w:color w:val="auto"/>
              </w:rPr>
            </w:pPr>
          </w:p>
        </w:tc>
        <w:tc>
          <w:tcPr>
            <w:tcW w:w="900" w:type="dxa"/>
            <w:vAlign w:val="bottom"/>
          </w:tcPr>
          <w:p>
            <w:pPr>
              <w:jc w:val="right"/>
              <w:ind w:right="539"/>
              <w:spacing w:after="0"/>
              <w:rPr>
                <w:sz w:val="20"/>
                <w:szCs w:val="20"/>
                <w:color w:val="auto"/>
              </w:rPr>
            </w:pPr>
            <w:r>
              <w:rPr>
                <w:rFonts w:ascii="Arial" w:cs="Arial" w:eastAsia="Arial" w:hAnsi="Arial"/>
                <w:sz w:val="16"/>
                <w:szCs w:val="16"/>
                <w:color w:val="auto"/>
                <w:w w:val="97"/>
              </w:rPr>
              <w:t>758</w:t>
            </w: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2017</w:t>
            </w:r>
          </w:p>
        </w:tc>
        <w:tc>
          <w:tcPr>
            <w:tcW w:w="2140" w:type="dxa"/>
            <w:vAlign w:val="bottom"/>
          </w:tcPr>
          <w:p>
            <w:pPr>
              <w:jc w:val="center"/>
              <w:ind w:left="482"/>
              <w:spacing w:after="0"/>
              <w:rPr>
                <w:sz w:val="20"/>
                <w:szCs w:val="20"/>
                <w:color w:val="auto"/>
              </w:rPr>
            </w:pPr>
            <w:r>
              <w:rPr>
                <w:rFonts w:ascii="Arial" w:cs="Arial" w:eastAsia="Arial" w:hAnsi="Arial"/>
                <w:sz w:val="16"/>
                <w:szCs w:val="16"/>
                <w:color w:val="auto"/>
              </w:rPr>
              <w:t>3,745</w:t>
            </w:r>
          </w:p>
        </w:tc>
        <w:tc>
          <w:tcPr>
            <w:tcW w:w="1580" w:type="dxa"/>
            <w:vAlign w:val="bottom"/>
          </w:tcPr>
          <w:p>
            <w:pPr>
              <w:jc w:val="right"/>
              <w:ind w:right="583"/>
              <w:spacing w:after="0"/>
              <w:rPr>
                <w:sz w:val="20"/>
                <w:szCs w:val="20"/>
                <w:color w:val="auto"/>
              </w:rPr>
            </w:pPr>
            <w:r>
              <w:rPr>
                <w:rFonts w:ascii="Arial" w:cs="Arial" w:eastAsia="Arial" w:hAnsi="Arial"/>
                <w:sz w:val="16"/>
                <w:szCs w:val="16"/>
                <w:color w:val="auto"/>
              </w:rPr>
              <w:t>105</w:t>
            </w:r>
          </w:p>
        </w:tc>
        <w:tc>
          <w:tcPr>
            <w:tcW w:w="1620" w:type="dxa"/>
            <w:vAlign w:val="bottom"/>
          </w:tcPr>
          <w:p>
            <w:pPr>
              <w:jc w:val="right"/>
              <w:ind w:right="620"/>
              <w:spacing w:after="0"/>
              <w:rPr>
                <w:sz w:val="20"/>
                <w:szCs w:val="20"/>
                <w:color w:val="auto"/>
              </w:rPr>
            </w:pPr>
            <w:r>
              <w:rPr>
                <w:rFonts w:ascii="Arial" w:cs="Arial" w:eastAsia="Arial" w:hAnsi="Arial"/>
                <w:sz w:val="16"/>
                <w:szCs w:val="16"/>
                <w:color w:val="auto"/>
              </w:rPr>
              <w:t>90</w:t>
            </w:r>
          </w:p>
        </w:tc>
        <w:tc>
          <w:tcPr>
            <w:tcW w:w="1500" w:type="dxa"/>
            <w:vAlign w:val="bottom"/>
          </w:tcPr>
          <w:p>
            <w:pPr>
              <w:jc w:val="center"/>
              <w:spacing w:after="0"/>
              <w:rPr>
                <w:sz w:val="20"/>
                <w:szCs w:val="20"/>
                <w:color w:val="auto"/>
              </w:rPr>
            </w:pPr>
            <w:r>
              <w:rPr>
                <w:rFonts w:ascii="Arial" w:cs="Arial" w:eastAsia="Arial" w:hAnsi="Arial"/>
                <w:sz w:val="16"/>
                <w:szCs w:val="16"/>
                <w:color w:val="auto"/>
              </w:rPr>
              <w:t>3,730</w:t>
            </w:r>
          </w:p>
        </w:tc>
        <w:tc>
          <w:tcPr>
            <w:tcW w:w="760" w:type="dxa"/>
            <w:vAlign w:val="bottom"/>
          </w:tcPr>
          <w:p>
            <w:pPr>
              <w:spacing w:after="0"/>
              <w:rPr>
                <w:sz w:val="16"/>
                <w:szCs w:val="16"/>
                <w:color w:val="auto"/>
              </w:rPr>
            </w:pPr>
          </w:p>
        </w:tc>
        <w:tc>
          <w:tcPr>
            <w:tcW w:w="900" w:type="dxa"/>
            <w:vAlign w:val="bottom"/>
          </w:tcPr>
          <w:p>
            <w:pPr>
              <w:jc w:val="right"/>
              <w:ind w:right="539"/>
              <w:spacing w:after="0"/>
              <w:rPr>
                <w:sz w:val="20"/>
                <w:szCs w:val="20"/>
                <w:color w:val="auto"/>
              </w:rPr>
            </w:pPr>
            <w:r>
              <w:rPr>
                <w:rFonts w:ascii="Arial" w:cs="Arial" w:eastAsia="Arial" w:hAnsi="Arial"/>
                <w:sz w:val="16"/>
                <w:szCs w:val="16"/>
                <w:color w:val="auto"/>
              </w:rPr>
              <w:t>55</w:t>
            </w: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2018</w:t>
            </w:r>
          </w:p>
        </w:tc>
        <w:tc>
          <w:tcPr>
            <w:tcW w:w="2140" w:type="dxa"/>
            <w:vAlign w:val="bottom"/>
          </w:tcPr>
          <w:p>
            <w:pPr>
              <w:jc w:val="center"/>
              <w:ind w:left="482"/>
              <w:spacing w:after="0"/>
              <w:rPr>
                <w:sz w:val="20"/>
                <w:szCs w:val="20"/>
                <w:color w:val="auto"/>
              </w:rPr>
            </w:pPr>
            <w:r>
              <w:rPr>
                <w:rFonts w:ascii="Arial" w:cs="Arial" w:eastAsia="Arial" w:hAnsi="Arial"/>
                <w:sz w:val="16"/>
                <w:szCs w:val="16"/>
                <w:color w:val="auto"/>
              </w:rPr>
              <w:t>3,730</w:t>
            </w:r>
          </w:p>
        </w:tc>
        <w:tc>
          <w:tcPr>
            <w:tcW w:w="1580" w:type="dxa"/>
            <w:vAlign w:val="bottom"/>
          </w:tcPr>
          <w:p>
            <w:pPr>
              <w:jc w:val="right"/>
              <w:ind w:right="583"/>
              <w:spacing w:after="0"/>
              <w:rPr>
                <w:sz w:val="20"/>
                <w:szCs w:val="20"/>
                <w:color w:val="auto"/>
              </w:rPr>
            </w:pPr>
            <w:r>
              <w:rPr>
                <w:rFonts w:ascii="Arial" w:cs="Arial" w:eastAsia="Arial" w:hAnsi="Arial"/>
                <w:sz w:val="16"/>
                <w:szCs w:val="16"/>
                <w:color w:val="auto"/>
              </w:rPr>
              <w:t>152</w:t>
            </w:r>
          </w:p>
        </w:tc>
        <w:tc>
          <w:tcPr>
            <w:tcW w:w="1620" w:type="dxa"/>
            <w:vAlign w:val="bottom"/>
          </w:tcPr>
          <w:p>
            <w:pPr>
              <w:jc w:val="right"/>
              <w:ind w:right="600"/>
              <w:spacing w:after="0"/>
              <w:rPr>
                <w:sz w:val="20"/>
                <w:szCs w:val="20"/>
                <w:color w:val="auto"/>
              </w:rPr>
            </w:pPr>
            <w:r>
              <w:rPr>
                <w:rFonts w:ascii="Arial" w:cs="Arial" w:eastAsia="Arial" w:hAnsi="Arial"/>
                <w:sz w:val="16"/>
                <w:szCs w:val="16"/>
                <w:color w:val="auto"/>
              </w:rPr>
              <w:t>106</w:t>
            </w:r>
          </w:p>
        </w:tc>
        <w:tc>
          <w:tcPr>
            <w:tcW w:w="1500" w:type="dxa"/>
            <w:vAlign w:val="bottom"/>
          </w:tcPr>
          <w:p>
            <w:pPr>
              <w:jc w:val="center"/>
              <w:spacing w:after="0"/>
              <w:rPr>
                <w:sz w:val="20"/>
                <w:szCs w:val="20"/>
                <w:color w:val="auto"/>
              </w:rPr>
            </w:pPr>
            <w:r>
              <w:rPr>
                <w:rFonts w:ascii="Arial" w:cs="Arial" w:eastAsia="Arial" w:hAnsi="Arial"/>
                <w:sz w:val="16"/>
                <w:szCs w:val="16"/>
                <w:color w:val="auto"/>
              </w:rPr>
              <w:t>3,684</w:t>
            </w:r>
          </w:p>
        </w:tc>
        <w:tc>
          <w:tcPr>
            <w:tcW w:w="760" w:type="dxa"/>
            <w:vAlign w:val="bottom"/>
          </w:tcPr>
          <w:p>
            <w:pPr>
              <w:spacing w:after="0"/>
              <w:rPr>
                <w:sz w:val="16"/>
                <w:szCs w:val="16"/>
                <w:color w:val="auto"/>
              </w:rPr>
            </w:pPr>
          </w:p>
        </w:tc>
        <w:tc>
          <w:tcPr>
            <w:tcW w:w="900" w:type="dxa"/>
            <w:vAlign w:val="bottom"/>
          </w:tcPr>
          <w:p>
            <w:pPr>
              <w:jc w:val="right"/>
              <w:ind w:right="539"/>
              <w:spacing w:after="0"/>
              <w:rPr>
                <w:sz w:val="20"/>
                <w:szCs w:val="20"/>
                <w:color w:val="auto"/>
              </w:rPr>
            </w:pPr>
            <w:r>
              <w:rPr>
                <w:rFonts w:ascii="Arial" w:cs="Arial" w:eastAsia="Arial" w:hAnsi="Arial"/>
                <w:sz w:val="16"/>
                <w:szCs w:val="16"/>
                <w:color w:val="auto"/>
                <w:w w:val="97"/>
              </w:rPr>
              <w:t>100</w:t>
            </w:r>
          </w:p>
        </w:tc>
      </w:tr>
      <w:tr>
        <w:trPr>
          <w:trHeight w:val="187"/>
        </w:trPr>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2019</w:t>
            </w:r>
          </w:p>
        </w:tc>
        <w:tc>
          <w:tcPr>
            <w:tcW w:w="214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rPr>
              <w:t>3,684</w:t>
            </w:r>
          </w:p>
        </w:tc>
        <w:tc>
          <w:tcPr>
            <w:tcW w:w="1580" w:type="dxa"/>
            <w:vAlign w:val="bottom"/>
            <w:tcBorders>
              <w:bottom w:val="single" w:sz="8" w:color="auto"/>
            </w:tcBorders>
          </w:tcPr>
          <w:p>
            <w:pPr>
              <w:jc w:val="right"/>
              <w:ind w:right="583"/>
              <w:spacing w:after="0"/>
              <w:rPr>
                <w:sz w:val="20"/>
                <w:szCs w:val="20"/>
                <w:color w:val="auto"/>
              </w:rPr>
            </w:pPr>
            <w:r>
              <w:rPr>
                <w:rFonts w:ascii="Arial" w:cs="Arial" w:eastAsia="Arial" w:hAnsi="Arial"/>
                <w:sz w:val="16"/>
                <w:szCs w:val="16"/>
                <w:color w:val="auto"/>
              </w:rPr>
              <w:t>51</w:t>
            </w:r>
          </w:p>
        </w:tc>
        <w:tc>
          <w:tcPr>
            <w:tcW w:w="162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75</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3,708</w:t>
            </w:r>
          </w:p>
        </w:tc>
        <w:tc>
          <w:tcPr>
            <w:tcW w:w="7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25</w:t>
            </w:r>
          </w:p>
        </w:tc>
      </w:tr>
      <w:tr>
        <w:trPr>
          <w:trHeight w:val="183"/>
        </w:trPr>
        <w:tc>
          <w:tcPr>
            <w:tcW w:w="27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2020</w:t>
            </w:r>
          </w:p>
        </w:tc>
        <w:tc>
          <w:tcPr>
            <w:tcW w:w="2140" w:type="dxa"/>
            <w:vAlign w:val="bottom"/>
            <w:tcBorders>
              <w:bottom w:val="single" w:sz="8" w:color="auto"/>
            </w:tcBorders>
          </w:tcPr>
          <w:p>
            <w:pPr>
              <w:jc w:val="center"/>
              <w:ind w:left="482"/>
              <w:spacing w:after="0" w:line="183" w:lineRule="exact"/>
              <w:rPr>
                <w:sz w:val="20"/>
                <w:szCs w:val="20"/>
                <w:color w:val="auto"/>
              </w:rPr>
            </w:pPr>
            <w:r>
              <w:rPr>
                <w:rFonts w:ascii="Arial" w:cs="Arial" w:eastAsia="Arial" w:hAnsi="Arial"/>
                <w:sz w:val="16"/>
                <w:szCs w:val="16"/>
                <w:b w:val="1"/>
                <w:bCs w:val="1"/>
                <w:color w:val="auto"/>
              </w:rPr>
              <w:t>3,708</w:t>
            </w:r>
          </w:p>
        </w:tc>
        <w:tc>
          <w:tcPr>
            <w:tcW w:w="1580" w:type="dxa"/>
            <w:vAlign w:val="bottom"/>
            <w:tcBorders>
              <w:bottom w:val="single" w:sz="8" w:color="auto"/>
            </w:tcBorders>
          </w:tcPr>
          <w:p>
            <w:pPr>
              <w:jc w:val="right"/>
              <w:ind w:right="583"/>
              <w:spacing w:after="0" w:line="183" w:lineRule="exact"/>
              <w:rPr>
                <w:sz w:val="20"/>
                <w:szCs w:val="20"/>
                <w:color w:val="auto"/>
              </w:rPr>
            </w:pPr>
            <w:r>
              <w:rPr>
                <w:rFonts w:ascii="Arial" w:cs="Arial" w:eastAsia="Arial" w:hAnsi="Arial"/>
                <w:sz w:val="16"/>
                <w:szCs w:val="16"/>
                <w:b w:val="1"/>
                <w:bCs w:val="1"/>
                <w:color w:val="auto"/>
              </w:rPr>
              <w:t>36</w:t>
            </w:r>
          </w:p>
        </w:tc>
        <w:tc>
          <w:tcPr>
            <w:tcW w:w="1620" w:type="dxa"/>
            <w:vAlign w:val="bottom"/>
            <w:tcBorders>
              <w:bottom w:val="single" w:sz="8" w:color="auto"/>
            </w:tcBorders>
          </w:tcPr>
          <w:p>
            <w:pPr>
              <w:jc w:val="right"/>
              <w:ind w:right="620"/>
              <w:spacing w:after="0" w:line="183" w:lineRule="exact"/>
              <w:rPr>
                <w:sz w:val="20"/>
                <w:szCs w:val="20"/>
                <w:color w:val="auto"/>
              </w:rPr>
            </w:pPr>
            <w:r>
              <w:rPr>
                <w:rFonts w:ascii="Arial" w:cs="Arial" w:eastAsia="Arial" w:hAnsi="Arial"/>
                <w:sz w:val="16"/>
                <w:szCs w:val="16"/>
                <w:b w:val="1"/>
                <w:bCs w:val="1"/>
                <w:color w:val="auto"/>
              </w:rPr>
              <w:t>19</w:t>
            </w:r>
          </w:p>
        </w:tc>
        <w:tc>
          <w:tcPr>
            <w:tcW w:w="15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3,691</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47</w:t>
            </w:r>
          </w:p>
        </w:tc>
      </w:tr>
    </w:tbl>
    <w:p>
      <w:pPr>
        <w:spacing w:after="0" w:line="20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94"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March 31, 2020, we had resolved, by means of settlement or dismissal, 37,833 claims. The total cost of resolving all claims was $10.4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9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7,710 claims as of March 31, 2020, only twelve claims have been filed against Brandon since January 1, 2012, and no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9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Changes in Shareholders’ Equity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2019 to March 31,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right"/>
              <w:ind w:right="413"/>
              <w:spacing w:after="0" w:line="135" w:lineRule="exact"/>
              <w:rPr>
                <w:sz w:val="20"/>
                <w:szCs w:val="20"/>
                <w:color w:val="auto"/>
              </w:rPr>
            </w:pPr>
            <w:r>
              <w:rPr>
                <w:rFonts w:ascii="Arial" w:cs="Arial" w:eastAsia="Arial" w:hAnsi="Arial"/>
                <w:sz w:val="13"/>
                <w:szCs w:val="13"/>
                <w:b w:val="1"/>
                <w:bCs w:val="1"/>
                <w:color w:val="auto"/>
              </w:rPr>
              <w:t>Class A</w:t>
            </w:r>
          </w:p>
        </w:tc>
        <w:tc>
          <w:tcPr>
            <w:tcW w:w="1500" w:type="dxa"/>
            <w:vAlign w:val="bottom"/>
            <w:tcBorders>
              <w:top w:val="single" w:sz="8" w:color="auto"/>
            </w:tcBorders>
            <w:gridSpan w:val="2"/>
          </w:tcPr>
          <w:p>
            <w:pPr>
              <w:jc w:val="right"/>
              <w:ind w:right="433"/>
              <w:spacing w:after="0" w:line="135" w:lineRule="exact"/>
              <w:rPr>
                <w:sz w:val="20"/>
                <w:szCs w:val="20"/>
                <w:color w:val="auto"/>
              </w:rPr>
            </w:pPr>
            <w:r>
              <w:rPr>
                <w:rFonts w:ascii="Arial" w:cs="Arial" w:eastAsia="Arial" w:hAnsi="Arial"/>
                <w:sz w:val="13"/>
                <w:szCs w:val="13"/>
                <w:b w:val="1"/>
                <w:bCs w:val="1"/>
                <w:color w:val="auto"/>
              </w:rPr>
              <w:t>Class B</w:t>
            </w:r>
          </w:p>
        </w:tc>
        <w:tc>
          <w:tcPr>
            <w:tcW w:w="9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Accumulated items of</w:t>
            </w:r>
          </w:p>
        </w:tc>
        <w:tc>
          <w:tcPr>
            <w:tcW w:w="5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493"/>
              <w:spacing w:after="0" w:line="135" w:lineRule="exact"/>
              <w:rPr>
                <w:sz w:val="20"/>
                <w:szCs w:val="20"/>
                <w:color w:val="auto"/>
              </w:rPr>
            </w:pPr>
            <w:r>
              <w:rPr>
                <w:rFonts w:ascii="Arial" w:cs="Arial" w:eastAsia="Arial" w:hAnsi="Arial"/>
                <w:sz w:val="13"/>
                <w:szCs w:val="13"/>
                <w:b w:val="1"/>
                <w:bCs w:val="1"/>
                <w:color w:val="auto"/>
                <w:w w:val="92"/>
              </w:rPr>
              <w:t>Class A</w:t>
            </w:r>
          </w:p>
        </w:tc>
        <w:tc>
          <w:tcPr>
            <w:tcW w:w="3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213"/>
              <w:spacing w:after="0" w:line="135" w:lineRule="exact"/>
              <w:rPr>
                <w:sz w:val="20"/>
                <w:szCs w:val="20"/>
                <w:color w:val="auto"/>
              </w:rPr>
            </w:pPr>
            <w:r>
              <w:rPr>
                <w:rFonts w:ascii="Arial" w:cs="Arial" w:eastAsia="Arial" w:hAnsi="Arial"/>
                <w:sz w:val="13"/>
                <w:szCs w:val="13"/>
                <w:b w:val="1"/>
                <w:bCs w:val="1"/>
                <w:color w:val="auto"/>
                <w:w w:val="94"/>
              </w:rPr>
              <w:t>Non</w:t>
            </w:r>
          </w:p>
        </w:tc>
        <w:tc>
          <w:tcPr>
            <w:tcW w:w="720" w:type="dxa"/>
            <w:vAlign w:val="bottom"/>
            <w:tcBorders>
              <w:top w:val="single" w:sz="8" w:color="auto"/>
            </w:tcBorders>
          </w:tcPr>
          <w:p>
            <w:pPr>
              <w:spacing w:after="0"/>
              <w:rPr>
                <w:sz w:val="11"/>
                <w:szCs w:val="11"/>
                <w:color w:val="auto"/>
              </w:rPr>
            </w:pPr>
          </w:p>
        </w:tc>
      </w:tr>
      <w:tr>
        <w:trPr>
          <w:trHeight w:val="148"/>
        </w:trPr>
        <w:tc>
          <w:tcPr>
            <w:tcW w:w="2040" w:type="dxa"/>
            <w:vAlign w:val="bottom"/>
          </w:tcPr>
          <w:p>
            <w:pPr>
              <w:spacing w:after="0"/>
              <w:rPr>
                <w:sz w:val="12"/>
                <w:szCs w:val="12"/>
                <w:color w:val="auto"/>
              </w:rPr>
            </w:pPr>
          </w:p>
        </w:tc>
        <w:tc>
          <w:tcPr>
            <w:tcW w:w="144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3"/>
                <w:szCs w:val="13"/>
                <w:b w:val="1"/>
                <w:bCs w:val="1"/>
                <w:color w:val="auto"/>
              </w:rPr>
              <w:t>Common Stock</w:t>
            </w:r>
          </w:p>
        </w:tc>
        <w:tc>
          <w:tcPr>
            <w:tcW w:w="150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3"/>
                <w:szCs w:val="13"/>
                <w:b w:val="1"/>
                <w:bCs w:val="1"/>
                <w:color w:val="auto"/>
              </w:rPr>
              <w:t>Common Stock</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Retained</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7"/>
              </w:rPr>
              <w:t>other comprehensive</w:t>
            </w:r>
          </w:p>
        </w:tc>
        <w:tc>
          <w:tcPr>
            <w:tcW w:w="156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3"/>
                <w:szCs w:val="13"/>
                <w:b w:val="1"/>
                <w:bCs w:val="1"/>
                <w:color w:val="auto"/>
              </w:rPr>
              <w:t>Treasury Stock</w:t>
            </w:r>
          </w:p>
        </w:tc>
        <w:tc>
          <w:tcPr>
            <w:tcW w:w="84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controlling</w:t>
            </w:r>
          </w:p>
        </w:tc>
        <w:tc>
          <w:tcPr>
            <w:tcW w:w="720" w:type="dxa"/>
            <w:vAlign w:val="bottom"/>
          </w:tcPr>
          <w:p>
            <w:pPr>
              <w:jc w:val="right"/>
              <w:ind w:right="133"/>
              <w:spacing w:after="0"/>
              <w:rPr>
                <w:sz w:val="20"/>
                <w:szCs w:val="20"/>
                <w:color w:val="auto"/>
              </w:rPr>
            </w:pPr>
            <w:r>
              <w:rPr>
                <w:rFonts w:ascii="Arial" w:cs="Arial" w:eastAsia="Arial" w:hAnsi="Arial"/>
                <w:sz w:val="13"/>
                <w:szCs w:val="13"/>
                <w:b w:val="1"/>
                <w:bCs w:val="1"/>
                <w:color w:val="auto"/>
              </w:rPr>
              <w:t>Total</w:t>
            </w:r>
          </w:p>
        </w:tc>
      </w:tr>
      <w:tr>
        <w:trPr>
          <w:trHeight w:val="128"/>
        </w:trPr>
        <w:tc>
          <w:tcPr>
            <w:tcW w:w="20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(in thousands)</w:t>
            </w:r>
          </w:p>
        </w:tc>
        <w:tc>
          <w:tcPr>
            <w:tcW w:w="680" w:type="dxa"/>
            <w:vAlign w:val="bottom"/>
            <w:tcBorders>
              <w:bottom w:val="single" w:sz="8" w:color="auto"/>
            </w:tcBorders>
          </w:tcPr>
          <w:p>
            <w:pPr>
              <w:jc w:val="right"/>
              <w:ind w:right="73"/>
              <w:spacing w:after="0" w:line="129" w:lineRule="exact"/>
              <w:rPr>
                <w:sz w:val="20"/>
                <w:szCs w:val="20"/>
                <w:color w:val="auto"/>
              </w:rPr>
            </w:pPr>
            <w:r>
              <w:rPr>
                <w:rFonts w:ascii="Arial" w:cs="Arial" w:eastAsia="Arial" w:hAnsi="Arial"/>
                <w:sz w:val="13"/>
                <w:szCs w:val="13"/>
                <w:b w:val="1"/>
                <w:bCs w:val="1"/>
                <w:color w:val="auto"/>
              </w:rPr>
              <w:t>Shares</w:t>
            </w:r>
          </w:p>
        </w:tc>
        <w:tc>
          <w:tcPr>
            <w:tcW w:w="760" w:type="dxa"/>
            <w:vAlign w:val="bottom"/>
            <w:tcBorders>
              <w:bottom w:val="single" w:sz="8" w:color="auto"/>
            </w:tcBorders>
          </w:tcPr>
          <w:p>
            <w:pPr>
              <w:jc w:val="right"/>
              <w:ind w:right="73"/>
              <w:spacing w:after="0" w:line="129" w:lineRule="exact"/>
              <w:rPr>
                <w:sz w:val="20"/>
                <w:szCs w:val="20"/>
                <w:color w:val="auto"/>
              </w:rPr>
            </w:pPr>
            <w:r>
              <w:rPr>
                <w:rFonts w:ascii="Arial" w:cs="Arial" w:eastAsia="Arial" w:hAnsi="Arial"/>
                <w:sz w:val="13"/>
                <w:szCs w:val="13"/>
                <w:b w:val="1"/>
                <w:bCs w:val="1"/>
                <w:color w:val="auto"/>
              </w:rPr>
              <w:t>Amount</w:t>
            </w:r>
          </w:p>
        </w:tc>
        <w:tc>
          <w:tcPr>
            <w:tcW w:w="720" w:type="dxa"/>
            <w:vAlign w:val="bottom"/>
            <w:tcBorders>
              <w:bottom w:val="single" w:sz="8" w:color="auto"/>
            </w:tcBorders>
          </w:tcPr>
          <w:p>
            <w:pPr>
              <w:jc w:val="right"/>
              <w:ind w:right="73"/>
              <w:spacing w:after="0" w:line="129" w:lineRule="exact"/>
              <w:rPr>
                <w:sz w:val="20"/>
                <w:szCs w:val="20"/>
                <w:color w:val="auto"/>
              </w:rPr>
            </w:pPr>
            <w:r>
              <w:rPr>
                <w:rFonts w:ascii="Arial" w:cs="Arial" w:eastAsia="Arial" w:hAnsi="Arial"/>
                <w:sz w:val="13"/>
                <w:szCs w:val="13"/>
                <w:b w:val="1"/>
                <w:bCs w:val="1"/>
                <w:color w:val="auto"/>
              </w:rPr>
              <w:t>Shares</w:t>
            </w:r>
          </w:p>
        </w:tc>
        <w:tc>
          <w:tcPr>
            <w:tcW w:w="780" w:type="dxa"/>
            <w:vAlign w:val="bottom"/>
            <w:tcBorders>
              <w:bottom w:val="single" w:sz="8" w:color="auto"/>
            </w:tcBorders>
          </w:tcPr>
          <w:p>
            <w:pPr>
              <w:jc w:val="right"/>
              <w:ind w:right="93"/>
              <w:spacing w:after="0" w:line="129" w:lineRule="exact"/>
              <w:rPr>
                <w:sz w:val="20"/>
                <w:szCs w:val="20"/>
                <w:color w:val="auto"/>
              </w:rPr>
            </w:pPr>
            <w:r>
              <w:rPr>
                <w:rFonts w:ascii="Arial" w:cs="Arial" w:eastAsia="Arial" w:hAnsi="Arial"/>
                <w:sz w:val="13"/>
                <w:szCs w:val="13"/>
                <w:b w:val="1"/>
                <w:bCs w:val="1"/>
                <w:color w:val="auto"/>
              </w:rPr>
              <w:t>Amount</w:t>
            </w:r>
          </w:p>
        </w:tc>
        <w:tc>
          <w:tcPr>
            <w:tcW w:w="9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paid-in capital</w:t>
            </w:r>
          </w:p>
        </w:tc>
        <w:tc>
          <w:tcPr>
            <w:tcW w:w="8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earnings</w:t>
            </w: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income</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Shares</w:t>
            </w:r>
          </w:p>
        </w:tc>
        <w:tc>
          <w:tcPr>
            <w:tcW w:w="1020" w:type="dxa"/>
            <w:vAlign w:val="bottom"/>
            <w:tcBorders>
              <w:bottom w:val="single" w:sz="8" w:color="auto"/>
            </w:tcBorders>
          </w:tcPr>
          <w:p>
            <w:pPr>
              <w:jc w:val="right"/>
              <w:ind w:right="153"/>
              <w:spacing w:after="0" w:line="129" w:lineRule="exact"/>
              <w:rPr>
                <w:sz w:val="20"/>
                <w:szCs w:val="20"/>
                <w:color w:val="auto"/>
              </w:rPr>
            </w:pPr>
            <w:r>
              <w:rPr>
                <w:rFonts w:ascii="Arial" w:cs="Arial" w:eastAsia="Arial" w:hAnsi="Arial"/>
                <w:sz w:val="13"/>
                <w:szCs w:val="13"/>
                <w:b w:val="1"/>
                <w:bCs w:val="1"/>
                <w:color w:val="auto"/>
              </w:rPr>
              <w:t>Amount</w:t>
            </w:r>
          </w:p>
        </w:tc>
        <w:tc>
          <w:tcPr>
            <w:tcW w:w="840" w:type="dxa"/>
            <w:vAlign w:val="bottom"/>
            <w:tcBorders>
              <w:bottom w:val="single" w:sz="8" w:color="auto"/>
            </w:tcBorders>
            <w:gridSpan w:val="2"/>
          </w:tcPr>
          <w:p>
            <w:pPr>
              <w:ind w:left="220"/>
              <w:spacing w:after="0" w:line="129" w:lineRule="exact"/>
              <w:rPr>
                <w:sz w:val="20"/>
                <w:szCs w:val="20"/>
                <w:color w:val="auto"/>
              </w:rPr>
            </w:pPr>
            <w:r>
              <w:rPr>
                <w:rFonts w:ascii="Arial" w:cs="Arial" w:eastAsia="Arial" w:hAnsi="Arial"/>
                <w:sz w:val="13"/>
                <w:szCs w:val="13"/>
                <w:b w:val="1"/>
                <w:bCs w:val="1"/>
                <w:color w:val="auto"/>
              </w:rPr>
              <w:t>Interest</w:t>
            </w:r>
          </w:p>
        </w:tc>
        <w:tc>
          <w:tcPr>
            <w:tcW w:w="720" w:type="dxa"/>
            <w:vAlign w:val="bottom"/>
            <w:tcBorders>
              <w:bottom w:val="single" w:sz="8" w:color="auto"/>
            </w:tcBorders>
          </w:tcPr>
          <w:p>
            <w:pPr>
              <w:jc w:val="right"/>
              <w:ind w:right="73"/>
              <w:spacing w:after="0" w:line="129" w:lineRule="exact"/>
              <w:rPr>
                <w:sz w:val="20"/>
                <w:szCs w:val="20"/>
                <w:color w:val="auto"/>
              </w:rPr>
            </w:pPr>
            <w:r>
              <w:rPr>
                <w:rFonts w:ascii="Arial" w:cs="Arial" w:eastAsia="Arial" w:hAnsi="Arial"/>
                <w:sz w:val="13"/>
                <w:szCs w:val="13"/>
                <w:b w:val="1"/>
                <w:bCs w:val="1"/>
                <w:color w:val="auto"/>
              </w:rPr>
              <w:t>Equity</w:t>
            </w:r>
          </w:p>
        </w:tc>
      </w:tr>
      <w:tr>
        <w:trPr>
          <w:trHeight w:val="142"/>
        </w:trPr>
        <w:tc>
          <w:tcPr>
            <w:tcW w:w="20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December 31, 2019</w:t>
            </w:r>
          </w:p>
        </w:tc>
        <w:tc>
          <w:tcPr>
            <w:tcW w:w="6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39,099</w:t>
            </w:r>
          </w:p>
        </w:tc>
        <w:tc>
          <w:tcPr>
            <w:tcW w:w="7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$ 39</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1,618</w:t>
            </w:r>
          </w:p>
        </w:tc>
        <w:tc>
          <w:tcPr>
            <w:tcW w:w="7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$ 2</w:t>
            </w:r>
          </w:p>
        </w:tc>
        <w:tc>
          <w:tcPr>
            <w:tcW w:w="9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3"/>
                <w:szCs w:val="13"/>
                <w:b w:val="1"/>
                <w:bCs w:val="1"/>
                <w:color w:val="auto"/>
              </w:rPr>
              <w:t>$ 432,518</w:t>
            </w: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$ 698,496</w:t>
            </w:r>
          </w:p>
        </w:tc>
        <w:tc>
          <w:tcPr>
            <w:tcW w:w="13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$( 175,981 )</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8,409</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$( 256,391 )</w:t>
            </w:r>
          </w:p>
        </w:tc>
        <w:tc>
          <w:tcPr>
            <w:tcW w:w="3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3"/>
                <w:szCs w:val="13"/>
                <w:b w:val="1"/>
                <w:bCs w:val="1"/>
                <w:color w:val="auto"/>
              </w:rPr>
              <w:t>4,006</w:t>
            </w: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$ 702,689</w:t>
            </w:r>
          </w:p>
        </w:tc>
      </w:tr>
      <w:tr>
        <w:trPr>
          <w:trHeight w:val="141"/>
        </w:trPr>
        <w:tc>
          <w:tcPr>
            <w:tcW w:w="2040" w:type="dxa"/>
            <w:vAlign w:val="bottom"/>
          </w:tcPr>
          <w:p>
            <w:pPr>
              <w:spacing w:after="0" w:line="141" w:lineRule="exact"/>
              <w:rPr>
                <w:sz w:val="20"/>
                <w:szCs w:val="20"/>
                <w:color w:val="auto"/>
              </w:rPr>
            </w:pPr>
            <w:r>
              <w:rPr>
                <w:rFonts w:ascii="Arial" w:cs="Arial" w:eastAsia="Arial" w:hAnsi="Arial"/>
                <w:sz w:val="13"/>
                <w:szCs w:val="13"/>
                <w:color w:val="auto"/>
              </w:rPr>
              <w:t>Adoption of accounting</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( 1,443</w:t>
            </w:r>
          </w:p>
        </w:tc>
      </w:tr>
      <w:tr>
        <w:trPr>
          <w:trHeight w:val="148"/>
        </w:trPr>
        <w:tc>
          <w:tcPr>
            <w:tcW w:w="2040" w:type="dxa"/>
            <w:vAlign w:val="bottom"/>
          </w:tcPr>
          <w:p>
            <w:pPr>
              <w:ind w:left="120"/>
              <w:spacing w:after="0"/>
              <w:rPr>
                <w:sz w:val="20"/>
                <w:szCs w:val="20"/>
                <w:color w:val="auto"/>
              </w:rPr>
            </w:pPr>
            <w:r>
              <w:rPr>
                <w:rFonts w:ascii="Arial" w:cs="Arial" w:eastAsia="Arial" w:hAnsi="Arial"/>
                <w:sz w:val="13"/>
                <w:szCs w:val="13"/>
                <w:color w:val="auto"/>
              </w:rPr>
              <w:t>standards (a)</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( 1,443 )</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Net income</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9,109</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3"/>
              <w:spacing w:after="0"/>
              <w:rPr>
                <w:sz w:val="20"/>
                <w:szCs w:val="20"/>
                <w:color w:val="auto"/>
              </w:rPr>
            </w:pPr>
            <w:r>
              <w:rPr>
                <w:rFonts w:ascii="Arial" w:cs="Arial" w:eastAsia="Arial" w:hAnsi="Arial"/>
                <w:sz w:val="13"/>
                <w:szCs w:val="13"/>
                <w:color w:val="auto"/>
              </w:rPr>
              <w:t>( 1,515 )</w:t>
            </w:r>
          </w:p>
        </w:tc>
        <w:tc>
          <w:tcPr>
            <w:tcW w:w="720" w:type="dxa"/>
            <w:vAlign w:val="bottom"/>
          </w:tcPr>
          <w:p>
            <w:pPr>
              <w:jc w:val="right"/>
              <w:spacing w:after="0"/>
              <w:rPr>
                <w:sz w:val="20"/>
                <w:szCs w:val="20"/>
                <w:color w:val="auto"/>
              </w:rPr>
            </w:pPr>
            <w:r>
              <w:rPr>
                <w:rFonts w:ascii="Arial" w:cs="Arial" w:eastAsia="Arial" w:hAnsi="Arial"/>
                <w:sz w:val="13"/>
                <w:szCs w:val="13"/>
                <w:color w:val="auto"/>
              </w:rPr>
              <w:t>7,594</w:t>
            </w:r>
          </w:p>
        </w:tc>
      </w:tr>
      <w:tr>
        <w:trPr>
          <w:trHeight w:val="149"/>
        </w:trPr>
        <w:tc>
          <w:tcPr>
            <w:tcW w:w="2040" w:type="dxa"/>
            <w:vAlign w:val="bottom"/>
          </w:tcPr>
          <w:p>
            <w:pPr>
              <w:spacing w:after="0"/>
              <w:rPr>
                <w:sz w:val="20"/>
                <w:szCs w:val="20"/>
                <w:color w:val="auto"/>
              </w:rPr>
            </w:pPr>
            <w:r>
              <w:rPr>
                <w:rFonts w:ascii="Arial" w:cs="Arial" w:eastAsia="Arial" w:hAnsi="Arial"/>
                <w:sz w:val="13"/>
                <w:szCs w:val="13"/>
                <w:color w:val="auto"/>
              </w:rPr>
              <w:t>Compensation and benefits paid</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( 682</w:t>
            </w:r>
          </w:p>
        </w:tc>
      </w:tr>
      <w:tr>
        <w:trPr>
          <w:trHeight w:val="148"/>
        </w:trPr>
        <w:tc>
          <w:tcPr>
            <w:tcW w:w="2040" w:type="dxa"/>
            <w:vAlign w:val="bottom"/>
          </w:tcPr>
          <w:p>
            <w:pPr>
              <w:ind w:left="120"/>
              <w:spacing w:after="0"/>
              <w:rPr>
                <w:sz w:val="20"/>
                <w:szCs w:val="20"/>
                <w:color w:val="auto"/>
              </w:rPr>
            </w:pPr>
            <w:r>
              <w:rPr>
                <w:rFonts w:ascii="Arial" w:cs="Arial" w:eastAsia="Arial" w:hAnsi="Arial"/>
                <w:sz w:val="13"/>
                <w:szCs w:val="13"/>
                <w:color w:val="auto"/>
              </w:rPr>
              <w:t>or payable in shares</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13</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(682)</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Options exercised</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Shares issued to Directors</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Dividends declared</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Class A Common Stock, $0.19</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( 5,834</w:t>
            </w:r>
          </w:p>
        </w:tc>
      </w:tr>
      <w:tr>
        <w:trPr>
          <w:trHeight w:val="149"/>
        </w:trPr>
        <w:tc>
          <w:tcPr>
            <w:tcW w:w="2040" w:type="dxa"/>
            <w:vAlign w:val="bottom"/>
          </w:tcPr>
          <w:p>
            <w:pPr>
              <w:ind w:left="120"/>
              <w:spacing w:after="0"/>
              <w:rPr>
                <w:sz w:val="20"/>
                <w:szCs w:val="20"/>
                <w:color w:val="auto"/>
              </w:rPr>
            </w:pPr>
            <w:r>
              <w:rPr>
                <w:rFonts w:ascii="Arial" w:cs="Arial" w:eastAsia="Arial" w:hAnsi="Arial"/>
                <w:sz w:val="13"/>
                <w:szCs w:val="13"/>
                <w:color w:val="auto"/>
              </w:rPr>
              <w:t>per share</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( 5,834 )</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Class B Common Stock, $0.19</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( 307</w:t>
            </w:r>
          </w:p>
        </w:tc>
      </w:tr>
      <w:tr>
        <w:trPr>
          <w:trHeight w:val="148"/>
        </w:trPr>
        <w:tc>
          <w:tcPr>
            <w:tcW w:w="2040" w:type="dxa"/>
            <w:vAlign w:val="bottom"/>
          </w:tcPr>
          <w:p>
            <w:pPr>
              <w:ind w:left="120"/>
              <w:spacing w:after="0"/>
              <w:rPr>
                <w:sz w:val="20"/>
                <w:szCs w:val="20"/>
                <w:color w:val="auto"/>
              </w:rPr>
            </w:pPr>
            <w:r>
              <w:rPr>
                <w:rFonts w:ascii="Arial" w:cs="Arial" w:eastAsia="Arial" w:hAnsi="Arial"/>
                <w:sz w:val="13"/>
                <w:szCs w:val="13"/>
                <w:color w:val="auto"/>
              </w:rPr>
              <w:t>per share</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(307)</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Cumulative translation</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( 25,638</w:t>
            </w:r>
          </w:p>
        </w:tc>
      </w:tr>
      <w:tr>
        <w:trPr>
          <w:trHeight w:val="148"/>
        </w:trPr>
        <w:tc>
          <w:tcPr>
            <w:tcW w:w="2040" w:type="dxa"/>
            <w:vAlign w:val="bottom"/>
          </w:tcPr>
          <w:p>
            <w:pPr>
              <w:ind w:left="120"/>
              <w:spacing w:after="0"/>
              <w:rPr>
                <w:sz w:val="20"/>
                <w:szCs w:val="20"/>
                <w:color w:val="auto"/>
              </w:rPr>
            </w:pPr>
            <w:r>
              <w:rPr>
                <w:rFonts w:ascii="Arial" w:cs="Arial" w:eastAsia="Arial" w:hAnsi="Arial"/>
                <w:sz w:val="13"/>
                <w:szCs w:val="13"/>
                <w:color w:val="auto"/>
              </w:rPr>
              <w:t>adjustments</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13"/>
              <w:spacing w:after="0"/>
              <w:rPr>
                <w:sz w:val="20"/>
                <w:szCs w:val="20"/>
                <w:color w:val="auto"/>
              </w:rPr>
            </w:pPr>
            <w:r>
              <w:rPr>
                <w:rFonts w:ascii="Arial" w:cs="Arial" w:eastAsia="Arial" w:hAnsi="Arial"/>
                <w:sz w:val="13"/>
                <w:szCs w:val="13"/>
                <w:color w:val="auto"/>
              </w:rPr>
              <w:t>( 25,747 )</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40" w:type="dxa"/>
            <w:vAlign w:val="bottom"/>
          </w:tcPr>
          <w:p>
            <w:pPr>
              <w:jc w:val="right"/>
              <w:ind w:right="113"/>
              <w:spacing w:after="0"/>
              <w:rPr>
                <w:sz w:val="20"/>
                <w:szCs w:val="20"/>
                <w:color w:val="auto"/>
              </w:rPr>
            </w:pPr>
            <w:r>
              <w:rPr>
                <w:rFonts w:ascii="Arial" w:cs="Arial" w:eastAsia="Arial" w:hAnsi="Arial"/>
                <w:sz w:val="13"/>
                <w:szCs w:val="13"/>
                <w:color w:val="auto"/>
              </w:rPr>
              <w:t>109</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149"/>
        </w:trPr>
        <w:tc>
          <w:tcPr>
            <w:tcW w:w="2040" w:type="dxa"/>
            <w:vAlign w:val="bottom"/>
          </w:tcPr>
          <w:p>
            <w:pPr>
              <w:spacing w:after="0"/>
              <w:rPr>
                <w:sz w:val="20"/>
                <w:szCs w:val="20"/>
                <w:color w:val="auto"/>
              </w:rPr>
            </w:pPr>
            <w:r>
              <w:rPr>
                <w:rFonts w:ascii="Arial" w:cs="Arial" w:eastAsia="Arial" w:hAnsi="Arial"/>
                <w:sz w:val="13"/>
                <w:szCs w:val="13"/>
                <w:color w:val="auto"/>
              </w:rPr>
              <w:t>Pension and postretirement</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2040" w:type="dxa"/>
            <w:vAlign w:val="bottom"/>
          </w:tcPr>
          <w:p>
            <w:pPr>
              <w:ind w:left="120"/>
              <w:spacing w:after="0"/>
              <w:rPr>
                <w:sz w:val="20"/>
                <w:szCs w:val="20"/>
                <w:color w:val="auto"/>
              </w:rPr>
            </w:pPr>
            <w:r>
              <w:rPr>
                <w:rFonts w:ascii="Arial" w:cs="Arial" w:eastAsia="Arial" w:hAnsi="Arial"/>
                <w:sz w:val="13"/>
                <w:szCs w:val="13"/>
                <w:color w:val="auto"/>
              </w:rPr>
              <w:t>liability adjustments</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13"/>
              <w:spacing w:after="0"/>
              <w:rPr>
                <w:sz w:val="20"/>
                <w:szCs w:val="20"/>
                <w:color w:val="auto"/>
              </w:rPr>
            </w:pPr>
            <w:r>
              <w:rPr>
                <w:rFonts w:ascii="Arial" w:cs="Arial" w:eastAsia="Arial" w:hAnsi="Arial"/>
                <w:sz w:val="13"/>
                <w:szCs w:val="13"/>
                <w:color w:val="auto"/>
              </w:rPr>
              <w:t>(890)</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890</w:t>
            </w:r>
          </w:p>
        </w:tc>
      </w:tr>
      <w:tr>
        <w:trPr>
          <w:trHeight w:val="148"/>
        </w:trPr>
        <w:tc>
          <w:tcPr>
            <w:tcW w:w="2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( 7,708</w:t>
            </w:r>
          </w:p>
        </w:tc>
      </w:tr>
      <w:tr>
        <w:trPr>
          <w:trHeight w:val="149"/>
        </w:trPr>
        <w:tc>
          <w:tcPr>
            <w:tcW w:w="2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Derivative valuation adjustment</w:t>
            </w: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( 7,708 )</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r>
      <w:tr>
        <w:trPr>
          <w:trHeight w:val="142"/>
        </w:trPr>
        <w:tc>
          <w:tcPr>
            <w:tcW w:w="20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March 31, 2020</w:t>
            </w:r>
          </w:p>
        </w:tc>
        <w:tc>
          <w:tcPr>
            <w:tcW w:w="6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39,112</w:t>
            </w:r>
          </w:p>
        </w:tc>
        <w:tc>
          <w:tcPr>
            <w:tcW w:w="7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$ 39</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1,618</w:t>
            </w:r>
          </w:p>
        </w:tc>
        <w:tc>
          <w:tcPr>
            <w:tcW w:w="7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$ 2</w:t>
            </w:r>
          </w:p>
        </w:tc>
        <w:tc>
          <w:tcPr>
            <w:tcW w:w="9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3"/>
                <w:szCs w:val="13"/>
                <w:b w:val="1"/>
                <w:bCs w:val="1"/>
                <w:color w:val="auto"/>
              </w:rPr>
              <w:t>$ 431,836</w:t>
            </w: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$ 700,021</w:t>
            </w:r>
          </w:p>
        </w:tc>
        <w:tc>
          <w:tcPr>
            <w:tcW w:w="13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$( 208,546 )</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8,409</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$( 256,391 )</w:t>
            </w:r>
          </w:p>
        </w:tc>
        <w:tc>
          <w:tcPr>
            <w:tcW w:w="3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3"/>
                <w:szCs w:val="13"/>
                <w:b w:val="1"/>
                <w:bCs w:val="1"/>
                <w:color w:val="auto"/>
              </w:rPr>
              <w:t>2,600</w:t>
            </w: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$ 669,561</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2018 to March 31,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right"/>
              <w:ind w:right="413"/>
              <w:spacing w:after="0" w:line="135" w:lineRule="exact"/>
              <w:rPr>
                <w:sz w:val="20"/>
                <w:szCs w:val="20"/>
                <w:color w:val="auto"/>
              </w:rPr>
            </w:pPr>
            <w:r>
              <w:rPr>
                <w:rFonts w:ascii="Arial" w:cs="Arial" w:eastAsia="Arial" w:hAnsi="Arial"/>
                <w:sz w:val="13"/>
                <w:szCs w:val="13"/>
                <w:b w:val="1"/>
                <w:bCs w:val="1"/>
                <w:color w:val="auto"/>
              </w:rPr>
              <w:t>Class A</w:t>
            </w:r>
          </w:p>
        </w:tc>
        <w:tc>
          <w:tcPr>
            <w:tcW w:w="1500" w:type="dxa"/>
            <w:vAlign w:val="bottom"/>
            <w:tcBorders>
              <w:top w:val="single" w:sz="8" w:color="auto"/>
            </w:tcBorders>
            <w:gridSpan w:val="2"/>
          </w:tcPr>
          <w:p>
            <w:pPr>
              <w:jc w:val="right"/>
              <w:ind w:right="433"/>
              <w:spacing w:after="0" w:line="135" w:lineRule="exact"/>
              <w:rPr>
                <w:sz w:val="20"/>
                <w:szCs w:val="20"/>
                <w:color w:val="auto"/>
              </w:rPr>
            </w:pPr>
            <w:r>
              <w:rPr>
                <w:rFonts w:ascii="Arial" w:cs="Arial" w:eastAsia="Arial" w:hAnsi="Arial"/>
                <w:sz w:val="13"/>
                <w:szCs w:val="13"/>
                <w:b w:val="1"/>
                <w:bCs w:val="1"/>
                <w:color w:val="auto"/>
              </w:rPr>
              <w:t>Class B</w:t>
            </w:r>
          </w:p>
        </w:tc>
        <w:tc>
          <w:tcPr>
            <w:tcW w:w="9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Accumulated items of</w:t>
            </w:r>
          </w:p>
        </w:tc>
        <w:tc>
          <w:tcPr>
            <w:tcW w:w="5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493"/>
              <w:spacing w:after="0" w:line="135" w:lineRule="exact"/>
              <w:rPr>
                <w:sz w:val="20"/>
                <w:szCs w:val="20"/>
                <w:color w:val="auto"/>
              </w:rPr>
            </w:pPr>
            <w:r>
              <w:rPr>
                <w:rFonts w:ascii="Arial" w:cs="Arial" w:eastAsia="Arial" w:hAnsi="Arial"/>
                <w:sz w:val="13"/>
                <w:szCs w:val="13"/>
                <w:b w:val="1"/>
                <w:bCs w:val="1"/>
                <w:color w:val="auto"/>
                <w:w w:val="92"/>
              </w:rPr>
              <w:t>Class A</w:t>
            </w:r>
          </w:p>
        </w:tc>
        <w:tc>
          <w:tcPr>
            <w:tcW w:w="8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Non</w:t>
            </w:r>
          </w:p>
        </w:tc>
        <w:tc>
          <w:tcPr>
            <w:tcW w:w="720" w:type="dxa"/>
            <w:vAlign w:val="bottom"/>
            <w:tcBorders>
              <w:top w:val="single" w:sz="8" w:color="auto"/>
            </w:tcBorders>
          </w:tcPr>
          <w:p>
            <w:pPr>
              <w:spacing w:after="0"/>
              <w:rPr>
                <w:sz w:val="11"/>
                <w:szCs w:val="11"/>
                <w:color w:val="auto"/>
              </w:rPr>
            </w:pPr>
          </w:p>
        </w:tc>
      </w:tr>
      <w:tr>
        <w:trPr>
          <w:trHeight w:val="148"/>
        </w:trPr>
        <w:tc>
          <w:tcPr>
            <w:tcW w:w="2040" w:type="dxa"/>
            <w:vAlign w:val="bottom"/>
          </w:tcPr>
          <w:p>
            <w:pPr>
              <w:spacing w:after="0"/>
              <w:rPr>
                <w:sz w:val="12"/>
                <w:szCs w:val="12"/>
                <w:color w:val="auto"/>
              </w:rPr>
            </w:pPr>
          </w:p>
        </w:tc>
        <w:tc>
          <w:tcPr>
            <w:tcW w:w="144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3"/>
                <w:szCs w:val="13"/>
                <w:b w:val="1"/>
                <w:bCs w:val="1"/>
                <w:color w:val="auto"/>
              </w:rPr>
              <w:t>Common Stock</w:t>
            </w:r>
          </w:p>
        </w:tc>
        <w:tc>
          <w:tcPr>
            <w:tcW w:w="150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3"/>
                <w:szCs w:val="13"/>
                <w:b w:val="1"/>
                <w:bCs w:val="1"/>
                <w:color w:val="auto"/>
              </w:rPr>
              <w:t>Common Stock</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Retained</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7"/>
              </w:rPr>
              <w:t>other comprehensive</w:t>
            </w:r>
          </w:p>
        </w:tc>
        <w:tc>
          <w:tcPr>
            <w:tcW w:w="156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3"/>
                <w:szCs w:val="13"/>
                <w:b w:val="1"/>
                <w:bCs w:val="1"/>
                <w:color w:val="auto"/>
              </w:rPr>
              <w:t>Treasury Stock</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controlling</w:t>
            </w:r>
          </w:p>
        </w:tc>
        <w:tc>
          <w:tcPr>
            <w:tcW w:w="720" w:type="dxa"/>
            <w:vAlign w:val="bottom"/>
          </w:tcPr>
          <w:p>
            <w:pPr>
              <w:jc w:val="right"/>
              <w:ind w:right="133"/>
              <w:spacing w:after="0"/>
              <w:rPr>
                <w:sz w:val="20"/>
                <w:szCs w:val="20"/>
                <w:color w:val="auto"/>
              </w:rPr>
            </w:pPr>
            <w:r>
              <w:rPr>
                <w:rFonts w:ascii="Arial" w:cs="Arial" w:eastAsia="Arial" w:hAnsi="Arial"/>
                <w:sz w:val="13"/>
                <w:szCs w:val="13"/>
                <w:b w:val="1"/>
                <w:bCs w:val="1"/>
                <w:color w:val="auto"/>
              </w:rPr>
              <w:t>Total</w:t>
            </w:r>
          </w:p>
        </w:tc>
      </w:tr>
      <w:tr>
        <w:trPr>
          <w:trHeight w:val="129"/>
        </w:trPr>
        <w:tc>
          <w:tcPr>
            <w:tcW w:w="20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(in thousands)</w:t>
            </w:r>
          </w:p>
        </w:tc>
        <w:tc>
          <w:tcPr>
            <w:tcW w:w="680" w:type="dxa"/>
            <w:vAlign w:val="bottom"/>
            <w:tcBorders>
              <w:bottom w:val="single" w:sz="8" w:color="auto"/>
            </w:tcBorders>
          </w:tcPr>
          <w:p>
            <w:pPr>
              <w:jc w:val="right"/>
              <w:ind w:right="73"/>
              <w:spacing w:after="0" w:line="129" w:lineRule="exact"/>
              <w:rPr>
                <w:sz w:val="20"/>
                <w:szCs w:val="20"/>
                <w:color w:val="auto"/>
              </w:rPr>
            </w:pPr>
            <w:r>
              <w:rPr>
                <w:rFonts w:ascii="Arial" w:cs="Arial" w:eastAsia="Arial" w:hAnsi="Arial"/>
                <w:sz w:val="13"/>
                <w:szCs w:val="13"/>
                <w:b w:val="1"/>
                <w:bCs w:val="1"/>
                <w:color w:val="auto"/>
              </w:rPr>
              <w:t>Shares</w:t>
            </w:r>
          </w:p>
        </w:tc>
        <w:tc>
          <w:tcPr>
            <w:tcW w:w="760" w:type="dxa"/>
            <w:vAlign w:val="bottom"/>
            <w:tcBorders>
              <w:bottom w:val="single" w:sz="8" w:color="auto"/>
            </w:tcBorders>
          </w:tcPr>
          <w:p>
            <w:pPr>
              <w:jc w:val="right"/>
              <w:ind w:right="73"/>
              <w:spacing w:after="0" w:line="129" w:lineRule="exact"/>
              <w:rPr>
                <w:sz w:val="20"/>
                <w:szCs w:val="20"/>
                <w:color w:val="auto"/>
              </w:rPr>
            </w:pPr>
            <w:r>
              <w:rPr>
                <w:rFonts w:ascii="Arial" w:cs="Arial" w:eastAsia="Arial" w:hAnsi="Arial"/>
                <w:sz w:val="13"/>
                <w:szCs w:val="13"/>
                <w:b w:val="1"/>
                <w:bCs w:val="1"/>
                <w:color w:val="auto"/>
              </w:rPr>
              <w:t>Amount</w:t>
            </w:r>
          </w:p>
        </w:tc>
        <w:tc>
          <w:tcPr>
            <w:tcW w:w="720" w:type="dxa"/>
            <w:vAlign w:val="bottom"/>
            <w:tcBorders>
              <w:bottom w:val="single" w:sz="8" w:color="auto"/>
            </w:tcBorders>
          </w:tcPr>
          <w:p>
            <w:pPr>
              <w:jc w:val="right"/>
              <w:ind w:right="73"/>
              <w:spacing w:after="0" w:line="129" w:lineRule="exact"/>
              <w:rPr>
                <w:sz w:val="20"/>
                <w:szCs w:val="20"/>
                <w:color w:val="auto"/>
              </w:rPr>
            </w:pPr>
            <w:r>
              <w:rPr>
                <w:rFonts w:ascii="Arial" w:cs="Arial" w:eastAsia="Arial" w:hAnsi="Arial"/>
                <w:sz w:val="13"/>
                <w:szCs w:val="13"/>
                <w:b w:val="1"/>
                <w:bCs w:val="1"/>
                <w:color w:val="auto"/>
              </w:rPr>
              <w:t>Shares</w:t>
            </w:r>
          </w:p>
        </w:tc>
        <w:tc>
          <w:tcPr>
            <w:tcW w:w="780" w:type="dxa"/>
            <w:vAlign w:val="bottom"/>
            <w:tcBorders>
              <w:bottom w:val="single" w:sz="8" w:color="auto"/>
            </w:tcBorders>
          </w:tcPr>
          <w:p>
            <w:pPr>
              <w:jc w:val="right"/>
              <w:ind w:right="93"/>
              <w:spacing w:after="0" w:line="129" w:lineRule="exact"/>
              <w:rPr>
                <w:sz w:val="20"/>
                <w:szCs w:val="20"/>
                <w:color w:val="auto"/>
              </w:rPr>
            </w:pPr>
            <w:r>
              <w:rPr>
                <w:rFonts w:ascii="Arial" w:cs="Arial" w:eastAsia="Arial" w:hAnsi="Arial"/>
                <w:sz w:val="13"/>
                <w:szCs w:val="13"/>
                <w:b w:val="1"/>
                <w:bCs w:val="1"/>
                <w:color w:val="auto"/>
              </w:rPr>
              <w:t>Amount</w:t>
            </w:r>
          </w:p>
        </w:tc>
        <w:tc>
          <w:tcPr>
            <w:tcW w:w="9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8"/>
              </w:rPr>
              <w:t>paid-in capital</w:t>
            </w:r>
          </w:p>
        </w:tc>
        <w:tc>
          <w:tcPr>
            <w:tcW w:w="8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earnings</w:t>
            </w: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income</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Shares</w:t>
            </w:r>
          </w:p>
        </w:tc>
        <w:tc>
          <w:tcPr>
            <w:tcW w:w="1020" w:type="dxa"/>
            <w:vAlign w:val="bottom"/>
            <w:tcBorders>
              <w:bottom w:val="single" w:sz="8" w:color="auto"/>
            </w:tcBorders>
          </w:tcPr>
          <w:p>
            <w:pPr>
              <w:jc w:val="right"/>
              <w:ind w:right="153"/>
              <w:spacing w:after="0" w:line="129" w:lineRule="exact"/>
              <w:rPr>
                <w:sz w:val="20"/>
                <w:szCs w:val="20"/>
                <w:color w:val="auto"/>
              </w:rPr>
            </w:pPr>
            <w:r>
              <w:rPr>
                <w:rFonts w:ascii="Arial" w:cs="Arial" w:eastAsia="Arial" w:hAnsi="Arial"/>
                <w:sz w:val="13"/>
                <w:szCs w:val="13"/>
                <w:b w:val="1"/>
                <w:bCs w:val="1"/>
                <w:color w:val="auto"/>
              </w:rPr>
              <w:t>Amount</w:t>
            </w:r>
          </w:p>
        </w:tc>
        <w:tc>
          <w:tcPr>
            <w:tcW w:w="8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3"/>
              </w:rPr>
              <w:t>Interest</w:t>
            </w:r>
          </w:p>
        </w:tc>
        <w:tc>
          <w:tcPr>
            <w:tcW w:w="720" w:type="dxa"/>
            <w:vAlign w:val="bottom"/>
            <w:tcBorders>
              <w:bottom w:val="single" w:sz="8" w:color="auto"/>
            </w:tcBorders>
          </w:tcPr>
          <w:p>
            <w:pPr>
              <w:jc w:val="right"/>
              <w:ind w:right="73"/>
              <w:spacing w:after="0" w:line="129" w:lineRule="exact"/>
              <w:rPr>
                <w:sz w:val="20"/>
                <w:szCs w:val="20"/>
                <w:color w:val="auto"/>
              </w:rPr>
            </w:pPr>
            <w:r>
              <w:rPr>
                <w:rFonts w:ascii="Arial" w:cs="Arial" w:eastAsia="Arial" w:hAnsi="Arial"/>
                <w:sz w:val="13"/>
                <w:szCs w:val="13"/>
                <w:b w:val="1"/>
                <w:bCs w:val="1"/>
                <w:color w:val="auto"/>
              </w:rPr>
              <w:t>Equity</w:t>
            </w:r>
          </w:p>
        </w:tc>
      </w:tr>
      <w:tr>
        <w:trPr>
          <w:trHeight w:val="142"/>
        </w:trPr>
        <w:tc>
          <w:tcPr>
            <w:tcW w:w="20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December 31, 2018</w:t>
            </w:r>
          </w:p>
        </w:tc>
        <w:tc>
          <w:tcPr>
            <w:tcW w:w="6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37,450</w:t>
            </w:r>
          </w:p>
        </w:tc>
        <w:tc>
          <w:tcPr>
            <w:tcW w:w="7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$ 37</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3,234</w:t>
            </w:r>
          </w:p>
        </w:tc>
        <w:tc>
          <w:tcPr>
            <w:tcW w:w="7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$ 3</w:t>
            </w:r>
          </w:p>
        </w:tc>
        <w:tc>
          <w:tcPr>
            <w:tcW w:w="9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3"/>
                <w:szCs w:val="13"/>
                <w:b w:val="1"/>
                <w:bCs w:val="1"/>
                <w:color w:val="auto"/>
              </w:rPr>
              <w:t>$ 430,555</w:t>
            </w: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$ 589,645</w:t>
            </w:r>
          </w:p>
        </w:tc>
        <w:tc>
          <w:tcPr>
            <w:tcW w:w="13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$( 158,388 )</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8,419</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$( 256,603 )</w:t>
            </w: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$ 3,031</w:t>
            </w: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$ 608,280</w:t>
            </w:r>
          </w:p>
        </w:tc>
      </w:tr>
      <w:tr>
        <w:trPr>
          <w:trHeight w:val="141"/>
        </w:trPr>
        <w:tc>
          <w:tcPr>
            <w:tcW w:w="2040" w:type="dxa"/>
            <w:vAlign w:val="bottom"/>
          </w:tcPr>
          <w:p>
            <w:pPr>
              <w:spacing w:after="0" w:line="141" w:lineRule="exact"/>
              <w:rPr>
                <w:sz w:val="20"/>
                <w:szCs w:val="20"/>
                <w:color w:val="auto"/>
              </w:rPr>
            </w:pPr>
            <w:r>
              <w:rPr>
                <w:rFonts w:ascii="Arial" w:cs="Arial" w:eastAsia="Arial" w:hAnsi="Arial"/>
                <w:sz w:val="13"/>
                <w:szCs w:val="13"/>
                <w:color w:val="auto"/>
              </w:rPr>
              <w:t>Adoption of accounting</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40" w:type="dxa"/>
            <w:vAlign w:val="bottom"/>
          </w:tcPr>
          <w:p>
            <w:pPr>
              <w:ind w:left="120"/>
              <w:spacing w:after="0"/>
              <w:rPr>
                <w:sz w:val="20"/>
                <w:szCs w:val="20"/>
                <w:color w:val="auto"/>
              </w:rPr>
            </w:pPr>
            <w:r>
              <w:rPr>
                <w:rFonts w:ascii="Arial" w:cs="Arial" w:eastAsia="Arial" w:hAnsi="Arial"/>
                <w:sz w:val="13"/>
                <w:szCs w:val="13"/>
                <w:color w:val="auto"/>
              </w:rPr>
              <w:t>standards (b)</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35</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Net income</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29,190</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3"/>
              <w:spacing w:after="0"/>
              <w:rPr>
                <w:sz w:val="20"/>
                <w:szCs w:val="20"/>
                <w:color w:val="auto"/>
              </w:rPr>
            </w:pPr>
            <w:r>
              <w:rPr>
                <w:rFonts w:ascii="Arial" w:cs="Arial" w:eastAsia="Arial" w:hAnsi="Arial"/>
                <w:sz w:val="13"/>
                <w:szCs w:val="13"/>
                <w:color w:val="auto"/>
              </w:rPr>
              <w:t>218</w:t>
            </w:r>
          </w:p>
        </w:tc>
        <w:tc>
          <w:tcPr>
            <w:tcW w:w="720" w:type="dxa"/>
            <w:vAlign w:val="bottom"/>
          </w:tcPr>
          <w:p>
            <w:pPr>
              <w:jc w:val="right"/>
              <w:spacing w:after="0"/>
              <w:rPr>
                <w:sz w:val="20"/>
                <w:szCs w:val="20"/>
                <w:color w:val="auto"/>
              </w:rPr>
            </w:pPr>
            <w:r>
              <w:rPr>
                <w:rFonts w:ascii="Arial" w:cs="Arial" w:eastAsia="Arial" w:hAnsi="Arial"/>
                <w:sz w:val="13"/>
                <w:szCs w:val="13"/>
                <w:color w:val="auto"/>
              </w:rPr>
              <w:t>29,408</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Compensation and benefits paid</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( 547</w:t>
            </w:r>
          </w:p>
        </w:tc>
      </w:tr>
      <w:tr>
        <w:trPr>
          <w:trHeight w:val="148"/>
        </w:trPr>
        <w:tc>
          <w:tcPr>
            <w:tcW w:w="2040" w:type="dxa"/>
            <w:vAlign w:val="bottom"/>
          </w:tcPr>
          <w:p>
            <w:pPr>
              <w:ind w:left="120"/>
              <w:spacing w:after="0"/>
              <w:rPr>
                <w:sz w:val="20"/>
                <w:szCs w:val="20"/>
                <w:color w:val="auto"/>
              </w:rPr>
            </w:pPr>
            <w:r>
              <w:rPr>
                <w:rFonts w:ascii="Arial" w:cs="Arial" w:eastAsia="Arial" w:hAnsi="Arial"/>
                <w:sz w:val="13"/>
                <w:szCs w:val="13"/>
                <w:color w:val="auto"/>
              </w:rPr>
              <w:t>or payable in shares</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25</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(547)</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Options exercised</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3</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44</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49"/>
        </w:trPr>
        <w:tc>
          <w:tcPr>
            <w:tcW w:w="2040" w:type="dxa"/>
            <w:vAlign w:val="bottom"/>
          </w:tcPr>
          <w:p>
            <w:pPr>
              <w:spacing w:after="0"/>
              <w:rPr>
                <w:sz w:val="20"/>
                <w:szCs w:val="20"/>
                <w:color w:val="auto"/>
              </w:rPr>
            </w:pPr>
            <w:r>
              <w:rPr>
                <w:rFonts w:ascii="Arial" w:cs="Arial" w:eastAsia="Arial" w:hAnsi="Arial"/>
                <w:sz w:val="13"/>
                <w:szCs w:val="13"/>
                <w:color w:val="auto"/>
              </w:rPr>
              <w:t>Shares issued to Directors</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Dividends declared</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Class A Common Stock, $0.18</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( 5,231</w:t>
            </w:r>
          </w:p>
        </w:tc>
      </w:tr>
      <w:tr>
        <w:trPr>
          <w:trHeight w:val="148"/>
        </w:trPr>
        <w:tc>
          <w:tcPr>
            <w:tcW w:w="2040" w:type="dxa"/>
            <w:vAlign w:val="bottom"/>
          </w:tcPr>
          <w:p>
            <w:pPr>
              <w:ind w:left="120"/>
              <w:spacing w:after="0"/>
              <w:rPr>
                <w:sz w:val="20"/>
                <w:szCs w:val="20"/>
                <w:color w:val="auto"/>
              </w:rPr>
            </w:pPr>
            <w:r>
              <w:rPr>
                <w:rFonts w:ascii="Arial" w:cs="Arial" w:eastAsia="Arial" w:hAnsi="Arial"/>
                <w:sz w:val="13"/>
                <w:szCs w:val="13"/>
                <w:color w:val="auto"/>
              </w:rPr>
              <w:t>per share</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( 5,231 )</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Class B Common Stock, $0.18</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( 582</w:t>
            </w:r>
          </w:p>
        </w:tc>
      </w:tr>
      <w:tr>
        <w:trPr>
          <w:trHeight w:val="149"/>
        </w:trPr>
        <w:tc>
          <w:tcPr>
            <w:tcW w:w="2040" w:type="dxa"/>
            <w:vAlign w:val="bottom"/>
          </w:tcPr>
          <w:p>
            <w:pPr>
              <w:ind w:left="120"/>
              <w:spacing w:after="0"/>
              <w:rPr>
                <w:sz w:val="20"/>
                <w:szCs w:val="20"/>
                <w:color w:val="auto"/>
              </w:rPr>
            </w:pPr>
            <w:r>
              <w:rPr>
                <w:rFonts w:ascii="Arial" w:cs="Arial" w:eastAsia="Arial" w:hAnsi="Arial"/>
                <w:sz w:val="13"/>
                <w:szCs w:val="13"/>
                <w:color w:val="auto"/>
              </w:rPr>
              <w:t>per share</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(582)</w:t>
            </w:r>
          </w:p>
        </w:tc>
        <w:tc>
          <w:tcPr>
            <w:tcW w:w="138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Cumulative translation</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( 662</w:t>
            </w:r>
          </w:p>
        </w:tc>
      </w:tr>
      <w:tr>
        <w:trPr>
          <w:trHeight w:val="148"/>
        </w:trPr>
        <w:tc>
          <w:tcPr>
            <w:tcW w:w="2040" w:type="dxa"/>
            <w:vAlign w:val="bottom"/>
          </w:tcPr>
          <w:p>
            <w:pPr>
              <w:ind w:left="120"/>
              <w:spacing w:after="0"/>
              <w:rPr>
                <w:sz w:val="20"/>
                <w:szCs w:val="20"/>
                <w:color w:val="auto"/>
              </w:rPr>
            </w:pPr>
            <w:r>
              <w:rPr>
                <w:rFonts w:ascii="Arial" w:cs="Arial" w:eastAsia="Arial" w:hAnsi="Arial"/>
                <w:sz w:val="13"/>
                <w:szCs w:val="13"/>
                <w:color w:val="auto"/>
              </w:rPr>
              <w:t>adjustments</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13"/>
              <w:spacing w:after="0"/>
              <w:rPr>
                <w:sz w:val="20"/>
                <w:szCs w:val="20"/>
                <w:color w:val="auto"/>
              </w:rPr>
            </w:pPr>
            <w:r>
              <w:rPr>
                <w:rFonts w:ascii="Arial" w:cs="Arial" w:eastAsia="Arial" w:hAnsi="Arial"/>
                <w:sz w:val="13"/>
                <w:szCs w:val="13"/>
                <w:color w:val="auto"/>
              </w:rPr>
              <w:t>(654)</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( 8 )</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Pension and postretirement</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( 1,487</w:t>
            </w:r>
          </w:p>
        </w:tc>
      </w:tr>
      <w:tr>
        <w:trPr>
          <w:trHeight w:val="148"/>
        </w:trPr>
        <w:tc>
          <w:tcPr>
            <w:tcW w:w="2040" w:type="dxa"/>
            <w:vAlign w:val="bottom"/>
          </w:tcPr>
          <w:p>
            <w:pPr>
              <w:ind w:left="120"/>
              <w:spacing w:after="0"/>
              <w:rPr>
                <w:sz w:val="20"/>
                <w:szCs w:val="20"/>
                <w:color w:val="auto"/>
              </w:rPr>
            </w:pPr>
            <w:r>
              <w:rPr>
                <w:rFonts w:ascii="Arial" w:cs="Arial" w:eastAsia="Arial" w:hAnsi="Arial"/>
                <w:sz w:val="13"/>
                <w:szCs w:val="13"/>
                <w:color w:val="auto"/>
              </w:rPr>
              <w:t>liability adjustments</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213"/>
              <w:spacing w:after="0"/>
              <w:rPr>
                <w:sz w:val="20"/>
                <w:szCs w:val="20"/>
                <w:color w:val="auto"/>
              </w:rPr>
            </w:pPr>
            <w:r>
              <w:rPr>
                <w:rFonts w:ascii="Arial" w:cs="Arial" w:eastAsia="Arial" w:hAnsi="Arial"/>
                <w:sz w:val="13"/>
                <w:szCs w:val="13"/>
                <w:color w:val="auto"/>
              </w:rPr>
              <w:t>( 1,487 )</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148"/>
        </w:trPr>
        <w:tc>
          <w:tcPr>
            <w:tcW w:w="2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( 2,851</w:t>
            </w:r>
          </w:p>
        </w:tc>
      </w:tr>
      <w:tr>
        <w:trPr>
          <w:trHeight w:val="149"/>
        </w:trPr>
        <w:tc>
          <w:tcPr>
            <w:tcW w:w="2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Derivative valuation adjustment</w:t>
            </w: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( 2,851 )</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r>
      <w:tr>
        <w:trPr>
          <w:trHeight w:val="142"/>
        </w:trPr>
        <w:tc>
          <w:tcPr>
            <w:tcW w:w="20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March 31, 2019</w:t>
            </w:r>
          </w:p>
        </w:tc>
        <w:tc>
          <w:tcPr>
            <w:tcW w:w="6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37,478</w:t>
            </w:r>
          </w:p>
        </w:tc>
        <w:tc>
          <w:tcPr>
            <w:tcW w:w="7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$ 37</w:t>
            </w: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3,234</w:t>
            </w:r>
          </w:p>
        </w:tc>
        <w:tc>
          <w:tcPr>
            <w:tcW w:w="7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$ 3</w:t>
            </w:r>
          </w:p>
        </w:tc>
        <w:tc>
          <w:tcPr>
            <w:tcW w:w="96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3"/>
                <w:szCs w:val="13"/>
                <w:b w:val="1"/>
                <w:bCs w:val="1"/>
                <w:color w:val="auto"/>
              </w:rPr>
              <w:t>$ 430,052</w:t>
            </w: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$ 613,057</w:t>
            </w:r>
          </w:p>
        </w:tc>
        <w:tc>
          <w:tcPr>
            <w:tcW w:w="13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$( 163,380 )</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8,419</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$( 256,603 )</w:t>
            </w: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$ 3,241</w:t>
            </w: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$ 626,407</w:t>
            </w:r>
          </w:p>
        </w:tc>
      </w:tr>
    </w:tbl>
    <w:p>
      <w:pPr>
        <w:spacing w:after="0" w:line="191" w:lineRule="exact"/>
        <w:rPr>
          <w:sz w:val="20"/>
          <w:szCs w:val="20"/>
          <w:color w:val="auto"/>
        </w:rPr>
      </w:pPr>
    </w:p>
    <w:p>
      <w:pPr>
        <w:ind w:left="460" w:right="220" w:hanging="452"/>
        <w:spacing w:after="0" w:line="24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described in Note 1, the Company adopted the provisions of ASC 326, Current Expected Credit Losses (CECL) effective January 1, 2020, which resulted in a decrease to Retained earnings of $1.4 million.</w:t>
      </w: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Company adopted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effective January 1, 2019, which resulted in an increase to Retained earnings of less than $0.1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Recent Accounting Pronouncements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defined benefit plan disclosures. We plan to adopt the new standard effective January 1, 2021. We do not expect the adoption of this update to significantly impact our financial statements.</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December 2019, an accounting update was issued which removes certain exceptions for recognizing deferred taxes for investments and performing intra-period tax allocations. The update also adds guidance to reduce complexity in certain areas, including recognizing deferred taxes for tax goodwill and allocating taxes to members of a consolidated group. We plan to adopt the new standard as of January 1, 2021 and we are assessing the potential impact on our financial statements.</w:t>
      </w:r>
    </w:p>
    <w:p>
      <w:pPr>
        <w:spacing w:after="0" w:line="9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March 2020, an accounting update was issued which provides optional guidance for a limited time to ease the potential accounting burden associated with transitioning away from reference rates such as LIBOR. The expedients and exceptions provided by this update will not be available after December 31, 2022, other than for certain hedging relationships entered into prior. We are currently assessing the potential impact on our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02" w:lineRule="exact"/>
        <w:rPr>
          <w:sz w:val="20"/>
          <w:szCs w:val="20"/>
          <w:color w:val="auto"/>
        </w:rPr>
      </w:pPr>
    </w:p>
    <w:p>
      <w:pPr>
        <w:ind w:left="1340" w:hanging="252"/>
        <w:spacing w:after="0" w:line="213" w:lineRule="auto"/>
        <w:tabs>
          <w:tab w:leader="none" w:pos="1340" w:val="left"/>
        </w:tabs>
        <w:numPr>
          <w:ilvl w:val="0"/>
          <w:numId w:val="9"/>
        </w:numPr>
        <w:rPr>
          <w:rFonts w:ascii="Arial" w:cs="Arial" w:eastAsia="Arial" w:hAnsi="Arial"/>
          <w:sz w:val="23"/>
          <w:szCs w:val="23"/>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w:t>
      </w:r>
    </w:p>
    <w:p>
      <w:pPr>
        <w:spacing w:after="0" w:line="108" w:lineRule="exact"/>
        <w:rPr>
          <w:rFonts w:ascii="Arial" w:cs="Arial" w:eastAsia="Arial" w:hAnsi="Arial"/>
          <w:sz w:val="23"/>
          <w:szCs w:val="23"/>
          <w:color w:val="auto"/>
        </w:rPr>
      </w:pPr>
    </w:p>
    <w:p>
      <w:pPr>
        <w:ind w:left="1340" w:hanging="252"/>
        <w:spacing w:after="0" w:line="213" w:lineRule="auto"/>
        <w:tabs>
          <w:tab w:leader="none" w:pos="1340" w:val="left"/>
        </w:tabs>
        <w:numPr>
          <w:ilvl w:val="0"/>
          <w:numId w:val="9"/>
        </w:numPr>
        <w:rPr>
          <w:rFonts w:ascii="Arial" w:cs="Arial" w:eastAsia="Arial" w:hAnsi="Arial"/>
          <w:sz w:val="23"/>
          <w:szCs w:val="23"/>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 and continuation of coronavirus effects for an extended period;</w:t>
      </w:r>
    </w:p>
    <w:p>
      <w:pPr>
        <w:spacing w:after="0" w:line="108" w:lineRule="exact"/>
        <w:rPr>
          <w:rFonts w:ascii="Arial" w:cs="Arial" w:eastAsia="Arial" w:hAnsi="Arial"/>
          <w:sz w:val="23"/>
          <w:szCs w:val="23"/>
          <w:color w:val="auto"/>
        </w:rPr>
      </w:pPr>
    </w:p>
    <w:p>
      <w:pPr>
        <w:jc w:val="both"/>
        <w:ind w:left="1340" w:hanging="252"/>
        <w:spacing w:after="0" w:line="219" w:lineRule="auto"/>
        <w:tabs>
          <w:tab w:leader="none" w:pos="1340" w:val="left"/>
        </w:tabs>
        <w:numPr>
          <w:ilvl w:val="0"/>
          <w:numId w:val="9"/>
        </w:numPr>
        <w:rPr>
          <w:rFonts w:ascii="Arial" w:cs="Arial" w:eastAsia="Arial" w:hAnsi="Arial"/>
          <w:sz w:val="23"/>
          <w:szCs w:val="23"/>
          <w:color w:val="auto"/>
        </w:rPr>
      </w:pPr>
      <w:r>
        <w:rPr>
          <w:rFonts w:ascii="Arial" w:cs="Arial" w:eastAsia="Arial" w:hAnsi="Arial"/>
          <w:sz w:val="18"/>
          <w:szCs w:val="18"/>
          <w:color w:val="auto"/>
        </w:rPr>
        <w:t>In the Albany Engineered Composites segment, extended weakness in commercial aerospace activity, further delays in the Boeing 737 MAX return to service, or unanticipated reductions in demand, delays, technical difficulties, or delays/cancellations in other aerospace programs;</w:t>
      </w:r>
    </w:p>
    <w:p>
      <w:pPr>
        <w:spacing w:after="0" w:line="62" w:lineRule="exact"/>
        <w:rPr>
          <w:rFonts w:ascii="Arial" w:cs="Arial" w:eastAsia="Arial" w:hAnsi="Arial"/>
          <w:sz w:val="23"/>
          <w:szCs w:val="23"/>
          <w:color w:val="auto"/>
        </w:rPr>
      </w:pPr>
    </w:p>
    <w:p>
      <w:pPr>
        <w:ind w:left="1340" w:hanging="252"/>
        <w:spacing w:after="0"/>
        <w:tabs>
          <w:tab w:leader="none" w:pos="1340" w:val="left"/>
        </w:tabs>
        <w:numPr>
          <w:ilvl w:val="0"/>
          <w:numId w:val="9"/>
        </w:numPr>
        <w:rPr>
          <w:rFonts w:ascii="Arial" w:cs="Arial" w:eastAsia="Arial" w:hAnsi="Arial"/>
          <w:sz w:val="23"/>
          <w:szCs w:val="23"/>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59" w:lineRule="exact"/>
        <w:rPr>
          <w:rFonts w:ascii="Arial" w:cs="Arial" w:eastAsia="Arial" w:hAnsi="Arial"/>
          <w:sz w:val="23"/>
          <w:szCs w:val="23"/>
          <w:color w:val="auto"/>
        </w:rPr>
      </w:pPr>
    </w:p>
    <w:p>
      <w:pPr>
        <w:ind w:left="1340" w:hanging="252"/>
        <w:spacing w:after="0"/>
        <w:tabs>
          <w:tab w:leader="none" w:pos="1340" w:val="left"/>
        </w:tabs>
        <w:numPr>
          <w:ilvl w:val="0"/>
          <w:numId w:val="9"/>
        </w:numPr>
        <w:rPr>
          <w:rFonts w:ascii="Arial" w:cs="Arial" w:eastAsia="Arial" w:hAnsi="Arial"/>
          <w:sz w:val="23"/>
          <w:szCs w:val="23"/>
          <w:color w:val="auto"/>
        </w:rPr>
      </w:pPr>
      <w:r>
        <w:rPr>
          <w:rFonts w:ascii="Arial" w:cs="Arial" w:eastAsia="Arial" w:hAnsi="Arial"/>
          <w:sz w:val="18"/>
          <w:szCs w:val="18"/>
          <w:color w:val="auto"/>
        </w:rPr>
        <w:t>Other risks and uncertainties detailed in this report.</w:t>
      </w:r>
    </w:p>
    <w:p>
      <w:pPr>
        <w:spacing w:after="0" w:line="94"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26"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8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suffered from well-documented declines in publication grades in the Company’s traditional markets, the paper and paperboard industry has stabilized in recent years, driven by demand for packaging and tissue grades, as well as the expansion of paper consumption and production in Asia and South America. We feel we are now well-positioned in key markets, with high-quality, low-cost production in growth markets, substantially lower fixed costs in mature markets, and continued strength in new product development, technical product support, and manufacturing technology. Because of pricing pressures and industry overcapacity, the machine clothing and paper industries will continue to face top line pressure. Despite continued market pressure on revenue, the business retains the potential for maintaining stable earnings in the future. It has been a significant generator of cash, and we seek to maintain the cash-generating potential of this business by maintaining the low costs that we achieved through continuous focus on cost reduction initiatives, and competing vigorously by using our differentiated and technically superior products to reduce our customers’ total cost of operation and improve their paper quality.</w:t>
      </w:r>
    </w:p>
    <w:p>
      <w:pPr>
        <w:spacing w:after="0" w:line="9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The AEC segment provides long-term growth potential for our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22 percent of the Company’s consolidated Net sales in 2019. AEC, through ASC, also supplies 3D-woven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 In 2019, approximately 25 percent of AEC sales were related to U.S. government contracts or programs.</w:t>
      </w:r>
    </w:p>
    <w:p>
      <w:pPr>
        <w:spacing w:after="0" w:line="9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A number of countries, including the United States, have issued orders grounding Boeing 737 MAX aircraft. If these groundings cause a further decrease in demand in production for this aircraft, it could have an adverse impact on demand for LEAP engines, which, in turn, could have an adverse impact on demand for our LEAP engine parts. The Company is continuing to monitor developments with our customer. Considerable uncertainty exists with respect to the return-to-service of the 737-MAX and the subsequent ramp-up in our production of LEAP-1B components, which may lead to additional impacts to our revenues from LEAP-1B components in 2020 and future periods. The nature of our cost-plus fee arrangement, however, should somewhat mitigate the impact of such factors on gross margin rate in such future periods. In April 2020, the Company announced the temporary closure of all three of its LEAP production facilities, resulting from depressed demand, due to the ongoing Boeing 737 MAX situation and a pause in production of the Airbus A320neo family. The resumption of operations at these facilities will be undertaken in coordination with our customer and in compliance with all local, state/provincial, and national guidelines or directives. However, management expects that these closures will continue through much of second quarter and, in some cases, into the third quarter. As a result, the year-over-year comparisons for LEAP revenue in the second quarter are expected to be very unfavorable. While management expects to see some recovery in the later part of the year, management expects that full-year LEAP program revenue will be less than half of that generated in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top w:val="single" w:sz="8" w:color="auto"/>
            </w:tcBorders>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2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4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2580" w:type="dxa"/>
            <w:vAlign w:val="bottom"/>
            <w:tcBorders>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2020</w:t>
            </w:r>
          </w:p>
        </w:tc>
        <w:tc>
          <w:tcPr>
            <w:tcW w:w="14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 Change</w:t>
            </w:r>
          </w:p>
        </w:tc>
      </w:tr>
      <w:tr>
        <w:trPr>
          <w:trHeight w:val="164"/>
        </w:trPr>
        <w:tc>
          <w:tcPr>
            <w:tcW w:w="4280" w:type="dxa"/>
            <w:vAlign w:val="bottom"/>
            <w:gridSpan w:val="2"/>
          </w:tcPr>
          <w:p>
            <w:pPr>
              <w:spacing w:after="0" w:line="165" w:lineRule="exact"/>
              <w:rPr>
                <w:sz w:val="20"/>
                <w:szCs w:val="20"/>
                <w:color w:val="auto"/>
              </w:rPr>
            </w:pPr>
            <w:r>
              <w:rPr>
                <w:rFonts w:ascii="Arial" w:cs="Arial" w:eastAsia="Arial" w:hAnsi="Arial"/>
                <w:sz w:val="16"/>
                <w:szCs w:val="16"/>
                <w:color w:val="auto"/>
              </w:rPr>
              <w:t>Machine Clothing</w:t>
            </w:r>
          </w:p>
        </w:tc>
        <w:tc>
          <w:tcPr>
            <w:tcW w:w="258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$136,602</w:t>
            </w:r>
          </w:p>
        </w:tc>
        <w:tc>
          <w:tcPr>
            <w:tcW w:w="1460" w:type="dxa"/>
            <w:vAlign w:val="bottom"/>
          </w:tcPr>
          <w:p>
            <w:pPr>
              <w:jc w:val="right"/>
              <w:ind w:right="304"/>
              <w:spacing w:after="0" w:line="165" w:lineRule="exact"/>
              <w:rPr>
                <w:sz w:val="20"/>
                <w:szCs w:val="20"/>
                <w:color w:val="auto"/>
              </w:rPr>
            </w:pPr>
            <w:r>
              <w:rPr>
                <w:rFonts w:ascii="Arial" w:cs="Arial" w:eastAsia="Arial" w:hAnsi="Arial"/>
                <w:sz w:val="16"/>
                <w:szCs w:val="16"/>
                <w:color w:val="auto"/>
              </w:rPr>
              <w:t>$144,334</w:t>
            </w:r>
          </w:p>
        </w:tc>
        <w:tc>
          <w:tcPr>
            <w:tcW w:w="940" w:type="dxa"/>
            <w:vAlign w:val="bottom"/>
          </w:tcPr>
          <w:p>
            <w:pPr>
              <w:jc w:val="right"/>
              <w:ind w:right="181"/>
              <w:spacing w:after="0" w:line="165" w:lineRule="exact"/>
              <w:rPr>
                <w:sz w:val="20"/>
                <w:szCs w:val="20"/>
                <w:color w:val="auto"/>
              </w:rPr>
            </w:pPr>
            <w:r>
              <w:rPr>
                <w:rFonts w:ascii="Arial" w:cs="Arial" w:eastAsia="Arial" w:hAnsi="Arial"/>
                <w:sz w:val="16"/>
                <w:szCs w:val="16"/>
                <w:color w:val="auto"/>
              </w:rPr>
              <w:t>-5.4%</w:t>
            </w:r>
          </w:p>
        </w:tc>
      </w:tr>
      <w:tr>
        <w:trPr>
          <w:trHeight w:val="207"/>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Albany Engineered Composites</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99,162</w:t>
            </w:r>
          </w:p>
        </w:tc>
        <w:tc>
          <w:tcPr>
            <w:tcW w:w="146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color w:val="auto"/>
              </w:rPr>
              <w:t>107,039</w:t>
            </w:r>
          </w:p>
        </w:tc>
        <w:tc>
          <w:tcPr>
            <w:tcW w:w="9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-7.4%</w:t>
            </w:r>
          </w:p>
        </w:tc>
      </w:tr>
      <w:tr>
        <w:trPr>
          <w:trHeight w:val="183"/>
        </w:trPr>
        <w:tc>
          <w:tcPr>
            <w:tcW w:w="428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Total</w:t>
            </w:r>
          </w:p>
        </w:tc>
        <w:tc>
          <w:tcPr>
            <w:tcW w:w="2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$235,764</w:t>
            </w:r>
          </w:p>
        </w:tc>
        <w:tc>
          <w:tcPr>
            <w:tcW w:w="1460" w:type="dxa"/>
            <w:vAlign w:val="bottom"/>
            <w:tcBorders>
              <w:bottom w:val="single" w:sz="8" w:color="auto"/>
            </w:tcBorders>
          </w:tcPr>
          <w:p>
            <w:pPr>
              <w:jc w:val="right"/>
              <w:ind w:right="304"/>
              <w:spacing w:after="0" w:line="183" w:lineRule="exact"/>
              <w:rPr>
                <w:sz w:val="20"/>
                <w:szCs w:val="20"/>
                <w:color w:val="auto"/>
              </w:rPr>
            </w:pPr>
            <w:r>
              <w:rPr>
                <w:rFonts w:ascii="Arial" w:cs="Arial" w:eastAsia="Arial" w:hAnsi="Arial"/>
                <w:sz w:val="16"/>
                <w:szCs w:val="16"/>
                <w:color w:val="auto"/>
              </w:rPr>
              <w:t>$251,373</w:t>
            </w:r>
          </w:p>
        </w:tc>
        <w:tc>
          <w:tcPr>
            <w:tcW w:w="940" w:type="dxa"/>
            <w:vAlign w:val="bottom"/>
            <w:tcBorders>
              <w:bottom w:val="single" w:sz="8" w:color="auto"/>
            </w:tcBorders>
          </w:tcPr>
          <w:p>
            <w:pPr>
              <w:jc w:val="right"/>
              <w:ind w:right="181"/>
              <w:spacing w:after="0" w:line="183" w:lineRule="exact"/>
              <w:rPr>
                <w:sz w:val="20"/>
                <w:szCs w:val="20"/>
                <w:color w:val="auto"/>
              </w:rPr>
            </w:pPr>
            <w:r>
              <w:rPr>
                <w:rFonts w:ascii="Arial" w:cs="Arial" w:eastAsia="Arial" w:hAnsi="Arial"/>
                <w:sz w:val="16"/>
                <w:szCs w:val="16"/>
                <w:color w:val="auto"/>
              </w:rPr>
              <w:t>-6.2%</w:t>
            </w: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 comparison of 2020 Net sales, excluding the impact of currency translation effects, to 2019 Net sales: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ind w:right="46"/>
              <w:spacing w:after="0"/>
              <w:rPr>
                <w:sz w:val="20"/>
                <w:szCs w:val="20"/>
                <w:color w:val="auto"/>
              </w:rPr>
            </w:pPr>
            <w:r>
              <w:rPr>
                <w:rFonts w:ascii="Arial" w:cs="Arial" w:eastAsia="Arial" w:hAnsi="Arial"/>
                <w:sz w:val="14"/>
                <w:szCs w:val="14"/>
                <w:b w:val="1"/>
                <w:bCs w:val="1"/>
                <w:color w:val="auto"/>
              </w:rPr>
              <w:t>% Change</w:t>
            </w:r>
          </w:p>
        </w:tc>
      </w:tr>
      <w:tr>
        <w:trPr>
          <w:trHeight w:val="162"/>
        </w:trPr>
        <w:tc>
          <w:tcPr>
            <w:tcW w:w="3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Pr>
          <w:p>
            <w:pPr>
              <w:jc w:val="center"/>
              <w:ind w:right="46"/>
              <w:spacing w:after="0"/>
              <w:rPr>
                <w:sz w:val="20"/>
                <w:szCs w:val="20"/>
                <w:color w:val="auto"/>
              </w:rPr>
            </w:pPr>
            <w:r>
              <w:rPr>
                <w:rFonts w:ascii="Arial" w:cs="Arial" w:eastAsia="Arial" w:hAnsi="Arial"/>
                <w:sz w:val="14"/>
                <w:szCs w:val="14"/>
                <w:b w:val="1"/>
                <w:bCs w:val="1"/>
                <w:color w:val="auto"/>
              </w:rPr>
              <w:t>compared to</w:t>
            </w:r>
          </w:p>
        </w:tc>
      </w:tr>
      <w:tr>
        <w:trPr>
          <w:trHeight w:val="162"/>
        </w:trPr>
        <w:tc>
          <w:tcPr>
            <w:tcW w:w="3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jc w:val="center"/>
              <w:ind w:right="85"/>
              <w:spacing w:after="0"/>
              <w:rPr>
                <w:sz w:val="20"/>
                <w:szCs w:val="20"/>
                <w:color w:val="auto"/>
              </w:rPr>
            </w:pPr>
            <w:r>
              <w:rPr>
                <w:rFonts w:ascii="Arial" w:cs="Arial" w:eastAsia="Arial" w:hAnsi="Arial"/>
                <w:sz w:val="14"/>
                <w:szCs w:val="14"/>
                <w:b w:val="1"/>
                <w:bCs w:val="1"/>
                <w:color w:val="auto"/>
              </w:rPr>
              <w:t>Decrease</w:t>
            </w: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Pr>
          <w:p>
            <w:pPr>
              <w:jc w:val="right"/>
              <w:ind w:right="526"/>
              <w:spacing w:after="0"/>
              <w:rPr>
                <w:sz w:val="20"/>
                <w:szCs w:val="20"/>
                <w:color w:val="auto"/>
              </w:rPr>
            </w:pPr>
            <w:r>
              <w:rPr>
                <w:rFonts w:ascii="Arial" w:cs="Arial" w:eastAsia="Arial" w:hAnsi="Arial"/>
                <w:sz w:val="14"/>
                <w:szCs w:val="14"/>
                <w:b w:val="1"/>
                <w:bCs w:val="1"/>
                <w:color w:val="auto"/>
              </w:rPr>
              <w:t>Q1 2019,</w:t>
            </w:r>
          </w:p>
        </w:tc>
      </w:tr>
      <w:tr>
        <w:trPr>
          <w:trHeight w:val="162"/>
        </w:trPr>
        <w:tc>
          <w:tcPr>
            <w:tcW w:w="3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jc w:val="center"/>
              <w:ind w:right="105"/>
              <w:spacing w:after="0"/>
              <w:rPr>
                <w:sz w:val="20"/>
                <w:szCs w:val="20"/>
                <w:color w:val="auto"/>
              </w:rPr>
            </w:pPr>
            <w:r>
              <w:rPr>
                <w:rFonts w:ascii="Arial" w:cs="Arial" w:eastAsia="Arial" w:hAnsi="Arial"/>
                <w:sz w:val="14"/>
                <w:szCs w:val="14"/>
                <w:b w:val="1"/>
                <w:bCs w:val="1"/>
                <w:color w:val="auto"/>
                <w:w w:val="99"/>
              </w:rPr>
              <w:t>due to</w:t>
            </w: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Pr>
          <w:p>
            <w:pPr>
              <w:jc w:val="center"/>
              <w:ind w:right="66"/>
              <w:spacing w:after="0"/>
              <w:rPr>
                <w:sz w:val="20"/>
                <w:szCs w:val="20"/>
                <w:color w:val="auto"/>
              </w:rPr>
            </w:pPr>
            <w:r>
              <w:rPr>
                <w:rFonts w:ascii="Arial" w:cs="Arial" w:eastAsia="Arial" w:hAnsi="Arial"/>
                <w:sz w:val="14"/>
                <w:szCs w:val="14"/>
                <w:b w:val="1"/>
                <w:bCs w:val="1"/>
                <w:color w:val="auto"/>
              </w:rPr>
              <w:t>excluding</w:t>
            </w:r>
          </w:p>
        </w:tc>
      </w:tr>
      <w:tr>
        <w:trPr>
          <w:trHeight w:val="162"/>
        </w:trPr>
        <w:tc>
          <w:tcPr>
            <w:tcW w:w="3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jc w:val="center"/>
              <w:ind w:right="105"/>
              <w:spacing w:after="0"/>
              <w:rPr>
                <w:sz w:val="20"/>
                <w:szCs w:val="20"/>
                <w:color w:val="auto"/>
              </w:rPr>
            </w:pPr>
            <w:r>
              <w:rPr>
                <w:rFonts w:ascii="Arial" w:cs="Arial" w:eastAsia="Arial" w:hAnsi="Arial"/>
                <w:sz w:val="14"/>
                <w:szCs w:val="14"/>
                <w:b w:val="1"/>
                <w:bCs w:val="1"/>
                <w:color w:val="auto"/>
              </w:rPr>
              <w:t>changes in</w:t>
            </w:r>
          </w:p>
        </w:tc>
        <w:tc>
          <w:tcPr>
            <w:tcW w:w="1540" w:type="dxa"/>
            <w:vAlign w:val="bottom"/>
          </w:tcPr>
          <w:p>
            <w:pPr>
              <w:jc w:val="center"/>
              <w:ind w:left="84"/>
              <w:spacing w:after="0"/>
              <w:rPr>
                <w:sz w:val="20"/>
                <w:szCs w:val="20"/>
                <w:color w:val="auto"/>
              </w:rPr>
            </w:pPr>
            <w:r>
              <w:rPr>
                <w:rFonts w:ascii="Arial" w:cs="Arial" w:eastAsia="Arial" w:hAnsi="Arial"/>
                <w:sz w:val="14"/>
                <w:szCs w:val="14"/>
                <w:b w:val="1"/>
                <w:bCs w:val="1"/>
                <w:color w:val="auto"/>
              </w:rPr>
              <w:t>Q1 2020</w:t>
            </w:r>
          </w:p>
        </w:tc>
        <w:tc>
          <w:tcPr>
            <w:tcW w:w="1460" w:type="dxa"/>
            <w:vAlign w:val="bottom"/>
          </w:tcPr>
          <w:p>
            <w:pPr>
              <w:spacing w:after="0"/>
              <w:rPr>
                <w:sz w:val="14"/>
                <w:szCs w:val="14"/>
                <w:color w:val="auto"/>
              </w:rPr>
            </w:pPr>
          </w:p>
        </w:tc>
        <w:tc>
          <w:tcPr>
            <w:tcW w:w="1660" w:type="dxa"/>
            <w:vAlign w:val="bottom"/>
          </w:tcPr>
          <w:p>
            <w:pPr>
              <w:jc w:val="center"/>
              <w:ind w:right="66"/>
              <w:spacing w:after="0"/>
              <w:rPr>
                <w:sz w:val="20"/>
                <w:szCs w:val="20"/>
                <w:color w:val="auto"/>
              </w:rPr>
            </w:pPr>
            <w:r>
              <w:rPr>
                <w:rFonts w:ascii="Arial" w:cs="Arial" w:eastAsia="Arial" w:hAnsi="Arial"/>
                <w:sz w:val="14"/>
                <w:szCs w:val="14"/>
                <w:b w:val="1"/>
                <w:bCs w:val="1"/>
                <w:color w:val="auto"/>
              </w:rPr>
              <w:t>changes in</w:t>
            </w:r>
          </w:p>
        </w:tc>
      </w:tr>
      <w:tr>
        <w:trPr>
          <w:trHeight w:val="162"/>
        </w:trPr>
        <w:tc>
          <w:tcPr>
            <w:tcW w:w="3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jc w:val="center"/>
              <w:ind w:right="105"/>
              <w:spacing w:after="0"/>
              <w:rPr>
                <w:sz w:val="20"/>
                <w:szCs w:val="20"/>
                <w:color w:val="auto"/>
              </w:rPr>
            </w:pPr>
            <w:r>
              <w:rPr>
                <w:rFonts w:ascii="Arial" w:cs="Arial" w:eastAsia="Arial" w:hAnsi="Arial"/>
                <w:sz w:val="14"/>
                <w:szCs w:val="14"/>
                <w:b w:val="1"/>
                <w:bCs w:val="1"/>
                <w:color w:val="auto"/>
              </w:rPr>
              <w:t>currency</w:t>
            </w:r>
          </w:p>
        </w:tc>
        <w:tc>
          <w:tcPr>
            <w:tcW w:w="1540" w:type="dxa"/>
            <w:vAlign w:val="bottom"/>
          </w:tcPr>
          <w:p>
            <w:pPr>
              <w:jc w:val="center"/>
              <w:ind w:left="84"/>
              <w:spacing w:after="0"/>
              <w:rPr>
                <w:sz w:val="20"/>
                <w:szCs w:val="20"/>
                <w:color w:val="auto"/>
              </w:rPr>
            </w:pPr>
            <w:r>
              <w:rPr>
                <w:rFonts w:ascii="Arial" w:cs="Arial" w:eastAsia="Arial" w:hAnsi="Arial"/>
                <w:sz w:val="14"/>
                <w:szCs w:val="14"/>
                <w:b w:val="1"/>
                <w:bCs w:val="1"/>
                <w:color w:val="auto"/>
              </w:rPr>
              <w:t>sales 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Net sales as</w:t>
            </w:r>
          </w:p>
        </w:tc>
        <w:tc>
          <w:tcPr>
            <w:tcW w:w="1660" w:type="dxa"/>
            <w:vAlign w:val="bottom"/>
          </w:tcPr>
          <w:p>
            <w:pPr>
              <w:jc w:val="center"/>
              <w:ind w:right="66"/>
              <w:spacing w:after="0"/>
              <w:rPr>
                <w:sz w:val="20"/>
                <w:szCs w:val="20"/>
                <w:color w:val="auto"/>
              </w:rPr>
            </w:pPr>
            <w:r>
              <w:rPr>
                <w:rFonts w:ascii="Arial" w:cs="Arial" w:eastAsia="Arial" w:hAnsi="Arial"/>
                <w:sz w:val="14"/>
                <w:szCs w:val="14"/>
                <w:b w:val="1"/>
                <w:bCs w:val="1"/>
                <w:color w:val="auto"/>
              </w:rPr>
              <w:t>currency</w:t>
            </w:r>
          </w:p>
        </w:tc>
      </w:tr>
      <w:tr>
        <w:trPr>
          <w:trHeight w:val="162"/>
        </w:trPr>
        <w:tc>
          <w:tcPr>
            <w:tcW w:w="3020" w:type="dxa"/>
            <w:vAlign w:val="bottom"/>
          </w:tcPr>
          <w:p>
            <w:pPr>
              <w:spacing w:after="0"/>
              <w:rPr>
                <w:sz w:val="14"/>
                <w:szCs w:val="14"/>
                <w:color w:val="auto"/>
              </w:rPr>
            </w:pPr>
          </w:p>
        </w:tc>
        <w:tc>
          <w:tcPr>
            <w:tcW w:w="2080" w:type="dxa"/>
            <w:vAlign w:val="bottom"/>
          </w:tcPr>
          <w:p>
            <w:pPr>
              <w:jc w:val="right"/>
              <w:ind w:right="383"/>
              <w:spacing w:after="0"/>
              <w:rPr>
                <w:sz w:val="20"/>
                <w:szCs w:val="20"/>
                <w:color w:val="auto"/>
              </w:rPr>
            </w:pPr>
            <w:r>
              <w:rPr>
                <w:rFonts w:ascii="Arial" w:cs="Arial" w:eastAsia="Arial" w:hAnsi="Arial"/>
                <w:sz w:val="14"/>
                <w:szCs w:val="14"/>
                <w:b w:val="1"/>
                <w:bCs w:val="1"/>
                <w:color w:val="auto"/>
              </w:rPr>
              <w:t>Net sales as</w:t>
            </w:r>
          </w:p>
        </w:tc>
        <w:tc>
          <w:tcPr>
            <w:tcW w:w="1480" w:type="dxa"/>
            <w:vAlign w:val="bottom"/>
          </w:tcPr>
          <w:p>
            <w:pPr>
              <w:jc w:val="center"/>
              <w:ind w:right="105"/>
              <w:spacing w:after="0"/>
              <w:rPr>
                <w:sz w:val="20"/>
                <w:szCs w:val="20"/>
                <w:color w:val="auto"/>
              </w:rPr>
            </w:pPr>
            <w:r>
              <w:rPr>
                <w:rFonts w:ascii="Arial" w:cs="Arial" w:eastAsia="Arial" w:hAnsi="Arial"/>
                <w:sz w:val="14"/>
                <w:szCs w:val="14"/>
                <w:b w:val="1"/>
                <w:bCs w:val="1"/>
                <w:color w:val="auto"/>
              </w:rPr>
              <w:t>translation</w:t>
            </w:r>
          </w:p>
        </w:tc>
        <w:tc>
          <w:tcPr>
            <w:tcW w:w="1540" w:type="dxa"/>
            <w:vAlign w:val="bottom"/>
          </w:tcPr>
          <w:p>
            <w:pPr>
              <w:jc w:val="center"/>
              <w:ind w:left="84"/>
              <w:spacing w:after="0"/>
              <w:rPr>
                <w:sz w:val="20"/>
                <w:szCs w:val="20"/>
                <w:color w:val="auto"/>
              </w:rPr>
            </w:pPr>
            <w:r>
              <w:rPr>
                <w:rFonts w:ascii="Arial" w:cs="Arial" w:eastAsia="Arial" w:hAnsi="Arial"/>
                <w:sz w:val="14"/>
                <w:szCs w:val="14"/>
                <w:b w:val="1"/>
                <w:bCs w:val="1"/>
                <w:color w:val="auto"/>
              </w:rPr>
              <w:t>same basis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reported,</w:t>
            </w:r>
          </w:p>
        </w:tc>
        <w:tc>
          <w:tcPr>
            <w:tcW w:w="1660" w:type="dxa"/>
            <w:vAlign w:val="bottom"/>
          </w:tcPr>
          <w:p>
            <w:pPr>
              <w:jc w:val="center"/>
              <w:ind w:right="46"/>
              <w:spacing w:after="0"/>
              <w:rPr>
                <w:sz w:val="20"/>
                <w:szCs w:val="20"/>
                <w:color w:val="auto"/>
              </w:rPr>
            </w:pPr>
            <w:r>
              <w:rPr>
                <w:rFonts w:ascii="Arial" w:cs="Arial" w:eastAsia="Arial" w:hAnsi="Arial"/>
                <w:sz w:val="14"/>
                <w:szCs w:val="14"/>
                <w:b w:val="1"/>
                <w:bCs w:val="1"/>
                <w:color w:val="auto"/>
              </w:rPr>
              <w:t>translation</w:t>
            </w:r>
          </w:p>
        </w:tc>
      </w:tr>
      <w:tr>
        <w:trPr>
          <w:trHeight w:val="175"/>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0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reported, Q1 2020</w:t>
            </w:r>
          </w:p>
        </w:tc>
        <w:tc>
          <w:tcPr>
            <w:tcW w:w="148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rates</w:t>
            </w:r>
          </w:p>
        </w:tc>
        <w:tc>
          <w:tcPr>
            <w:tcW w:w="154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b w:val="1"/>
                <w:bCs w:val="1"/>
                <w:color w:val="auto"/>
              </w:rPr>
              <w:t>as Q1 2019</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2019</w:t>
            </w:r>
          </w:p>
        </w:tc>
        <w:tc>
          <w:tcPr>
            <w:tcW w:w="166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rPr>
              <w:t>rates</w:t>
            </w:r>
          </w:p>
        </w:tc>
      </w:tr>
      <w:tr>
        <w:trPr>
          <w:trHeight w:val="164"/>
        </w:trPr>
        <w:tc>
          <w:tcPr>
            <w:tcW w:w="302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2080" w:type="dxa"/>
            <w:vAlign w:val="bottom"/>
          </w:tcPr>
          <w:p>
            <w:pPr>
              <w:jc w:val="right"/>
              <w:ind w:right="443"/>
              <w:spacing w:after="0" w:line="165" w:lineRule="exact"/>
              <w:rPr>
                <w:sz w:val="20"/>
                <w:szCs w:val="20"/>
                <w:color w:val="auto"/>
              </w:rPr>
            </w:pPr>
            <w:r>
              <w:rPr>
                <w:rFonts w:ascii="Arial" w:cs="Arial" w:eastAsia="Arial" w:hAnsi="Arial"/>
                <w:sz w:val="16"/>
                <w:szCs w:val="16"/>
                <w:b w:val="1"/>
                <w:bCs w:val="1"/>
                <w:color w:val="auto"/>
              </w:rPr>
              <w:t>$136,602</w:t>
            </w:r>
          </w:p>
        </w:tc>
        <w:tc>
          <w:tcPr>
            <w:tcW w:w="1480" w:type="dxa"/>
            <w:vAlign w:val="bottom"/>
          </w:tcPr>
          <w:p>
            <w:pPr>
              <w:jc w:val="right"/>
              <w:ind w:right="505"/>
              <w:spacing w:after="0" w:line="165" w:lineRule="exact"/>
              <w:rPr>
                <w:sz w:val="20"/>
                <w:szCs w:val="20"/>
                <w:color w:val="auto"/>
              </w:rPr>
            </w:pPr>
            <w:r>
              <w:rPr>
                <w:rFonts w:ascii="Arial" w:cs="Arial" w:eastAsia="Arial" w:hAnsi="Arial"/>
                <w:sz w:val="16"/>
                <w:szCs w:val="16"/>
                <w:color w:val="auto"/>
              </w:rPr>
              <w:t>$1,565</w:t>
            </w:r>
          </w:p>
        </w:tc>
        <w:tc>
          <w:tcPr>
            <w:tcW w:w="1540" w:type="dxa"/>
            <w:vAlign w:val="bottom"/>
          </w:tcPr>
          <w:p>
            <w:pPr>
              <w:jc w:val="right"/>
              <w:ind w:right="264"/>
              <w:spacing w:after="0" w:line="165" w:lineRule="exact"/>
              <w:rPr>
                <w:sz w:val="20"/>
                <w:szCs w:val="20"/>
                <w:color w:val="auto"/>
              </w:rPr>
            </w:pPr>
            <w:r>
              <w:rPr>
                <w:rFonts w:ascii="Arial" w:cs="Arial" w:eastAsia="Arial" w:hAnsi="Arial"/>
                <w:sz w:val="16"/>
                <w:szCs w:val="16"/>
                <w:color w:val="auto"/>
              </w:rPr>
              <w:t>$138,167</w:t>
            </w:r>
          </w:p>
        </w:tc>
        <w:tc>
          <w:tcPr>
            <w:tcW w:w="1460" w:type="dxa"/>
            <w:vAlign w:val="bottom"/>
          </w:tcPr>
          <w:p>
            <w:pPr>
              <w:jc w:val="right"/>
              <w:ind w:right="344"/>
              <w:spacing w:after="0" w:line="165" w:lineRule="exact"/>
              <w:rPr>
                <w:sz w:val="20"/>
                <w:szCs w:val="20"/>
                <w:color w:val="auto"/>
              </w:rPr>
            </w:pPr>
            <w:r>
              <w:rPr>
                <w:rFonts w:ascii="Arial" w:cs="Arial" w:eastAsia="Arial" w:hAnsi="Arial"/>
                <w:sz w:val="16"/>
                <w:szCs w:val="16"/>
                <w:color w:val="auto"/>
              </w:rPr>
              <w:t>$144,334</w:t>
            </w:r>
          </w:p>
        </w:tc>
        <w:tc>
          <w:tcPr>
            <w:tcW w:w="1660" w:type="dxa"/>
            <w:vAlign w:val="bottom"/>
          </w:tcPr>
          <w:p>
            <w:pPr>
              <w:jc w:val="right"/>
              <w:ind w:right="526"/>
              <w:spacing w:after="0" w:line="165" w:lineRule="exact"/>
              <w:rPr>
                <w:sz w:val="20"/>
                <w:szCs w:val="20"/>
                <w:color w:val="auto"/>
              </w:rPr>
            </w:pPr>
            <w:r>
              <w:rPr>
                <w:rFonts w:ascii="Arial" w:cs="Arial" w:eastAsia="Arial" w:hAnsi="Arial"/>
                <w:sz w:val="16"/>
                <w:szCs w:val="16"/>
                <w:color w:val="auto"/>
              </w:rPr>
              <w:t>-4.3%</w:t>
            </w:r>
          </w:p>
        </w:tc>
      </w:tr>
      <w:tr>
        <w:trPr>
          <w:trHeight w:val="207"/>
        </w:trPr>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Albany Engineered Composites</w:t>
            </w:r>
          </w:p>
        </w:tc>
        <w:tc>
          <w:tcPr>
            <w:tcW w:w="2080" w:type="dxa"/>
            <w:vAlign w:val="bottom"/>
            <w:tcBorders>
              <w:bottom w:val="single" w:sz="8" w:color="auto"/>
            </w:tcBorders>
          </w:tcPr>
          <w:p>
            <w:pPr>
              <w:jc w:val="right"/>
              <w:ind w:right="463"/>
              <w:spacing w:after="0"/>
              <w:rPr>
                <w:sz w:val="20"/>
                <w:szCs w:val="20"/>
                <w:color w:val="auto"/>
              </w:rPr>
            </w:pPr>
            <w:r>
              <w:rPr>
                <w:rFonts w:ascii="Arial" w:cs="Arial" w:eastAsia="Arial" w:hAnsi="Arial"/>
                <w:sz w:val="16"/>
                <w:szCs w:val="16"/>
                <w:b w:val="1"/>
                <w:bCs w:val="1"/>
                <w:color w:val="auto"/>
              </w:rPr>
              <w:t>99,162</w:t>
            </w:r>
          </w:p>
        </w:tc>
        <w:tc>
          <w:tcPr>
            <w:tcW w:w="1480" w:type="dxa"/>
            <w:vAlign w:val="bottom"/>
            <w:tcBorders>
              <w:bottom w:val="single" w:sz="8" w:color="auto"/>
            </w:tcBorders>
          </w:tcPr>
          <w:p>
            <w:pPr>
              <w:jc w:val="right"/>
              <w:ind w:right="505"/>
              <w:spacing w:after="0"/>
              <w:rPr>
                <w:sz w:val="20"/>
                <w:szCs w:val="20"/>
                <w:color w:val="auto"/>
              </w:rPr>
            </w:pPr>
            <w:r>
              <w:rPr>
                <w:rFonts w:ascii="Arial" w:cs="Arial" w:eastAsia="Arial" w:hAnsi="Arial"/>
                <w:sz w:val="16"/>
                <w:szCs w:val="16"/>
                <w:color w:val="auto"/>
              </w:rPr>
              <w:t>547</w:t>
            </w:r>
          </w:p>
        </w:tc>
        <w:tc>
          <w:tcPr>
            <w:tcW w:w="15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99,709</w:t>
            </w:r>
          </w:p>
        </w:tc>
        <w:tc>
          <w:tcPr>
            <w:tcW w:w="14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107,039</w:t>
            </w:r>
          </w:p>
        </w:tc>
        <w:tc>
          <w:tcPr>
            <w:tcW w:w="1660" w:type="dxa"/>
            <w:vAlign w:val="bottom"/>
            <w:tcBorders>
              <w:bottom w:val="single" w:sz="8" w:color="auto"/>
            </w:tcBorders>
          </w:tcPr>
          <w:p>
            <w:pPr>
              <w:jc w:val="right"/>
              <w:ind w:right="526"/>
              <w:spacing w:after="0"/>
              <w:rPr>
                <w:sz w:val="20"/>
                <w:szCs w:val="20"/>
                <w:color w:val="auto"/>
              </w:rPr>
            </w:pPr>
            <w:r>
              <w:rPr>
                <w:rFonts w:ascii="Arial" w:cs="Arial" w:eastAsia="Arial" w:hAnsi="Arial"/>
                <w:sz w:val="16"/>
                <w:szCs w:val="16"/>
                <w:color w:val="auto"/>
              </w:rPr>
              <w:t>-6.8%</w:t>
            </w:r>
          </w:p>
        </w:tc>
      </w:tr>
      <w:tr>
        <w:trPr>
          <w:trHeight w:val="183"/>
        </w:trPr>
        <w:tc>
          <w:tcPr>
            <w:tcW w:w="30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2080" w:type="dxa"/>
            <w:vAlign w:val="bottom"/>
            <w:tcBorders>
              <w:bottom w:val="single" w:sz="8" w:color="auto"/>
            </w:tcBorders>
          </w:tcPr>
          <w:p>
            <w:pPr>
              <w:jc w:val="right"/>
              <w:ind w:right="443"/>
              <w:spacing w:after="0" w:line="183" w:lineRule="exact"/>
              <w:rPr>
                <w:sz w:val="20"/>
                <w:szCs w:val="20"/>
                <w:color w:val="auto"/>
              </w:rPr>
            </w:pPr>
            <w:r>
              <w:rPr>
                <w:rFonts w:ascii="Arial" w:cs="Arial" w:eastAsia="Arial" w:hAnsi="Arial"/>
                <w:sz w:val="16"/>
                <w:szCs w:val="16"/>
                <w:b w:val="1"/>
                <w:bCs w:val="1"/>
                <w:color w:val="auto"/>
              </w:rPr>
              <w:t>$235,764</w:t>
            </w:r>
          </w:p>
        </w:tc>
        <w:tc>
          <w:tcPr>
            <w:tcW w:w="1480" w:type="dxa"/>
            <w:vAlign w:val="bottom"/>
            <w:tcBorders>
              <w:bottom w:val="single" w:sz="8" w:color="auto"/>
            </w:tcBorders>
          </w:tcPr>
          <w:p>
            <w:pPr>
              <w:jc w:val="center"/>
              <w:ind w:right="105"/>
              <w:spacing w:after="0" w:line="183" w:lineRule="exact"/>
              <w:rPr>
                <w:sz w:val="20"/>
                <w:szCs w:val="20"/>
                <w:color w:val="auto"/>
              </w:rPr>
            </w:pPr>
            <w:r>
              <w:rPr>
                <w:rFonts w:ascii="Arial" w:cs="Arial" w:eastAsia="Arial" w:hAnsi="Arial"/>
                <w:sz w:val="16"/>
                <w:szCs w:val="16"/>
                <w:color w:val="auto"/>
              </w:rPr>
              <w:t>$ 2,112</w:t>
            </w:r>
          </w:p>
        </w:tc>
        <w:tc>
          <w:tcPr>
            <w:tcW w:w="1540" w:type="dxa"/>
            <w:vAlign w:val="bottom"/>
            <w:tcBorders>
              <w:bottom w:val="single" w:sz="8" w:color="auto"/>
            </w:tcBorders>
          </w:tcPr>
          <w:p>
            <w:pPr>
              <w:jc w:val="right"/>
              <w:ind w:right="264"/>
              <w:spacing w:after="0" w:line="183" w:lineRule="exact"/>
              <w:rPr>
                <w:sz w:val="20"/>
                <w:szCs w:val="20"/>
                <w:color w:val="auto"/>
              </w:rPr>
            </w:pPr>
            <w:r>
              <w:rPr>
                <w:rFonts w:ascii="Arial" w:cs="Arial" w:eastAsia="Arial" w:hAnsi="Arial"/>
                <w:sz w:val="16"/>
                <w:szCs w:val="16"/>
                <w:color w:val="auto"/>
              </w:rPr>
              <w:t>$237,876</w:t>
            </w:r>
          </w:p>
        </w:tc>
        <w:tc>
          <w:tcPr>
            <w:tcW w:w="1460" w:type="dxa"/>
            <w:vAlign w:val="bottom"/>
            <w:tcBorders>
              <w:bottom w:val="single" w:sz="8" w:color="auto"/>
            </w:tcBorders>
          </w:tcPr>
          <w:p>
            <w:pPr>
              <w:jc w:val="right"/>
              <w:ind w:right="344"/>
              <w:spacing w:after="0" w:line="183" w:lineRule="exact"/>
              <w:rPr>
                <w:sz w:val="20"/>
                <w:szCs w:val="20"/>
                <w:color w:val="auto"/>
              </w:rPr>
            </w:pPr>
            <w:r>
              <w:rPr>
                <w:rFonts w:ascii="Arial" w:cs="Arial" w:eastAsia="Arial" w:hAnsi="Arial"/>
                <w:sz w:val="16"/>
                <w:szCs w:val="16"/>
                <w:color w:val="auto"/>
              </w:rPr>
              <w:t>$251,373</w:t>
            </w:r>
          </w:p>
        </w:tc>
        <w:tc>
          <w:tcPr>
            <w:tcW w:w="1660" w:type="dxa"/>
            <w:vAlign w:val="bottom"/>
            <w:tcBorders>
              <w:bottom w:val="single" w:sz="8" w:color="auto"/>
            </w:tcBorders>
          </w:tcPr>
          <w:p>
            <w:pPr>
              <w:jc w:val="right"/>
              <w:ind w:right="526"/>
              <w:spacing w:after="0" w:line="183" w:lineRule="exact"/>
              <w:rPr>
                <w:sz w:val="20"/>
                <w:szCs w:val="20"/>
                <w:color w:val="auto"/>
              </w:rPr>
            </w:pPr>
            <w:r>
              <w:rPr>
                <w:rFonts w:ascii="Arial" w:cs="Arial" w:eastAsia="Arial" w:hAnsi="Arial"/>
                <w:sz w:val="16"/>
                <w:szCs w:val="16"/>
                <w:color w:val="auto"/>
              </w:rPr>
              <w:t>-5.4%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72" w:lineRule="exact"/>
        <w:rPr>
          <w:sz w:val="20"/>
          <w:szCs w:val="20"/>
          <w:color w:val="auto"/>
        </w:rPr>
      </w:pPr>
    </w:p>
    <w:p>
      <w:pPr>
        <w:ind w:left="580" w:hanging="248"/>
        <w:spacing w:after="0" w:line="246"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$2.1 million during the first quarter of 2020, as compared to 2019, principally due to the weaker euro in 2020.</w:t>
      </w:r>
    </w:p>
    <w:p>
      <w:pPr>
        <w:spacing w:after="0" w:line="48"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49" w:lineRule="exact"/>
        <w:rPr>
          <w:rFonts w:ascii="Arial" w:cs="Arial" w:eastAsia="Arial" w:hAnsi="Arial"/>
          <w:sz w:val="18"/>
          <w:szCs w:val="18"/>
          <w:color w:val="auto"/>
        </w:rPr>
      </w:pPr>
    </w:p>
    <w:p>
      <w:pPr>
        <w:ind w:left="840" w:hanging="256"/>
        <w:spacing w:after="0"/>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decreased 5.4% compared to the same period in 2019.</w:t>
      </w:r>
    </w:p>
    <w:p>
      <w:pPr>
        <w:spacing w:after="0" w:line="49" w:lineRule="exact"/>
        <w:rPr>
          <w:rFonts w:ascii="Arial" w:cs="Arial" w:eastAsia="Arial" w:hAnsi="Arial"/>
          <w:sz w:val="18"/>
          <w:szCs w:val="18"/>
          <w:color w:val="auto"/>
        </w:rPr>
      </w:pPr>
    </w:p>
    <w:p>
      <w:pPr>
        <w:ind w:left="840" w:hanging="256"/>
        <w:spacing w:after="0" w:line="246"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in MC decreased 4.3% compared to the first quarter of 2019. A decline in the publication and tissue grades sales were partially offset by a modest net increase in packaging grades.</w:t>
      </w:r>
    </w:p>
    <w:p>
      <w:pPr>
        <w:spacing w:after="0" w:line="48" w:lineRule="exact"/>
        <w:rPr>
          <w:rFonts w:ascii="Arial" w:cs="Arial" w:eastAsia="Arial" w:hAnsi="Arial"/>
          <w:sz w:val="18"/>
          <w:szCs w:val="18"/>
          <w:color w:val="auto"/>
        </w:rPr>
      </w:pPr>
    </w:p>
    <w:p>
      <w:pPr>
        <w:ind w:left="840" w:hanging="256"/>
        <w:spacing w:after="0" w:line="246"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in AEC decreased 6.8% primarily driven by decline in LEAP program sales, which is consistent with the outlook for this program provided by the Company in its last quarterly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48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80" w:type="dxa"/>
            <w:vAlign w:val="bottom"/>
            <w:tcBorders>
              <w:bottom w:val="single" w:sz="8" w:color="auto"/>
            </w:tcBorders>
            <w:vMerge w:val="continue"/>
          </w:tcPr>
          <w:p>
            <w:pPr>
              <w:spacing w:after="0"/>
              <w:rPr>
                <w:sz w:val="13"/>
                <w:szCs w:val="13"/>
                <w:color w:val="auto"/>
              </w:rPr>
            </w:pPr>
          </w:p>
        </w:tc>
        <w:tc>
          <w:tcPr>
            <w:tcW w:w="1760" w:type="dxa"/>
            <w:vAlign w:val="bottom"/>
            <w:tcBorders>
              <w:bottom w:val="single" w:sz="8" w:color="auto"/>
            </w:tcBorders>
          </w:tcPr>
          <w:p>
            <w:pPr>
              <w:jc w:val="right"/>
              <w:ind w:right="823"/>
              <w:spacing w:after="0" w:line="155" w:lineRule="exact"/>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648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1760" w:type="dxa"/>
            <w:vAlign w:val="bottom"/>
          </w:tcPr>
          <w:p>
            <w:pPr>
              <w:jc w:val="right"/>
              <w:ind w:right="683"/>
              <w:spacing w:after="0" w:line="165" w:lineRule="exact"/>
              <w:rPr>
                <w:sz w:val="20"/>
                <w:szCs w:val="20"/>
                <w:color w:val="auto"/>
              </w:rPr>
            </w:pPr>
            <w:r>
              <w:rPr>
                <w:rFonts w:ascii="Arial" w:cs="Arial" w:eastAsia="Arial" w:hAnsi="Arial"/>
                <w:sz w:val="16"/>
                <w:szCs w:val="16"/>
                <w:b w:val="1"/>
                <w:bCs w:val="1"/>
                <w:color w:val="auto"/>
              </w:rPr>
              <w:t>$72,652</w:t>
            </w:r>
          </w:p>
        </w:tc>
        <w:tc>
          <w:tcPr>
            <w:tcW w:w="1020" w:type="dxa"/>
            <w:vAlign w:val="bottom"/>
          </w:tcPr>
          <w:p>
            <w:pPr>
              <w:jc w:val="right"/>
              <w:ind w:right="321"/>
              <w:spacing w:after="0" w:line="165" w:lineRule="exact"/>
              <w:rPr>
                <w:sz w:val="20"/>
                <w:szCs w:val="20"/>
                <w:color w:val="auto"/>
              </w:rPr>
            </w:pPr>
            <w:r>
              <w:rPr>
                <w:rFonts w:ascii="Arial" w:cs="Arial" w:eastAsia="Arial" w:hAnsi="Arial"/>
                <w:sz w:val="16"/>
                <w:szCs w:val="16"/>
                <w:color w:val="auto"/>
              </w:rPr>
              <w:t>$74,528</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Albany Engineered Composites</w:t>
            </w:r>
          </w:p>
        </w:tc>
        <w:tc>
          <w:tcPr>
            <w:tcW w:w="1760" w:type="dxa"/>
            <w:vAlign w:val="bottom"/>
            <w:tcBorders>
              <w:bottom w:val="single" w:sz="8" w:color="auto"/>
            </w:tcBorders>
          </w:tcPr>
          <w:p>
            <w:pPr>
              <w:jc w:val="right"/>
              <w:ind w:right="683"/>
              <w:spacing w:after="0"/>
              <w:rPr>
                <w:sz w:val="20"/>
                <w:szCs w:val="20"/>
                <w:color w:val="auto"/>
              </w:rPr>
            </w:pPr>
            <w:r>
              <w:rPr>
                <w:rFonts w:ascii="Arial" w:cs="Arial" w:eastAsia="Arial" w:hAnsi="Arial"/>
                <w:sz w:val="16"/>
                <w:szCs w:val="16"/>
                <w:b w:val="1"/>
                <w:bCs w:val="1"/>
                <w:color w:val="auto"/>
              </w:rPr>
              <w:t>16,820</w:t>
            </w: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17,243</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1760" w:type="dxa"/>
            <w:vAlign w:val="bottom"/>
            <w:tcBorders>
              <w:bottom w:val="single" w:sz="8" w:color="auto"/>
            </w:tcBorders>
          </w:tcPr>
          <w:p>
            <w:pPr>
              <w:jc w:val="right"/>
              <w:ind w:right="683"/>
              <w:spacing w:after="0" w:line="183" w:lineRule="exact"/>
              <w:rPr>
                <w:sz w:val="20"/>
                <w:szCs w:val="20"/>
                <w:color w:val="auto"/>
              </w:rPr>
            </w:pPr>
            <w:r>
              <w:rPr>
                <w:rFonts w:ascii="Arial" w:cs="Arial" w:eastAsia="Arial" w:hAnsi="Arial"/>
                <w:sz w:val="16"/>
                <w:szCs w:val="16"/>
                <w:b w:val="1"/>
                <w:bCs w:val="1"/>
                <w:color w:val="auto"/>
              </w:rPr>
              <w:t>$89,472</w:t>
            </w:r>
          </w:p>
        </w:tc>
        <w:tc>
          <w:tcPr>
            <w:tcW w:w="1020" w:type="dxa"/>
            <w:vAlign w:val="bottom"/>
            <w:tcBorders>
              <w:bottom w:val="single" w:sz="8" w:color="auto"/>
            </w:tcBorders>
          </w:tcPr>
          <w:p>
            <w:pPr>
              <w:jc w:val="right"/>
              <w:ind w:right="321"/>
              <w:spacing w:after="0" w:line="183" w:lineRule="exact"/>
              <w:rPr>
                <w:sz w:val="20"/>
                <w:szCs w:val="20"/>
                <w:color w:val="auto"/>
              </w:rPr>
            </w:pPr>
            <w:r>
              <w:rPr>
                <w:rFonts w:ascii="Arial" w:cs="Arial" w:eastAsia="Arial" w:hAnsi="Arial"/>
                <w:sz w:val="16"/>
                <w:szCs w:val="16"/>
                <w:color w:val="auto"/>
              </w:rPr>
              <w:t>$91,771</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 of Net sales</w:t>
            </w:r>
          </w:p>
        </w:tc>
        <w:tc>
          <w:tcPr>
            <w:tcW w:w="1760" w:type="dxa"/>
            <w:vAlign w:val="bottom"/>
            <w:tcBorders>
              <w:bottom w:val="single" w:sz="8" w:color="auto"/>
            </w:tcBorders>
          </w:tcPr>
          <w:p>
            <w:pPr>
              <w:ind w:left="680"/>
              <w:spacing w:after="0" w:line="183" w:lineRule="exact"/>
              <w:rPr>
                <w:sz w:val="20"/>
                <w:szCs w:val="20"/>
                <w:color w:val="auto"/>
              </w:rPr>
            </w:pPr>
            <w:r>
              <w:rPr>
                <w:rFonts w:ascii="Arial" w:cs="Arial" w:eastAsia="Arial" w:hAnsi="Arial"/>
                <w:sz w:val="16"/>
                <w:szCs w:val="16"/>
                <w:b w:val="1"/>
                <w:bCs w:val="1"/>
                <w:color w:val="auto"/>
              </w:rPr>
              <w:t>37.9%</w:t>
            </w:r>
          </w:p>
        </w:tc>
        <w:tc>
          <w:tcPr>
            <w:tcW w:w="102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decrease in 2020 Gross profit, as compared to the same period in 2019, was principally due to the effect of lower Net sales in both segments, partially offset by an increase in gross profit as a percentage of sales. Gross profit as a percentage of sales:</w:t>
      </w:r>
    </w:p>
    <w:p>
      <w:pPr>
        <w:spacing w:after="0" w:line="48" w:lineRule="exact"/>
        <w:rPr>
          <w:sz w:val="20"/>
          <w:szCs w:val="20"/>
          <w:color w:val="auto"/>
        </w:rPr>
      </w:pPr>
    </w:p>
    <w:p>
      <w:pPr>
        <w:jc w:val="both"/>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from 51.6% in 2019 to 53.2% in 2020 in Machine Clothing, principally due to lower depreciation expense. The Company’s two plants in China incurred some disruption related to the COVID-19 pandemic, but the net impact to gross profit for the first quarter of 2020 was not material.</w:t>
      </w:r>
    </w:p>
    <w:p>
      <w:pPr>
        <w:spacing w:after="0" w:line="40"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from 16.1% in 2019 to 17.0% in 2020 in AEC, principally due to favorable shift in the mix of program revenue.</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in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Selling, Technical, General and Research (STG&amp;R) expenses include; selling, general, administrative, technical and research expenses.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48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480" w:type="dxa"/>
            <w:vAlign w:val="bottom"/>
            <w:tcBorders>
              <w:bottom w:val="single" w:sz="8" w:color="auto"/>
            </w:tcBorders>
            <w:vMerge w:val="continue"/>
          </w:tcPr>
          <w:p>
            <w:pPr>
              <w:spacing w:after="0"/>
              <w:rPr>
                <w:sz w:val="13"/>
                <w:szCs w:val="13"/>
                <w:color w:val="auto"/>
              </w:rPr>
            </w:pPr>
          </w:p>
        </w:tc>
        <w:tc>
          <w:tcPr>
            <w:tcW w:w="1760" w:type="dxa"/>
            <w:vAlign w:val="bottom"/>
            <w:tcBorders>
              <w:bottom w:val="single" w:sz="8" w:color="auto"/>
            </w:tcBorders>
          </w:tcPr>
          <w:p>
            <w:pPr>
              <w:jc w:val="right"/>
              <w:ind w:right="822"/>
              <w:spacing w:after="0" w:line="155" w:lineRule="exact"/>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648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1760" w:type="dxa"/>
            <w:vAlign w:val="bottom"/>
          </w:tcPr>
          <w:p>
            <w:pPr>
              <w:jc w:val="right"/>
              <w:ind w:right="682"/>
              <w:spacing w:after="0" w:line="165" w:lineRule="exact"/>
              <w:rPr>
                <w:sz w:val="20"/>
                <w:szCs w:val="20"/>
                <w:color w:val="auto"/>
              </w:rPr>
            </w:pPr>
            <w:r>
              <w:rPr>
                <w:rFonts w:ascii="Arial" w:cs="Arial" w:eastAsia="Arial" w:hAnsi="Arial"/>
                <w:sz w:val="16"/>
                <w:szCs w:val="16"/>
                <w:b w:val="1"/>
                <w:bCs w:val="1"/>
                <w:color w:val="auto"/>
              </w:rPr>
              <w:t>$24,835</w:t>
            </w:r>
          </w:p>
        </w:tc>
        <w:tc>
          <w:tcPr>
            <w:tcW w:w="1020" w:type="dxa"/>
            <w:vAlign w:val="bottom"/>
          </w:tcPr>
          <w:p>
            <w:pPr>
              <w:jc w:val="right"/>
              <w:ind w:right="321"/>
              <w:spacing w:after="0" w:line="165" w:lineRule="exact"/>
              <w:rPr>
                <w:sz w:val="20"/>
                <w:szCs w:val="20"/>
                <w:color w:val="auto"/>
              </w:rPr>
            </w:pPr>
            <w:r>
              <w:rPr>
                <w:rFonts w:ascii="Arial" w:cs="Arial" w:eastAsia="Arial" w:hAnsi="Arial"/>
                <w:sz w:val="16"/>
                <w:szCs w:val="16"/>
                <w:color w:val="auto"/>
              </w:rPr>
              <w:t>$29,886</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1760" w:type="dxa"/>
            <w:vAlign w:val="bottom"/>
          </w:tcPr>
          <w:p>
            <w:pPr>
              <w:jc w:val="right"/>
              <w:ind w:right="682"/>
              <w:spacing w:after="0"/>
              <w:rPr>
                <w:sz w:val="20"/>
                <w:szCs w:val="20"/>
                <w:color w:val="auto"/>
              </w:rPr>
            </w:pPr>
            <w:r>
              <w:rPr>
                <w:rFonts w:ascii="Arial" w:cs="Arial" w:eastAsia="Arial" w:hAnsi="Arial"/>
                <w:sz w:val="16"/>
                <w:szCs w:val="16"/>
                <w:b w:val="1"/>
                <w:bCs w:val="1"/>
                <w:color w:val="auto"/>
              </w:rPr>
              <w:t>9,197</w:t>
            </w:r>
          </w:p>
        </w:tc>
        <w:tc>
          <w:tcPr>
            <w:tcW w:w="1020" w:type="dxa"/>
            <w:vAlign w:val="bottom"/>
          </w:tcPr>
          <w:p>
            <w:pPr>
              <w:jc w:val="right"/>
              <w:ind w:right="321"/>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176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15,204</w:t>
            </w: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13,671</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1760" w:type="dxa"/>
            <w:vAlign w:val="bottom"/>
            <w:tcBorders>
              <w:bottom w:val="single" w:sz="8" w:color="auto"/>
            </w:tcBorders>
          </w:tcPr>
          <w:p>
            <w:pPr>
              <w:jc w:val="right"/>
              <w:ind w:right="682"/>
              <w:spacing w:after="0" w:line="183" w:lineRule="exact"/>
              <w:rPr>
                <w:sz w:val="20"/>
                <w:szCs w:val="20"/>
                <w:color w:val="auto"/>
              </w:rPr>
            </w:pPr>
            <w:r>
              <w:rPr>
                <w:rFonts w:ascii="Arial" w:cs="Arial" w:eastAsia="Arial" w:hAnsi="Arial"/>
                <w:sz w:val="16"/>
                <w:szCs w:val="16"/>
                <w:b w:val="1"/>
                <w:bCs w:val="1"/>
                <w:color w:val="auto"/>
              </w:rPr>
              <w:t>$49,236</w:t>
            </w:r>
          </w:p>
        </w:tc>
        <w:tc>
          <w:tcPr>
            <w:tcW w:w="1020" w:type="dxa"/>
            <w:vAlign w:val="bottom"/>
            <w:tcBorders>
              <w:bottom w:val="single" w:sz="8" w:color="auto"/>
            </w:tcBorders>
          </w:tcPr>
          <w:p>
            <w:pPr>
              <w:jc w:val="right"/>
              <w:ind w:right="321"/>
              <w:spacing w:after="0" w:line="183" w:lineRule="exact"/>
              <w:rPr>
                <w:sz w:val="20"/>
                <w:szCs w:val="20"/>
                <w:color w:val="auto"/>
              </w:rPr>
            </w:pPr>
            <w:r>
              <w:rPr>
                <w:rFonts w:ascii="Arial" w:cs="Arial" w:eastAsia="Arial" w:hAnsi="Arial"/>
                <w:sz w:val="16"/>
                <w:szCs w:val="16"/>
                <w:color w:val="auto"/>
              </w:rPr>
              <w:t>$51,194</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 of Net sales</w:t>
            </w:r>
          </w:p>
        </w:tc>
        <w:tc>
          <w:tcPr>
            <w:tcW w:w="1760" w:type="dxa"/>
            <w:vAlign w:val="bottom"/>
            <w:tcBorders>
              <w:bottom w:val="single" w:sz="8" w:color="auto"/>
            </w:tcBorders>
          </w:tcPr>
          <w:p>
            <w:pPr>
              <w:ind w:left="680"/>
              <w:spacing w:after="0" w:line="183" w:lineRule="exact"/>
              <w:rPr>
                <w:sz w:val="20"/>
                <w:szCs w:val="20"/>
                <w:color w:val="auto"/>
              </w:rPr>
            </w:pPr>
            <w:r>
              <w:rPr>
                <w:rFonts w:ascii="Arial" w:cs="Arial" w:eastAsia="Arial" w:hAnsi="Arial"/>
                <w:sz w:val="16"/>
                <w:szCs w:val="16"/>
                <w:b w:val="1"/>
                <w:bCs w:val="1"/>
                <w:color w:val="auto"/>
              </w:rPr>
              <w:t>20.9%</w:t>
            </w:r>
          </w:p>
        </w:tc>
        <w:tc>
          <w:tcPr>
            <w:tcW w:w="102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overall decrease in STG&amp;R expenses in the first quarter of 2020, compared to the same period in 2019, was principally due to the net effect of the following individually significant items:</w:t>
      </w:r>
    </w:p>
    <w:p>
      <w:pPr>
        <w:spacing w:after="0" w:line="35" w:lineRule="exact"/>
        <w:rPr>
          <w:sz w:val="20"/>
          <w:szCs w:val="20"/>
          <w:color w:val="auto"/>
        </w:rPr>
      </w:pPr>
    </w:p>
    <w:p>
      <w:pPr>
        <w:jc w:val="both"/>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MC, revaluation of nonfunctional currency assets and liabilities resulted in first-quarter gain of $3.7 million in 2020, compared to a negligible effect in 2019. This was partially offset by a charge of $1.0 million in the first quarter of 2020 for additional estimated credit losses recognized in accordance with ASC 326.</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40" w:lineRule="exact"/>
        <w:rPr>
          <w:sz w:val="20"/>
          <w:szCs w:val="20"/>
          <w:color w:val="auto"/>
        </w:rPr>
      </w:pPr>
    </w:p>
    <w:p>
      <w:pPr>
        <w:ind w:left="580" w:hanging="248"/>
        <w:spacing w:after="0" w:line="246"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AEC, STG&amp;R expenses increased due to infrastructure needed to support the recent growth in business, and a charge of $0.5 million in the first quarter of 2020 for additional estimated credit losses recognized in accordance with ASC 326.</w:t>
      </w:r>
    </w:p>
    <w:p>
      <w:pPr>
        <w:spacing w:after="0" w:line="34" w:lineRule="exact"/>
        <w:rPr>
          <w:rFonts w:ascii="Arial" w:cs="Arial" w:eastAsia="Arial" w:hAnsi="Arial"/>
          <w:sz w:val="18"/>
          <w:szCs w:val="18"/>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STG&amp;R expenses increased principally due to former CEO termination costs.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26"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costs of $0.6 million in the first three months of 2020, and $0.5 million for the same period in 2019.</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restructuring expenses by business segment:</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48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2"/>
          </w:tcPr>
          <w:p>
            <w:pPr>
              <w:jc w:val="right"/>
              <w:ind w:right="60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98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64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2020</w:t>
            </w:r>
          </w:p>
        </w:tc>
        <w:tc>
          <w:tcPr>
            <w:tcW w:w="180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648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980" w:type="dxa"/>
            <w:vAlign w:val="bottom"/>
          </w:tcPr>
          <w:p>
            <w:pPr>
              <w:jc w:val="right"/>
              <w:ind w:right="22"/>
              <w:spacing w:after="0" w:line="165" w:lineRule="exact"/>
              <w:rPr>
                <w:sz w:val="20"/>
                <w:szCs w:val="20"/>
                <w:color w:val="auto"/>
              </w:rPr>
            </w:pPr>
            <w:r>
              <w:rPr>
                <w:rFonts w:ascii="Arial" w:cs="Arial" w:eastAsia="Arial" w:hAnsi="Arial"/>
                <w:sz w:val="16"/>
                <w:szCs w:val="16"/>
                <w:b w:val="1"/>
                <w:bCs w:val="1"/>
                <w:color w:val="auto"/>
              </w:rPr>
              <w:t>$642</w:t>
            </w:r>
          </w:p>
        </w:tc>
        <w:tc>
          <w:tcPr>
            <w:tcW w:w="1800" w:type="dxa"/>
            <w:vAlign w:val="bottom"/>
          </w:tcPr>
          <w:p>
            <w:pPr>
              <w:jc w:val="right"/>
              <w:ind w:right="442"/>
              <w:spacing w:after="0" w:line="165" w:lineRule="exact"/>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1800" w:type="dxa"/>
            <w:vAlign w:val="bottom"/>
          </w:tcPr>
          <w:p>
            <w:pPr>
              <w:jc w:val="right"/>
              <w:ind w:right="442"/>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b w:val="1"/>
                <w:bCs w:val="1"/>
                <w:color w:val="auto"/>
              </w:rPr>
              <w:t>$642</w:t>
            </w:r>
          </w:p>
        </w:tc>
        <w:tc>
          <w:tcPr>
            <w:tcW w:w="1800" w:type="dxa"/>
            <w:vAlign w:val="bottom"/>
            <w:tcBorders>
              <w:bottom w:val="single" w:sz="8" w:color="auto"/>
            </w:tcBorders>
          </w:tcPr>
          <w:p>
            <w:pPr>
              <w:jc w:val="right"/>
              <w:ind w:right="442"/>
              <w:spacing w:after="0" w:line="183" w:lineRule="exact"/>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Machine Clothing restructuring includes expenses for the first three months of 2020 and 2019 principally related to discontinued operations at its production facility in Sélestat, France announced in 2017. The restructuring program was driven by the Company’s need to balance manufacturing capacity with demand. Since 2017, we have recorded $13.1 million of restructuring charges related to this action. Annual cost savings associated with this action has resulted in lower cost of goods sold.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4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3"/>
          </w:tcPr>
          <w:p>
            <w:pPr>
              <w:jc w:val="center"/>
              <w:ind w:right="38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503"/>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8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648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46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w:t>
            </w:r>
          </w:p>
        </w:tc>
        <w:tc>
          <w:tcPr>
            <w:tcW w:w="1280" w:type="dxa"/>
            <w:vAlign w:val="bottom"/>
          </w:tcPr>
          <w:p>
            <w:pPr>
              <w:ind w:left="80"/>
              <w:spacing w:after="0" w:line="165" w:lineRule="exact"/>
              <w:rPr>
                <w:sz w:val="20"/>
                <w:szCs w:val="20"/>
                <w:color w:val="auto"/>
              </w:rPr>
            </w:pPr>
            <w:r>
              <w:rPr>
                <w:rFonts w:ascii="Arial" w:cs="Arial" w:eastAsia="Arial" w:hAnsi="Arial"/>
                <w:sz w:val="16"/>
                <w:szCs w:val="16"/>
                <w:b w:val="1"/>
                <w:bCs w:val="1"/>
                <w:color w:val="auto"/>
              </w:rPr>
              <w:t>47,175</w:t>
            </w:r>
          </w:p>
        </w:tc>
        <w:tc>
          <w:tcPr>
            <w:tcW w:w="100" w:type="dxa"/>
            <w:vAlign w:val="bottom"/>
          </w:tcPr>
          <w:p>
            <w:pPr>
              <w:jc w:val="right"/>
              <w:spacing w:after="0" w:line="165" w:lineRule="exact"/>
              <w:rPr>
                <w:sz w:val="20"/>
                <w:szCs w:val="20"/>
                <w:color w:val="auto"/>
              </w:rPr>
            </w:pPr>
            <w:r>
              <w:rPr>
                <w:rFonts w:ascii="Arial" w:cs="Arial" w:eastAsia="Arial" w:hAnsi="Arial"/>
                <w:sz w:val="16"/>
                <w:szCs w:val="16"/>
                <w:color w:val="auto"/>
                <w:w w:val="89"/>
              </w:rPr>
              <w:t>$</w:t>
            </w:r>
          </w:p>
        </w:tc>
        <w:tc>
          <w:tcPr>
            <w:tcW w:w="940" w:type="dxa"/>
            <w:vAlign w:val="bottom"/>
          </w:tcPr>
          <w:p>
            <w:pPr>
              <w:ind w:left="80"/>
              <w:spacing w:after="0" w:line="165" w:lineRule="exact"/>
              <w:rPr>
                <w:sz w:val="20"/>
                <w:szCs w:val="20"/>
                <w:color w:val="auto"/>
              </w:rPr>
            </w:pPr>
            <w:r>
              <w:rPr>
                <w:rFonts w:ascii="Arial" w:cs="Arial" w:eastAsia="Arial" w:hAnsi="Arial"/>
                <w:sz w:val="16"/>
                <w:szCs w:val="16"/>
                <w:color w:val="auto"/>
              </w:rPr>
              <w:t>44,243</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460" w:type="dxa"/>
            <w:vAlign w:val="bottom"/>
          </w:tcPr>
          <w:p>
            <w:pPr>
              <w:spacing w:after="0"/>
              <w:rPr>
                <w:sz w:val="16"/>
                <w:szCs w:val="16"/>
                <w:color w:val="auto"/>
              </w:rPr>
            </w:pPr>
          </w:p>
        </w:tc>
        <w:tc>
          <w:tcPr>
            <w:tcW w:w="1280" w:type="dxa"/>
            <w:vAlign w:val="bottom"/>
          </w:tcPr>
          <w:p>
            <w:pPr>
              <w:jc w:val="right"/>
              <w:ind w:right="643"/>
              <w:spacing w:after="0"/>
              <w:rPr>
                <w:sz w:val="20"/>
                <w:szCs w:val="20"/>
                <w:color w:val="auto"/>
              </w:rPr>
            </w:pPr>
            <w:r>
              <w:rPr>
                <w:rFonts w:ascii="Arial" w:cs="Arial" w:eastAsia="Arial" w:hAnsi="Arial"/>
                <w:sz w:val="16"/>
                <w:szCs w:val="16"/>
                <w:b w:val="1"/>
                <w:bCs w:val="1"/>
                <w:color w:val="auto"/>
              </w:rPr>
              <w:t>7,623</w:t>
            </w:r>
          </w:p>
        </w:tc>
        <w:tc>
          <w:tcPr>
            <w:tcW w:w="100" w:type="dxa"/>
            <w:vAlign w:val="bottom"/>
          </w:tcPr>
          <w:p>
            <w:pPr>
              <w:spacing w:after="0"/>
              <w:rPr>
                <w:sz w:val="16"/>
                <w:szCs w:val="16"/>
                <w:color w:val="auto"/>
              </w:rPr>
            </w:pPr>
          </w:p>
        </w:tc>
        <w:tc>
          <w:tcPr>
            <w:tcW w:w="940" w:type="dxa"/>
            <w:vAlign w:val="bottom"/>
          </w:tcPr>
          <w:p>
            <w:pPr>
              <w:jc w:val="right"/>
              <w:ind w:right="301"/>
              <w:spacing w:after="0"/>
              <w:rPr>
                <w:sz w:val="20"/>
                <w:szCs w:val="20"/>
                <w:color w:val="auto"/>
              </w:rPr>
            </w:pPr>
            <w:r>
              <w:rPr>
                <w:rFonts w:ascii="Arial" w:cs="Arial" w:eastAsia="Arial" w:hAnsi="Arial"/>
                <w:sz w:val="16"/>
                <w:szCs w:val="16"/>
                <w:color w:val="auto"/>
              </w:rPr>
              <w:t>9,522</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3"/>
              <w:spacing w:after="0"/>
              <w:rPr>
                <w:sz w:val="20"/>
                <w:szCs w:val="20"/>
                <w:color w:val="auto"/>
              </w:rPr>
            </w:pPr>
            <w:r>
              <w:rPr>
                <w:rFonts w:ascii="Arial" w:cs="Arial" w:eastAsia="Arial" w:hAnsi="Arial"/>
                <w:sz w:val="16"/>
                <w:szCs w:val="16"/>
                <w:b w:val="1"/>
                <w:bCs w:val="1"/>
                <w:color w:val="auto"/>
              </w:rPr>
              <w:t>(15,204)</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(13,672)</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b w:val="1"/>
                <w:bCs w:val="1"/>
                <w:color w:val="auto"/>
              </w:rPr>
              <w:t>39,594</w:t>
            </w: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40,093</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48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2"/>
          </w:tcPr>
          <w:p>
            <w:pPr>
              <w:jc w:val="right"/>
              <w:ind w:right="60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982"/>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56"/>
        </w:trPr>
        <w:tc>
          <w:tcPr>
            <w:tcW w:w="648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tcPr>
          <w:p>
            <w:pPr>
              <w:jc w:val="right"/>
              <w:ind w:right="122"/>
              <w:spacing w:after="0" w:line="155" w:lineRule="exact"/>
              <w:rPr>
                <w:sz w:val="20"/>
                <w:szCs w:val="20"/>
                <w:color w:val="auto"/>
              </w:rPr>
            </w:pPr>
            <w:r>
              <w:rPr>
                <w:rFonts w:ascii="Arial" w:cs="Arial" w:eastAsia="Arial" w:hAnsi="Arial"/>
                <w:sz w:val="14"/>
                <w:szCs w:val="14"/>
                <w:b w:val="1"/>
                <w:bCs w:val="1"/>
                <w:color w:val="auto"/>
              </w:rPr>
              <w:t>2020</w:t>
            </w:r>
          </w:p>
        </w:tc>
        <w:tc>
          <w:tcPr>
            <w:tcW w:w="172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6480" w:type="dxa"/>
            <w:vAlign w:val="bottom"/>
          </w:tcPr>
          <w:p>
            <w:pPr>
              <w:spacing w:after="0" w:line="165" w:lineRule="exact"/>
              <w:rPr>
                <w:sz w:val="20"/>
                <w:szCs w:val="20"/>
                <w:color w:val="auto"/>
              </w:rPr>
            </w:pPr>
            <w:r>
              <w:rPr>
                <w:rFonts w:ascii="Arial" w:cs="Arial" w:eastAsia="Arial" w:hAnsi="Arial"/>
                <w:sz w:val="16"/>
                <w:szCs w:val="16"/>
                <w:color w:val="auto"/>
              </w:rPr>
              <w:t>Interest expense, net</w:t>
            </w:r>
          </w:p>
        </w:tc>
        <w:tc>
          <w:tcPr>
            <w:tcW w:w="106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  3,977</w:t>
            </w:r>
          </w:p>
        </w:tc>
        <w:tc>
          <w:tcPr>
            <w:tcW w:w="1720" w:type="dxa"/>
            <w:vAlign w:val="bottom"/>
          </w:tcPr>
          <w:p>
            <w:pPr>
              <w:jc w:val="right"/>
              <w:ind w:right="322"/>
              <w:spacing w:after="0" w:line="165" w:lineRule="exact"/>
              <w:rPr>
                <w:sz w:val="20"/>
                <w:szCs w:val="20"/>
                <w:color w:val="auto"/>
              </w:rPr>
            </w:pPr>
            <w:r>
              <w:rPr>
                <w:rFonts w:ascii="Arial" w:cs="Arial" w:eastAsia="Arial" w:hAnsi="Arial"/>
                <w:sz w:val="16"/>
                <w:szCs w:val="16"/>
                <w:color w:val="auto"/>
              </w:rPr>
              <w:t>$ 4,417</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Other expense/(income),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15,569</w:t>
            </w:r>
          </w:p>
        </w:tc>
        <w:tc>
          <w:tcPr>
            <w:tcW w:w="1720" w:type="dxa"/>
            <w:vAlign w:val="bottom"/>
          </w:tcPr>
          <w:p>
            <w:pPr>
              <w:jc w:val="right"/>
              <w:ind w:right="282"/>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Income tax expense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12,454</w:t>
            </w:r>
          </w:p>
        </w:tc>
        <w:tc>
          <w:tcPr>
            <w:tcW w:w="1720" w:type="dxa"/>
            <w:vAlign w:val="bottom"/>
          </w:tcPr>
          <w:p>
            <w:pPr>
              <w:jc w:val="right"/>
              <w:ind w:right="342"/>
              <w:spacing w:after="0"/>
              <w:rPr>
                <w:sz w:val="20"/>
                <w:szCs w:val="20"/>
                <w:color w:val="auto"/>
              </w:rPr>
            </w:pPr>
            <w:r>
              <w:rPr>
                <w:rFonts w:ascii="Arial" w:cs="Arial" w:eastAsia="Arial" w:hAnsi="Arial"/>
                <w:sz w:val="16"/>
                <w:szCs w:val="16"/>
                <w:color w:val="auto"/>
              </w:rPr>
              <w:t>7,476</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(loss)/income attributable to the noncontrolling interest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(1,515)</w:t>
            </w:r>
          </w:p>
        </w:tc>
        <w:tc>
          <w:tcPr>
            <w:tcW w:w="17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Year-to-date 2020 Interest expense, net, was lower as compared to 2019 due to lower average debt and lower interest rates. See the Capital Resources section for further discussion of borrowings and interest rates.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Other (income)/expense, net included the following individually significant items:</w:t>
      </w:r>
    </w:p>
    <w:p>
      <w:pPr>
        <w:spacing w:after="0" w:line="50" w:lineRule="exact"/>
        <w:rPr>
          <w:sz w:val="20"/>
          <w:szCs w:val="20"/>
          <w:color w:val="auto"/>
        </w:rPr>
      </w:pPr>
    </w:p>
    <w:p>
      <w:pPr>
        <w:jc w:val="both"/>
        <w:ind w:left="580" w:hanging="248"/>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first quarter of each year, revaluation of nonfunctional currency cash and intercompany balances resulted in a loss of $14.8 million in 2020, compared to a net gain of $2.0 million in 2019. The loss in 2020 principally resulted from an intercompany demand loan payable by a Mexican subsidiary, combined with the effects of a much weaker peso in 2020.</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Company’s effective tax rates for the first quarter of 2020 and 2019 were 62.1% and 20.3%, respectively. The tax rate is affected by recurring items, such as the income tax rate in the U.S. and in non-U.S. jurisdictions and the mix of income earned in those jurisdictions. The tax rate is also affected by U.S. tax costs on foreign earnings, and by discrete items that may occur in any given year but are not consistent from year to year.</w:t>
      </w:r>
    </w:p>
    <w:p>
      <w:pPr>
        <w:spacing w:after="0" w:line="9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Significant items that impacted the effective tax rate in the first quarter of 2020 and 2019 included the following (percentages reflect the effect of each item as a percentage of income before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400" w:type="dxa"/>
            <w:vAlign w:val="bottom"/>
            <w:tcBorders>
              <w:bottom w:val="single" w:sz="8" w:color="auto"/>
            </w:tcBorders>
          </w:tcPr>
          <w:p>
            <w:pPr>
              <w:jc w:val="right"/>
              <w:ind w:right="41"/>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81"/>
              <w:spacing w:after="0" w:line="155"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55"/>
        </w:trPr>
        <w:tc>
          <w:tcPr>
            <w:tcW w:w="676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Tax amount</w:t>
            </w:r>
          </w:p>
        </w:tc>
        <w:tc>
          <w:tcPr>
            <w:tcW w:w="800" w:type="dxa"/>
            <w:vAlign w:val="bottom"/>
            <w:tcBorders>
              <w:bottom w:val="single" w:sz="8" w:color="auto"/>
            </w:tcBorders>
          </w:tcPr>
          <w:p>
            <w:pPr>
              <w:jc w:val="right"/>
              <w:ind w:right="382"/>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Tax amount</w:t>
            </w:r>
          </w:p>
        </w:tc>
        <w:tc>
          <w:tcPr>
            <w:tcW w:w="128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79"/>
        </w:trPr>
        <w:tc>
          <w:tcPr>
            <w:tcW w:w="6760" w:type="dxa"/>
            <w:vAlign w:val="bottom"/>
          </w:tcPr>
          <w:p>
            <w:pPr>
              <w:spacing w:after="0"/>
              <w:rPr>
                <w:sz w:val="20"/>
                <w:szCs w:val="20"/>
                <w:color w:val="auto"/>
              </w:rPr>
            </w:pPr>
            <w:r>
              <w:rPr>
                <w:rFonts w:ascii="Arial" w:cs="Arial" w:eastAsia="Arial" w:hAnsi="Arial"/>
                <w:sz w:val="16"/>
                <w:szCs w:val="16"/>
                <w:color w:val="auto"/>
              </w:rPr>
              <w:t>Continuing operations (excluding discrete items)</w:t>
            </w:r>
          </w:p>
        </w:tc>
        <w:tc>
          <w:tcPr>
            <w:tcW w:w="1400" w:type="dxa"/>
            <w:vAlign w:val="bottom"/>
          </w:tcPr>
          <w:p>
            <w:pPr>
              <w:jc w:val="right"/>
              <w:ind w:right="461"/>
              <w:spacing w:after="0"/>
              <w:rPr>
                <w:sz w:val="20"/>
                <w:szCs w:val="20"/>
                <w:color w:val="auto"/>
              </w:rPr>
            </w:pPr>
            <w:r>
              <w:rPr>
                <w:rFonts w:ascii="Arial" w:cs="Arial" w:eastAsia="Arial" w:hAnsi="Arial"/>
                <w:sz w:val="16"/>
                <w:szCs w:val="16"/>
                <w:b w:val="1"/>
                <w:bCs w:val="1"/>
                <w:color w:val="auto"/>
              </w:rPr>
              <w:t>$  7,309</w:t>
            </w:r>
          </w:p>
        </w:tc>
        <w:tc>
          <w:tcPr>
            <w:tcW w:w="800" w:type="dxa"/>
            <w:vAlign w:val="bottom"/>
          </w:tcPr>
          <w:p>
            <w:pPr>
              <w:jc w:val="right"/>
              <w:ind w:right="142"/>
              <w:spacing w:after="0"/>
              <w:rPr>
                <w:sz w:val="20"/>
                <w:szCs w:val="20"/>
                <w:color w:val="auto"/>
              </w:rPr>
            </w:pPr>
            <w:r>
              <w:rPr>
                <w:rFonts w:ascii="Arial" w:cs="Arial" w:eastAsia="Arial" w:hAnsi="Arial"/>
                <w:sz w:val="16"/>
                <w:szCs w:val="16"/>
                <w:b w:val="1"/>
                <w:bCs w:val="1"/>
                <w:color w:val="auto"/>
              </w:rPr>
              <w:t>36.5%</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$10,847</w:t>
            </w:r>
          </w:p>
        </w:tc>
        <w:tc>
          <w:tcPr>
            <w:tcW w:w="1280" w:type="dxa"/>
            <w:vAlign w:val="bottom"/>
          </w:tcPr>
          <w:p>
            <w:pPr>
              <w:jc w:val="right"/>
              <w:ind w:right="161"/>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352"/>
        </w:trPr>
        <w:tc>
          <w:tcPr>
            <w:tcW w:w="6760" w:type="dxa"/>
            <w:vAlign w:val="bottom"/>
          </w:tcPr>
          <w:p>
            <w:pPr>
              <w:spacing w:after="0"/>
              <w:rPr>
                <w:sz w:val="20"/>
                <w:szCs w:val="20"/>
                <w:color w:val="auto"/>
              </w:rPr>
            </w:pPr>
            <w:r>
              <w:rPr>
                <w:rFonts w:ascii="Arial" w:cs="Arial" w:eastAsia="Arial" w:hAnsi="Arial"/>
                <w:sz w:val="16"/>
                <w:szCs w:val="16"/>
                <w:color w:val="auto"/>
              </w:rPr>
              <w:t>Changes in uncertain tax positions</w:t>
            </w:r>
          </w:p>
        </w:tc>
        <w:tc>
          <w:tcPr>
            <w:tcW w:w="1400" w:type="dxa"/>
            <w:vAlign w:val="bottom"/>
          </w:tcPr>
          <w:p>
            <w:pPr>
              <w:jc w:val="right"/>
              <w:ind w:right="421"/>
              <w:spacing w:after="0"/>
              <w:rPr>
                <w:sz w:val="20"/>
                <w:szCs w:val="20"/>
                <w:color w:val="auto"/>
              </w:rPr>
            </w:pPr>
            <w:r>
              <w:rPr>
                <w:rFonts w:ascii="Arial" w:cs="Arial" w:eastAsia="Arial" w:hAnsi="Arial"/>
                <w:sz w:val="16"/>
                <w:szCs w:val="16"/>
                <w:b w:val="1"/>
                <w:bCs w:val="1"/>
                <w:color w:val="auto"/>
              </w:rPr>
              <w:t>(244)</w:t>
            </w:r>
          </w:p>
        </w:tc>
        <w:tc>
          <w:tcPr>
            <w:tcW w:w="800" w:type="dxa"/>
            <w:vAlign w:val="bottom"/>
          </w:tcPr>
          <w:p>
            <w:pPr>
              <w:jc w:val="right"/>
              <w:ind w:right="142"/>
              <w:spacing w:after="0"/>
              <w:rPr>
                <w:sz w:val="20"/>
                <w:szCs w:val="20"/>
                <w:color w:val="auto"/>
              </w:rPr>
            </w:pPr>
            <w:r>
              <w:rPr>
                <w:rFonts w:ascii="Arial" w:cs="Arial" w:eastAsia="Arial" w:hAnsi="Arial"/>
                <w:sz w:val="16"/>
                <w:szCs w:val="16"/>
                <w:b w:val="1"/>
                <w:bCs w:val="1"/>
                <w:color w:val="auto"/>
              </w:rPr>
              <w:t>-1.2%</w:t>
            </w:r>
          </w:p>
        </w:tc>
        <w:tc>
          <w:tcPr>
            <w:tcW w:w="1000" w:type="dxa"/>
            <w:vAlign w:val="bottom"/>
          </w:tcPr>
          <w:p>
            <w:pPr>
              <w:jc w:val="right"/>
              <w:spacing w:after="0"/>
              <w:rPr>
                <w:sz w:val="20"/>
                <w:szCs w:val="20"/>
                <w:color w:val="auto"/>
              </w:rPr>
            </w:pPr>
            <w:r>
              <w:rPr>
                <w:rFonts w:ascii="Arial" w:cs="Arial" w:eastAsia="Arial" w:hAnsi="Arial"/>
                <w:sz w:val="16"/>
                <w:szCs w:val="16"/>
                <w:color w:val="auto"/>
              </w:rPr>
              <w:t>(2,232)</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Out-of-period adjustments to deferred tax assets</w:t>
            </w:r>
          </w:p>
        </w:tc>
        <w:tc>
          <w:tcPr>
            <w:tcW w:w="1400" w:type="dxa"/>
            <w:vAlign w:val="bottom"/>
          </w:tcPr>
          <w:p>
            <w:pPr>
              <w:jc w:val="right"/>
              <w:ind w:right="481"/>
              <w:spacing w:after="0"/>
              <w:rPr>
                <w:sz w:val="20"/>
                <w:szCs w:val="20"/>
                <w:color w:val="auto"/>
              </w:rPr>
            </w:pPr>
            <w:r>
              <w:rPr>
                <w:rFonts w:ascii="Arial" w:cs="Arial" w:eastAsia="Arial" w:hAnsi="Arial"/>
                <w:sz w:val="16"/>
                <w:szCs w:val="16"/>
                <w:b w:val="1"/>
                <w:bCs w:val="1"/>
                <w:color w:val="auto"/>
              </w:rPr>
              <w:t>1,830</w:t>
            </w:r>
          </w:p>
        </w:tc>
        <w:tc>
          <w:tcPr>
            <w:tcW w:w="800" w:type="dxa"/>
            <w:vAlign w:val="bottom"/>
          </w:tcPr>
          <w:p>
            <w:pPr>
              <w:jc w:val="right"/>
              <w:ind w:right="142"/>
              <w:spacing w:after="0"/>
              <w:rPr>
                <w:sz w:val="20"/>
                <w:szCs w:val="20"/>
                <w:color w:val="auto"/>
              </w:rPr>
            </w:pPr>
            <w:r>
              <w:rPr>
                <w:rFonts w:ascii="Arial" w:cs="Arial" w:eastAsia="Arial" w:hAnsi="Arial"/>
                <w:sz w:val="16"/>
                <w:szCs w:val="16"/>
                <w:b w:val="1"/>
                <w:bCs w:val="1"/>
                <w:color w:val="auto"/>
              </w:rPr>
              <w:t>9.1%</w:t>
            </w:r>
          </w:p>
        </w:tc>
        <w:tc>
          <w:tcPr>
            <w:tcW w:w="1000" w:type="dxa"/>
            <w:vAlign w:val="bottom"/>
          </w:tcPr>
          <w:p>
            <w:pPr>
              <w:jc w:val="right"/>
              <w:spacing w:after="0"/>
              <w:rPr>
                <w:sz w:val="20"/>
                <w:szCs w:val="20"/>
                <w:color w:val="auto"/>
              </w:rPr>
            </w:pPr>
            <w:r>
              <w:rPr>
                <w:rFonts w:ascii="Arial" w:cs="Arial" w:eastAsia="Arial" w:hAnsi="Arial"/>
                <w:sz w:val="16"/>
                <w:szCs w:val="16"/>
                <w:color w:val="auto"/>
              </w:rPr>
              <w:t>(1,346)</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Tax effect of non-deductible foreign exchange loss on intercompany loan</w:t>
            </w:r>
          </w:p>
        </w:tc>
        <w:tc>
          <w:tcPr>
            <w:tcW w:w="1400" w:type="dxa"/>
            <w:vAlign w:val="bottom"/>
          </w:tcPr>
          <w:p>
            <w:pPr>
              <w:jc w:val="right"/>
              <w:ind w:right="481"/>
              <w:spacing w:after="0"/>
              <w:rPr>
                <w:sz w:val="20"/>
                <w:szCs w:val="20"/>
                <w:color w:val="auto"/>
              </w:rPr>
            </w:pPr>
            <w:r>
              <w:rPr>
                <w:rFonts w:ascii="Arial" w:cs="Arial" w:eastAsia="Arial" w:hAnsi="Arial"/>
                <w:sz w:val="16"/>
                <w:szCs w:val="16"/>
                <w:b w:val="1"/>
                <w:bCs w:val="1"/>
                <w:color w:val="auto"/>
              </w:rPr>
              <w:t>3,668</w:t>
            </w:r>
          </w:p>
        </w:tc>
        <w:tc>
          <w:tcPr>
            <w:tcW w:w="800" w:type="dxa"/>
            <w:vAlign w:val="bottom"/>
          </w:tcPr>
          <w:p>
            <w:pPr>
              <w:jc w:val="right"/>
              <w:ind w:right="142"/>
              <w:spacing w:after="0"/>
              <w:rPr>
                <w:sz w:val="20"/>
                <w:szCs w:val="20"/>
                <w:color w:val="auto"/>
              </w:rPr>
            </w:pPr>
            <w:r>
              <w:rPr>
                <w:rFonts w:ascii="Arial" w:cs="Arial" w:eastAsia="Arial" w:hAnsi="Arial"/>
                <w:sz w:val="16"/>
                <w:szCs w:val="16"/>
                <w:b w:val="1"/>
                <w:bCs w:val="1"/>
                <w:color w:val="auto"/>
              </w:rPr>
              <w:t>18.3%</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adjustments</w:t>
            </w:r>
          </w:p>
        </w:tc>
        <w:tc>
          <w:tcPr>
            <w:tcW w:w="14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(109)</w:t>
            </w: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-0.6%</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207</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Effective tax rate</w:t>
            </w:r>
          </w:p>
        </w:tc>
        <w:tc>
          <w:tcPr>
            <w:tcW w:w="1400" w:type="dxa"/>
            <w:vAlign w:val="bottom"/>
            <w:tcBorders>
              <w:bottom w:val="single" w:sz="8" w:color="auto"/>
            </w:tcBorders>
          </w:tcPr>
          <w:p>
            <w:pPr>
              <w:jc w:val="right"/>
              <w:ind w:right="461"/>
              <w:spacing w:after="0" w:line="183" w:lineRule="exact"/>
              <w:rPr>
                <w:sz w:val="20"/>
                <w:szCs w:val="20"/>
                <w:color w:val="auto"/>
              </w:rPr>
            </w:pPr>
            <w:r>
              <w:rPr>
                <w:rFonts w:ascii="Arial" w:cs="Arial" w:eastAsia="Arial" w:hAnsi="Arial"/>
                <w:sz w:val="16"/>
                <w:szCs w:val="16"/>
                <w:b w:val="1"/>
                <w:bCs w:val="1"/>
                <w:color w:val="auto"/>
              </w:rPr>
              <w:t>$12,454</w:t>
            </w:r>
          </w:p>
        </w:tc>
        <w:tc>
          <w:tcPr>
            <w:tcW w:w="800" w:type="dxa"/>
            <w:vAlign w:val="bottom"/>
            <w:tcBorders>
              <w:bottom w:val="single" w:sz="8" w:color="auto"/>
            </w:tcBorders>
          </w:tcPr>
          <w:p>
            <w:pPr>
              <w:jc w:val="right"/>
              <w:ind w:right="142"/>
              <w:spacing w:after="0" w:line="183" w:lineRule="exact"/>
              <w:rPr>
                <w:sz w:val="20"/>
                <w:szCs w:val="20"/>
                <w:color w:val="auto"/>
              </w:rPr>
            </w:pPr>
            <w:r>
              <w:rPr>
                <w:rFonts w:ascii="Arial" w:cs="Arial" w:eastAsia="Arial" w:hAnsi="Arial"/>
                <w:sz w:val="16"/>
                <w:szCs w:val="16"/>
                <w:b w:val="1"/>
                <w:bCs w:val="1"/>
                <w:color w:val="auto"/>
              </w:rPr>
              <w:t>62.1%</w:t>
            </w:r>
          </w:p>
        </w:tc>
        <w:tc>
          <w:tcPr>
            <w:tcW w:w="100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  7,476</w:t>
            </w:r>
          </w:p>
        </w:tc>
        <w:tc>
          <w:tcPr>
            <w:tcW w:w="128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For more information on income tax, see Note 7 to the Consolidated Financial Statements in Item 1, which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Machine Clothing is our primary business segment and accounted for 58% of our consolidated revenues during the first three months of 2020. MC products are purchased primarily by manufacturers of paper and paperboard.</w:t>
      </w:r>
    </w:p>
    <w:p>
      <w:pPr>
        <w:spacing w:after="0" w:line="8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While the MC business has suffered from well-documented declines in publication grades in the Company’s traditional markets, the paper and paperboard industry is still expected to grow slightly on a global basis, driven by demand for packaging and tissue grades as well as the expansion of paper consumption and production in Asia and South America. We feel we are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9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MC manufacturing capacity and administrative positions in various countries.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Review of Operations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48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2"/>
          </w:tcPr>
          <w:p>
            <w:pPr>
              <w:jc w:val="right"/>
              <w:ind w:right="60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80" w:type="dxa"/>
            <w:vAlign w:val="bottom"/>
            <w:tcBorders>
              <w:bottom w:val="single" w:sz="8" w:color="auto"/>
            </w:tcBorders>
            <w:vMerge w:val="continue"/>
          </w:tcPr>
          <w:p>
            <w:pPr>
              <w:spacing w:after="0"/>
              <w:rPr>
                <w:sz w:val="13"/>
                <w:szCs w:val="13"/>
                <w:color w:val="auto"/>
              </w:rPr>
            </w:pPr>
          </w:p>
        </w:tc>
        <w:tc>
          <w:tcPr>
            <w:tcW w:w="1740" w:type="dxa"/>
            <w:vAlign w:val="bottom"/>
            <w:tcBorders>
              <w:bottom w:val="single" w:sz="8" w:color="auto"/>
            </w:tcBorders>
          </w:tcPr>
          <w:p>
            <w:pPr>
              <w:jc w:val="right"/>
              <w:ind w:right="802"/>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6480" w:type="dxa"/>
            <w:vAlign w:val="bottom"/>
          </w:tcPr>
          <w:p>
            <w:pPr>
              <w:spacing w:after="0" w:line="165" w:lineRule="exact"/>
              <w:rPr>
                <w:sz w:val="20"/>
                <w:szCs w:val="20"/>
                <w:color w:val="auto"/>
              </w:rPr>
            </w:pPr>
            <w:r>
              <w:rPr>
                <w:rFonts w:ascii="Arial" w:cs="Arial" w:eastAsia="Arial" w:hAnsi="Arial"/>
                <w:sz w:val="16"/>
                <w:szCs w:val="16"/>
                <w:color w:val="auto"/>
              </w:rPr>
              <w:t>Net sales</w:t>
            </w:r>
          </w:p>
        </w:tc>
        <w:tc>
          <w:tcPr>
            <w:tcW w:w="1740" w:type="dxa"/>
            <w:vAlign w:val="bottom"/>
          </w:tcPr>
          <w:p>
            <w:pPr>
              <w:jc w:val="right"/>
              <w:ind w:right="622"/>
              <w:spacing w:after="0" w:line="165" w:lineRule="exact"/>
              <w:rPr>
                <w:sz w:val="20"/>
                <w:szCs w:val="20"/>
                <w:color w:val="auto"/>
              </w:rPr>
            </w:pPr>
            <w:r>
              <w:rPr>
                <w:rFonts w:ascii="Arial" w:cs="Arial" w:eastAsia="Arial" w:hAnsi="Arial"/>
                <w:sz w:val="16"/>
                <w:szCs w:val="16"/>
                <w:b w:val="1"/>
                <w:bCs w:val="1"/>
                <w:color w:val="auto"/>
              </w:rPr>
              <w:t>$136,602</w:t>
            </w:r>
          </w:p>
        </w:tc>
        <w:tc>
          <w:tcPr>
            <w:tcW w:w="1040" w:type="dxa"/>
            <w:vAlign w:val="bottom"/>
          </w:tcPr>
          <w:p>
            <w:pPr>
              <w:jc w:val="right"/>
              <w:ind w:right="281"/>
              <w:spacing w:after="0" w:line="165" w:lineRule="exact"/>
              <w:rPr>
                <w:sz w:val="20"/>
                <w:szCs w:val="20"/>
                <w:color w:val="auto"/>
              </w:rPr>
            </w:pPr>
            <w:r>
              <w:rPr>
                <w:rFonts w:ascii="Arial" w:cs="Arial" w:eastAsia="Arial" w:hAnsi="Arial"/>
                <w:sz w:val="16"/>
                <w:szCs w:val="16"/>
                <w:color w:val="auto"/>
                <w:w w:val="98"/>
              </w:rPr>
              <w:t>$144,334</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Gross profit</w:t>
            </w:r>
          </w:p>
        </w:tc>
        <w:tc>
          <w:tcPr>
            <w:tcW w:w="1740" w:type="dxa"/>
            <w:vAlign w:val="bottom"/>
          </w:tcPr>
          <w:p>
            <w:pPr>
              <w:jc w:val="right"/>
              <w:ind w:right="622"/>
              <w:spacing w:after="0"/>
              <w:rPr>
                <w:sz w:val="20"/>
                <w:szCs w:val="20"/>
                <w:color w:val="auto"/>
              </w:rPr>
            </w:pPr>
            <w:r>
              <w:rPr>
                <w:rFonts w:ascii="Arial" w:cs="Arial" w:eastAsia="Arial" w:hAnsi="Arial"/>
                <w:sz w:val="16"/>
                <w:szCs w:val="16"/>
                <w:b w:val="1"/>
                <w:bCs w:val="1"/>
                <w:color w:val="auto"/>
              </w:rPr>
              <w:t>72,652</w:t>
            </w:r>
          </w:p>
        </w:tc>
        <w:tc>
          <w:tcPr>
            <w:tcW w:w="1040" w:type="dxa"/>
            <w:vAlign w:val="bottom"/>
          </w:tcPr>
          <w:p>
            <w:pPr>
              <w:jc w:val="right"/>
              <w:ind w:right="281"/>
              <w:spacing w:after="0"/>
              <w:rPr>
                <w:sz w:val="20"/>
                <w:szCs w:val="20"/>
                <w:color w:val="auto"/>
              </w:rPr>
            </w:pPr>
            <w:r>
              <w:rPr>
                <w:rFonts w:ascii="Arial" w:cs="Arial" w:eastAsia="Arial" w:hAnsi="Arial"/>
                <w:sz w:val="16"/>
                <w:szCs w:val="16"/>
                <w:color w:val="auto"/>
              </w:rPr>
              <w:t>74,528</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 of Net sales</w:t>
            </w:r>
          </w:p>
        </w:tc>
        <w:tc>
          <w:tcPr>
            <w:tcW w:w="1740" w:type="dxa"/>
            <w:vAlign w:val="bottom"/>
          </w:tcPr>
          <w:p>
            <w:pPr>
              <w:jc w:val="right"/>
              <w:ind w:right="482"/>
              <w:spacing w:after="0"/>
              <w:rPr>
                <w:sz w:val="20"/>
                <w:szCs w:val="20"/>
                <w:color w:val="auto"/>
              </w:rPr>
            </w:pPr>
            <w:r>
              <w:rPr>
                <w:rFonts w:ascii="Arial" w:cs="Arial" w:eastAsia="Arial" w:hAnsi="Arial"/>
                <w:sz w:val="16"/>
                <w:szCs w:val="16"/>
                <w:b w:val="1"/>
                <w:bCs w:val="1"/>
                <w:color w:val="auto"/>
              </w:rPr>
              <w:t>53.2%</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STG&amp;R expenses</w:t>
            </w:r>
          </w:p>
        </w:tc>
        <w:tc>
          <w:tcPr>
            <w:tcW w:w="1740" w:type="dxa"/>
            <w:vAlign w:val="bottom"/>
          </w:tcPr>
          <w:p>
            <w:pPr>
              <w:jc w:val="right"/>
              <w:ind w:right="622"/>
              <w:spacing w:after="0"/>
              <w:rPr>
                <w:sz w:val="20"/>
                <w:szCs w:val="20"/>
                <w:color w:val="auto"/>
              </w:rPr>
            </w:pPr>
            <w:r>
              <w:rPr>
                <w:rFonts w:ascii="Arial" w:cs="Arial" w:eastAsia="Arial" w:hAnsi="Arial"/>
                <w:sz w:val="16"/>
                <w:szCs w:val="16"/>
                <w:b w:val="1"/>
                <w:bCs w:val="1"/>
                <w:color w:val="auto"/>
              </w:rPr>
              <w:t>24,835</w:t>
            </w:r>
          </w:p>
        </w:tc>
        <w:tc>
          <w:tcPr>
            <w:tcW w:w="1040" w:type="dxa"/>
            <w:vAlign w:val="bottom"/>
          </w:tcPr>
          <w:p>
            <w:pPr>
              <w:jc w:val="right"/>
              <w:ind w:right="281"/>
              <w:spacing w:after="0"/>
              <w:rPr>
                <w:sz w:val="20"/>
                <w:szCs w:val="20"/>
                <w:color w:val="auto"/>
              </w:rPr>
            </w:pPr>
            <w:r>
              <w:rPr>
                <w:rFonts w:ascii="Arial" w:cs="Arial" w:eastAsia="Arial" w:hAnsi="Arial"/>
                <w:sz w:val="16"/>
                <w:szCs w:val="16"/>
                <w:color w:val="auto"/>
              </w:rPr>
              <w:t>29,886</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income</w:t>
            </w:r>
          </w:p>
        </w:tc>
        <w:tc>
          <w:tcPr>
            <w:tcW w:w="174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47,175</w:t>
            </w: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44,243</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85" w:lineRule="exact"/>
        <w:rPr>
          <w:sz w:val="20"/>
          <w:szCs w:val="20"/>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sales decreased by 5.4%.</w:t>
      </w:r>
    </w:p>
    <w:p>
      <w:pPr>
        <w:spacing w:after="0" w:line="49" w:lineRule="exact"/>
        <w:rPr>
          <w:rFonts w:ascii="Arial" w:cs="Arial" w:eastAsia="Arial" w:hAnsi="Arial"/>
          <w:sz w:val="18"/>
          <w:szCs w:val="18"/>
          <w:color w:val="auto"/>
        </w:rPr>
      </w:pPr>
    </w:p>
    <w:p>
      <w:pPr>
        <w:ind w:left="580" w:hanging="248"/>
        <w:spacing w:after="0" w:line="246"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first-quarter 2020 sales by $1.6 million compared to the same period in 2019. That currency translation effect was principally due to the weaker euro in the first quarter of 2020, compared to 2019.</w:t>
      </w:r>
    </w:p>
    <w:p>
      <w:pPr>
        <w:spacing w:after="0" w:line="34" w:lineRule="exact"/>
        <w:rPr>
          <w:rFonts w:ascii="Arial" w:cs="Arial" w:eastAsia="Arial" w:hAnsi="Arial"/>
          <w:sz w:val="18"/>
          <w:szCs w:val="18"/>
          <w:color w:val="auto"/>
        </w:rPr>
      </w:pPr>
    </w:p>
    <w:p>
      <w:pPr>
        <w:ind w:left="580" w:hanging="248"/>
        <w:spacing w:after="0" w:line="246"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decreased 4.3% compared to the first quarter of 2019. A decline in the publication and tissue grades sales was partially offset by a modest net increase in packaging grades.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85" w:lineRule="exact"/>
        <w:rPr>
          <w:sz w:val="20"/>
          <w:szCs w:val="20"/>
          <w:color w:val="auto"/>
        </w:rPr>
      </w:pPr>
    </w:p>
    <w:p>
      <w:pPr>
        <w:jc w:val="both"/>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decrease in MC Gross profit was principally due to lower sales as noted above, partially offset by an increase in gross profit percentage that was principally due to lower depreciation expense. The Company’s two plants in China incurred some disruption related to the COVID-19 pandemic, but the net impact to gross profit for the first quarter of 2020 was not material.</w:t>
      </w:r>
    </w:p>
    <w:p>
      <w:pPr>
        <w:spacing w:after="0" w:line="40" w:lineRule="exact"/>
        <w:rPr>
          <w:rFonts w:ascii="Arial" w:cs="Arial" w:eastAsia="Arial" w:hAnsi="Arial"/>
          <w:sz w:val="18"/>
          <w:szCs w:val="18"/>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for the first quarter of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50" w:lineRule="exact"/>
        <w:rPr>
          <w:sz w:val="20"/>
          <w:szCs w:val="20"/>
          <w:color w:val="auto"/>
        </w:rPr>
      </w:pPr>
    </w:p>
    <w:p>
      <w:pPr>
        <w:ind w:left="580" w:hanging="248"/>
        <w:spacing w:after="0" w:line="246"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STG&amp;R expenses decreased $5.1 million principally due to revaluation of nonfunctional currency assets and liabilities, which resulted in gains of $3.7 million in 2020, compared to a negligible effect in 2019.</w:t>
      </w:r>
    </w:p>
    <w:p>
      <w:pPr>
        <w:spacing w:after="0" w:line="48" w:lineRule="exact"/>
        <w:rPr>
          <w:rFonts w:ascii="Arial" w:cs="Arial" w:eastAsia="Arial" w:hAnsi="Arial"/>
          <w:sz w:val="18"/>
          <w:szCs w:val="18"/>
          <w:color w:val="auto"/>
        </w:rPr>
      </w:pPr>
    </w:p>
    <w:p>
      <w:pPr>
        <w:ind w:left="580" w:hanging="248"/>
        <w:spacing w:after="0" w:line="246"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Restructuring activities resulted in a net reduction to expense of $0.6 million in the first quarter of 2020, compared to expense of $0.4 million in the same period in 2019.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The LEAP engine is used on the Airbus A320neo and Boeing 737 Max family of jets, the latter of which is currently under a grounding order, as described above. Other significant AEC programs include components for the F-35, fuselage frames for the Boeing 787, components for the CH53-K helicopter, and the fan case for the GE9X engine.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48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80" w:type="dxa"/>
            <w:vAlign w:val="bottom"/>
            <w:tcBorders>
              <w:bottom w:val="single" w:sz="8" w:color="auto"/>
            </w:tcBorders>
            <w:vMerge w:val="continue"/>
          </w:tcPr>
          <w:p>
            <w:pPr>
              <w:spacing w:after="0"/>
              <w:rPr>
                <w:sz w:val="13"/>
                <w:szCs w:val="13"/>
                <w:color w:val="auto"/>
              </w:rPr>
            </w:pPr>
          </w:p>
        </w:tc>
        <w:tc>
          <w:tcPr>
            <w:tcW w:w="1740" w:type="dxa"/>
            <w:vAlign w:val="bottom"/>
            <w:tcBorders>
              <w:bottom w:val="single" w:sz="8" w:color="auto"/>
            </w:tcBorders>
          </w:tcPr>
          <w:p>
            <w:pPr>
              <w:jc w:val="right"/>
              <w:ind w:right="802"/>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6480" w:type="dxa"/>
            <w:vAlign w:val="bottom"/>
          </w:tcPr>
          <w:p>
            <w:pPr>
              <w:spacing w:after="0" w:line="165" w:lineRule="exact"/>
              <w:rPr>
                <w:sz w:val="20"/>
                <w:szCs w:val="20"/>
                <w:color w:val="auto"/>
              </w:rPr>
            </w:pPr>
            <w:r>
              <w:rPr>
                <w:rFonts w:ascii="Arial" w:cs="Arial" w:eastAsia="Arial" w:hAnsi="Arial"/>
                <w:sz w:val="16"/>
                <w:szCs w:val="16"/>
                <w:color w:val="auto"/>
              </w:rPr>
              <w:t>Net sales</w:t>
            </w:r>
          </w:p>
        </w:tc>
        <w:tc>
          <w:tcPr>
            <w:tcW w:w="1740" w:type="dxa"/>
            <w:vAlign w:val="bottom"/>
          </w:tcPr>
          <w:p>
            <w:pPr>
              <w:jc w:val="right"/>
              <w:ind w:right="662"/>
              <w:spacing w:after="0" w:line="165" w:lineRule="exact"/>
              <w:rPr>
                <w:sz w:val="20"/>
                <w:szCs w:val="20"/>
                <w:color w:val="auto"/>
              </w:rPr>
            </w:pPr>
            <w:r>
              <w:rPr>
                <w:rFonts w:ascii="Arial" w:cs="Arial" w:eastAsia="Arial" w:hAnsi="Arial"/>
                <w:sz w:val="16"/>
                <w:szCs w:val="16"/>
                <w:b w:val="1"/>
                <w:bCs w:val="1"/>
                <w:color w:val="auto"/>
              </w:rPr>
              <w:t>$99,162</w:t>
            </w:r>
          </w:p>
        </w:tc>
        <w:tc>
          <w:tcPr>
            <w:tcW w:w="1040" w:type="dxa"/>
            <w:vAlign w:val="bottom"/>
          </w:tcPr>
          <w:p>
            <w:pPr>
              <w:jc w:val="right"/>
              <w:ind w:right="281"/>
              <w:spacing w:after="0" w:line="165" w:lineRule="exact"/>
              <w:rPr>
                <w:sz w:val="20"/>
                <w:szCs w:val="20"/>
                <w:color w:val="auto"/>
              </w:rPr>
            </w:pPr>
            <w:r>
              <w:rPr>
                <w:rFonts w:ascii="Arial" w:cs="Arial" w:eastAsia="Arial" w:hAnsi="Arial"/>
                <w:sz w:val="16"/>
                <w:szCs w:val="16"/>
                <w:color w:val="auto"/>
                <w:w w:val="98"/>
              </w:rPr>
              <w:t>$107,039</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Gross profit</w:t>
            </w:r>
          </w:p>
        </w:tc>
        <w:tc>
          <w:tcPr>
            <w:tcW w:w="1740" w:type="dxa"/>
            <w:vAlign w:val="bottom"/>
          </w:tcPr>
          <w:p>
            <w:pPr>
              <w:jc w:val="right"/>
              <w:ind w:right="662"/>
              <w:spacing w:after="0"/>
              <w:rPr>
                <w:sz w:val="20"/>
                <w:szCs w:val="20"/>
                <w:color w:val="auto"/>
              </w:rPr>
            </w:pPr>
            <w:r>
              <w:rPr>
                <w:rFonts w:ascii="Arial" w:cs="Arial" w:eastAsia="Arial" w:hAnsi="Arial"/>
                <w:sz w:val="16"/>
                <w:szCs w:val="16"/>
                <w:b w:val="1"/>
                <w:bCs w:val="1"/>
                <w:color w:val="auto"/>
              </w:rPr>
              <w:t>16,820</w:t>
            </w:r>
          </w:p>
        </w:tc>
        <w:tc>
          <w:tcPr>
            <w:tcW w:w="1040" w:type="dxa"/>
            <w:vAlign w:val="bottom"/>
          </w:tcPr>
          <w:p>
            <w:pPr>
              <w:jc w:val="right"/>
              <w:ind w:right="281"/>
              <w:spacing w:after="0"/>
              <w:rPr>
                <w:sz w:val="20"/>
                <w:szCs w:val="20"/>
                <w:color w:val="auto"/>
              </w:rPr>
            </w:pPr>
            <w:r>
              <w:rPr>
                <w:rFonts w:ascii="Arial" w:cs="Arial" w:eastAsia="Arial" w:hAnsi="Arial"/>
                <w:sz w:val="16"/>
                <w:szCs w:val="16"/>
                <w:color w:val="auto"/>
              </w:rPr>
              <w:t>17,243</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 of Net sales</w:t>
            </w:r>
          </w:p>
        </w:tc>
        <w:tc>
          <w:tcPr>
            <w:tcW w:w="1740" w:type="dxa"/>
            <w:vAlign w:val="bottom"/>
          </w:tcPr>
          <w:p>
            <w:pPr>
              <w:ind w:left="680"/>
              <w:spacing w:after="0"/>
              <w:rPr>
                <w:sz w:val="20"/>
                <w:szCs w:val="20"/>
                <w:color w:val="auto"/>
              </w:rPr>
            </w:pPr>
            <w:r>
              <w:rPr>
                <w:rFonts w:ascii="Arial" w:cs="Arial" w:eastAsia="Arial" w:hAnsi="Arial"/>
                <w:sz w:val="16"/>
                <w:szCs w:val="16"/>
                <w:b w:val="1"/>
                <w:bCs w:val="1"/>
                <w:color w:val="auto"/>
              </w:rPr>
              <w:t>17.0%</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STG&amp;R expenses</w:t>
            </w:r>
          </w:p>
        </w:tc>
        <w:tc>
          <w:tcPr>
            <w:tcW w:w="1740" w:type="dxa"/>
            <w:vAlign w:val="bottom"/>
          </w:tcPr>
          <w:p>
            <w:pPr>
              <w:jc w:val="right"/>
              <w:ind w:right="662"/>
              <w:spacing w:after="0"/>
              <w:rPr>
                <w:sz w:val="20"/>
                <w:szCs w:val="20"/>
                <w:color w:val="auto"/>
              </w:rPr>
            </w:pPr>
            <w:r>
              <w:rPr>
                <w:rFonts w:ascii="Arial" w:cs="Arial" w:eastAsia="Arial" w:hAnsi="Arial"/>
                <w:sz w:val="16"/>
                <w:szCs w:val="16"/>
                <w:b w:val="1"/>
                <w:bCs w:val="1"/>
                <w:color w:val="auto"/>
              </w:rPr>
              <w:t>9,197</w:t>
            </w:r>
          </w:p>
        </w:tc>
        <w:tc>
          <w:tcPr>
            <w:tcW w:w="1040" w:type="dxa"/>
            <w:vAlign w:val="bottom"/>
          </w:tcPr>
          <w:p>
            <w:pPr>
              <w:jc w:val="right"/>
              <w:ind w:right="281"/>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income</w:t>
            </w:r>
          </w:p>
        </w:tc>
        <w:tc>
          <w:tcPr>
            <w:tcW w:w="174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7,623</w:t>
            </w: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9,522</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decrease in Net sales was principally due to lower sales in the LEAP program, which is consistent with the outlook for this program provided by the Company in its last quarterly report.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decrease in Gross profit of $ 0.4 million was principally due to the decrease in Net sales, partially offset by an increase in gross profit percentage, which included a slightly favorable shift in the mix of program revenue.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these arrangements accounted for approximately 40 percent of segment revenue for each of the first three months of 2020 and 52 percent in 2019. LEAP engines are currently used on the Boeing 737 MAX, Airbus A320neo and COMAC aircraft. A number of countries, including the United States, have issued orders grounding Boeing 737 MAX aircraft. If these groundings cause a continued reduction in production of this aircraft, this would have an adverse impact on demand for our LEAP engine parts. Such a decrease could, in turn, trigger an increase in demand for A320neo aircraft, which could somewhat offset this negative impact.</w:t>
      </w:r>
    </w:p>
    <w:p>
      <w:pPr>
        <w:spacing w:after="0" w:line="9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 -rata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10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sum of net adjustments to the estimated profitability of long-term contracts increased AEC operating income by $0.9 million in the first three months of 2020, compared to an increase of $0.6 million for the first three months of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decrease in operating income of $1.9 million in the first quarter of 2020 was principally due to the net effect of the following individually significant items:</w:t>
      </w:r>
    </w:p>
    <w:p>
      <w:pPr>
        <w:spacing w:after="0" w:line="35"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$7.9 million decrease in Net sales, as described above.</w:t>
      </w:r>
    </w:p>
    <w:p>
      <w:pPr>
        <w:spacing w:after="0" w:line="81" w:lineRule="exact"/>
        <w:rPr>
          <w:rFonts w:ascii="Arial" w:cs="Arial" w:eastAsia="Arial" w:hAnsi="Arial"/>
          <w:sz w:val="18"/>
          <w:szCs w:val="18"/>
          <w:color w:val="auto"/>
        </w:rPr>
      </w:pPr>
    </w:p>
    <w:p>
      <w:pPr>
        <w:ind w:right="8500"/>
        <w:spacing w:after="0" w:line="428" w:lineRule="auto"/>
        <w:rPr>
          <w:rFonts w:ascii="Arial" w:cs="Arial" w:eastAsia="Arial" w:hAnsi="Arial"/>
          <w:sz w:val="18"/>
          <w:szCs w:val="18"/>
          <w:color w:val="auto"/>
        </w:rPr>
      </w:pPr>
      <w:r>
        <w:rPr>
          <w:rFonts w:ascii="Arial" w:cs="Arial" w:eastAsia="Arial" w:hAnsi="Arial"/>
          <w:sz w:val="17"/>
          <w:szCs w:val="17"/>
          <w:b w:val="1"/>
          <w:bCs w:val="1"/>
          <w:color w:val="auto"/>
        </w:rPr>
        <w:t>Liquidity and Capital Resources Cash Flow Summary</w:t>
      </w:r>
    </w:p>
    <w:tbl>
      <w:tblPr>
        <w:tblLayout w:type="fixed"/>
        <w:tblInd w:w="0" w:type="dxa"/>
        <w:tblCellMar>
          <w:top w:w="0" w:type="dxa"/>
          <w:left w:w="0" w:type="dxa"/>
          <w:bottom w:w="0" w:type="dxa"/>
          <w:right w:w="0" w:type="dxa"/>
        </w:tblCellMar>
      </w:tblPr>
      <w:tr>
        <w:trPr>
          <w:trHeight w:val="143"/>
        </w:trPr>
        <w:tc>
          <w:tcPr>
            <w:tcW w:w="7880" w:type="dxa"/>
            <w:vAlign w:val="bottom"/>
            <w:tcBorders>
              <w:top w:val="single" w:sz="8" w:color="auto"/>
            </w:tcBorders>
          </w:tcPr>
          <w:p>
            <w:pPr>
              <w:spacing w:after="0"/>
              <w:rPr>
                <w:sz w:val="12"/>
                <w:szCs w:val="12"/>
                <w:color w:val="auto"/>
              </w:rPr>
            </w:pPr>
          </w:p>
        </w:tc>
        <w:tc>
          <w:tcPr>
            <w:tcW w:w="3360" w:type="dxa"/>
            <w:vAlign w:val="bottom"/>
            <w:tcBorders>
              <w:top w:val="single" w:sz="8" w:color="auto"/>
            </w:tcBorders>
            <w:gridSpan w:val="2"/>
          </w:tcPr>
          <w:p>
            <w:pPr>
              <w:jc w:val="right"/>
              <w:ind w:right="900"/>
              <w:spacing w:after="0" w:line="143"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2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7880" w:type="dxa"/>
            <w:vAlign w:val="bottom"/>
            <w:tcBorders>
              <w:bottom w:val="single" w:sz="8" w:color="auto"/>
            </w:tcBorders>
            <w:vMerge w:val="continue"/>
          </w:tcPr>
          <w:p>
            <w:pPr>
              <w:spacing w:after="0"/>
              <w:rPr>
                <w:sz w:val="13"/>
                <w:szCs w:val="13"/>
                <w:color w:val="auto"/>
              </w:rPr>
            </w:pPr>
          </w:p>
        </w:tc>
        <w:tc>
          <w:tcPr>
            <w:tcW w:w="130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2020</w:t>
            </w:r>
          </w:p>
        </w:tc>
        <w:tc>
          <w:tcPr>
            <w:tcW w:w="2060" w:type="dxa"/>
            <w:vAlign w:val="bottom"/>
            <w:tcBorders>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7880" w:type="dxa"/>
            <w:vAlign w:val="bottom"/>
          </w:tcPr>
          <w:p>
            <w:pPr>
              <w:spacing w:after="0" w:line="165" w:lineRule="exact"/>
              <w:rPr>
                <w:sz w:val="20"/>
                <w:szCs w:val="20"/>
                <w:color w:val="auto"/>
              </w:rPr>
            </w:pPr>
            <w:r>
              <w:rPr>
                <w:rFonts w:ascii="Arial" w:cs="Arial" w:eastAsia="Arial" w:hAnsi="Arial"/>
                <w:sz w:val="16"/>
                <w:szCs w:val="16"/>
                <w:color w:val="auto"/>
              </w:rPr>
              <w:t>Net income</w:t>
            </w:r>
          </w:p>
        </w:tc>
        <w:tc>
          <w:tcPr>
            <w:tcW w:w="1300" w:type="dxa"/>
            <w:vAlign w:val="bottom"/>
          </w:tcPr>
          <w:p>
            <w:pPr>
              <w:jc w:val="right"/>
              <w:ind w:right="20"/>
              <w:spacing w:after="0" w:line="165" w:lineRule="exact"/>
              <w:rPr>
                <w:sz w:val="20"/>
                <w:szCs w:val="20"/>
                <w:color w:val="auto"/>
              </w:rPr>
            </w:pPr>
            <w:r>
              <w:rPr>
                <w:rFonts w:ascii="Arial" w:cs="Arial" w:eastAsia="Arial" w:hAnsi="Arial"/>
                <w:sz w:val="16"/>
                <w:szCs w:val="16"/>
                <w:b w:val="1"/>
                <w:bCs w:val="1"/>
                <w:color w:val="auto"/>
              </w:rPr>
              <w:t>$   7,594</w:t>
            </w:r>
          </w:p>
        </w:tc>
        <w:tc>
          <w:tcPr>
            <w:tcW w:w="2060" w:type="dxa"/>
            <w:vAlign w:val="bottom"/>
          </w:tcPr>
          <w:p>
            <w:pPr>
              <w:jc w:val="right"/>
              <w:ind w:right="400"/>
              <w:spacing w:after="0" w:line="165" w:lineRule="exact"/>
              <w:rPr>
                <w:sz w:val="20"/>
                <w:szCs w:val="20"/>
                <w:color w:val="auto"/>
              </w:rPr>
            </w:pPr>
            <w:r>
              <w:rPr>
                <w:rFonts w:ascii="Arial" w:cs="Arial" w:eastAsia="Arial" w:hAnsi="Arial"/>
                <w:sz w:val="16"/>
                <w:szCs w:val="16"/>
                <w:color w:val="auto"/>
              </w:rPr>
              <w:t>$  29,408</w:t>
            </w:r>
          </w:p>
        </w:tc>
        <w:tc>
          <w:tcPr>
            <w:tcW w:w="0" w:type="dxa"/>
            <w:vAlign w:val="bottom"/>
          </w:tcPr>
          <w:p>
            <w:pPr>
              <w:spacing w:after="0"/>
              <w:rPr>
                <w:sz w:val="1"/>
                <w:szCs w:val="1"/>
                <w:color w:val="auto"/>
              </w:rPr>
            </w:pP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auto"/>
              </w:rPr>
              <w:t>18,070</w:t>
            </w:r>
          </w:p>
        </w:tc>
        <w:tc>
          <w:tcPr>
            <w:tcW w:w="2060" w:type="dxa"/>
            <w:vAlign w:val="bottom"/>
          </w:tcPr>
          <w:p>
            <w:pPr>
              <w:jc w:val="right"/>
              <w:ind w:right="420"/>
              <w:spacing w:after="0"/>
              <w:rPr>
                <w:sz w:val="20"/>
                <w:szCs w:val="20"/>
                <w:color w:val="auto"/>
              </w:rPr>
            </w:pPr>
            <w:r>
              <w:rPr>
                <w:rFonts w:ascii="Arial" w:cs="Arial" w:eastAsia="Arial" w:hAnsi="Arial"/>
                <w:sz w:val="16"/>
                <w:szCs w:val="16"/>
                <w:color w:val="auto"/>
              </w:rPr>
              <w:t>17,956</w:t>
            </w:r>
          </w:p>
        </w:tc>
        <w:tc>
          <w:tcPr>
            <w:tcW w:w="0" w:type="dxa"/>
            <w:vAlign w:val="bottom"/>
          </w:tcPr>
          <w:p>
            <w:pPr>
              <w:spacing w:after="0"/>
              <w:rPr>
                <w:sz w:val="1"/>
                <w:szCs w:val="1"/>
                <w:color w:val="auto"/>
              </w:rPr>
            </w:pP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Changes in working capital (a)</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(33,030)</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(7,602)</w:t>
            </w:r>
          </w:p>
        </w:tc>
        <w:tc>
          <w:tcPr>
            <w:tcW w:w="0" w:type="dxa"/>
            <w:vAlign w:val="bottom"/>
          </w:tcPr>
          <w:p>
            <w:pPr>
              <w:spacing w:after="0"/>
              <w:rPr>
                <w:sz w:val="1"/>
                <w:szCs w:val="1"/>
                <w:color w:val="auto"/>
              </w:rPr>
            </w:pPr>
          </w:p>
        </w:tc>
      </w:tr>
      <w:tr>
        <w:trPr>
          <w:trHeight w:val="189"/>
        </w:trPr>
        <w:tc>
          <w:tcPr>
            <w:tcW w:w="7880" w:type="dxa"/>
            <w:vAlign w:val="bottom"/>
          </w:tcPr>
          <w:p>
            <w:pPr>
              <w:ind w:left="120"/>
              <w:spacing w:after="0"/>
              <w:rPr>
                <w:sz w:val="20"/>
                <w:szCs w:val="20"/>
                <w:color w:val="auto"/>
              </w:rPr>
            </w:pPr>
            <w:r>
              <w:rPr>
                <w:rFonts w:ascii="Arial" w:cs="Arial" w:eastAsia="Arial" w:hAnsi="Arial"/>
                <w:sz w:val="16"/>
                <w:szCs w:val="16"/>
                <w:color w:val="auto"/>
              </w:rPr>
              <w:t>Changes in other noncurrent liabilities and deferred taxes</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auto"/>
              </w:rPr>
              <w:t>5,757</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operating items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(5,029)</w:t>
            </w:r>
          </w:p>
        </w:tc>
        <w:tc>
          <w:tcPr>
            <w:tcW w:w="20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(12,452)</w:t>
            </w:r>
          </w:p>
        </w:tc>
        <w:tc>
          <w:tcPr>
            <w:tcW w:w="0" w:type="dxa"/>
            <w:vAlign w:val="bottom"/>
          </w:tcPr>
          <w:p>
            <w:pPr>
              <w:spacing w:after="0"/>
              <w:rPr>
                <w:sz w:val="1"/>
                <w:szCs w:val="1"/>
                <w:color w:val="auto"/>
              </w:rPr>
            </w:pPr>
          </w:p>
        </w:tc>
      </w:tr>
      <w:tr>
        <w:trPr>
          <w:trHeight w:val="164"/>
        </w:trPr>
        <w:tc>
          <w:tcPr>
            <w:tcW w:w="7880" w:type="dxa"/>
            <w:vAlign w:val="bottom"/>
          </w:tcPr>
          <w:p>
            <w:pPr>
              <w:spacing w:after="0" w:line="165" w:lineRule="exact"/>
              <w:rPr>
                <w:sz w:val="20"/>
                <w:szCs w:val="20"/>
                <w:color w:val="auto"/>
              </w:rPr>
            </w:pPr>
            <w:r>
              <w:rPr>
                <w:rFonts w:ascii="Arial" w:cs="Arial" w:eastAsia="Arial" w:hAnsi="Arial"/>
                <w:sz w:val="16"/>
                <w:szCs w:val="16"/>
                <w:color w:val="auto"/>
              </w:rPr>
              <w:t>Net cash (used in)/provided by operating activities</w:t>
            </w:r>
          </w:p>
        </w:tc>
        <w:tc>
          <w:tcPr>
            <w:tcW w:w="130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(6,638)</w:t>
            </w:r>
          </w:p>
        </w:tc>
        <w:tc>
          <w:tcPr>
            <w:tcW w:w="2060" w:type="dxa"/>
            <w:vAlign w:val="bottom"/>
          </w:tcPr>
          <w:p>
            <w:pPr>
              <w:jc w:val="right"/>
              <w:ind w:right="420"/>
              <w:spacing w:after="0" w:line="165" w:lineRule="exact"/>
              <w:rPr>
                <w:sz w:val="20"/>
                <w:szCs w:val="20"/>
                <w:color w:val="auto"/>
              </w:rPr>
            </w:pPr>
            <w:r>
              <w:rPr>
                <w:rFonts w:ascii="Arial" w:cs="Arial" w:eastAsia="Arial" w:hAnsi="Arial"/>
                <w:sz w:val="16"/>
                <w:szCs w:val="16"/>
                <w:color w:val="auto"/>
              </w:rPr>
              <w:t>24,566</w:t>
            </w:r>
          </w:p>
        </w:tc>
        <w:tc>
          <w:tcPr>
            <w:tcW w:w="0" w:type="dxa"/>
            <w:vAlign w:val="bottom"/>
          </w:tcPr>
          <w:p>
            <w:pPr>
              <w:spacing w:after="0"/>
              <w:rPr>
                <w:sz w:val="1"/>
                <w:szCs w:val="1"/>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(12,805)</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(20,820)</w:t>
            </w:r>
          </w:p>
        </w:tc>
        <w:tc>
          <w:tcPr>
            <w:tcW w:w="0" w:type="dxa"/>
            <w:vAlign w:val="bottom"/>
          </w:tcPr>
          <w:p>
            <w:pPr>
              <w:spacing w:after="0"/>
              <w:rPr>
                <w:sz w:val="1"/>
                <w:szCs w:val="1"/>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Net cash provided by/(used in) financing activities</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auto"/>
              </w:rPr>
              <w:t>54,231</w:t>
            </w:r>
          </w:p>
        </w:tc>
        <w:tc>
          <w:tcPr>
            <w:tcW w:w="2060" w:type="dxa"/>
            <w:vAlign w:val="bottom"/>
          </w:tcPr>
          <w:p>
            <w:pPr>
              <w:jc w:val="right"/>
              <w:ind w:right="360"/>
              <w:spacing w:after="0"/>
              <w:rPr>
                <w:sz w:val="20"/>
                <w:szCs w:val="20"/>
                <w:color w:val="auto"/>
              </w:rPr>
            </w:pPr>
            <w:r>
              <w:rPr>
                <w:rFonts w:ascii="Arial" w:cs="Arial" w:eastAsia="Arial" w:hAnsi="Arial"/>
                <w:sz w:val="16"/>
                <w:szCs w:val="16"/>
                <w:color w:val="auto"/>
              </w:rPr>
              <w:t>(15,139)</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(7,648)</w:t>
            </w:r>
          </w:p>
        </w:tc>
        <w:tc>
          <w:tcPr>
            <w:tcW w:w="2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164"/>
        </w:trPr>
        <w:tc>
          <w:tcPr>
            <w:tcW w:w="7880" w:type="dxa"/>
            <w:vAlign w:val="bottom"/>
          </w:tcPr>
          <w:p>
            <w:pPr>
              <w:spacing w:after="0" w:line="165" w:lineRule="exact"/>
              <w:rPr>
                <w:sz w:val="20"/>
                <w:szCs w:val="20"/>
                <w:color w:val="auto"/>
              </w:rPr>
            </w:pPr>
            <w:r>
              <w:rPr>
                <w:rFonts w:ascii="Arial" w:cs="Arial" w:eastAsia="Arial" w:hAnsi="Arial"/>
                <w:sz w:val="16"/>
                <w:szCs w:val="16"/>
                <w:color w:val="auto"/>
              </w:rPr>
              <w:t>Increase/(decrease) in cash and cash equivalents</w:t>
            </w:r>
          </w:p>
        </w:tc>
        <w:tc>
          <w:tcPr>
            <w:tcW w:w="1300" w:type="dxa"/>
            <w:vAlign w:val="bottom"/>
          </w:tcPr>
          <w:p>
            <w:pPr>
              <w:jc w:val="right"/>
              <w:ind w:right="40"/>
              <w:spacing w:after="0" w:line="165" w:lineRule="exact"/>
              <w:rPr>
                <w:sz w:val="20"/>
                <w:szCs w:val="20"/>
                <w:color w:val="auto"/>
              </w:rPr>
            </w:pPr>
            <w:r>
              <w:rPr>
                <w:rFonts w:ascii="Arial" w:cs="Arial" w:eastAsia="Arial" w:hAnsi="Arial"/>
                <w:sz w:val="16"/>
                <w:szCs w:val="16"/>
                <w:b w:val="1"/>
                <w:bCs w:val="1"/>
                <w:color w:val="auto"/>
              </w:rPr>
              <w:t>27,140</w:t>
            </w:r>
          </w:p>
        </w:tc>
        <w:tc>
          <w:tcPr>
            <w:tcW w:w="2060" w:type="dxa"/>
            <w:vAlign w:val="bottom"/>
          </w:tcPr>
          <w:p>
            <w:pPr>
              <w:jc w:val="right"/>
              <w:ind w:right="360"/>
              <w:spacing w:after="0" w:line="165" w:lineRule="exact"/>
              <w:rPr>
                <w:sz w:val="20"/>
                <w:szCs w:val="20"/>
                <w:color w:val="auto"/>
              </w:rPr>
            </w:pPr>
            <w:r>
              <w:rPr>
                <w:rFonts w:ascii="Arial" w:cs="Arial" w:eastAsia="Arial" w:hAnsi="Arial"/>
                <w:sz w:val="16"/>
                <w:szCs w:val="16"/>
                <w:color w:val="auto"/>
              </w:rPr>
              <w:t>(10,370)</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195,540</w:t>
            </w:r>
          </w:p>
        </w:tc>
        <w:tc>
          <w:tcPr>
            <w:tcW w:w="20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197,755</w:t>
            </w:r>
          </w:p>
        </w:tc>
        <w:tc>
          <w:tcPr>
            <w:tcW w:w="0" w:type="dxa"/>
            <w:vAlign w:val="bottom"/>
          </w:tcPr>
          <w:p>
            <w:pPr>
              <w:spacing w:after="0"/>
              <w:rPr>
                <w:sz w:val="1"/>
                <w:szCs w:val="1"/>
                <w:color w:val="auto"/>
              </w:rPr>
            </w:pPr>
          </w:p>
        </w:tc>
      </w:tr>
      <w:tr>
        <w:trPr>
          <w:trHeight w:val="198"/>
        </w:trPr>
        <w:tc>
          <w:tcPr>
            <w:tcW w:w="788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auto"/>
              </w:rPr>
              <w:t>$222,680</w:t>
            </w:r>
          </w:p>
        </w:tc>
        <w:tc>
          <w:tcPr>
            <w:tcW w:w="2060" w:type="dxa"/>
            <w:vAlign w:val="bottom"/>
          </w:tcPr>
          <w:p>
            <w:pPr>
              <w:jc w:val="right"/>
              <w:ind w:right="420"/>
              <w:spacing w:after="0"/>
              <w:rPr>
                <w:sz w:val="20"/>
                <w:szCs w:val="20"/>
                <w:color w:val="auto"/>
              </w:rPr>
            </w:pPr>
            <w:r>
              <w:rPr>
                <w:rFonts w:ascii="Arial" w:cs="Arial" w:eastAsia="Arial" w:hAnsi="Arial"/>
                <w:sz w:val="16"/>
                <w:szCs w:val="16"/>
                <w:color w:val="auto"/>
              </w:rPr>
              <w:t>$187,385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and Accounts payable.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Cash flow used by operating activities was $6.6 million in the first three months of 2020, compared to cash flow provided by operating activities was $24.6 million in the first three months of 2019. The use of cash in 2020 reflects a more normal seasonal pattern of cash flow than we had in 2019, which included the benefit of a number of initiatives directed at working capital efficiency.</w:t>
      </w:r>
    </w:p>
    <w:p>
      <w:pPr>
        <w:spacing w:after="0" w:line="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Cash paid for income taxes was $9.6 million and $8.0 million for the first three months of 2020 and 2019, respectively. The increase is primarily due to an increase in corporate income tax payments in Brazil and China due to increased pre-tax income in those jurisdictions.</w:t>
      </w:r>
    </w:p>
    <w:p>
      <w:pPr>
        <w:spacing w:after="0" w:line="8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At March 31, 2020, we had $222.7 million of cash and cash equivalents, of which $152.6 million was held by subsidiaries outside of the 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and Financing Activities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expenditures for the first three months were $12.8 million in 2020 and $20.8 million in 2019.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Future cash dividends will also depend on debt covenants and on the Board’s assessment of our ability to generate sufficient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The majority of our cash balance at March 31, 2020 was held by non-U.S. subsidiaries. Based on cash on hand and credit facilities, we anticipate that the Company has sufficient capital resources to operate for the foreseeable future. We were in compliance with all debt covenants as of March 31, 2020.</w:t>
      </w:r>
    </w:p>
    <w:p>
      <w:pPr>
        <w:spacing w:after="0" w:line="94"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$491 million of borrowings were outstanding as of March 31, 2020. The applicable interest rate for borrowings was LIBOR plus a spread, based on our leverage ratio at the time of borrowing. At the time of the last borrowing on March 30, 2020, the spread was 1.375%. The spread was based on a pricing grid, which ranged from 1.250% to 1.750%, based on our leverage ratio. Based on our maximum leverage ratio and our Consolidated EBITDA, and without modification to any other credit agreements, as of March 31, 2020, we would have been able to borrow an additional $194 million under the Agreement.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Note 15 to the Consolidated Financial Statements in Item 1, which is incorporated herein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we have no off-balance sheet arrangements required to be disclosed pursuant to Item 303(a)(4) of Regulation S-</w:t>
      </w:r>
    </w:p>
    <w:p>
      <w:pPr>
        <w:spacing w:after="0"/>
        <w:rPr>
          <w:sz w:val="20"/>
          <w:szCs w:val="20"/>
          <w:color w:val="auto"/>
        </w:rPr>
      </w:pPr>
      <w:r>
        <w:rPr>
          <w:rFonts w:ascii="Arial" w:cs="Arial" w:eastAsia="Arial" w:hAnsi="Arial"/>
          <w:sz w:val="18"/>
          <w:szCs w:val="18"/>
          <w:color w:val="auto"/>
        </w:rPr>
        <w:t>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information set forth under Note 19 contained in Item 1, “Notes to Consolidated Financial Statements”, which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This Form 10-Q contains certain non-GAAP measures,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Adjusted earnings per share (or Adjusted EPS). Such items are provided because management believes that they provide additional useful information to investors regarding the Company’s operational performance.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Presenting sales and increases or decreases in Net sales, after currency effects are excluded, can give management and investors insight into underlying sales trends. 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acquisition and related retention agreement expenses, former CEO severance costs, integration expenses, currency revaluation, pension settlement/curtailment charges,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w:t>
      </w:r>
    </w:p>
    <w:p>
      <w:pPr>
        <w:spacing w:after="0" w:line="9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 The Company calculates EBITDA by removing the following from Net income: Interest expense net, Income tax expense, and Depreciation and amortization expense. Adjusted EBITDA is calculated by: adding to EBITDA costs associated with restructuring, former CEO severance costs, inventory write-offs associated with discontinued businesses; adding charges and credits related to pension plan settlements and curtailments; adding (or subtracting) revaluation losses (or gains); subtracting (or adding) gains (or losses) from the sale of buildings or investments; subtracting insurance recovery gains in excess of previously recorded losses; adding acquisition and related retention agreement expenses; adding integration expenses and subtracting (or adding) Income (or loss) attributable to the non-controlling interest in Albany Safran Composites (ASC). Adjusted earnings per share is calculated by adding to (or subtracting from) net income attributable to the Company per share, on an after-tax basis: restructuring charges; inventory write-offs associated with discontinued businesses; pension settlement/curtailments; the effect of changes in the income tax rate; foreign currency revaluation losses (or gains); acquisition-related expenses; and losses (or gains) from the sale of investments.</w:t>
      </w:r>
    </w:p>
    <w:p>
      <w:pPr>
        <w:spacing w:after="0" w:line="9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EBITDA, Adjusted EBITDA, and Adjusted earnings per share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19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Corporate</w:t>
            </w: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Albany Engineered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expenses and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Machine Clothing</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Composites</w:t>
            </w:r>
          </w:p>
        </w:tc>
        <w:tc>
          <w:tcPr>
            <w:tcW w:w="12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other</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64"/>
        </w:trPr>
        <w:tc>
          <w:tcPr>
            <w:tcW w:w="5260" w:type="dxa"/>
            <w:vAlign w:val="bottom"/>
          </w:tcPr>
          <w:p>
            <w:pPr>
              <w:spacing w:after="0" w:line="165" w:lineRule="exact"/>
              <w:rPr>
                <w:sz w:val="20"/>
                <w:szCs w:val="20"/>
                <w:color w:val="auto"/>
              </w:rPr>
            </w:pPr>
            <w:r>
              <w:rPr>
                <w:rFonts w:ascii="Arial" w:cs="Arial" w:eastAsia="Arial" w:hAnsi="Arial"/>
                <w:sz w:val="16"/>
                <w:szCs w:val="16"/>
                <w:b w:val="1"/>
                <w:bCs w:val="1"/>
                <w:color w:val="auto"/>
              </w:rPr>
              <w:t>Operating income/(loss) (GAAP)</w:t>
            </w:r>
          </w:p>
        </w:tc>
        <w:tc>
          <w:tcPr>
            <w:tcW w:w="1920" w:type="dxa"/>
            <w:vAlign w:val="bottom"/>
          </w:tcPr>
          <w:p>
            <w:pPr>
              <w:jc w:val="right"/>
              <w:ind w:right="280"/>
              <w:spacing w:after="0" w:line="165" w:lineRule="exact"/>
              <w:rPr>
                <w:sz w:val="20"/>
                <w:szCs w:val="20"/>
                <w:color w:val="auto"/>
              </w:rPr>
            </w:pPr>
            <w:r>
              <w:rPr>
                <w:rFonts w:ascii="Arial" w:cs="Arial" w:eastAsia="Arial" w:hAnsi="Arial"/>
                <w:sz w:val="16"/>
                <w:szCs w:val="16"/>
                <w:b w:val="1"/>
                <w:bCs w:val="1"/>
                <w:color w:val="auto"/>
              </w:rPr>
              <w:t>$47,175</w:t>
            </w:r>
          </w:p>
        </w:tc>
        <w:tc>
          <w:tcPr>
            <w:tcW w:w="48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79"/>
              <w:spacing w:after="0" w:line="165" w:lineRule="exact"/>
              <w:rPr>
                <w:sz w:val="20"/>
                <w:szCs w:val="20"/>
                <w:color w:val="auto"/>
              </w:rPr>
            </w:pPr>
            <w:r>
              <w:rPr>
                <w:rFonts w:ascii="Arial" w:cs="Arial" w:eastAsia="Arial" w:hAnsi="Arial"/>
                <w:sz w:val="16"/>
                <w:szCs w:val="16"/>
                <w:b w:val="1"/>
                <w:bCs w:val="1"/>
                <w:color w:val="auto"/>
              </w:rPr>
              <w:t>7,623</w:t>
            </w:r>
          </w:p>
        </w:tc>
        <w:tc>
          <w:tcPr>
            <w:tcW w:w="1240" w:type="dxa"/>
            <w:vAlign w:val="bottom"/>
          </w:tcPr>
          <w:p>
            <w:pPr>
              <w:jc w:val="right"/>
              <w:ind w:right="201"/>
              <w:spacing w:after="0" w:line="165" w:lineRule="exact"/>
              <w:rPr>
                <w:sz w:val="20"/>
                <w:szCs w:val="20"/>
                <w:color w:val="auto"/>
              </w:rPr>
            </w:pPr>
            <w:r>
              <w:rPr>
                <w:rFonts w:ascii="Arial" w:cs="Arial" w:eastAsia="Arial" w:hAnsi="Arial"/>
                <w:sz w:val="16"/>
                <w:szCs w:val="16"/>
                <w:b w:val="1"/>
                <w:bCs w:val="1"/>
                <w:color w:val="auto"/>
              </w:rPr>
              <w:t>$(15,204)</w:t>
            </w:r>
          </w:p>
        </w:tc>
        <w:tc>
          <w:tcPr>
            <w:tcW w:w="13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$ 39,594</w:t>
            </w:r>
          </w:p>
        </w:tc>
        <w:tc>
          <w:tcPr>
            <w:tcW w:w="0" w:type="dxa"/>
            <w:vAlign w:val="bottom"/>
          </w:tcPr>
          <w:p>
            <w:pPr>
              <w:spacing w:after="0"/>
              <w:rPr>
                <w:sz w:val="1"/>
                <w:szCs w:val="1"/>
                <w:color w:val="auto"/>
              </w:rPr>
            </w:pPr>
          </w:p>
        </w:tc>
      </w:tr>
      <w:tr>
        <w:trPr>
          <w:trHeight w:val="207"/>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taxes, other income/(expense)</w:t>
            </w:r>
          </w:p>
        </w:tc>
        <w:tc>
          <w:tcPr>
            <w:tcW w:w="19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(32,000)</w:t>
            </w: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(32,000)</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6"/>
                <w:szCs w:val="16"/>
                <w:b w:val="1"/>
                <w:bCs w:val="1"/>
                <w:color w:val="auto"/>
              </w:rPr>
              <w:t>Net income/(loss) (GAAP)</w:t>
            </w:r>
          </w:p>
        </w:tc>
        <w:tc>
          <w:tcPr>
            <w:tcW w:w="1920" w:type="dxa"/>
            <w:vAlign w:val="bottom"/>
          </w:tcPr>
          <w:p>
            <w:pPr>
              <w:jc w:val="right"/>
              <w:ind w:right="280"/>
              <w:spacing w:after="0"/>
              <w:rPr>
                <w:sz w:val="20"/>
                <w:szCs w:val="20"/>
                <w:color w:val="auto"/>
              </w:rPr>
            </w:pPr>
            <w:r>
              <w:rPr>
                <w:rFonts w:ascii="Arial" w:cs="Arial" w:eastAsia="Arial" w:hAnsi="Arial"/>
                <w:sz w:val="16"/>
                <w:szCs w:val="16"/>
                <w:b w:val="1"/>
                <w:bCs w:val="1"/>
                <w:color w:val="auto"/>
              </w:rPr>
              <w:t>47,175</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7,623</w:t>
            </w:r>
          </w:p>
        </w:tc>
        <w:tc>
          <w:tcPr>
            <w:tcW w:w="1240" w:type="dxa"/>
            <w:vAlign w:val="bottom"/>
          </w:tcPr>
          <w:p>
            <w:pPr>
              <w:jc w:val="right"/>
              <w:ind w:right="201"/>
              <w:spacing w:after="0"/>
              <w:rPr>
                <w:sz w:val="20"/>
                <w:szCs w:val="20"/>
                <w:color w:val="auto"/>
              </w:rPr>
            </w:pPr>
            <w:r>
              <w:rPr>
                <w:rFonts w:ascii="Arial" w:cs="Arial" w:eastAsia="Arial" w:hAnsi="Arial"/>
                <w:sz w:val="16"/>
                <w:szCs w:val="16"/>
                <w:b w:val="1"/>
                <w:bCs w:val="1"/>
                <w:color w:val="auto"/>
              </w:rPr>
              <w:t>(47,204)</w:t>
            </w:r>
          </w:p>
        </w:tc>
        <w:tc>
          <w:tcPr>
            <w:tcW w:w="1360" w:type="dxa"/>
            <w:vAlign w:val="bottom"/>
          </w:tcPr>
          <w:p>
            <w:pPr>
              <w:jc w:val="right"/>
              <w:ind w:right="280"/>
              <w:spacing w:after="0"/>
              <w:rPr>
                <w:sz w:val="20"/>
                <w:szCs w:val="20"/>
                <w:color w:val="auto"/>
              </w:rPr>
            </w:pPr>
            <w:r>
              <w:rPr>
                <w:rFonts w:ascii="Arial" w:cs="Arial" w:eastAsia="Arial" w:hAnsi="Arial"/>
                <w:sz w:val="16"/>
                <w:szCs w:val="16"/>
                <w:b w:val="1"/>
                <w:bCs w:val="1"/>
                <w:color w:val="auto"/>
              </w:rPr>
              <w:t>7,594</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Interest expense, net</w:t>
            </w:r>
          </w:p>
        </w:tc>
        <w:tc>
          <w:tcPr>
            <w:tcW w:w="19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3,977</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Income tax expense</w:t>
            </w:r>
          </w:p>
        </w:tc>
        <w:tc>
          <w:tcPr>
            <w:tcW w:w="19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12,454</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12,454</w:t>
            </w:r>
          </w:p>
        </w:tc>
        <w:tc>
          <w:tcPr>
            <w:tcW w:w="0" w:type="dxa"/>
            <w:vAlign w:val="bottom"/>
          </w:tcPr>
          <w:p>
            <w:pPr>
              <w:spacing w:after="0"/>
              <w:rPr>
                <w:sz w:val="1"/>
                <w:szCs w:val="1"/>
                <w:color w:val="auto"/>
              </w:rPr>
            </w:pPr>
          </w:p>
        </w:tc>
      </w:tr>
      <w:tr>
        <w:trPr>
          <w:trHeight w:val="187"/>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Depreciation and amortization expense</w:t>
            </w:r>
          </w:p>
        </w:tc>
        <w:tc>
          <w:tcPr>
            <w:tcW w:w="19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5,087</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11,985</w:t>
            </w:r>
          </w:p>
        </w:tc>
        <w:tc>
          <w:tcPr>
            <w:tcW w:w="12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998</w:t>
            </w: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18,070</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6"/>
                <w:szCs w:val="16"/>
                <w:b w:val="1"/>
                <w:bCs w:val="1"/>
                <w:color w:val="auto"/>
              </w:rPr>
              <w:t>EBITDA (non-GAAP)</w:t>
            </w:r>
          </w:p>
        </w:tc>
        <w:tc>
          <w:tcPr>
            <w:tcW w:w="1920" w:type="dxa"/>
            <w:vAlign w:val="bottom"/>
          </w:tcPr>
          <w:p>
            <w:pPr>
              <w:jc w:val="right"/>
              <w:ind w:right="280"/>
              <w:spacing w:after="0"/>
              <w:rPr>
                <w:sz w:val="20"/>
                <w:szCs w:val="20"/>
                <w:color w:val="auto"/>
              </w:rPr>
            </w:pPr>
            <w:r>
              <w:rPr>
                <w:rFonts w:ascii="Arial" w:cs="Arial" w:eastAsia="Arial" w:hAnsi="Arial"/>
                <w:sz w:val="16"/>
                <w:szCs w:val="16"/>
                <w:b w:val="1"/>
                <w:bCs w:val="1"/>
                <w:color w:val="auto"/>
              </w:rPr>
              <w:t>52,262</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w w:val="98"/>
              </w:rPr>
              <w:t>19,608</w:t>
            </w:r>
          </w:p>
        </w:tc>
        <w:tc>
          <w:tcPr>
            <w:tcW w:w="1240" w:type="dxa"/>
            <w:vAlign w:val="bottom"/>
          </w:tcPr>
          <w:p>
            <w:pPr>
              <w:jc w:val="right"/>
              <w:ind w:right="201"/>
              <w:spacing w:after="0"/>
              <w:rPr>
                <w:sz w:val="20"/>
                <w:szCs w:val="20"/>
                <w:color w:val="auto"/>
              </w:rPr>
            </w:pPr>
            <w:r>
              <w:rPr>
                <w:rFonts w:ascii="Arial" w:cs="Arial" w:eastAsia="Arial" w:hAnsi="Arial"/>
                <w:sz w:val="16"/>
                <w:szCs w:val="16"/>
                <w:b w:val="1"/>
                <w:bCs w:val="1"/>
                <w:color w:val="auto"/>
              </w:rPr>
              <w:t>(29,775)</w:t>
            </w:r>
          </w:p>
        </w:tc>
        <w:tc>
          <w:tcPr>
            <w:tcW w:w="1360" w:type="dxa"/>
            <w:vAlign w:val="bottom"/>
          </w:tcPr>
          <w:p>
            <w:pPr>
              <w:jc w:val="right"/>
              <w:ind w:right="280"/>
              <w:spacing w:after="0"/>
              <w:rPr>
                <w:sz w:val="20"/>
                <w:szCs w:val="20"/>
                <w:color w:val="auto"/>
              </w:rPr>
            </w:pPr>
            <w:r>
              <w:rPr>
                <w:rFonts w:ascii="Arial" w:cs="Arial" w:eastAsia="Arial" w:hAnsi="Arial"/>
                <w:sz w:val="16"/>
                <w:szCs w:val="16"/>
                <w:b w:val="1"/>
                <w:bCs w:val="1"/>
                <w:color w:val="auto"/>
              </w:rPr>
              <w:t>42,095</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Restructuring expenses, net</w:t>
            </w:r>
          </w:p>
        </w:tc>
        <w:tc>
          <w:tcPr>
            <w:tcW w:w="1920" w:type="dxa"/>
            <w:vAlign w:val="bottom"/>
          </w:tcPr>
          <w:p>
            <w:pPr>
              <w:jc w:val="right"/>
              <w:ind w:right="280"/>
              <w:spacing w:after="0"/>
              <w:rPr>
                <w:sz w:val="20"/>
                <w:szCs w:val="20"/>
                <w:color w:val="auto"/>
              </w:rPr>
            </w:pPr>
            <w:r>
              <w:rPr>
                <w:rFonts w:ascii="Arial" w:cs="Arial" w:eastAsia="Arial" w:hAnsi="Arial"/>
                <w:sz w:val="16"/>
                <w:szCs w:val="16"/>
                <w:color w:val="auto"/>
              </w:rPr>
              <w:t>642</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Foreign currency revaluation (gains)/losses, net</w:t>
            </w:r>
          </w:p>
        </w:tc>
        <w:tc>
          <w:tcPr>
            <w:tcW w:w="1920" w:type="dxa"/>
            <w:vAlign w:val="bottom"/>
          </w:tcPr>
          <w:p>
            <w:pPr>
              <w:jc w:val="right"/>
              <w:ind w:right="220"/>
              <w:spacing w:after="0"/>
              <w:rPr>
                <w:sz w:val="20"/>
                <w:szCs w:val="20"/>
                <w:color w:val="auto"/>
              </w:rPr>
            </w:pPr>
            <w:r>
              <w:rPr>
                <w:rFonts w:ascii="Arial" w:cs="Arial" w:eastAsia="Arial" w:hAnsi="Arial"/>
                <w:sz w:val="16"/>
                <w:szCs w:val="16"/>
                <w:color w:val="auto"/>
              </w:rPr>
              <w:t>(3,661)</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697</w:t>
            </w: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14,830</w:t>
            </w:r>
          </w:p>
        </w:tc>
        <w:tc>
          <w:tcPr>
            <w:tcW w:w="1360" w:type="dxa"/>
            <w:vAlign w:val="bottom"/>
          </w:tcPr>
          <w:p>
            <w:pPr>
              <w:jc w:val="right"/>
              <w:ind w:right="260"/>
              <w:spacing w:after="0"/>
              <w:rPr>
                <w:sz w:val="20"/>
                <w:szCs w:val="20"/>
                <w:color w:val="auto"/>
              </w:rPr>
            </w:pPr>
            <w:r>
              <w:rPr>
                <w:rFonts w:ascii="Arial" w:cs="Arial" w:eastAsia="Arial" w:hAnsi="Arial"/>
                <w:sz w:val="16"/>
                <w:szCs w:val="16"/>
                <w:color w:val="auto"/>
              </w:rPr>
              <w:t>11,866</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Former CEO termination costs</w:t>
            </w:r>
          </w:p>
        </w:tc>
        <w:tc>
          <w:tcPr>
            <w:tcW w:w="19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2,742</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2,742</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CirComp integration costs</w:t>
            </w:r>
          </w:p>
        </w:tc>
        <w:tc>
          <w:tcPr>
            <w:tcW w:w="19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298</w:t>
            </w: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187"/>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Pre-tax loss attributable to the noncontrolling interest in ASC</w:t>
            </w:r>
          </w:p>
        </w:tc>
        <w:tc>
          <w:tcPr>
            <w:tcW w:w="19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1,492</w:t>
            </w:r>
          </w:p>
        </w:tc>
        <w:tc>
          <w:tcPr>
            <w:tcW w:w="12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183"/>
        </w:trPr>
        <w:tc>
          <w:tcPr>
            <w:tcW w:w="52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Adjusted EBITDA (non-GAAP)</w:t>
            </w:r>
          </w:p>
        </w:tc>
        <w:tc>
          <w:tcPr>
            <w:tcW w:w="1920" w:type="dxa"/>
            <w:vAlign w:val="bottom"/>
            <w:tcBorders>
              <w:bottom w:val="single" w:sz="8" w:color="auto"/>
            </w:tcBorders>
          </w:tcPr>
          <w:p>
            <w:pPr>
              <w:jc w:val="right"/>
              <w:ind w:right="280"/>
              <w:spacing w:after="0" w:line="183" w:lineRule="exact"/>
              <w:rPr>
                <w:sz w:val="20"/>
                <w:szCs w:val="20"/>
                <w:color w:val="auto"/>
              </w:rPr>
            </w:pPr>
            <w:r>
              <w:rPr>
                <w:rFonts w:ascii="Arial" w:cs="Arial" w:eastAsia="Arial" w:hAnsi="Arial"/>
                <w:sz w:val="16"/>
                <w:szCs w:val="16"/>
                <w:b w:val="1"/>
                <w:bCs w:val="1"/>
                <w:color w:val="auto"/>
              </w:rPr>
              <w:t>$49,243</w:t>
            </w:r>
          </w:p>
        </w:tc>
        <w:tc>
          <w:tcPr>
            <w:tcW w:w="1460" w:type="dxa"/>
            <w:vAlign w:val="bottom"/>
            <w:tcBorders>
              <w:bottom w:val="single" w:sz="8" w:color="auto"/>
            </w:tcBorders>
            <w:gridSpan w:val="2"/>
          </w:tcPr>
          <w:p>
            <w:pPr>
              <w:jc w:val="right"/>
              <w:ind w:right="379"/>
              <w:spacing w:after="0" w:line="183" w:lineRule="exact"/>
              <w:rPr>
                <w:sz w:val="20"/>
                <w:szCs w:val="20"/>
                <w:color w:val="auto"/>
              </w:rPr>
            </w:pPr>
            <w:r>
              <w:rPr>
                <w:rFonts w:ascii="Arial" w:cs="Arial" w:eastAsia="Arial" w:hAnsi="Arial"/>
                <w:sz w:val="16"/>
                <w:szCs w:val="16"/>
                <w:b w:val="1"/>
                <w:bCs w:val="1"/>
                <w:color w:val="auto"/>
              </w:rPr>
              <w:t>$22,095</w:t>
            </w:r>
          </w:p>
        </w:tc>
        <w:tc>
          <w:tcPr>
            <w:tcW w:w="124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b w:val="1"/>
                <w:bCs w:val="1"/>
                <w:color w:val="auto"/>
              </w:rPr>
              <w:t>$(12,203)</w:t>
            </w:r>
          </w:p>
        </w:tc>
        <w:tc>
          <w:tcPr>
            <w:tcW w:w="13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$ 59,135</w:t>
            </w:r>
          </w:p>
        </w:tc>
        <w:tc>
          <w:tcPr>
            <w:tcW w:w="0" w:type="dxa"/>
            <w:vAlign w:val="bottom"/>
          </w:tcPr>
          <w:p>
            <w:pPr>
              <w:spacing w:after="0"/>
              <w:rPr>
                <w:sz w:val="1"/>
                <w:szCs w:val="1"/>
                <w:color w:val="auto"/>
              </w:rPr>
            </w:pPr>
          </w:p>
        </w:tc>
      </w:tr>
      <w:tr>
        <w:trPr>
          <w:trHeight w:val="155"/>
        </w:trPr>
        <w:tc>
          <w:tcPr>
            <w:tcW w:w="52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1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Corporate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5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Albany Engineered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expenses and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Machine Clothing</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Composites</w:t>
            </w:r>
          </w:p>
        </w:tc>
        <w:tc>
          <w:tcPr>
            <w:tcW w:w="12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other</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64"/>
        </w:trPr>
        <w:tc>
          <w:tcPr>
            <w:tcW w:w="5260" w:type="dxa"/>
            <w:vAlign w:val="bottom"/>
          </w:tcPr>
          <w:p>
            <w:pPr>
              <w:spacing w:after="0" w:line="165" w:lineRule="exact"/>
              <w:rPr>
                <w:sz w:val="20"/>
                <w:szCs w:val="20"/>
                <w:color w:val="auto"/>
              </w:rPr>
            </w:pPr>
            <w:r>
              <w:rPr>
                <w:rFonts w:ascii="Arial" w:cs="Arial" w:eastAsia="Arial" w:hAnsi="Arial"/>
                <w:sz w:val="16"/>
                <w:szCs w:val="16"/>
                <w:b w:val="1"/>
                <w:bCs w:val="1"/>
                <w:color w:val="auto"/>
              </w:rPr>
              <w:t>Operating income/(loss) (GAAP)</w:t>
            </w:r>
          </w:p>
        </w:tc>
        <w:tc>
          <w:tcPr>
            <w:tcW w:w="1920" w:type="dxa"/>
            <w:vAlign w:val="bottom"/>
          </w:tcPr>
          <w:p>
            <w:pPr>
              <w:jc w:val="right"/>
              <w:ind w:right="280"/>
              <w:spacing w:after="0" w:line="165" w:lineRule="exact"/>
              <w:rPr>
                <w:sz w:val="20"/>
                <w:szCs w:val="20"/>
                <w:color w:val="auto"/>
              </w:rPr>
            </w:pPr>
            <w:r>
              <w:rPr>
                <w:rFonts w:ascii="Arial" w:cs="Arial" w:eastAsia="Arial" w:hAnsi="Arial"/>
                <w:sz w:val="16"/>
                <w:szCs w:val="16"/>
                <w:b w:val="1"/>
                <w:bCs w:val="1"/>
                <w:color w:val="auto"/>
              </w:rPr>
              <w:t>$44,243</w:t>
            </w:r>
          </w:p>
        </w:tc>
        <w:tc>
          <w:tcPr>
            <w:tcW w:w="48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79"/>
              <w:spacing w:after="0" w:line="165" w:lineRule="exact"/>
              <w:rPr>
                <w:sz w:val="20"/>
                <w:szCs w:val="20"/>
                <w:color w:val="auto"/>
              </w:rPr>
            </w:pPr>
            <w:r>
              <w:rPr>
                <w:rFonts w:ascii="Arial" w:cs="Arial" w:eastAsia="Arial" w:hAnsi="Arial"/>
                <w:sz w:val="16"/>
                <w:szCs w:val="16"/>
                <w:b w:val="1"/>
                <w:bCs w:val="1"/>
                <w:color w:val="auto"/>
              </w:rPr>
              <w:t>9,522</w:t>
            </w:r>
          </w:p>
        </w:tc>
        <w:tc>
          <w:tcPr>
            <w:tcW w:w="1240" w:type="dxa"/>
            <w:vAlign w:val="bottom"/>
          </w:tcPr>
          <w:p>
            <w:pPr>
              <w:jc w:val="right"/>
              <w:ind w:right="201"/>
              <w:spacing w:after="0" w:line="165" w:lineRule="exact"/>
              <w:rPr>
                <w:sz w:val="20"/>
                <w:szCs w:val="20"/>
                <w:color w:val="auto"/>
              </w:rPr>
            </w:pPr>
            <w:r>
              <w:rPr>
                <w:rFonts w:ascii="Arial" w:cs="Arial" w:eastAsia="Arial" w:hAnsi="Arial"/>
                <w:sz w:val="16"/>
                <w:szCs w:val="16"/>
                <w:b w:val="1"/>
                <w:bCs w:val="1"/>
                <w:color w:val="auto"/>
              </w:rPr>
              <w:t>$(13,672)</w:t>
            </w:r>
          </w:p>
        </w:tc>
        <w:tc>
          <w:tcPr>
            <w:tcW w:w="13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$ 40,093</w:t>
            </w:r>
          </w:p>
        </w:tc>
        <w:tc>
          <w:tcPr>
            <w:tcW w:w="0" w:type="dxa"/>
            <w:vAlign w:val="bottom"/>
          </w:tcPr>
          <w:p>
            <w:pPr>
              <w:spacing w:after="0"/>
              <w:rPr>
                <w:sz w:val="1"/>
                <w:szCs w:val="1"/>
                <w:color w:val="auto"/>
              </w:rPr>
            </w:pPr>
          </w:p>
        </w:tc>
      </w:tr>
      <w:tr>
        <w:trPr>
          <w:trHeight w:val="207"/>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taxes, other income/(expense)</w:t>
            </w:r>
          </w:p>
        </w:tc>
        <w:tc>
          <w:tcPr>
            <w:tcW w:w="19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(10,685)</w:t>
            </w: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(10,685)</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6"/>
                <w:szCs w:val="16"/>
                <w:b w:val="1"/>
                <w:bCs w:val="1"/>
                <w:color w:val="auto"/>
              </w:rPr>
              <w:t>Net income/(loss) (GAAP)</w:t>
            </w:r>
          </w:p>
        </w:tc>
        <w:tc>
          <w:tcPr>
            <w:tcW w:w="1920" w:type="dxa"/>
            <w:vAlign w:val="bottom"/>
          </w:tcPr>
          <w:p>
            <w:pPr>
              <w:jc w:val="right"/>
              <w:ind w:right="280"/>
              <w:spacing w:after="0"/>
              <w:rPr>
                <w:sz w:val="20"/>
                <w:szCs w:val="20"/>
                <w:color w:val="auto"/>
              </w:rPr>
            </w:pPr>
            <w:r>
              <w:rPr>
                <w:rFonts w:ascii="Arial" w:cs="Arial" w:eastAsia="Arial" w:hAnsi="Arial"/>
                <w:sz w:val="16"/>
                <w:szCs w:val="16"/>
                <w:b w:val="1"/>
                <w:bCs w:val="1"/>
                <w:color w:val="auto"/>
              </w:rPr>
              <w:t>44,243</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9,522</w:t>
            </w:r>
          </w:p>
        </w:tc>
        <w:tc>
          <w:tcPr>
            <w:tcW w:w="1240" w:type="dxa"/>
            <w:vAlign w:val="bottom"/>
          </w:tcPr>
          <w:p>
            <w:pPr>
              <w:jc w:val="right"/>
              <w:ind w:right="201"/>
              <w:spacing w:after="0"/>
              <w:rPr>
                <w:sz w:val="20"/>
                <w:szCs w:val="20"/>
                <w:color w:val="auto"/>
              </w:rPr>
            </w:pPr>
            <w:r>
              <w:rPr>
                <w:rFonts w:ascii="Arial" w:cs="Arial" w:eastAsia="Arial" w:hAnsi="Arial"/>
                <w:sz w:val="16"/>
                <w:szCs w:val="16"/>
                <w:b w:val="1"/>
                <w:bCs w:val="1"/>
                <w:color w:val="auto"/>
              </w:rPr>
              <w:t>(24,357)</w:t>
            </w:r>
          </w:p>
        </w:tc>
        <w:tc>
          <w:tcPr>
            <w:tcW w:w="1360" w:type="dxa"/>
            <w:vAlign w:val="bottom"/>
          </w:tcPr>
          <w:p>
            <w:pPr>
              <w:jc w:val="right"/>
              <w:ind w:right="280"/>
              <w:spacing w:after="0"/>
              <w:rPr>
                <w:sz w:val="20"/>
                <w:szCs w:val="20"/>
                <w:color w:val="auto"/>
              </w:rPr>
            </w:pPr>
            <w:r>
              <w:rPr>
                <w:rFonts w:ascii="Arial" w:cs="Arial" w:eastAsia="Arial" w:hAnsi="Arial"/>
                <w:sz w:val="16"/>
                <w:szCs w:val="16"/>
                <w:b w:val="1"/>
                <w:bCs w:val="1"/>
                <w:color w:val="auto"/>
              </w:rPr>
              <w:t>29,408</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Interest expense, net</w:t>
            </w:r>
          </w:p>
        </w:tc>
        <w:tc>
          <w:tcPr>
            <w:tcW w:w="19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4,417</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4,417</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Income tax expense</w:t>
            </w:r>
          </w:p>
        </w:tc>
        <w:tc>
          <w:tcPr>
            <w:tcW w:w="19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7,476</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7,476</w:t>
            </w:r>
          </w:p>
        </w:tc>
        <w:tc>
          <w:tcPr>
            <w:tcW w:w="0" w:type="dxa"/>
            <w:vAlign w:val="bottom"/>
          </w:tcPr>
          <w:p>
            <w:pPr>
              <w:spacing w:after="0"/>
              <w:rPr>
                <w:sz w:val="1"/>
                <w:szCs w:val="1"/>
                <w:color w:val="auto"/>
              </w:rPr>
            </w:pPr>
          </w:p>
        </w:tc>
      </w:tr>
      <w:tr>
        <w:trPr>
          <w:trHeight w:val="187"/>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Depreciation and amortization expense</w:t>
            </w:r>
          </w:p>
        </w:tc>
        <w:tc>
          <w:tcPr>
            <w:tcW w:w="19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5,919</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98"/>
              </w:rPr>
              <w:t>10,902</w:t>
            </w:r>
          </w:p>
        </w:tc>
        <w:tc>
          <w:tcPr>
            <w:tcW w:w="12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1,135</w:t>
            </w: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17,956</w:t>
            </w: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Arial" w:cs="Arial" w:eastAsia="Arial" w:hAnsi="Arial"/>
                <w:sz w:val="16"/>
                <w:szCs w:val="16"/>
                <w:b w:val="1"/>
                <w:bCs w:val="1"/>
                <w:color w:val="auto"/>
              </w:rPr>
              <w:t>EBITDA (non-GAAP)</w:t>
            </w:r>
          </w:p>
        </w:tc>
        <w:tc>
          <w:tcPr>
            <w:tcW w:w="1920" w:type="dxa"/>
            <w:vAlign w:val="bottom"/>
          </w:tcPr>
          <w:p>
            <w:pPr>
              <w:jc w:val="right"/>
              <w:ind w:right="280"/>
              <w:spacing w:after="0"/>
              <w:rPr>
                <w:sz w:val="20"/>
                <w:szCs w:val="20"/>
                <w:color w:val="auto"/>
              </w:rPr>
            </w:pPr>
            <w:r>
              <w:rPr>
                <w:rFonts w:ascii="Arial" w:cs="Arial" w:eastAsia="Arial" w:hAnsi="Arial"/>
                <w:sz w:val="16"/>
                <w:szCs w:val="16"/>
                <w:b w:val="1"/>
                <w:bCs w:val="1"/>
                <w:color w:val="auto"/>
              </w:rPr>
              <w:t>50,162</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w w:val="98"/>
              </w:rPr>
              <w:t>20,424</w:t>
            </w:r>
          </w:p>
        </w:tc>
        <w:tc>
          <w:tcPr>
            <w:tcW w:w="1240" w:type="dxa"/>
            <w:vAlign w:val="bottom"/>
          </w:tcPr>
          <w:p>
            <w:pPr>
              <w:jc w:val="right"/>
              <w:ind w:right="201"/>
              <w:spacing w:after="0"/>
              <w:rPr>
                <w:sz w:val="20"/>
                <w:szCs w:val="20"/>
                <w:color w:val="auto"/>
              </w:rPr>
            </w:pPr>
            <w:r>
              <w:rPr>
                <w:rFonts w:ascii="Arial" w:cs="Arial" w:eastAsia="Arial" w:hAnsi="Arial"/>
                <w:sz w:val="16"/>
                <w:szCs w:val="16"/>
                <w:b w:val="1"/>
                <w:bCs w:val="1"/>
                <w:color w:val="auto"/>
              </w:rPr>
              <w:t>(11,329)</w:t>
            </w:r>
          </w:p>
        </w:tc>
        <w:tc>
          <w:tcPr>
            <w:tcW w:w="1360" w:type="dxa"/>
            <w:vAlign w:val="bottom"/>
          </w:tcPr>
          <w:p>
            <w:pPr>
              <w:jc w:val="right"/>
              <w:ind w:right="280"/>
              <w:spacing w:after="0"/>
              <w:rPr>
                <w:sz w:val="20"/>
                <w:szCs w:val="20"/>
                <w:color w:val="auto"/>
              </w:rPr>
            </w:pPr>
            <w:r>
              <w:rPr>
                <w:rFonts w:ascii="Arial" w:cs="Arial" w:eastAsia="Arial" w:hAnsi="Arial"/>
                <w:sz w:val="16"/>
                <w:szCs w:val="16"/>
                <w:b w:val="1"/>
                <w:bCs w:val="1"/>
                <w:color w:val="auto"/>
              </w:rPr>
              <w:t>59,257</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Restructuring expenses, net</w:t>
            </w:r>
          </w:p>
        </w:tc>
        <w:tc>
          <w:tcPr>
            <w:tcW w:w="1920" w:type="dxa"/>
            <w:vAlign w:val="bottom"/>
          </w:tcPr>
          <w:p>
            <w:pPr>
              <w:jc w:val="right"/>
              <w:ind w:right="280"/>
              <w:spacing w:after="0"/>
              <w:rPr>
                <w:sz w:val="20"/>
                <w:szCs w:val="20"/>
                <w:color w:val="auto"/>
              </w:rPr>
            </w:pPr>
            <w:r>
              <w:rPr>
                <w:rFonts w:ascii="Arial" w:cs="Arial" w:eastAsia="Arial" w:hAnsi="Arial"/>
                <w:sz w:val="16"/>
                <w:szCs w:val="16"/>
                <w:color w:val="auto"/>
              </w:rPr>
              <w:t>401</w:t>
            </w:r>
          </w:p>
        </w:tc>
        <w:tc>
          <w:tcPr>
            <w:tcW w:w="480" w:type="dxa"/>
            <w:vAlign w:val="bottom"/>
          </w:tcPr>
          <w:p>
            <w:pPr>
              <w:spacing w:after="0"/>
              <w:rPr>
                <w:sz w:val="16"/>
                <w:szCs w:val="16"/>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color w:val="auto"/>
              </w:rPr>
              <w:t>83</w:t>
            </w: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20"/>
                <w:szCs w:val="20"/>
                <w:color w:val="auto"/>
              </w:rPr>
            </w:pPr>
            <w:r>
              <w:rPr>
                <w:rFonts w:ascii="Arial" w:cs="Arial" w:eastAsia="Arial" w:hAnsi="Arial"/>
                <w:sz w:val="16"/>
                <w:szCs w:val="16"/>
                <w:color w:val="auto"/>
              </w:rPr>
              <w:t>Foreign currency revaluation (gains)/losses, net</w:t>
            </w:r>
          </w:p>
        </w:tc>
        <w:tc>
          <w:tcPr>
            <w:tcW w:w="1920" w:type="dxa"/>
            <w:vAlign w:val="bottom"/>
          </w:tcPr>
          <w:p>
            <w:pPr>
              <w:jc w:val="right"/>
              <w:ind w:right="220"/>
              <w:spacing w:after="0"/>
              <w:rPr>
                <w:sz w:val="20"/>
                <w:szCs w:val="20"/>
                <w:color w:val="auto"/>
              </w:rPr>
            </w:pPr>
            <w:r>
              <w:rPr>
                <w:rFonts w:ascii="Arial" w:cs="Arial" w:eastAsia="Arial" w:hAnsi="Arial"/>
                <w:sz w:val="16"/>
                <w:szCs w:val="16"/>
                <w:color w:val="auto"/>
              </w:rPr>
              <w:t>(32)</w:t>
            </w:r>
          </w:p>
        </w:tc>
        <w:tc>
          <w:tcPr>
            <w:tcW w:w="4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235</w:t>
            </w:r>
          </w:p>
        </w:tc>
        <w:tc>
          <w:tcPr>
            <w:tcW w:w="1240" w:type="dxa"/>
            <w:vAlign w:val="bottom"/>
          </w:tcPr>
          <w:p>
            <w:pPr>
              <w:jc w:val="right"/>
              <w:ind w:right="201"/>
              <w:spacing w:after="0"/>
              <w:rPr>
                <w:sz w:val="20"/>
                <w:szCs w:val="20"/>
                <w:color w:val="auto"/>
              </w:rPr>
            </w:pPr>
            <w:r>
              <w:rPr>
                <w:rFonts w:ascii="Arial" w:cs="Arial" w:eastAsia="Arial" w:hAnsi="Arial"/>
                <w:sz w:val="16"/>
                <w:szCs w:val="16"/>
                <w:color w:val="auto"/>
              </w:rPr>
              <w:t>(2,036)</w:t>
            </w:r>
          </w:p>
        </w:tc>
        <w:tc>
          <w:tcPr>
            <w:tcW w:w="1360" w:type="dxa"/>
            <w:vAlign w:val="bottom"/>
          </w:tcPr>
          <w:p>
            <w:pPr>
              <w:jc w:val="right"/>
              <w:ind w:right="220"/>
              <w:spacing w:after="0"/>
              <w:rPr>
                <w:sz w:val="20"/>
                <w:szCs w:val="20"/>
                <w:color w:val="auto"/>
              </w:rPr>
            </w:pPr>
            <w:r>
              <w:rPr>
                <w:rFonts w:ascii="Arial" w:cs="Arial" w:eastAsia="Arial" w:hAnsi="Arial"/>
                <w:sz w:val="16"/>
                <w:szCs w:val="16"/>
                <w:color w:val="auto"/>
              </w:rPr>
              <w:t>(1,833)</w:t>
            </w:r>
          </w:p>
        </w:tc>
        <w:tc>
          <w:tcPr>
            <w:tcW w:w="0" w:type="dxa"/>
            <w:vAlign w:val="bottom"/>
          </w:tcPr>
          <w:p>
            <w:pPr>
              <w:spacing w:after="0"/>
              <w:rPr>
                <w:sz w:val="1"/>
                <w:szCs w:val="1"/>
                <w:color w:val="auto"/>
              </w:rPr>
            </w:pPr>
          </w:p>
        </w:tc>
      </w:tr>
      <w:tr>
        <w:trPr>
          <w:trHeight w:val="187"/>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Pre-tax income attributable to the noncontrolling interest in ASC</w:t>
            </w:r>
          </w:p>
        </w:tc>
        <w:tc>
          <w:tcPr>
            <w:tcW w:w="19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(290)</w:t>
            </w:r>
          </w:p>
        </w:tc>
        <w:tc>
          <w:tcPr>
            <w:tcW w:w="12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83"/>
        </w:trPr>
        <w:tc>
          <w:tcPr>
            <w:tcW w:w="52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Adjusted EBITDA (non-GAAP)</w:t>
            </w:r>
          </w:p>
        </w:tc>
        <w:tc>
          <w:tcPr>
            <w:tcW w:w="1920" w:type="dxa"/>
            <w:vAlign w:val="bottom"/>
            <w:tcBorders>
              <w:bottom w:val="single" w:sz="8" w:color="auto"/>
            </w:tcBorders>
          </w:tcPr>
          <w:p>
            <w:pPr>
              <w:jc w:val="right"/>
              <w:ind w:right="280"/>
              <w:spacing w:after="0" w:line="183" w:lineRule="exact"/>
              <w:rPr>
                <w:sz w:val="20"/>
                <w:szCs w:val="20"/>
                <w:color w:val="auto"/>
              </w:rPr>
            </w:pPr>
            <w:r>
              <w:rPr>
                <w:rFonts w:ascii="Arial" w:cs="Arial" w:eastAsia="Arial" w:hAnsi="Arial"/>
                <w:sz w:val="16"/>
                <w:szCs w:val="16"/>
                <w:b w:val="1"/>
                <w:bCs w:val="1"/>
                <w:color w:val="auto"/>
              </w:rPr>
              <w:t>$50,531</w:t>
            </w:r>
          </w:p>
        </w:tc>
        <w:tc>
          <w:tcPr>
            <w:tcW w:w="1460" w:type="dxa"/>
            <w:vAlign w:val="bottom"/>
            <w:tcBorders>
              <w:bottom w:val="single" w:sz="8" w:color="auto"/>
            </w:tcBorders>
            <w:gridSpan w:val="2"/>
          </w:tcPr>
          <w:p>
            <w:pPr>
              <w:jc w:val="right"/>
              <w:ind w:right="379"/>
              <w:spacing w:after="0" w:line="183" w:lineRule="exact"/>
              <w:rPr>
                <w:sz w:val="20"/>
                <w:szCs w:val="20"/>
                <w:color w:val="auto"/>
              </w:rPr>
            </w:pPr>
            <w:r>
              <w:rPr>
                <w:rFonts w:ascii="Arial" w:cs="Arial" w:eastAsia="Arial" w:hAnsi="Arial"/>
                <w:sz w:val="16"/>
                <w:szCs w:val="16"/>
                <w:b w:val="1"/>
                <w:bCs w:val="1"/>
                <w:color w:val="auto"/>
              </w:rPr>
              <w:t>$20,452</w:t>
            </w:r>
          </w:p>
        </w:tc>
        <w:tc>
          <w:tcPr>
            <w:tcW w:w="124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b w:val="1"/>
                <w:bCs w:val="1"/>
                <w:color w:val="auto"/>
              </w:rPr>
              <w:t>$(13,365)</w:t>
            </w:r>
          </w:p>
        </w:tc>
        <w:tc>
          <w:tcPr>
            <w:tcW w:w="13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$ 57,618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underlying quarterly earnings and are financial performance metrics commonly used by investors. The Company calculates the quarterly per-share amount for items included in continuing operations by using an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2300" w:type="dxa"/>
            <w:vAlign w:val="bottom"/>
            <w:tcBorders>
              <w:top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Pre tax</w:t>
            </w:r>
          </w:p>
        </w:tc>
        <w:tc>
          <w:tcPr>
            <w:tcW w:w="130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Tax</w:t>
            </w:r>
          </w:p>
        </w:tc>
        <w:tc>
          <w:tcPr>
            <w:tcW w:w="134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After tax</w:t>
            </w:r>
          </w:p>
        </w:tc>
        <w:tc>
          <w:tcPr>
            <w:tcW w:w="1360" w:type="dxa"/>
            <w:vAlign w:val="bottom"/>
            <w:tcBorders>
              <w:top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3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Amounts</w:t>
            </w:r>
          </w:p>
        </w:tc>
        <w:tc>
          <w:tcPr>
            <w:tcW w:w="13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Effect</w:t>
            </w:r>
          </w:p>
        </w:tc>
        <w:tc>
          <w:tcPr>
            <w:tcW w:w="13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Effect</w:t>
            </w:r>
          </w:p>
        </w:tc>
        <w:tc>
          <w:tcPr>
            <w:tcW w:w="13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Effect</w:t>
            </w:r>
          </w:p>
        </w:tc>
      </w:tr>
      <w:tr>
        <w:trPr>
          <w:trHeight w:val="184"/>
        </w:trPr>
        <w:tc>
          <w:tcPr>
            <w:tcW w:w="4940" w:type="dxa"/>
            <w:vAlign w:val="bottom"/>
          </w:tcPr>
          <w:p>
            <w:pPr>
              <w:spacing w:after="0"/>
              <w:rPr>
                <w:sz w:val="20"/>
                <w:szCs w:val="20"/>
                <w:color w:val="auto"/>
              </w:rPr>
            </w:pPr>
            <w:r>
              <w:rPr>
                <w:rFonts w:ascii="Arial" w:cs="Arial" w:eastAsia="Arial" w:hAnsi="Arial"/>
                <w:sz w:val="16"/>
                <w:szCs w:val="16"/>
                <w:color w:val="auto"/>
              </w:rPr>
              <w:t>Restructuring expenses, net</w:t>
            </w:r>
          </w:p>
        </w:tc>
        <w:tc>
          <w:tcPr>
            <w:tcW w:w="2300" w:type="dxa"/>
            <w:vAlign w:val="bottom"/>
          </w:tcPr>
          <w:p>
            <w:pPr>
              <w:jc w:val="right"/>
              <w:ind w:right="402"/>
              <w:spacing w:after="0"/>
              <w:rPr>
                <w:sz w:val="20"/>
                <w:szCs w:val="20"/>
                <w:color w:val="auto"/>
              </w:rPr>
            </w:pPr>
            <w:r>
              <w:rPr>
                <w:rFonts w:ascii="Arial" w:cs="Arial" w:eastAsia="Arial" w:hAnsi="Arial"/>
                <w:sz w:val="16"/>
                <w:szCs w:val="16"/>
                <w:color w:val="auto"/>
              </w:rPr>
              <w:t>$642</w:t>
            </w:r>
          </w:p>
        </w:tc>
        <w:tc>
          <w:tcPr>
            <w:tcW w:w="1300" w:type="dxa"/>
            <w:vAlign w:val="bottom"/>
          </w:tcPr>
          <w:p>
            <w:pPr>
              <w:jc w:val="right"/>
              <w:ind w:right="362"/>
              <w:spacing w:after="0"/>
              <w:rPr>
                <w:sz w:val="20"/>
                <w:szCs w:val="20"/>
                <w:color w:val="auto"/>
              </w:rPr>
            </w:pPr>
            <w:r>
              <w:rPr>
                <w:rFonts w:ascii="Arial" w:cs="Arial" w:eastAsia="Arial" w:hAnsi="Arial"/>
                <w:sz w:val="16"/>
                <w:szCs w:val="16"/>
                <w:color w:val="auto"/>
              </w:rPr>
              <w:t>$192</w:t>
            </w:r>
          </w:p>
        </w:tc>
        <w:tc>
          <w:tcPr>
            <w:tcW w:w="1340" w:type="dxa"/>
            <w:vAlign w:val="bottom"/>
          </w:tcPr>
          <w:p>
            <w:pPr>
              <w:jc w:val="right"/>
              <w:ind w:right="342"/>
              <w:spacing w:after="0"/>
              <w:rPr>
                <w:sz w:val="20"/>
                <w:szCs w:val="20"/>
                <w:color w:val="auto"/>
              </w:rPr>
            </w:pPr>
            <w:r>
              <w:rPr>
                <w:rFonts w:ascii="Arial" w:cs="Arial" w:eastAsia="Arial" w:hAnsi="Arial"/>
                <w:sz w:val="16"/>
                <w:szCs w:val="16"/>
                <w:color w:val="auto"/>
              </w:rPr>
              <w:t>$450</w:t>
            </w:r>
          </w:p>
        </w:tc>
        <w:tc>
          <w:tcPr>
            <w:tcW w:w="1360" w:type="dxa"/>
            <w:vAlign w:val="bottom"/>
          </w:tcPr>
          <w:p>
            <w:pPr>
              <w:jc w:val="right"/>
              <w:ind w:right="382"/>
              <w:spacing w:after="0"/>
              <w:rPr>
                <w:sz w:val="20"/>
                <w:szCs w:val="20"/>
                <w:color w:val="auto"/>
              </w:rPr>
            </w:pPr>
            <w:r>
              <w:rPr>
                <w:rFonts w:ascii="Arial" w:cs="Arial" w:eastAsia="Arial" w:hAnsi="Arial"/>
                <w:sz w:val="16"/>
                <w:szCs w:val="16"/>
                <w:color w:val="auto"/>
              </w:rPr>
              <w:t>$0.01</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Foreign currency revaluation (gains)/losses, net (a)</w:t>
            </w:r>
          </w:p>
        </w:tc>
        <w:tc>
          <w:tcPr>
            <w:tcW w:w="2300" w:type="dxa"/>
            <w:vAlign w:val="bottom"/>
          </w:tcPr>
          <w:p>
            <w:pPr>
              <w:jc w:val="right"/>
              <w:ind w:right="382"/>
              <w:spacing w:after="0"/>
              <w:rPr>
                <w:sz w:val="20"/>
                <w:szCs w:val="20"/>
                <w:color w:val="auto"/>
              </w:rPr>
            </w:pPr>
            <w:r>
              <w:rPr>
                <w:rFonts w:ascii="Arial" w:cs="Arial" w:eastAsia="Arial" w:hAnsi="Arial"/>
                <w:sz w:val="16"/>
                <w:szCs w:val="16"/>
                <w:color w:val="auto"/>
              </w:rPr>
              <w:t>11,866</w:t>
            </w:r>
          </w:p>
        </w:tc>
        <w:tc>
          <w:tcPr>
            <w:tcW w:w="1300" w:type="dxa"/>
            <w:vAlign w:val="bottom"/>
          </w:tcPr>
          <w:p>
            <w:pPr>
              <w:jc w:val="right"/>
              <w:ind w:right="302"/>
              <w:spacing w:after="0"/>
              <w:rPr>
                <w:sz w:val="20"/>
                <w:szCs w:val="20"/>
                <w:color w:val="auto"/>
              </w:rPr>
            </w:pPr>
            <w:r>
              <w:rPr>
                <w:rFonts w:ascii="Arial" w:cs="Arial" w:eastAsia="Arial" w:hAnsi="Arial"/>
                <w:sz w:val="16"/>
                <w:szCs w:val="16"/>
                <w:color w:val="auto"/>
              </w:rPr>
              <w:t>(1,545)</w:t>
            </w:r>
          </w:p>
        </w:tc>
        <w:tc>
          <w:tcPr>
            <w:tcW w:w="1340" w:type="dxa"/>
            <w:vAlign w:val="bottom"/>
          </w:tcPr>
          <w:p>
            <w:pPr>
              <w:jc w:val="right"/>
              <w:ind w:right="322"/>
              <w:spacing w:after="0"/>
              <w:rPr>
                <w:sz w:val="20"/>
                <w:szCs w:val="20"/>
                <w:color w:val="auto"/>
              </w:rPr>
            </w:pPr>
            <w:r>
              <w:rPr>
                <w:rFonts w:ascii="Arial" w:cs="Arial" w:eastAsia="Arial" w:hAnsi="Arial"/>
                <w:sz w:val="16"/>
                <w:szCs w:val="16"/>
                <w:color w:val="auto"/>
              </w:rPr>
              <w:t>13,411</w:t>
            </w:r>
          </w:p>
        </w:tc>
        <w:tc>
          <w:tcPr>
            <w:tcW w:w="1360" w:type="dxa"/>
            <w:vAlign w:val="bottom"/>
          </w:tcPr>
          <w:p>
            <w:pPr>
              <w:jc w:val="right"/>
              <w:ind w:right="382"/>
              <w:spacing w:after="0"/>
              <w:rPr>
                <w:sz w:val="20"/>
                <w:szCs w:val="20"/>
                <w:color w:val="auto"/>
              </w:rPr>
            </w:pPr>
            <w:r>
              <w:rPr>
                <w:rFonts w:ascii="Arial" w:cs="Arial" w:eastAsia="Arial" w:hAnsi="Arial"/>
                <w:sz w:val="16"/>
                <w:szCs w:val="16"/>
                <w:color w:val="auto"/>
              </w:rPr>
              <w:t>0.42</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Former CEO termination costs</w:t>
            </w:r>
          </w:p>
        </w:tc>
        <w:tc>
          <w:tcPr>
            <w:tcW w:w="2300" w:type="dxa"/>
            <w:vAlign w:val="bottom"/>
          </w:tcPr>
          <w:p>
            <w:pPr>
              <w:jc w:val="right"/>
              <w:ind w:right="402"/>
              <w:spacing w:after="0"/>
              <w:rPr>
                <w:sz w:val="20"/>
                <w:szCs w:val="20"/>
                <w:color w:val="auto"/>
              </w:rPr>
            </w:pPr>
            <w:r>
              <w:rPr>
                <w:rFonts w:ascii="Arial" w:cs="Arial" w:eastAsia="Arial" w:hAnsi="Arial"/>
                <w:sz w:val="16"/>
                <w:szCs w:val="16"/>
                <w:color w:val="auto"/>
              </w:rPr>
              <w:t>2,742</w:t>
            </w:r>
          </w:p>
        </w:tc>
        <w:tc>
          <w:tcPr>
            <w:tcW w:w="1300" w:type="dxa"/>
            <w:vAlign w:val="bottom"/>
          </w:tcPr>
          <w:p>
            <w:pPr>
              <w:jc w:val="right"/>
              <w:ind w:right="362"/>
              <w:spacing w:after="0"/>
              <w:rPr>
                <w:sz w:val="20"/>
                <w:szCs w:val="20"/>
                <w:color w:val="auto"/>
              </w:rPr>
            </w:pPr>
            <w:r>
              <w:rPr>
                <w:rFonts w:ascii="Arial" w:cs="Arial" w:eastAsia="Arial" w:hAnsi="Arial"/>
                <w:sz w:val="16"/>
                <w:szCs w:val="16"/>
                <w:color w:val="auto"/>
              </w:rPr>
              <w:t>713</w:t>
            </w:r>
          </w:p>
        </w:tc>
        <w:tc>
          <w:tcPr>
            <w:tcW w:w="1340" w:type="dxa"/>
            <w:vAlign w:val="bottom"/>
          </w:tcPr>
          <w:p>
            <w:pPr>
              <w:jc w:val="right"/>
              <w:ind w:right="342"/>
              <w:spacing w:after="0"/>
              <w:rPr>
                <w:sz w:val="20"/>
                <w:szCs w:val="20"/>
                <w:color w:val="auto"/>
              </w:rPr>
            </w:pPr>
            <w:r>
              <w:rPr>
                <w:rFonts w:ascii="Arial" w:cs="Arial" w:eastAsia="Arial" w:hAnsi="Arial"/>
                <w:sz w:val="16"/>
                <w:szCs w:val="16"/>
                <w:color w:val="auto"/>
              </w:rPr>
              <w:t>2,029</w:t>
            </w:r>
          </w:p>
        </w:tc>
        <w:tc>
          <w:tcPr>
            <w:tcW w:w="1360" w:type="dxa"/>
            <w:vAlign w:val="bottom"/>
          </w:tcPr>
          <w:p>
            <w:pPr>
              <w:jc w:val="right"/>
              <w:ind w:right="382"/>
              <w:spacing w:after="0"/>
              <w:rPr>
                <w:sz w:val="20"/>
                <w:szCs w:val="20"/>
                <w:color w:val="auto"/>
              </w:rPr>
            </w:pPr>
            <w:r>
              <w:rPr>
                <w:rFonts w:ascii="Arial" w:cs="Arial" w:eastAsia="Arial" w:hAnsi="Arial"/>
                <w:sz w:val="16"/>
                <w:szCs w:val="16"/>
                <w:color w:val="auto"/>
              </w:rPr>
              <w:t>0.06</w:t>
            </w:r>
          </w:p>
        </w:tc>
      </w:tr>
      <w:tr>
        <w:trPr>
          <w:trHeight w:val="195"/>
        </w:trPr>
        <w:tc>
          <w:tcPr>
            <w:tcW w:w="4940" w:type="dxa"/>
            <w:vAlign w:val="bottom"/>
          </w:tcPr>
          <w:p>
            <w:pPr>
              <w:spacing w:after="0"/>
              <w:rPr>
                <w:sz w:val="20"/>
                <w:szCs w:val="20"/>
                <w:color w:val="auto"/>
              </w:rPr>
            </w:pPr>
            <w:r>
              <w:rPr>
                <w:rFonts w:ascii="Arial" w:cs="Arial" w:eastAsia="Arial" w:hAnsi="Arial"/>
                <w:sz w:val="16"/>
                <w:szCs w:val="16"/>
                <w:color w:val="auto"/>
              </w:rPr>
              <w:t>CirComp integration costs</w:t>
            </w:r>
          </w:p>
        </w:tc>
        <w:tc>
          <w:tcPr>
            <w:tcW w:w="2300" w:type="dxa"/>
            <w:vAlign w:val="bottom"/>
          </w:tcPr>
          <w:p>
            <w:pPr>
              <w:jc w:val="right"/>
              <w:ind w:right="402"/>
              <w:spacing w:after="0"/>
              <w:rPr>
                <w:sz w:val="20"/>
                <w:szCs w:val="20"/>
                <w:color w:val="auto"/>
              </w:rPr>
            </w:pPr>
            <w:r>
              <w:rPr>
                <w:rFonts w:ascii="Arial" w:cs="Arial" w:eastAsia="Arial" w:hAnsi="Arial"/>
                <w:sz w:val="16"/>
                <w:szCs w:val="16"/>
                <w:color w:val="auto"/>
              </w:rPr>
              <w:t>298</w:t>
            </w:r>
          </w:p>
        </w:tc>
        <w:tc>
          <w:tcPr>
            <w:tcW w:w="1300" w:type="dxa"/>
            <w:vAlign w:val="bottom"/>
          </w:tcPr>
          <w:p>
            <w:pPr>
              <w:jc w:val="right"/>
              <w:ind w:right="362"/>
              <w:spacing w:after="0"/>
              <w:rPr>
                <w:sz w:val="20"/>
                <w:szCs w:val="20"/>
                <w:color w:val="auto"/>
              </w:rPr>
            </w:pPr>
            <w:r>
              <w:rPr>
                <w:rFonts w:ascii="Arial" w:cs="Arial" w:eastAsia="Arial" w:hAnsi="Arial"/>
                <w:sz w:val="16"/>
                <w:szCs w:val="16"/>
                <w:color w:val="auto"/>
              </w:rPr>
              <w:t>89</w:t>
            </w:r>
          </w:p>
        </w:tc>
        <w:tc>
          <w:tcPr>
            <w:tcW w:w="1340" w:type="dxa"/>
            <w:vAlign w:val="bottom"/>
          </w:tcPr>
          <w:p>
            <w:pPr>
              <w:jc w:val="right"/>
              <w:ind w:right="342"/>
              <w:spacing w:after="0"/>
              <w:rPr>
                <w:sz w:val="20"/>
                <w:szCs w:val="20"/>
                <w:color w:val="auto"/>
              </w:rPr>
            </w:pPr>
            <w:r>
              <w:rPr>
                <w:rFonts w:ascii="Arial" w:cs="Arial" w:eastAsia="Arial" w:hAnsi="Arial"/>
                <w:sz w:val="16"/>
                <w:szCs w:val="16"/>
                <w:color w:val="auto"/>
              </w:rPr>
              <w:t>209</w:t>
            </w:r>
          </w:p>
        </w:tc>
        <w:tc>
          <w:tcPr>
            <w:tcW w:w="1360" w:type="dxa"/>
            <w:vAlign w:val="bottom"/>
          </w:tcPr>
          <w:p>
            <w:pPr>
              <w:jc w:val="right"/>
              <w:ind w:right="382"/>
              <w:spacing w:after="0"/>
              <w:rPr>
                <w:sz w:val="20"/>
                <w:szCs w:val="20"/>
                <w:color w:val="auto"/>
              </w:rPr>
            </w:pPr>
            <w:r>
              <w:rPr>
                <w:rFonts w:ascii="Arial" w:cs="Arial" w:eastAsia="Arial" w:hAnsi="Arial"/>
                <w:sz w:val="16"/>
                <w:szCs w:val="16"/>
                <w:color w:val="auto"/>
              </w:rPr>
              <w:t>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60" w:right="60" w:hanging="452"/>
        <w:spacing w:after="0" w:line="260"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Q1 2020, the company incurred losses of approximately $17 million in jurisdictions where it cannot record a benefit from the losses, which results in an unusual relationship between the pre-tax and after-tax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2440" w:type="dxa"/>
            <w:vAlign w:val="bottom"/>
            <w:tcBorders>
              <w:top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Pre tax</w:t>
            </w:r>
          </w:p>
        </w:tc>
        <w:tc>
          <w:tcPr>
            <w:tcW w:w="1260" w:type="dxa"/>
            <w:vAlign w:val="bottom"/>
            <w:tcBorders>
              <w:top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Tax</w:t>
            </w:r>
          </w:p>
        </w:tc>
        <w:tc>
          <w:tcPr>
            <w:tcW w:w="136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After tax</w:t>
            </w:r>
          </w:p>
        </w:tc>
        <w:tc>
          <w:tcPr>
            <w:tcW w:w="1360" w:type="dxa"/>
            <w:vAlign w:val="bottom"/>
            <w:tcBorders>
              <w:top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4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Amounts</w:t>
            </w:r>
          </w:p>
        </w:tc>
        <w:tc>
          <w:tcPr>
            <w:tcW w:w="12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Effect</w:t>
            </w:r>
          </w:p>
        </w:tc>
        <w:tc>
          <w:tcPr>
            <w:tcW w:w="136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Effect</w:t>
            </w:r>
          </w:p>
        </w:tc>
        <w:tc>
          <w:tcPr>
            <w:tcW w:w="136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Effect</w:t>
            </w:r>
          </w:p>
        </w:tc>
      </w:tr>
      <w:tr>
        <w:trPr>
          <w:trHeight w:val="184"/>
        </w:trPr>
        <w:tc>
          <w:tcPr>
            <w:tcW w:w="4820" w:type="dxa"/>
            <w:vAlign w:val="bottom"/>
          </w:tcPr>
          <w:p>
            <w:pPr>
              <w:spacing w:after="0"/>
              <w:rPr>
                <w:sz w:val="20"/>
                <w:szCs w:val="20"/>
                <w:color w:val="auto"/>
              </w:rPr>
            </w:pPr>
            <w:r>
              <w:rPr>
                <w:rFonts w:ascii="Arial" w:cs="Arial" w:eastAsia="Arial" w:hAnsi="Arial"/>
                <w:sz w:val="16"/>
                <w:szCs w:val="16"/>
                <w:color w:val="auto"/>
              </w:rPr>
              <w:t>Restructuring expenses, net</w:t>
            </w:r>
          </w:p>
        </w:tc>
        <w:tc>
          <w:tcPr>
            <w:tcW w:w="2440" w:type="dxa"/>
            <w:vAlign w:val="bottom"/>
          </w:tcPr>
          <w:p>
            <w:pPr>
              <w:jc w:val="right"/>
              <w:ind w:right="424"/>
              <w:spacing w:after="0"/>
              <w:rPr>
                <w:sz w:val="20"/>
                <w:szCs w:val="20"/>
                <w:color w:val="auto"/>
              </w:rPr>
            </w:pPr>
            <w:r>
              <w:rPr>
                <w:rFonts w:ascii="Arial" w:cs="Arial" w:eastAsia="Arial" w:hAnsi="Arial"/>
                <w:sz w:val="16"/>
                <w:szCs w:val="16"/>
                <w:color w:val="auto"/>
              </w:rPr>
              <w:t>$484</w:t>
            </w:r>
          </w:p>
        </w:tc>
        <w:tc>
          <w:tcPr>
            <w:tcW w:w="1260" w:type="dxa"/>
            <w:vAlign w:val="bottom"/>
          </w:tcPr>
          <w:p>
            <w:pPr>
              <w:jc w:val="right"/>
              <w:ind w:right="384"/>
              <w:spacing w:after="0"/>
              <w:rPr>
                <w:sz w:val="20"/>
                <w:szCs w:val="20"/>
                <w:color w:val="auto"/>
              </w:rPr>
            </w:pPr>
            <w:r>
              <w:rPr>
                <w:rFonts w:ascii="Arial" w:cs="Arial" w:eastAsia="Arial" w:hAnsi="Arial"/>
                <w:sz w:val="16"/>
                <w:szCs w:val="16"/>
                <w:color w:val="auto"/>
              </w:rPr>
              <w:t>$142</w:t>
            </w:r>
          </w:p>
        </w:tc>
        <w:tc>
          <w:tcPr>
            <w:tcW w:w="1360" w:type="dxa"/>
            <w:vAlign w:val="bottom"/>
          </w:tcPr>
          <w:p>
            <w:pPr>
              <w:jc w:val="right"/>
              <w:ind w:right="344"/>
              <w:spacing w:after="0"/>
              <w:rPr>
                <w:sz w:val="20"/>
                <w:szCs w:val="20"/>
                <w:color w:val="auto"/>
              </w:rPr>
            </w:pPr>
            <w:r>
              <w:rPr>
                <w:rFonts w:ascii="Arial" w:cs="Arial" w:eastAsia="Arial" w:hAnsi="Arial"/>
                <w:sz w:val="16"/>
                <w:szCs w:val="16"/>
                <w:color w:val="auto"/>
              </w:rPr>
              <w:t>$342</w:t>
            </w:r>
          </w:p>
        </w:tc>
        <w:tc>
          <w:tcPr>
            <w:tcW w:w="1360" w:type="dxa"/>
            <w:vAlign w:val="bottom"/>
          </w:tcPr>
          <w:p>
            <w:pPr>
              <w:jc w:val="right"/>
              <w:ind w:right="384"/>
              <w:spacing w:after="0"/>
              <w:rPr>
                <w:sz w:val="20"/>
                <w:szCs w:val="20"/>
                <w:color w:val="auto"/>
              </w:rPr>
            </w:pPr>
            <w:r>
              <w:rPr>
                <w:rFonts w:ascii="Arial" w:cs="Arial" w:eastAsia="Arial" w:hAnsi="Arial"/>
                <w:sz w:val="16"/>
                <w:szCs w:val="16"/>
                <w:color w:val="auto"/>
              </w:rPr>
              <w:t>$0.01</w:t>
            </w:r>
          </w:p>
        </w:tc>
      </w:tr>
      <w:tr>
        <w:trPr>
          <w:trHeight w:val="187"/>
        </w:trPr>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revaluation (gains)/losses, net</w:t>
            </w:r>
          </w:p>
        </w:tc>
        <w:tc>
          <w:tcPr>
            <w:tcW w:w="244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(1,833)</w:t>
            </w:r>
          </w:p>
        </w:tc>
        <w:tc>
          <w:tcPr>
            <w:tcW w:w="12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(539)</w:t>
            </w:r>
          </w:p>
        </w:tc>
        <w:tc>
          <w:tcPr>
            <w:tcW w:w="136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(1,294)</w:t>
            </w:r>
          </w:p>
        </w:tc>
        <w:tc>
          <w:tcPr>
            <w:tcW w:w="13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(0.04)</w:t>
            </w: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Adjusted EPS:</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64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Per share amounts (Basic)</w:t>
            </w:r>
          </w:p>
        </w:tc>
        <w:tc>
          <w:tcPr>
            <w:tcW w:w="2780" w:type="dxa"/>
            <w:vAlign w:val="bottom"/>
            <w:tcBorders>
              <w:top w:val="single" w:sz="8" w:color="auto"/>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480" w:type="dxa"/>
            <w:vAlign w:val="bottom"/>
            <w:tcBorders>
              <w:bottom w:val="single" w:sz="8" w:color="auto"/>
            </w:tcBorders>
            <w:vMerge w:val="continue"/>
          </w:tcPr>
          <w:p>
            <w:pPr>
              <w:spacing w:after="0"/>
              <w:rPr>
                <w:sz w:val="13"/>
                <w:szCs w:val="13"/>
                <w:color w:val="auto"/>
              </w:rPr>
            </w:pPr>
          </w:p>
        </w:tc>
        <w:tc>
          <w:tcPr>
            <w:tcW w:w="1380" w:type="dxa"/>
            <w:vAlign w:val="bottom"/>
            <w:tcBorders>
              <w:bottom w:val="single" w:sz="8" w:color="auto"/>
            </w:tcBorders>
          </w:tcPr>
          <w:p>
            <w:pPr>
              <w:jc w:val="right"/>
              <w:ind w:right="441"/>
              <w:spacing w:after="0" w:line="155" w:lineRule="exact"/>
              <w:rPr>
                <w:sz w:val="20"/>
                <w:szCs w:val="20"/>
                <w:color w:val="auto"/>
              </w:rPr>
            </w:pPr>
            <w:r>
              <w:rPr>
                <w:rFonts w:ascii="Arial" w:cs="Arial" w:eastAsia="Arial" w:hAnsi="Arial"/>
                <w:sz w:val="14"/>
                <w:szCs w:val="14"/>
                <w:b w:val="1"/>
                <w:bCs w:val="1"/>
                <w:color w:val="auto"/>
              </w:rPr>
              <w:t>2020</w:t>
            </w:r>
          </w:p>
        </w:tc>
        <w:tc>
          <w:tcPr>
            <w:tcW w:w="1400" w:type="dxa"/>
            <w:vAlign w:val="bottom"/>
            <w:tcBorders>
              <w:bottom w:val="single" w:sz="8" w:color="auto"/>
            </w:tcBorders>
            <w:gridSpan w:val="2"/>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Arial" w:cs="Arial" w:eastAsia="Arial" w:hAnsi="Arial"/>
                <w:sz w:val="16"/>
                <w:szCs w:val="16"/>
                <w:color w:val="auto"/>
              </w:rPr>
              <w:t>Earnings per share (GAAP)</w:t>
            </w:r>
          </w:p>
        </w:tc>
        <w:tc>
          <w:tcPr>
            <w:tcW w:w="1380" w:type="dxa"/>
            <w:vAlign w:val="bottom"/>
          </w:tcPr>
          <w:p>
            <w:pPr>
              <w:jc w:val="right"/>
              <w:ind w:right="401"/>
              <w:spacing w:after="0"/>
              <w:rPr>
                <w:sz w:val="20"/>
                <w:szCs w:val="20"/>
                <w:color w:val="auto"/>
              </w:rPr>
            </w:pPr>
            <w:r>
              <w:rPr>
                <w:rFonts w:ascii="Arial" w:cs="Arial" w:eastAsia="Arial" w:hAnsi="Arial"/>
                <w:sz w:val="16"/>
                <w:szCs w:val="16"/>
                <w:b w:val="1"/>
                <w:bCs w:val="1"/>
                <w:color w:val="auto"/>
              </w:rPr>
              <w:t>$0.28</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59"/>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Adjustments, after tax:</w:t>
            </w:r>
          </w:p>
        </w:tc>
        <w:tc>
          <w:tcPr>
            <w:tcW w:w="1380" w:type="dxa"/>
            <w:vAlign w:val="bottom"/>
            <w:vMerge w:val="restart"/>
          </w:tcPr>
          <w:p>
            <w:pPr>
              <w:jc w:val="right"/>
              <w:ind w:right="401"/>
              <w:spacing w:after="0"/>
              <w:rPr>
                <w:sz w:val="20"/>
                <w:szCs w:val="20"/>
                <w:color w:val="auto"/>
              </w:rPr>
            </w:pPr>
            <w:r>
              <w:rPr>
                <w:rFonts w:ascii="Arial" w:cs="Arial" w:eastAsia="Arial" w:hAnsi="Arial"/>
                <w:sz w:val="16"/>
                <w:szCs w:val="16"/>
                <w:b w:val="1"/>
                <w:bCs w:val="1"/>
                <w:color w:val="auto"/>
              </w:rPr>
              <w:t>0.01</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line="169" w:lineRule="exact"/>
              <w:rPr>
                <w:sz w:val="20"/>
                <w:szCs w:val="20"/>
                <w:color w:val="auto"/>
              </w:rPr>
            </w:pPr>
            <w:r>
              <w:rPr>
                <w:rFonts w:ascii="Arial" w:cs="Arial" w:eastAsia="Arial" w:hAnsi="Arial"/>
                <w:sz w:val="16"/>
                <w:szCs w:val="16"/>
                <w:color w:val="auto"/>
              </w:rPr>
              <w:t>Restructuring expenses, net</w:t>
            </w:r>
          </w:p>
        </w:tc>
        <w:tc>
          <w:tcPr>
            <w:tcW w:w="13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379"/>
              <w:spacing w:after="0" w:line="169" w:lineRule="exact"/>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Foreign currency revaluation (gains)/losses, net</w:t>
            </w:r>
          </w:p>
        </w:tc>
        <w:tc>
          <w:tcPr>
            <w:tcW w:w="1380" w:type="dxa"/>
            <w:vAlign w:val="bottom"/>
          </w:tcPr>
          <w:p>
            <w:pPr>
              <w:jc w:val="right"/>
              <w:ind w:right="401"/>
              <w:spacing w:after="0"/>
              <w:rPr>
                <w:sz w:val="20"/>
                <w:szCs w:val="20"/>
                <w:color w:val="auto"/>
              </w:rPr>
            </w:pPr>
            <w:r>
              <w:rPr>
                <w:rFonts w:ascii="Arial" w:cs="Arial" w:eastAsia="Arial" w:hAnsi="Arial"/>
                <w:sz w:val="16"/>
                <w:szCs w:val="16"/>
                <w:b w:val="1"/>
                <w:bCs w:val="1"/>
                <w:color w:val="auto"/>
              </w:rPr>
              <w:t>0.42</w:t>
            </w:r>
          </w:p>
        </w:tc>
        <w:tc>
          <w:tcPr>
            <w:tcW w:w="560" w:type="dxa"/>
            <w:vAlign w:val="bottom"/>
          </w:tcPr>
          <w:p>
            <w:pPr>
              <w:spacing w:after="0"/>
              <w:rPr>
                <w:sz w:val="16"/>
                <w:szCs w:val="16"/>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color w:val="auto"/>
                <w:w w:val="95"/>
              </w:rPr>
              <w:t>(0.04)</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Former CEO termination costs</w:t>
            </w:r>
          </w:p>
        </w:tc>
        <w:tc>
          <w:tcPr>
            <w:tcW w:w="1380" w:type="dxa"/>
            <w:vAlign w:val="bottom"/>
          </w:tcPr>
          <w:p>
            <w:pPr>
              <w:jc w:val="right"/>
              <w:ind w:right="401"/>
              <w:spacing w:after="0"/>
              <w:rPr>
                <w:sz w:val="20"/>
                <w:szCs w:val="20"/>
                <w:color w:val="auto"/>
              </w:rPr>
            </w:pPr>
            <w:r>
              <w:rPr>
                <w:rFonts w:ascii="Arial" w:cs="Arial" w:eastAsia="Arial" w:hAnsi="Arial"/>
                <w:sz w:val="16"/>
                <w:szCs w:val="16"/>
                <w:b w:val="1"/>
                <w:bCs w:val="1"/>
                <w:color w:val="auto"/>
              </w:rPr>
              <w:t>0.06</w:t>
            </w:r>
          </w:p>
        </w:tc>
        <w:tc>
          <w:tcPr>
            <w:tcW w:w="560" w:type="dxa"/>
            <w:vAlign w:val="bottom"/>
          </w:tcPr>
          <w:p>
            <w:pPr>
              <w:spacing w:after="0"/>
              <w:rPr>
                <w:sz w:val="16"/>
                <w:szCs w:val="16"/>
                <w:color w:val="auto"/>
              </w:rPr>
            </w:pPr>
          </w:p>
        </w:tc>
        <w:tc>
          <w:tcPr>
            <w:tcW w:w="8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CirComp integration costs</w:t>
            </w:r>
          </w:p>
        </w:tc>
        <w:tc>
          <w:tcPr>
            <w:tcW w:w="13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0.01</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Adjusted Earnings per share</w:t>
            </w:r>
          </w:p>
        </w:tc>
        <w:tc>
          <w:tcPr>
            <w:tcW w:w="1380" w:type="dxa"/>
            <w:vAlign w:val="bottom"/>
            <w:tcBorders>
              <w:bottom w:val="single" w:sz="8" w:color="auto"/>
            </w:tcBorders>
          </w:tcPr>
          <w:p>
            <w:pPr>
              <w:jc w:val="right"/>
              <w:ind w:right="401"/>
              <w:spacing w:after="0" w:line="183" w:lineRule="exact"/>
              <w:rPr>
                <w:sz w:val="20"/>
                <w:szCs w:val="20"/>
                <w:color w:val="auto"/>
              </w:rPr>
            </w:pPr>
            <w:r>
              <w:rPr>
                <w:rFonts w:ascii="Arial" w:cs="Arial" w:eastAsia="Arial" w:hAnsi="Arial"/>
                <w:sz w:val="16"/>
                <w:szCs w:val="16"/>
                <w:b w:val="1"/>
                <w:bCs w:val="1"/>
                <w:color w:val="auto"/>
              </w:rPr>
              <w:t>$0.78</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0.87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128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March 31, 2019</w:t>
            </w:r>
          </w:p>
        </w:tc>
      </w:tr>
      <w:tr>
        <w:trPr>
          <w:trHeight w:val="184"/>
        </w:trPr>
        <w:tc>
          <w:tcPr>
            <w:tcW w:w="5900" w:type="dxa"/>
            <w:vAlign w:val="bottom"/>
          </w:tcPr>
          <w:p>
            <w:pPr>
              <w:spacing w:after="0"/>
              <w:rPr>
                <w:sz w:val="20"/>
                <w:szCs w:val="20"/>
                <w:color w:val="auto"/>
              </w:rPr>
            </w:pPr>
            <w:r>
              <w:rPr>
                <w:rFonts w:ascii="Arial" w:cs="Arial" w:eastAsia="Arial" w:hAnsi="Arial"/>
                <w:sz w:val="16"/>
                <w:szCs w:val="16"/>
                <w:color w:val="auto"/>
              </w:rPr>
              <w:t>Current maturities of long-term debt</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20</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99"/>
              <w:spacing w:after="0"/>
              <w:rPr>
                <w:sz w:val="20"/>
                <w:szCs w:val="20"/>
                <w:color w:val="auto"/>
              </w:rPr>
            </w:pPr>
            <w:r>
              <w:rPr>
                <w:rFonts w:ascii="Arial" w:cs="Arial" w:eastAsia="Arial" w:hAnsi="Arial"/>
                <w:sz w:val="16"/>
                <w:szCs w:val="16"/>
                <w:color w:val="auto"/>
              </w:rPr>
              <w:t>20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19</w:t>
            </w:r>
          </w:p>
        </w:tc>
      </w:tr>
      <w:tr>
        <w:trPr>
          <w:trHeight w:val="187"/>
        </w:trPr>
        <w:tc>
          <w:tcPr>
            <w:tcW w:w="5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Long-term debt</w:t>
            </w:r>
          </w:p>
        </w:tc>
        <w:tc>
          <w:tcPr>
            <w:tcW w:w="25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491,002</w:t>
            </w:r>
          </w:p>
        </w:tc>
        <w:tc>
          <w:tcPr>
            <w:tcW w:w="148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424,009</w:t>
            </w:r>
          </w:p>
        </w:tc>
        <w:tc>
          <w:tcPr>
            <w:tcW w:w="12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491,022</w:t>
            </w:r>
          </w:p>
        </w:tc>
      </w:tr>
      <w:tr>
        <w:trPr>
          <w:trHeight w:val="183"/>
        </w:trPr>
        <w:tc>
          <w:tcPr>
            <w:tcW w:w="5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debt</w:t>
            </w:r>
          </w:p>
        </w:tc>
        <w:tc>
          <w:tcPr>
            <w:tcW w:w="2580" w:type="dxa"/>
            <w:vAlign w:val="bottom"/>
            <w:tcBorders>
              <w:bottom w:val="single" w:sz="8" w:color="auto"/>
            </w:tcBorders>
            <w:gridSpan w:val="2"/>
          </w:tcPr>
          <w:p>
            <w:pPr>
              <w:jc w:val="right"/>
              <w:ind w:right="179"/>
              <w:spacing w:after="0" w:line="183" w:lineRule="exact"/>
              <w:rPr>
                <w:sz w:val="20"/>
                <w:szCs w:val="20"/>
                <w:color w:val="auto"/>
              </w:rPr>
            </w:pPr>
            <w:r>
              <w:rPr>
                <w:rFonts w:ascii="Arial" w:cs="Arial" w:eastAsia="Arial" w:hAnsi="Arial"/>
                <w:sz w:val="16"/>
                <w:szCs w:val="16"/>
                <w:b w:val="1"/>
                <w:bCs w:val="1"/>
                <w:color w:val="auto"/>
              </w:rPr>
              <w:t>491,022</w:t>
            </w:r>
          </w:p>
        </w:tc>
        <w:tc>
          <w:tcPr>
            <w:tcW w:w="1480" w:type="dxa"/>
            <w:vAlign w:val="bottom"/>
            <w:tcBorders>
              <w:bottom w:val="single" w:sz="8" w:color="auto"/>
            </w:tcBorders>
            <w:gridSpan w:val="2"/>
          </w:tcPr>
          <w:p>
            <w:pPr>
              <w:jc w:val="right"/>
              <w:ind w:right="319"/>
              <w:spacing w:after="0" w:line="183" w:lineRule="exact"/>
              <w:rPr>
                <w:sz w:val="20"/>
                <w:szCs w:val="20"/>
                <w:color w:val="auto"/>
              </w:rPr>
            </w:pPr>
            <w:r>
              <w:rPr>
                <w:rFonts w:ascii="Arial" w:cs="Arial" w:eastAsia="Arial" w:hAnsi="Arial"/>
                <w:sz w:val="16"/>
                <w:szCs w:val="16"/>
                <w:b w:val="1"/>
                <w:bCs w:val="1"/>
                <w:color w:val="auto"/>
              </w:rPr>
              <w:t>424,029</w:t>
            </w:r>
          </w:p>
        </w:tc>
        <w:tc>
          <w:tcPr>
            <w:tcW w:w="1280" w:type="dxa"/>
            <w:vAlign w:val="bottom"/>
            <w:tcBorders>
              <w:bottom w:val="single" w:sz="8" w:color="auto"/>
            </w:tcBorders>
            <w:gridSpan w:val="2"/>
          </w:tcPr>
          <w:p>
            <w:pPr>
              <w:jc w:val="right"/>
              <w:ind w:right="259"/>
              <w:spacing w:after="0" w:line="183" w:lineRule="exact"/>
              <w:rPr>
                <w:sz w:val="20"/>
                <w:szCs w:val="20"/>
                <w:color w:val="auto"/>
              </w:rPr>
            </w:pPr>
            <w:r>
              <w:rPr>
                <w:rFonts w:ascii="Arial" w:cs="Arial" w:eastAsia="Arial" w:hAnsi="Arial"/>
                <w:sz w:val="16"/>
                <w:szCs w:val="16"/>
                <w:b w:val="1"/>
                <w:bCs w:val="1"/>
                <w:color w:val="auto"/>
              </w:rPr>
              <w:t>491,041</w:t>
            </w:r>
          </w:p>
        </w:tc>
      </w:tr>
      <w:tr>
        <w:trPr>
          <w:trHeight w:val="183"/>
        </w:trPr>
        <w:tc>
          <w:tcPr>
            <w:tcW w:w="5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Cash and cash equivalents</w:t>
            </w:r>
          </w:p>
        </w:tc>
        <w:tc>
          <w:tcPr>
            <w:tcW w:w="2580" w:type="dxa"/>
            <w:vAlign w:val="bottom"/>
            <w:tcBorders>
              <w:bottom w:val="single" w:sz="8" w:color="auto"/>
            </w:tcBorders>
            <w:gridSpan w:val="2"/>
          </w:tcPr>
          <w:p>
            <w:pPr>
              <w:jc w:val="right"/>
              <w:ind w:right="179"/>
              <w:spacing w:after="0" w:line="183" w:lineRule="exact"/>
              <w:rPr>
                <w:sz w:val="20"/>
                <w:szCs w:val="20"/>
                <w:color w:val="auto"/>
              </w:rPr>
            </w:pPr>
            <w:r>
              <w:rPr>
                <w:rFonts w:ascii="Arial" w:cs="Arial" w:eastAsia="Arial" w:hAnsi="Arial"/>
                <w:sz w:val="16"/>
                <w:szCs w:val="16"/>
                <w:color w:val="auto"/>
              </w:rPr>
              <w:t>222,680</w:t>
            </w:r>
          </w:p>
        </w:tc>
        <w:tc>
          <w:tcPr>
            <w:tcW w:w="1480" w:type="dxa"/>
            <w:vAlign w:val="bottom"/>
            <w:tcBorders>
              <w:bottom w:val="single" w:sz="8" w:color="auto"/>
            </w:tcBorders>
            <w:gridSpan w:val="2"/>
          </w:tcPr>
          <w:p>
            <w:pPr>
              <w:jc w:val="right"/>
              <w:ind w:right="319"/>
              <w:spacing w:after="0" w:line="183" w:lineRule="exact"/>
              <w:rPr>
                <w:sz w:val="20"/>
                <w:szCs w:val="20"/>
                <w:color w:val="auto"/>
              </w:rPr>
            </w:pPr>
            <w:r>
              <w:rPr>
                <w:rFonts w:ascii="Arial" w:cs="Arial" w:eastAsia="Arial" w:hAnsi="Arial"/>
                <w:sz w:val="16"/>
                <w:szCs w:val="16"/>
                <w:color w:val="auto"/>
              </w:rPr>
              <w:t>195,540</w:t>
            </w:r>
          </w:p>
        </w:tc>
        <w:tc>
          <w:tcPr>
            <w:tcW w:w="1280" w:type="dxa"/>
            <w:vAlign w:val="bottom"/>
            <w:tcBorders>
              <w:bottom w:val="single" w:sz="8" w:color="auto"/>
            </w:tcBorders>
            <w:gridSpan w:val="2"/>
          </w:tcPr>
          <w:p>
            <w:pPr>
              <w:jc w:val="right"/>
              <w:ind w:right="259"/>
              <w:spacing w:after="0" w:line="183" w:lineRule="exact"/>
              <w:rPr>
                <w:sz w:val="20"/>
                <w:szCs w:val="20"/>
                <w:color w:val="auto"/>
              </w:rPr>
            </w:pPr>
            <w:r>
              <w:rPr>
                <w:rFonts w:ascii="Arial" w:cs="Arial" w:eastAsia="Arial" w:hAnsi="Arial"/>
                <w:sz w:val="16"/>
                <w:szCs w:val="16"/>
                <w:color w:val="auto"/>
              </w:rPr>
              <w:t>187,385</w:t>
            </w:r>
          </w:p>
        </w:tc>
      </w:tr>
      <w:tr>
        <w:trPr>
          <w:trHeight w:val="183"/>
        </w:trPr>
        <w:tc>
          <w:tcPr>
            <w:tcW w:w="5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Net debt</w:t>
            </w:r>
          </w:p>
        </w:tc>
        <w:tc>
          <w:tcPr>
            <w:tcW w:w="1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b w:val="1"/>
                <w:bCs w:val="1"/>
                <w:color w:val="auto"/>
                <w:w w:val="96"/>
              </w:rPr>
              <w:t>268,342</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96"/>
              </w:rPr>
              <w:t>228,489</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w w:val="96"/>
              </w:rPr>
              <w:t>303,656</w:t>
            </w:r>
          </w:p>
        </w:tc>
      </w:tr>
      <w:tr>
        <w:trPr>
          <w:trHeight w:val="184"/>
        </w:trPr>
        <w:tc>
          <w:tcPr>
            <w:tcW w:w="5900" w:type="dxa"/>
            <w:vAlign w:val="bottom"/>
          </w:tcPr>
          <w:p>
            <w:pPr>
              <w:spacing w:after="0"/>
              <w:rPr>
                <w:sz w:val="20"/>
                <w:szCs w:val="20"/>
                <w:color w:val="auto"/>
              </w:rPr>
            </w:pPr>
            <w:r>
              <w:rPr>
                <w:rFonts w:ascii="Arial" w:cs="Arial" w:eastAsia="Arial" w:hAnsi="Arial"/>
                <w:sz w:val="16"/>
                <w:szCs w:val="16"/>
                <w:color w:val="auto"/>
              </w:rPr>
              <w:t>Quarterly increase/(decrease)</w:t>
            </w:r>
          </w:p>
        </w:tc>
        <w:tc>
          <w:tcPr>
            <w:tcW w:w="174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39,853</w:t>
            </w:r>
          </w:p>
        </w:tc>
        <w:tc>
          <w:tcPr>
            <w:tcW w:w="500" w:type="dxa"/>
            <w:vAlign w:val="bottom"/>
          </w:tcPr>
          <w:p>
            <w:pPr>
              <w:spacing w:after="0"/>
              <w:rPr>
                <w:sz w:val="16"/>
                <w:szCs w:val="16"/>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(21,804)</w:t>
            </w:r>
          </w:p>
        </w:tc>
        <w:tc>
          <w:tcPr>
            <w:tcW w:w="360" w:type="dxa"/>
            <w:vAlign w:val="bottom"/>
          </w:tcPr>
          <w:p>
            <w:pPr>
              <w:spacing w:after="0"/>
              <w:rPr>
                <w:sz w:val="16"/>
                <w:szCs w:val="16"/>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(23,520)</w:t>
            </w:r>
          </w:p>
        </w:tc>
      </w:tr>
      <w:tr>
        <w:trPr>
          <w:trHeight w:val="187"/>
        </w:trPr>
        <w:tc>
          <w:tcPr>
            <w:tcW w:w="5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ASC 842 adoption</w:t>
            </w:r>
          </w:p>
        </w:tc>
        <w:tc>
          <w:tcPr>
            <w:tcW w:w="1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(25,886)</w:t>
            </w:r>
          </w:p>
        </w:tc>
      </w:tr>
      <w:tr>
        <w:trPr>
          <w:trHeight w:val="183"/>
        </w:trPr>
        <w:tc>
          <w:tcPr>
            <w:tcW w:w="5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Increase/(decrease) excluding effect of ASC 842 adoption</w:t>
            </w:r>
          </w:p>
        </w:tc>
        <w:tc>
          <w:tcPr>
            <w:tcW w:w="17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39,853</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(21,804)</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2,366</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0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0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 We continue the process of implementing our internal control over financial reporting structure over the CirComp acquisition and expect that this effort will be completed in 2020.</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information set forth above under Note 17 in Item 1, “Notes to Consolidated Financial Statements”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addition to the items below, for discussion of risk factors, refer to Item 1A of our Annual Report on Form 10-K for the year ended December 31, 2019.</w:t>
      </w:r>
    </w:p>
    <w:p>
      <w:pPr>
        <w:spacing w:after="0" w:line="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The COVID-19 pandemic has had, and we expect will continue to have, certain negative impacts on our business, and such impacts may have a material adverse effect on our results of operations, financial condition and cash flows</w:t>
      </w:r>
    </w:p>
    <w:p>
      <w:pPr>
        <w:spacing w:after="0" w:line="6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public health crisis caused by the COVID-19 pandemic and the measures being taken by governments, businesses, and the public at large to limit COVID-19's spread has had, and are expected to continue to have, certain negative effects on the markets we serve. These effects include deteriorating general economic conditions in many regions of the world, increased unemployment, decreases in disposable income, decline in consumer confidence, and changes in consumer spending habits. Certain adverse impacts specific to the Company include, without limitation:</w:t>
      </w:r>
    </w:p>
    <w:p>
      <w:pPr>
        <w:spacing w:after="0" w:line="40" w:lineRule="exact"/>
        <w:rPr>
          <w:sz w:val="20"/>
          <w:szCs w:val="20"/>
          <w:color w:val="auto"/>
        </w:rPr>
      </w:pPr>
    </w:p>
    <w:p>
      <w:pPr>
        <w:jc w:val="both"/>
        <w:ind w:left="580" w:hanging="248"/>
        <w:spacing w:after="0" w:line="23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experienced larger-than-anticipated declines in demand for MC fabrics used to make certain paper grades, specifically publication paper grades, that could be COVID-19 related. The above effects are likely to continue to have an adverse impact on demand for publication paper grades, and perhaps other grades of paper, including without limitation packaging paper grades, as well as on demand for non-woven fabrics and fiber cement products used in the construction industry; such impacts would in turn adversely impact demand for the MC products used to manufacture such paper grades or building products. A decline in revenues would lead to lower gross profit on those products and the possibility of unabsorbed fixed manufacturing costs.</w:t>
      </w:r>
    </w:p>
    <w:p>
      <w:pPr>
        <w:spacing w:after="0" w:line="42" w:lineRule="exact"/>
        <w:rPr>
          <w:rFonts w:ascii="Arial" w:cs="Arial" w:eastAsia="Arial" w:hAnsi="Arial"/>
          <w:sz w:val="18"/>
          <w:szCs w:val="18"/>
          <w:color w:val="auto"/>
        </w:rPr>
      </w:pPr>
    </w:p>
    <w:p>
      <w:pPr>
        <w:jc w:val="both"/>
        <w:ind w:left="580" w:hanging="248"/>
        <w:spacing w:after="0" w:line="23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Albany Engineered Composites segment generates a significant portion of its revenue from commercial aerospace programs and contracts for the U.S. Department of Defense (DOD). The COVID-19 pandemic has significantly impacted passenger air travel which, in turn, has impacted and is likely to continue to impact the commercial aerospace programs that provide a source of revenue for the Company. Such programs could be delayed or canceled which, in addition to a loss of revenue and gross profit, could lead to write-offs for Company investments for those programs. The pandemic has resulted in significant costs for the U.S. government, which could lead to program delays or cancellations, and a corresponding decrease in our revenues. The U.S. Presidential election later in 2020 could increase the uncertainties associated with DOD programs.</w:t>
      </w:r>
    </w:p>
    <w:p>
      <w:pPr>
        <w:spacing w:after="0" w:line="54" w:lineRule="exact"/>
        <w:rPr>
          <w:rFonts w:ascii="Arial" w:cs="Arial" w:eastAsia="Arial" w:hAnsi="Arial"/>
          <w:sz w:val="18"/>
          <w:szCs w:val="18"/>
          <w:color w:val="auto"/>
        </w:rPr>
      </w:pPr>
    </w:p>
    <w:p>
      <w:pPr>
        <w:ind w:left="580" w:hanging="248"/>
        <w:spacing w:after="0" w:line="246"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in supply chains may place constraints on our ability to source key raw materials and services which could impact our ability to deliver products to customers as scheduled, or could increase manufacturing or delivery costs.</w:t>
      </w:r>
    </w:p>
    <w:p>
      <w:pPr>
        <w:spacing w:after="0" w:line="34" w:lineRule="exact"/>
        <w:rPr>
          <w:rFonts w:ascii="Arial" w:cs="Arial" w:eastAsia="Arial" w:hAnsi="Arial"/>
          <w:sz w:val="18"/>
          <w:szCs w:val="18"/>
          <w:color w:val="auto"/>
        </w:rPr>
      </w:pPr>
    </w:p>
    <w:p>
      <w:pPr>
        <w:jc w:val="both"/>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experienced, and may continue to experience, adverse fluctuations in foreign currency exchange rates, particularly an increase in the value of the U.S. dollar against certain key foreign currencies, which negatively affected results in the first quarter of 2020, and could continue to negatively affect, our results of operations and financial condition.</w:t>
      </w:r>
    </w:p>
    <w:p>
      <w:pPr>
        <w:spacing w:after="0" w:line="40" w:lineRule="exact"/>
        <w:rPr>
          <w:rFonts w:ascii="Arial" w:cs="Arial" w:eastAsia="Arial" w:hAnsi="Arial"/>
          <w:sz w:val="18"/>
          <w:szCs w:val="18"/>
          <w:color w:val="auto"/>
        </w:rPr>
      </w:pPr>
    </w:p>
    <w:p>
      <w:pPr>
        <w:jc w:val="both"/>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periods of economic weakness, the Company may be exposed to greater risk for bad debt expense. Additionally, we could be required to record significant impairment charges with respect to noncurrent assets, including goodwill and other intangible assets, whose fair values may be negatively affected by the effects of the COVID-19 pandemic on our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We made no share purchases during the first quarter of 2020. We remain authorized by the Board of Directors to purchase up to 2 million shares of our Class A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spacing w:after="0"/>
              <w:rPr>
                <w:sz w:val="20"/>
                <w:szCs w:val="20"/>
                <w:color w:val="auto"/>
              </w:rPr>
            </w:pPr>
            <w:r>
              <w:rPr>
                <w:rFonts w:ascii="Arial" w:cs="Arial" w:eastAsia="Arial" w:hAnsi="Arial"/>
                <w:sz w:val="16"/>
                <w:szCs w:val="16"/>
                <w:color w:val="auto"/>
              </w:rPr>
              <w:t>Exhibit No.</w:t>
            </w:r>
          </w:p>
        </w:tc>
        <w:tc>
          <w:tcPr>
            <w:tcW w:w="9960" w:type="dxa"/>
            <w:vAlign w:val="bottom"/>
            <w:gridSpan w:val="4"/>
          </w:tcPr>
          <w:p>
            <w:pPr>
              <w:spacing w:after="0"/>
              <w:rPr>
                <w:sz w:val="20"/>
                <w:szCs w:val="20"/>
                <w:color w:val="auto"/>
              </w:rPr>
            </w:pPr>
            <w:r>
              <w:rPr>
                <w:rFonts w:ascii="Arial" w:cs="Arial" w:eastAsia="Arial" w:hAnsi="Arial"/>
                <w:sz w:val="16"/>
                <w:szCs w:val="16"/>
                <w:color w:val="auto"/>
              </w:rPr>
              <w:t>Description</w:t>
            </w:r>
          </w:p>
        </w:tc>
      </w:tr>
      <w:tr>
        <w:trPr>
          <w:trHeight w:val="399"/>
        </w:trPr>
        <w:tc>
          <w:tcPr>
            <w:tcW w:w="1060" w:type="dxa"/>
            <w:vAlign w:val="bottom"/>
          </w:tcPr>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31.1</w:t>
              </w:r>
            </w:hyperlink>
          </w:p>
        </w:tc>
        <w:tc>
          <w:tcPr>
            <w:tcW w:w="9960" w:type="dxa"/>
            <w:vAlign w:val="bottom"/>
            <w:gridSpan w:val="4"/>
          </w:tcPr>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Certification of the Chief Executive Officer pursuant to Rule 13a-14(a)/15d-14(a) of the Exchange Act.</w:t>
              </w:r>
            </w:hyperlink>
          </w:p>
        </w:tc>
      </w:tr>
      <w:tr>
        <w:trPr>
          <w:trHeight w:val="189"/>
        </w:trPr>
        <w:tc>
          <w:tcPr>
            <w:tcW w:w="1060" w:type="dxa"/>
            <w:vAlign w:val="bottom"/>
          </w:tcPr>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31.2</w:t>
              </w:r>
            </w:hyperlink>
          </w:p>
        </w:tc>
        <w:tc>
          <w:tcPr>
            <w:tcW w:w="9960" w:type="dxa"/>
            <w:vAlign w:val="bottom"/>
            <w:gridSpan w:val="4"/>
          </w:tcPr>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Certification of the Chief Financial Officer pursuant to Rule 13a-14(a)/15d-14(a) of the Exchange Act.</w:t>
              </w:r>
            </w:hyperlink>
          </w:p>
        </w:tc>
      </w:tr>
      <w:tr>
        <w:trPr>
          <w:trHeight w:val="160"/>
        </w:trPr>
        <w:tc>
          <w:tcPr>
            <w:tcW w:w="1060" w:type="dxa"/>
            <w:vAlign w:val="bottom"/>
          </w:tcPr>
          <w:p>
            <w:pPr>
              <w:spacing w:after="0" w:line="160" w:lineRule="exact"/>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32.1</w:t>
              </w:r>
            </w:hyperlink>
          </w:p>
        </w:tc>
        <w:tc>
          <w:tcPr>
            <w:tcW w:w="9960" w:type="dxa"/>
            <w:vAlign w:val="bottom"/>
            <w:gridSpan w:val="4"/>
          </w:tcPr>
          <w:p>
            <w:pPr>
              <w:spacing w:after="0" w:line="160" w:lineRule="exact"/>
              <w:rPr>
                <w:rFonts w:ascii="Arial" w:cs="Arial" w:eastAsia="Arial" w:hAnsi="Arial"/>
                <w:sz w:val="16"/>
                <w:szCs w:val="16"/>
                <w:color w:val="0000EE"/>
              </w:rPr>
            </w:pPr>
            <w:hyperlink w:anchor="page49">
              <w:r>
                <w:rPr>
                  <w:rFonts w:ascii="Arial" w:cs="Arial" w:eastAsia="Arial" w:hAnsi="Arial"/>
                  <w:sz w:val="16"/>
                  <w:szCs w:val="16"/>
                  <w:u w:val="single" w:color="auto"/>
                  <w:color w:val="0000EE"/>
                </w:rPr>
                <w:t>Certification pursuant to Section 906 of the Sarbanes-Oxley Act of 2002 (Subsections (a) and (b) of</w:t>
              </w:r>
              <w:r>
                <w:rPr>
                  <w:rFonts w:ascii="Arial" w:cs="Arial" w:eastAsia="Arial" w:hAnsi="Arial"/>
                  <w:sz w:val="16"/>
                  <w:szCs w:val="16"/>
                  <w:color w:val="0000EE"/>
                </w:rPr>
                <w:t xml:space="preserve"> Section 1350, Chapter 63 of Title 18,</w:t>
              </w:r>
            </w:hyperlink>
          </w:p>
        </w:tc>
      </w:tr>
      <w:tr>
        <w:trPr>
          <w:trHeight w:val="169"/>
        </w:trPr>
        <w:tc>
          <w:tcPr>
            <w:tcW w:w="1060" w:type="dxa"/>
            <w:vAlign w:val="bottom"/>
          </w:tcPr>
          <w:p>
            <w:pPr>
              <w:spacing w:after="0"/>
              <w:rPr>
                <w:sz w:val="14"/>
                <w:szCs w:val="14"/>
                <w:color w:val="auto"/>
              </w:rPr>
            </w:pPr>
          </w:p>
        </w:tc>
        <w:tc>
          <w:tcPr>
            <w:tcW w:w="7140" w:type="dxa"/>
            <w:vAlign w:val="bottom"/>
            <w:gridSpan w:val="2"/>
          </w:tcPr>
          <w:p>
            <w:pPr>
              <w:spacing w:after="0" w:line="169" w:lineRule="exact"/>
              <w:rPr>
                <w:rFonts w:ascii="Arial" w:cs="Arial" w:eastAsia="Arial" w:hAnsi="Arial"/>
                <w:sz w:val="16"/>
                <w:szCs w:val="16"/>
                <w:color w:val="0000EE"/>
              </w:rPr>
            </w:pPr>
            <w:hyperlink w:anchor="page49">
              <w:r>
                <w:rPr>
                  <w:rFonts w:ascii="Arial" w:cs="Arial" w:eastAsia="Arial" w:hAnsi="Arial"/>
                  <w:sz w:val="16"/>
                  <w:szCs w:val="16"/>
                  <w:color w:val="0000EE"/>
                </w:rPr>
                <w:t>United States Code).</w:t>
              </w:r>
            </w:hyperlink>
          </w:p>
        </w:tc>
        <w:tc>
          <w:tcPr>
            <w:tcW w:w="264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460" w:type="dxa"/>
            <w:vAlign w:val="bottom"/>
            <w:gridSpan w:val="3"/>
          </w:tcPr>
          <w:p>
            <w:pPr>
              <w:spacing w:after="0" w:line="20" w:lineRule="exact"/>
              <w:rPr>
                <w:sz w:val="1"/>
                <w:szCs w:val="1"/>
                <w:color w:val="auto"/>
              </w:rPr>
            </w:pPr>
          </w:p>
        </w:tc>
      </w:tr>
      <w:tr>
        <w:trPr>
          <w:trHeight w:val="198"/>
        </w:trPr>
        <w:tc>
          <w:tcPr>
            <w:tcW w:w="1060" w:type="dxa"/>
            <w:vAlign w:val="bottom"/>
          </w:tcPr>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99.1</w:t>
              </w:r>
            </w:hyperlink>
          </w:p>
        </w:tc>
        <w:tc>
          <w:tcPr>
            <w:tcW w:w="9960" w:type="dxa"/>
            <w:vAlign w:val="bottom"/>
            <w:gridSpan w:val="4"/>
          </w:tcPr>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Quantitative and qualitative disclosures about market risks as reported at March 31, 2020.</w:t>
              </w:r>
            </w:hyperlink>
          </w:p>
        </w:tc>
      </w:t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101.INS</w:t>
            </w:r>
          </w:p>
        </w:tc>
        <w:tc>
          <w:tcPr>
            <w:tcW w:w="9960" w:type="dxa"/>
            <w:vAlign w:val="bottom"/>
            <w:gridSpan w:val="4"/>
          </w:tcPr>
          <w:p>
            <w:pPr>
              <w:spacing w:after="0"/>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 within</w:t>
            </w:r>
          </w:p>
        </w:tc>
      </w:tr>
      <w:tr>
        <w:trPr>
          <w:trHeight w:val="189"/>
        </w:trPr>
        <w:tc>
          <w:tcPr>
            <w:tcW w:w="1060" w:type="dxa"/>
            <w:vAlign w:val="bottom"/>
          </w:tcPr>
          <w:p>
            <w:pPr>
              <w:spacing w:after="0"/>
              <w:rPr>
                <w:sz w:val="16"/>
                <w:szCs w:val="16"/>
                <w:color w:val="auto"/>
              </w:rPr>
            </w:pPr>
          </w:p>
        </w:tc>
        <w:tc>
          <w:tcPr>
            <w:tcW w:w="9960" w:type="dxa"/>
            <w:vAlign w:val="bottom"/>
            <w:gridSpan w:val="4"/>
          </w:tcPr>
          <w:p>
            <w:pPr>
              <w:spacing w:after="0"/>
              <w:rPr>
                <w:sz w:val="20"/>
                <w:szCs w:val="20"/>
                <w:color w:val="auto"/>
              </w:rPr>
            </w:pPr>
            <w:r>
              <w:rPr>
                <w:rFonts w:ascii="Arial" w:cs="Arial" w:eastAsia="Arial" w:hAnsi="Arial"/>
                <w:sz w:val="16"/>
                <w:szCs w:val="16"/>
                <w:color w:val="auto"/>
              </w:rPr>
              <w:t>the Inline XBRL document.</w:t>
            </w:r>
          </w:p>
        </w:tc>
      </w:t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101.SCH</w:t>
            </w:r>
          </w:p>
        </w:tc>
        <w:tc>
          <w:tcPr>
            <w:tcW w:w="9960" w:type="dxa"/>
            <w:vAlign w:val="bottom"/>
            <w:gridSpan w:val="4"/>
          </w:tcPr>
          <w:p>
            <w:pPr>
              <w:spacing w:after="0"/>
              <w:rPr>
                <w:sz w:val="20"/>
                <w:szCs w:val="20"/>
                <w:color w:val="auto"/>
              </w:rPr>
            </w:pPr>
            <w:r>
              <w:rPr>
                <w:rFonts w:ascii="Arial" w:cs="Arial" w:eastAsia="Arial" w:hAnsi="Arial"/>
                <w:sz w:val="16"/>
                <w:szCs w:val="16"/>
                <w:color w:val="auto"/>
              </w:rPr>
              <w:t>XBRL Taxonomy Extension Schema Document.</w:t>
            </w:r>
          </w:p>
        </w:tc>
      </w:t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101.CAL</w:t>
            </w:r>
          </w:p>
        </w:tc>
        <w:tc>
          <w:tcPr>
            <w:tcW w:w="9960" w:type="dxa"/>
            <w:vAlign w:val="bottom"/>
            <w:gridSpan w:val="4"/>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101.DEF</w:t>
            </w:r>
          </w:p>
        </w:tc>
        <w:tc>
          <w:tcPr>
            <w:tcW w:w="9960" w:type="dxa"/>
            <w:vAlign w:val="bottom"/>
            <w:gridSpan w:val="4"/>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101.LAB</w:t>
            </w:r>
          </w:p>
        </w:tc>
        <w:tc>
          <w:tcPr>
            <w:tcW w:w="9960" w:type="dxa"/>
            <w:vAlign w:val="bottom"/>
            <w:gridSpan w:val="4"/>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101.PRE</w:t>
            </w:r>
          </w:p>
        </w:tc>
        <w:tc>
          <w:tcPr>
            <w:tcW w:w="9960" w:type="dxa"/>
            <w:vAlign w:val="bottom"/>
            <w:gridSpan w:val="4"/>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195"/>
        </w:trPr>
        <w:tc>
          <w:tcPr>
            <w:tcW w:w="1060" w:type="dxa"/>
            <w:vAlign w:val="bottom"/>
          </w:tcPr>
          <w:p>
            <w:pPr>
              <w:spacing w:after="0"/>
              <w:rPr>
                <w:sz w:val="20"/>
                <w:szCs w:val="20"/>
                <w:color w:val="auto"/>
              </w:rPr>
            </w:pPr>
            <w:r>
              <w:rPr>
                <w:rFonts w:ascii="Arial" w:cs="Arial" w:eastAsia="Arial" w:hAnsi="Arial"/>
                <w:sz w:val="16"/>
                <w:szCs w:val="16"/>
                <w:color w:val="auto"/>
              </w:rPr>
              <w:t>104</w:t>
            </w:r>
          </w:p>
        </w:tc>
        <w:tc>
          <w:tcPr>
            <w:tcW w:w="9960" w:type="dxa"/>
            <w:vAlign w:val="bottom"/>
            <w:gridSpan w:val="4"/>
          </w:tcPr>
          <w:p>
            <w:pPr>
              <w:spacing w:after="0"/>
              <w:rPr>
                <w:sz w:val="20"/>
                <w:szCs w:val="20"/>
                <w:color w:val="auto"/>
              </w:rPr>
            </w:pPr>
            <w:r>
              <w:rPr>
                <w:rFonts w:ascii="Arial" w:cs="Arial" w:eastAsia="Arial" w:hAnsi="Arial"/>
                <w:sz w:val="16"/>
                <w:szCs w:val="16"/>
                <w:color w:val="auto"/>
              </w:rPr>
              <w:t>Cover page formatted as Inline XBRL and contained in Exhibit 101</w:t>
            </w:r>
          </w:p>
        </w:tc>
      </w:tr>
    </w:tbl>
    <w:p>
      <w:pPr>
        <w:spacing w:after="0" w:line="181"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b w:val="1"/>
                <w:bCs w:val="1"/>
                <w:color w:val="auto"/>
              </w:rPr>
              <w:t>ALBANY INTERNATIONAL CORP.</w:t>
            </w:r>
          </w:p>
        </w:tc>
      </w:tr>
      <w:tr>
        <w:trPr>
          <w:trHeight w:val="216"/>
        </w:trPr>
        <w:tc>
          <w:tcPr>
            <w:tcW w:w="3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b w:val="1"/>
                <w:bCs w:val="1"/>
                <w:color w:val="auto"/>
              </w:rPr>
              <w:t>(Registrant)</w:t>
            </w:r>
          </w:p>
        </w:tc>
      </w:tr>
      <w:tr>
        <w:trPr>
          <w:trHeight w:val="397"/>
        </w:trPr>
        <w:tc>
          <w:tcPr>
            <w:tcW w:w="3540" w:type="dxa"/>
            <w:vAlign w:val="bottom"/>
          </w:tcPr>
          <w:p>
            <w:pPr>
              <w:spacing w:after="0"/>
              <w:rPr>
                <w:sz w:val="20"/>
                <w:szCs w:val="20"/>
                <w:color w:val="auto"/>
              </w:rPr>
            </w:pPr>
            <w:r>
              <w:rPr>
                <w:rFonts w:ascii="Arial" w:cs="Arial" w:eastAsia="Arial" w:hAnsi="Arial"/>
                <w:sz w:val="16"/>
                <w:szCs w:val="16"/>
                <w:color w:val="auto"/>
              </w:rPr>
              <w:t>Date: April 30, 2020</w:t>
            </w:r>
          </w:p>
        </w:tc>
        <w:tc>
          <w:tcPr>
            <w:tcW w:w="7700" w:type="dxa"/>
            <w:vAlign w:val="bottom"/>
            <w:gridSpan w:val="2"/>
          </w:tcPr>
          <w:p>
            <w:pPr>
              <w:ind w:left="2080"/>
              <w:spacing w:after="0"/>
              <w:rPr>
                <w:sz w:val="20"/>
                <w:szCs w:val="20"/>
                <w:color w:val="auto"/>
              </w:rPr>
            </w:pPr>
            <w:r>
              <w:rPr>
                <w:rFonts w:ascii="Arial" w:cs="Arial" w:eastAsia="Arial" w:hAnsi="Arial"/>
                <w:sz w:val="16"/>
                <w:szCs w:val="16"/>
                <w:color w:val="auto"/>
              </w:rPr>
              <w:t>By  /s/ Stephen M. Nolan</w:t>
            </w:r>
          </w:p>
        </w:tc>
      </w:tr>
      <w:tr>
        <w:trPr>
          <w:trHeight w:val="204"/>
        </w:trPr>
        <w:tc>
          <w:tcPr>
            <w:tcW w:w="3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Stephen M. Nolan</w:t>
            </w:r>
          </w:p>
        </w:tc>
      </w:tr>
      <w:tr>
        <w:trPr>
          <w:trHeight w:val="216"/>
        </w:trPr>
        <w:tc>
          <w:tcPr>
            <w:tcW w:w="3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Chief Financial Officer and Treasurer</w:t>
            </w:r>
          </w:p>
        </w:tc>
      </w:tr>
      <w:tr>
        <w:trPr>
          <w:trHeight w:val="216"/>
        </w:trPr>
        <w:tc>
          <w:tcPr>
            <w:tcW w:w="3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t>EXHIBIT (31.1)</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jc w:val="center"/>
        <w:ind w:right="20"/>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20"/>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A. William Higgins, certify that:</w:t>
      </w:r>
    </w:p>
    <w:p>
      <w:pPr>
        <w:spacing w:after="0" w:line="6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49" w:lineRule="exact"/>
        <w:rPr>
          <w:rFonts w:ascii="Arial" w:cs="Arial" w:eastAsia="Arial" w:hAnsi="Arial"/>
          <w:sz w:val="18"/>
          <w:szCs w:val="18"/>
          <w:color w:val="auto"/>
        </w:rPr>
      </w:pPr>
    </w:p>
    <w:p>
      <w:pPr>
        <w:jc w:val="both"/>
        <w:ind w:left="340" w:right="2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Arial" w:cs="Arial" w:eastAsia="Arial" w:hAnsi="Arial"/>
          <w:sz w:val="18"/>
          <w:szCs w:val="18"/>
          <w:color w:val="auto"/>
        </w:rPr>
      </w:pPr>
    </w:p>
    <w:p>
      <w:pPr>
        <w:ind w:left="340" w:right="20" w:hanging="332"/>
        <w:spacing w:after="0" w:line="246"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340" w:right="2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Arial" w:cs="Arial" w:eastAsia="Arial" w:hAnsi="Arial"/>
          <w:sz w:val="18"/>
          <w:szCs w:val="18"/>
          <w:color w:val="auto"/>
        </w:rPr>
      </w:pPr>
    </w:p>
    <w:p>
      <w:pPr>
        <w:jc w:val="both"/>
        <w:ind w:left="700" w:right="20" w:hanging="368"/>
        <w:spacing w:after="0"/>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8"/>
          <w:szCs w:val="18"/>
          <w:color w:val="auto"/>
        </w:rPr>
      </w:pPr>
    </w:p>
    <w:p>
      <w:pPr>
        <w:jc w:val="both"/>
        <w:ind w:left="700" w:right="20" w:hanging="368"/>
        <w:spacing w:after="0"/>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700" w:right="20" w:hanging="368"/>
        <w:spacing w:after="0"/>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Arial" w:cs="Arial" w:eastAsia="Arial" w:hAnsi="Arial"/>
          <w:sz w:val="18"/>
          <w:szCs w:val="18"/>
          <w:color w:val="auto"/>
        </w:rPr>
      </w:pPr>
    </w:p>
    <w:p>
      <w:pPr>
        <w:jc w:val="both"/>
        <w:ind w:left="700" w:right="20" w:hanging="368"/>
        <w:spacing w:after="0"/>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8"/>
          <w:szCs w:val="18"/>
          <w:color w:val="auto"/>
        </w:rPr>
      </w:pPr>
    </w:p>
    <w:p>
      <w:pPr>
        <w:jc w:val="both"/>
        <w:ind w:left="340" w:right="2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700" w:right="40" w:hanging="368"/>
        <w:spacing w:after="0" w:line="246"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8"/>
          <w:szCs w:val="18"/>
          <w:color w:val="auto"/>
        </w:rPr>
      </w:pPr>
    </w:p>
    <w:p>
      <w:pPr>
        <w:ind w:left="700" w:right="20" w:hanging="368"/>
        <w:spacing w:after="0" w:line="246"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20"/>
                <w:szCs w:val="20"/>
                <w:color w:val="auto"/>
              </w:rPr>
            </w:pPr>
            <w:r>
              <w:rPr>
                <w:rFonts w:ascii="Arial" w:cs="Arial" w:eastAsia="Arial" w:hAnsi="Arial"/>
                <w:sz w:val="16"/>
                <w:szCs w:val="16"/>
                <w:color w:val="auto"/>
              </w:rPr>
              <w:t>Date: April 30, 2020</w:t>
            </w:r>
          </w:p>
        </w:tc>
        <w:tc>
          <w:tcPr>
            <w:tcW w:w="7700" w:type="dxa"/>
            <w:vAlign w:val="bottom"/>
            <w:gridSpan w:val="2"/>
          </w:tcPr>
          <w:p>
            <w:pPr>
              <w:ind w:left="2100"/>
              <w:spacing w:after="0"/>
              <w:rPr>
                <w:sz w:val="20"/>
                <w:szCs w:val="20"/>
                <w:color w:val="auto"/>
              </w:rPr>
            </w:pPr>
            <w:r>
              <w:rPr>
                <w:rFonts w:ascii="Arial" w:cs="Arial" w:eastAsia="Arial" w:hAnsi="Arial"/>
                <w:sz w:val="16"/>
                <w:szCs w:val="16"/>
                <w:color w:val="auto"/>
              </w:rPr>
              <w:t>By  /s/ A. William Higgins</w:t>
            </w:r>
          </w:p>
        </w:tc>
        <w:tc>
          <w:tcPr>
            <w:tcW w:w="20" w:type="dxa"/>
            <w:vAlign w:val="bottom"/>
          </w:tcPr>
          <w:p>
            <w:pPr>
              <w:spacing w:after="0"/>
              <w:rPr>
                <w:sz w:val="16"/>
                <w:szCs w:val="16"/>
                <w:color w:val="auto"/>
              </w:rPr>
            </w:pPr>
          </w:p>
        </w:tc>
      </w:tr>
      <w:tr>
        <w:trPr>
          <w:trHeight w:val="203"/>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 William Higgins</w:t>
            </w:r>
          </w:p>
        </w:tc>
        <w:tc>
          <w:tcPr>
            <w:tcW w:w="20" w:type="dxa"/>
            <w:vAlign w:val="bottom"/>
          </w:tcPr>
          <w:p>
            <w:pPr>
              <w:spacing w:after="0"/>
              <w:rPr>
                <w:sz w:val="17"/>
                <w:szCs w:val="17"/>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President and Chief Executive Officer</w:t>
            </w:r>
          </w:p>
        </w:tc>
        <w:tc>
          <w:tcPr>
            <w:tcW w:w="2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20" w:type="dxa"/>
            <w:vAlign w:val="bottom"/>
          </w:tcPr>
          <w:p>
            <w:pPr>
              <w:spacing w:after="0"/>
              <w:rPr>
                <w:sz w:val="18"/>
                <w:szCs w:val="18"/>
                <w:color w:val="auto"/>
              </w:rPr>
            </w:pPr>
          </w:p>
        </w:tc>
      </w:tr>
      <w:tr>
        <w:trPr>
          <w:trHeight w:val="222"/>
        </w:trPr>
        <w:tc>
          <w:tcPr>
            <w:tcW w:w="3540" w:type="dxa"/>
            <w:vAlign w:val="bottom"/>
            <w:tcBorders>
              <w:bottom w:val="single" w:sz="8" w:color="EEEEEE"/>
            </w:tcBorders>
          </w:tcPr>
          <w:p>
            <w:pPr>
              <w:spacing w:after="0"/>
              <w:rPr>
                <w:sz w:val="19"/>
                <w:szCs w:val="19"/>
                <w:color w:val="auto"/>
              </w:rPr>
            </w:pPr>
          </w:p>
        </w:tc>
        <w:tc>
          <w:tcPr>
            <w:tcW w:w="2420" w:type="dxa"/>
            <w:vAlign w:val="bottom"/>
            <w:tcBorders>
              <w:bottom w:val="single" w:sz="8" w:color="EEEEEE"/>
            </w:tcBorders>
          </w:tcPr>
          <w:p>
            <w:pPr>
              <w:spacing w:after="0"/>
              <w:rPr>
                <w:sz w:val="19"/>
                <w:szCs w:val="19"/>
                <w:color w:val="auto"/>
              </w:rPr>
            </w:pPr>
          </w:p>
        </w:tc>
        <w:tc>
          <w:tcPr>
            <w:tcW w:w="528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r>
      <w:tr>
        <w:trPr>
          <w:trHeight w:val="155"/>
        </w:trPr>
        <w:tc>
          <w:tcPr>
            <w:tcW w:w="3540" w:type="dxa"/>
            <w:vAlign w:val="bottom"/>
            <w:tcBorders>
              <w:bottom w:val="single" w:sz="8" w:color="EEEEEE"/>
            </w:tcBorders>
          </w:tcPr>
          <w:p>
            <w:pPr>
              <w:spacing w:after="0"/>
              <w:rPr>
                <w:sz w:val="13"/>
                <w:szCs w:val="13"/>
                <w:color w:val="auto"/>
              </w:rPr>
            </w:pPr>
          </w:p>
        </w:tc>
        <w:tc>
          <w:tcPr>
            <w:tcW w:w="2420" w:type="dxa"/>
            <w:vAlign w:val="bottom"/>
            <w:tcBorders>
              <w:bottom w:val="single" w:sz="8" w:color="EEEEEE"/>
            </w:tcBorders>
          </w:tcPr>
          <w:p>
            <w:pPr>
              <w:spacing w:after="0"/>
              <w:rPr>
                <w:sz w:val="13"/>
                <w:szCs w:val="13"/>
                <w:color w:val="auto"/>
              </w:rPr>
            </w:pPr>
          </w:p>
        </w:tc>
        <w:tc>
          <w:tcPr>
            <w:tcW w:w="528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49465"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t>EXHIBIT (31.2)</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jc w:val="center"/>
        <w:ind w:right="20"/>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20"/>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6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49" w:lineRule="exact"/>
        <w:rPr>
          <w:rFonts w:ascii="Arial" w:cs="Arial" w:eastAsia="Arial" w:hAnsi="Arial"/>
          <w:sz w:val="18"/>
          <w:szCs w:val="18"/>
          <w:color w:val="auto"/>
        </w:rPr>
      </w:pPr>
    </w:p>
    <w:p>
      <w:pPr>
        <w:jc w:val="both"/>
        <w:ind w:left="340" w:right="2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Arial" w:cs="Arial" w:eastAsia="Arial" w:hAnsi="Arial"/>
          <w:sz w:val="18"/>
          <w:szCs w:val="18"/>
          <w:color w:val="auto"/>
        </w:rPr>
      </w:pPr>
    </w:p>
    <w:p>
      <w:pPr>
        <w:ind w:left="340" w:right="20" w:hanging="332"/>
        <w:spacing w:after="0" w:line="24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340" w:right="2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Arial" w:cs="Arial" w:eastAsia="Arial" w:hAnsi="Arial"/>
          <w:sz w:val="18"/>
          <w:szCs w:val="18"/>
          <w:color w:val="auto"/>
        </w:rPr>
      </w:pPr>
    </w:p>
    <w:p>
      <w:pPr>
        <w:jc w:val="both"/>
        <w:ind w:left="700" w:right="20" w:hanging="368"/>
        <w:spacing w:after="0"/>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8"/>
          <w:szCs w:val="18"/>
          <w:color w:val="auto"/>
        </w:rPr>
      </w:pPr>
    </w:p>
    <w:p>
      <w:pPr>
        <w:jc w:val="both"/>
        <w:ind w:left="700" w:right="20" w:hanging="368"/>
        <w:spacing w:after="0"/>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700" w:right="20" w:hanging="368"/>
        <w:spacing w:after="0"/>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Arial" w:cs="Arial" w:eastAsia="Arial" w:hAnsi="Arial"/>
          <w:sz w:val="18"/>
          <w:szCs w:val="18"/>
          <w:color w:val="auto"/>
        </w:rPr>
      </w:pPr>
    </w:p>
    <w:p>
      <w:pPr>
        <w:jc w:val="both"/>
        <w:ind w:left="700" w:right="20" w:hanging="368"/>
        <w:spacing w:after="0"/>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8"/>
          <w:szCs w:val="18"/>
          <w:color w:val="auto"/>
        </w:rPr>
      </w:pPr>
    </w:p>
    <w:p>
      <w:pPr>
        <w:jc w:val="both"/>
        <w:ind w:left="340" w:right="2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700" w:right="40" w:hanging="368"/>
        <w:spacing w:after="0" w:line="246" w:lineRule="auto"/>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8"/>
          <w:szCs w:val="18"/>
          <w:color w:val="auto"/>
        </w:rPr>
      </w:pPr>
    </w:p>
    <w:p>
      <w:pPr>
        <w:ind w:left="700" w:right="20" w:hanging="368"/>
        <w:spacing w:after="0" w:line="246" w:lineRule="auto"/>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20"/>
                <w:szCs w:val="20"/>
                <w:color w:val="auto"/>
              </w:rPr>
            </w:pPr>
            <w:r>
              <w:rPr>
                <w:rFonts w:ascii="Arial" w:cs="Arial" w:eastAsia="Arial" w:hAnsi="Arial"/>
                <w:sz w:val="16"/>
                <w:szCs w:val="16"/>
                <w:color w:val="auto"/>
              </w:rPr>
              <w:t>Date: April 30, 2020</w:t>
            </w:r>
          </w:p>
        </w:tc>
        <w:tc>
          <w:tcPr>
            <w:tcW w:w="7700" w:type="dxa"/>
            <w:vAlign w:val="bottom"/>
            <w:gridSpan w:val="2"/>
          </w:tcPr>
          <w:p>
            <w:pPr>
              <w:ind w:left="2100"/>
              <w:spacing w:after="0"/>
              <w:rPr>
                <w:sz w:val="20"/>
                <w:szCs w:val="20"/>
                <w:color w:val="auto"/>
              </w:rPr>
            </w:pPr>
            <w:r>
              <w:rPr>
                <w:rFonts w:ascii="Arial" w:cs="Arial" w:eastAsia="Arial" w:hAnsi="Arial"/>
                <w:sz w:val="16"/>
                <w:szCs w:val="16"/>
                <w:color w:val="auto"/>
              </w:rPr>
              <w:t>By  /s/ Stephen M. Nolan</w:t>
            </w:r>
          </w:p>
        </w:tc>
        <w:tc>
          <w:tcPr>
            <w:tcW w:w="20" w:type="dxa"/>
            <w:vAlign w:val="bottom"/>
          </w:tcPr>
          <w:p>
            <w:pPr>
              <w:spacing w:after="0"/>
              <w:rPr>
                <w:sz w:val="16"/>
                <w:szCs w:val="16"/>
                <w:color w:val="auto"/>
              </w:rPr>
            </w:pPr>
          </w:p>
        </w:tc>
      </w:tr>
      <w:tr>
        <w:trPr>
          <w:trHeight w:val="204"/>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Stephen M. Nolan</w:t>
            </w:r>
          </w:p>
        </w:tc>
        <w:tc>
          <w:tcPr>
            <w:tcW w:w="20" w:type="dxa"/>
            <w:vAlign w:val="bottom"/>
          </w:tcPr>
          <w:p>
            <w:pPr>
              <w:spacing w:after="0"/>
              <w:rPr>
                <w:sz w:val="17"/>
                <w:szCs w:val="17"/>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Chief Financial Officer and Treasurer</w:t>
            </w:r>
          </w:p>
        </w:tc>
        <w:tc>
          <w:tcPr>
            <w:tcW w:w="2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(Principal Financial Officer)</w:t>
            </w:r>
          </w:p>
        </w:tc>
        <w:tc>
          <w:tcPr>
            <w:tcW w:w="20" w:type="dxa"/>
            <w:vAlign w:val="bottom"/>
          </w:tcPr>
          <w:p>
            <w:pPr>
              <w:spacing w:after="0"/>
              <w:rPr>
                <w:sz w:val="18"/>
                <w:szCs w:val="18"/>
                <w:color w:val="auto"/>
              </w:rPr>
            </w:pPr>
          </w:p>
        </w:tc>
      </w:tr>
      <w:tr>
        <w:trPr>
          <w:trHeight w:val="222"/>
        </w:trPr>
        <w:tc>
          <w:tcPr>
            <w:tcW w:w="3540" w:type="dxa"/>
            <w:vAlign w:val="bottom"/>
            <w:tcBorders>
              <w:bottom w:val="single" w:sz="8" w:color="EEEEEE"/>
            </w:tcBorders>
          </w:tcPr>
          <w:p>
            <w:pPr>
              <w:spacing w:after="0"/>
              <w:rPr>
                <w:sz w:val="19"/>
                <w:szCs w:val="19"/>
                <w:color w:val="auto"/>
              </w:rPr>
            </w:pPr>
          </w:p>
        </w:tc>
        <w:tc>
          <w:tcPr>
            <w:tcW w:w="2420" w:type="dxa"/>
            <w:vAlign w:val="bottom"/>
            <w:tcBorders>
              <w:bottom w:val="single" w:sz="8" w:color="EEEEEE"/>
            </w:tcBorders>
          </w:tcPr>
          <w:p>
            <w:pPr>
              <w:spacing w:after="0"/>
              <w:rPr>
                <w:sz w:val="19"/>
                <w:szCs w:val="19"/>
                <w:color w:val="auto"/>
              </w:rPr>
            </w:pPr>
          </w:p>
        </w:tc>
        <w:tc>
          <w:tcPr>
            <w:tcW w:w="528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r>
      <w:tr>
        <w:trPr>
          <w:trHeight w:val="155"/>
        </w:trPr>
        <w:tc>
          <w:tcPr>
            <w:tcW w:w="3540" w:type="dxa"/>
            <w:vAlign w:val="bottom"/>
            <w:tcBorders>
              <w:bottom w:val="single" w:sz="8" w:color="EEEEEE"/>
            </w:tcBorders>
          </w:tcPr>
          <w:p>
            <w:pPr>
              <w:spacing w:after="0"/>
              <w:rPr>
                <w:sz w:val="13"/>
                <w:szCs w:val="13"/>
                <w:color w:val="auto"/>
              </w:rPr>
            </w:pPr>
          </w:p>
        </w:tc>
        <w:tc>
          <w:tcPr>
            <w:tcW w:w="2420" w:type="dxa"/>
            <w:vAlign w:val="bottom"/>
            <w:tcBorders>
              <w:bottom w:val="single" w:sz="8" w:color="EEEEEE"/>
            </w:tcBorders>
          </w:tcPr>
          <w:p>
            <w:pPr>
              <w:spacing w:after="0"/>
              <w:rPr>
                <w:sz w:val="13"/>
                <w:szCs w:val="13"/>
                <w:color w:val="auto"/>
              </w:rPr>
            </w:pPr>
          </w:p>
        </w:tc>
        <w:tc>
          <w:tcPr>
            <w:tcW w:w="528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49465"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t>EXHIBIT (32.1)</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jc w:val="center"/>
        <w:ind w:right="-1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March 31, 2020, as filed with the Securities and Exchange Commission on the date hereof (the Report), A. William Higgins, President and Chief Executive Officer, and Stephen M. Nolan, Chief Financial Officer and Treasurer of the Company, certify, pursuant to 18 U.S.C. § 1350, as adopted pursuant to § 906 of the Sarbanes-Oxley Act of 2002, that:</w:t>
      </w:r>
    </w:p>
    <w:p>
      <w:pPr>
        <w:spacing w:after="0" w:line="56"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49" w:lineRule="exact"/>
        <w:rPr>
          <w:rFonts w:ascii="Arial" w:cs="Arial" w:eastAsia="Arial" w:hAnsi="Arial"/>
          <w:sz w:val="18"/>
          <w:szCs w:val="18"/>
          <w:color w:val="auto"/>
        </w:rPr>
      </w:pPr>
    </w:p>
    <w:p>
      <w:pPr>
        <w:ind w:left="360" w:hanging="352"/>
        <w:spacing w:after="0" w:line="246"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color w:val="auto"/>
        </w:rPr>
        <w:t>Dated: April 30, 2020</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5080</wp:posOffset>
            </wp:positionV>
            <wp:extent cx="2846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 William Higgins</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(Principal Executive Officer)</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Stephen M. Nolan</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Chief Financial Officer and Treasurer</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t>EXHIBIT (99.1)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March 31, 2020</w:t>
      </w:r>
    </w:p>
    <w:p>
      <w:pPr>
        <w:spacing w:after="0" w:line="1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6"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$553.8 million. The potential loss in fair value resulting from a hypothetical 10% adverse change in quoted foreign currency exchange rates amounts to $55.4 million. Furthermore, related to foreign currency transactions, we have exposure to various nonfunctional currency balances totaling $72.6 million. This amount includes, on an absolute basis, exposures to assets and liabilities held in currencies other than our local entity’s functional currency. On a net basis, we had $30.4 million of foreign currency liabilities as of March 31, 2020. As currency rates change, these nonfunctional currency balances are revalued, and the corresponding adjustment is recorded in the income statement. A hypothetical change of 10% in currency rates could result in an adjustment to the income statement of approximately $3.0 million. Actual results may differ.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31, 2020, we had the following variable rate debt:</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-113030</wp:posOffset>
            </wp:positionV>
            <wp:extent cx="58807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3"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76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Long-term debt</w:t>
            </w:r>
          </w:p>
        </w:tc>
        <w:tc>
          <w:tcPr>
            <w:tcW w:w="1580" w:type="dxa"/>
            <w:vAlign w:val="bottom"/>
            <w:tcBorders>
              <w:top w:val="single" w:sz="8" w:color="auto"/>
            </w:tcBorders>
          </w:tcPr>
          <w:p>
            <w:pPr>
              <w:spacing w:after="0"/>
              <w:rPr>
                <w:sz w:val="16"/>
                <w:szCs w:val="16"/>
                <w:color w:val="auto"/>
              </w:rPr>
            </w:pPr>
          </w:p>
        </w:tc>
      </w:tr>
      <w:tr>
        <w:trPr>
          <w:trHeight w:val="189"/>
        </w:trPr>
        <w:tc>
          <w:tcPr>
            <w:tcW w:w="7680" w:type="dxa"/>
            <w:vAlign w:val="bottom"/>
          </w:tcPr>
          <w:p>
            <w:pPr>
              <w:spacing w:after="0"/>
              <w:rPr>
                <w:sz w:val="20"/>
                <w:szCs w:val="20"/>
                <w:color w:val="auto"/>
              </w:rPr>
            </w:pPr>
            <w:r>
              <w:rPr>
                <w:rFonts w:ascii="Arial" w:cs="Arial" w:eastAsia="Arial" w:hAnsi="Arial"/>
                <w:sz w:val="16"/>
                <w:szCs w:val="16"/>
                <w:color w:val="auto"/>
              </w:rPr>
              <w:t>Credit agreement with borrowings outstanding, net of fixed rate portion, at an end of period interest rate</w:t>
            </w:r>
          </w:p>
        </w:tc>
        <w:tc>
          <w:tcPr>
            <w:tcW w:w="1580" w:type="dxa"/>
            <w:vAlign w:val="bottom"/>
          </w:tcPr>
          <w:p>
            <w:pPr>
              <w:spacing w:after="0"/>
              <w:rPr>
                <w:sz w:val="16"/>
                <w:szCs w:val="16"/>
                <w:color w:val="auto"/>
              </w:rPr>
            </w:pPr>
          </w:p>
        </w:tc>
      </w:tr>
      <w:tr>
        <w:trPr>
          <w:trHeight w:val="195"/>
        </w:trPr>
        <w:tc>
          <w:tcPr>
            <w:tcW w:w="7680" w:type="dxa"/>
            <w:vAlign w:val="bottom"/>
          </w:tcPr>
          <w:p>
            <w:pPr>
              <w:ind w:left="100"/>
              <w:spacing w:after="0"/>
              <w:rPr>
                <w:sz w:val="20"/>
                <w:szCs w:val="20"/>
                <w:color w:val="auto"/>
              </w:rPr>
            </w:pPr>
            <w:r>
              <w:rPr>
                <w:rFonts w:ascii="Arial" w:cs="Arial" w:eastAsia="Arial" w:hAnsi="Arial"/>
                <w:sz w:val="16"/>
                <w:szCs w:val="16"/>
                <w:color w:val="auto"/>
              </w:rPr>
              <w:t>of 2.318% in 2020, due in 2022</w:t>
            </w:r>
          </w:p>
        </w:tc>
        <w:tc>
          <w:tcPr>
            <w:tcW w:w="1580" w:type="dxa"/>
            <w:vAlign w:val="bottom"/>
          </w:tcPr>
          <w:p>
            <w:pPr>
              <w:jc w:val="right"/>
              <w:ind w:right="519"/>
              <w:spacing w:after="0"/>
              <w:rPr>
                <w:sz w:val="20"/>
                <w:szCs w:val="20"/>
                <w:color w:val="auto"/>
              </w:rPr>
            </w:pPr>
            <w:r>
              <w:rPr>
                <w:rFonts w:ascii="Arial" w:cs="Arial" w:eastAsia="Arial" w:hAnsi="Arial"/>
                <w:sz w:val="16"/>
                <w:szCs w:val="16"/>
                <w:color w:val="auto"/>
              </w:rPr>
              <w:t>$141,000</w:t>
            </w:r>
          </w:p>
        </w:tc>
      </w:tr>
      <w:tr>
        <w:trPr>
          <w:trHeight w:val="154"/>
        </w:trPr>
        <w:tc>
          <w:tcPr>
            <w:tcW w:w="76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r>
      <w:tr>
        <w:trPr>
          <w:trHeight w:val="345"/>
        </w:trPr>
        <w:tc>
          <w:tcPr>
            <w:tcW w:w="7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$141,000</w:t>
            </w:r>
          </w:p>
        </w:tc>
      </w:tr>
    </w:tbl>
    <w:p>
      <w:pPr>
        <w:spacing w:after="0" w:line="20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$1.4 million. To manage interest rate risk, we may periodically enter into interest rate swap agreements to effectively fix the interest rates on variable debt to a specific rate for a period of time. (See Note 15 to the Consolidated Financial Statements in Item 1,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decimal"/>
      <w:start w:val="17"/>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lvl w:ilvl="1">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2020-04-30T12:43:11Z</dcterms:created>
  <dcterms:modified xsi:type="dcterms:W3CDTF">2020-04-30T12:43:11Z</dcterms:modified>
</cp:coreProperties>
</file>