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640" w:right="1920" w:hanging="3632"/>
        <w:spacing w:after="0" w:line="498" w:lineRule="auto"/>
        <w:tabs>
          <w:tab w:leader="none" w:pos="2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2014</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The registrant had 28.6 million shares of Class A Common Stock and 3.3 million shares of Class B Common Stock outstanding as of October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gridSpan w:val="2"/>
          </w:tcPr>
          <w:p>
            <w:pPr>
              <w:spacing w:after="0" w:line="202" w:lineRule="exact"/>
              <w:rPr>
                <w:sz w:val="20"/>
                <w:szCs w:val="20"/>
                <w:color w:val="auto"/>
              </w:rPr>
            </w:pPr>
            <w:r>
              <w:rPr>
                <w:rFonts w:ascii="Arial" w:cs="Arial" w:eastAsia="Arial" w:hAnsi="Arial"/>
                <w:sz w:val="18"/>
                <w:szCs w:val="18"/>
                <w:color w:val="auto"/>
              </w:rPr>
              <w:t>Page</w:t>
            </w:r>
          </w:p>
        </w:tc>
      </w:tr>
      <w:tr>
        <w:trPr>
          <w:trHeight w:val="217"/>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No.</w:t>
            </w:r>
          </w:p>
        </w:tc>
      </w:tr>
      <w:tr>
        <w:trPr>
          <w:trHeight w:val="426"/>
        </w:trPr>
        <w:tc>
          <w:tcPr>
            <w:tcW w:w="10340" w:type="dxa"/>
            <w:vAlign w:val="bottom"/>
            <w:gridSpan w:val="21"/>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Item 1. Financial Statements</w:t>
            </w:r>
          </w:p>
        </w:tc>
        <w:tc>
          <w:tcPr>
            <w:tcW w:w="764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18"/>
          </w:tcPr>
          <w:p>
            <w:pPr>
              <w:spacing w:after="0" w:line="196" w:lineRule="exact"/>
              <w:rPr>
                <w:sz w:val="20"/>
                <w:szCs w:val="20"/>
                <w:color w:val="auto"/>
              </w:rPr>
            </w:pPr>
            <w:r>
              <w:rPr>
                <w:rFonts w:ascii="Arial" w:cs="Arial" w:eastAsia="Arial" w:hAnsi="Arial"/>
                <w:sz w:val="18"/>
                <w:szCs w:val="18"/>
                <w:color w:val="auto"/>
              </w:rPr>
              <w:t>Consolidated statements of income– three and nine months ended September 30, 2014 and 2013</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3</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9"/>
              </w:rPr>
              <w:t>Consolidated statements of comprehensive income– three and nine months ended September 30, 2014 and 2013</w:t>
            </w:r>
          </w:p>
        </w:tc>
        <w:tc>
          <w:tcPr>
            <w:tcW w:w="740" w:type="dxa"/>
            <w:vAlign w:val="bottom"/>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18"/>
          </w:tcPr>
          <w:p>
            <w:pPr>
              <w:spacing w:after="0" w:line="196" w:lineRule="exact"/>
              <w:rPr>
                <w:sz w:val="20"/>
                <w:szCs w:val="20"/>
                <w:color w:val="auto"/>
              </w:rPr>
            </w:pPr>
            <w:r>
              <w:rPr>
                <w:rFonts w:ascii="Arial" w:cs="Arial" w:eastAsia="Arial" w:hAnsi="Arial"/>
                <w:sz w:val="18"/>
                <w:szCs w:val="18"/>
                <w:color w:val="auto"/>
              </w:rPr>
              <w:t>Consolidated balance sheets – September 30, 2014 and December 31, 2013</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5</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9"/>
              </w:rPr>
              <w:t>Consolidated statements of cash flows – three and nine months ended September 30, 2014 and 2013</w:t>
            </w:r>
          </w:p>
        </w:tc>
        <w:tc>
          <w:tcPr>
            <w:tcW w:w="1700" w:type="dxa"/>
            <w:vAlign w:val="bottom"/>
            <w:gridSpan w:val="2"/>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6</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9"/>
              </w:rPr>
              <w:t>Notes to consolidated financial statements</w:t>
            </w:r>
          </w:p>
        </w:tc>
        <w:tc>
          <w:tcPr>
            <w:tcW w:w="6420" w:type="dxa"/>
            <w:vAlign w:val="bottom"/>
            <w:gridSpan w:val="8"/>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7</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18"/>
          </w:tcPr>
          <w:p>
            <w:pPr>
              <w:spacing w:after="0" w:line="196" w:lineRule="exact"/>
              <w:rPr>
                <w:sz w:val="20"/>
                <w:szCs w:val="20"/>
                <w:color w:val="auto"/>
              </w:rPr>
            </w:pPr>
            <w:r>
              <w:rPr>
                <w:rFonts w:ascii="Arial" w:cs="Arial" w:eastAsia="Arial" w:hAnsi="Arial"/>
                <w:sz w:val="18"/>
                <w:szCs w:val="18"/>
                <w:color w:val="auto"/>
              </w:rPr>
              <w:t>Forward-looking statements</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25</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9"/>
              </w:rPr>
              <w:t>Item 2. Management’s Discussion and Analysis of Financial Condition and Results of Operations</w:t>
            </w:r>
          </w:p>
        </w:tc>
        <w:tc>
          <w:tcPr>
            <w:tcW w:w="2240" w:type="dxa"/>
            <w:vAlign w:val="bottom"/>
            <w:gridSpan w:val="4"/>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Arial" w:cs="Arial" w:eastAsia="Arial" w:hAnsi="Arial"/>
                <w:sz w:val="18"/>
                <w:szCs w:val="18"/>
                <w:color w:val="auto"/>
              </w:rPr>
              <w:t>Item 3. Quantitative and Qualitative Disclosures about Market Risk</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9"/>
              </w:rPr>
              <w:t>Item 4. Controls and Procedures</w:t>
            </w:r>
          </w:p>
        </w:tc>
        <w:tc>
          <w:tcPr>
            <w:tcW w:w="2680" w:type="dxa"/>
            <w:vAlign w:val="bottom"/>
            <w:tcBorders>
              <w:top w:val="single" w:sz="8" w:color="auto"/>
            </w:tcBorders>
            <w:gridSpan w:val="3"/>
          </w:tcPr>
          <w:p>
            <w:pPr>
              <w:spacing w:after="0"/>
              <w:rPr>
                <w:sz w:val="17"/>
                <w:szCs w:val="17"/>
                <w:color w:val="auto"/>
              </w:rPr>
            </w:pPr>
          </w:p>
        </w:tc>
        <w:tc>
          <w:tcPr>
            <w:tcW w:w="4640" w:type="dxa"/>
            <w:vAlign w:val="bottom"/>
            <w:gridSpan w:val="7"/>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41</w:t>
            </w:r>
          </w:p>
        </w:tc>
      </w:tr>
      <w:tr>
        <w:trPr>
          <w:trHeight w:val="453"/>
        </w:trPr>
        <w:tc>
          <w:tcPr>
            <w:tcW w:w="10340" w:type="dxa"/>
            <w:vAlign w:val="bottom"/>
            <w:gridSpan w:val="21"/>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10340" w:type="dxa"/>
            <w:vAlign w:val="bottom"/>
            <w:gridSpan w:val="21"/>
          </w:tcPr>
          <w:p>
            <w:pPr>
              <w:ind w:left="400"/>
              <w:spacing w:after="0"/>
              <w:rPr>
                <w:sz w:val="20"/>
                <w:szCs w:val="20"/>
                <w:color w:val="auto"/>
              </w:rPr>
            </w:pPr>
            <w:r>
              <w:rPr>
                <w:rFonts w:ascii="Arial" w:cs="Arial" w:eastAsia="Arial" w:hAnsi="Arial"/>
                <w:sz w:val="18"/>
                <w:szCs w:val="18"/>
                <w:color w:val="auto"/>
              </w:rPr>
              <w:t>Item 1. Legal Proceedings</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41</w:t>
            </w:r>
          </w:p>
        </w:tc>
      </w:tr>
      <w:tr>
        <w:trPr>
          <w:trHeight w:val="196"/>
        </w:trPr>
        <w:tc>
          <w:tcPr>
            <w:tcW w:w="4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8"/>
              </w:rPr>
              <w:t>Item 1A. Risk Factors</w:t>
            </w:r>
          </w:p>
        </w:tc>
        <w:tc>
          <w:tcPr>
            <w:tcW w:w="340" w:type="dxa"/>
            <w:vAlign w:val="bottom"/>
            <w:tcBorders>
              <w:top w:val="single" w:sz="8" w:color="auto"/>
            </w:tcBorders>
            <w:gridSpan w:val="2"/>
          </w:tcPr>
          <w:p>
            <w:pPr>
              <w:spacing w:after="0"/>
              <w:rPr>
                <w:sz w:val="17"/>
                <w:szCs w:val="17"/>
                <w:color w:val="auto"/>
              </w:rPr>
            </w:pPr>
          </w:p>
        </w:tc>
        <w:tc>
          <w:tcPr>
            <w:tcW w:w="7860" w:type="dxa"/>
            <w:vAlign w:val="bottom"/>
            <w:gridSpan w:val="14"/>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Arial" w:cs="Arial" w:eastAsia="Arial" w:hAnsi="Arial"/>
                <w:sz w:val="18"/>
                <w:szCs w:val="18"/>
                <w:color w:val="auto"/>
              </w:rPr>
              <w:t>Item 2. Unregistered Sales of Equity Securities and Use of Proceeds</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9"/>
              </w:rPr>
              <w:t>Item 3. Defaults upon Senior Securities</w:t>
            </w:r>
          </w:p>
        </w:tc>
        <w:tc>
          <w:tcPr>
            <w:tcW w:w="2320" w:type="dxa"/>
            <w:vAlign w:val="bottom"/>
            <w:tcBorders>
              <w:top w:val="single" w:sz="8" w:color="auto"/>
            </w:tcBorders>
            <w:gridSpan w:val="3"/>
          </w:tcPr>
          <w:p>
            <w:pPr>
              <w:spacing w:after="0"/>
              <w:rPr>
                <w:sz w:val="17"/>
                <w:szCs w:val="17"/>
                <w:color w:val="auto"/>
              </w:rPr>
            </w:pPr>
          </w:p>
        </w:tc>
        <w:tc>
          <w:tcPr>
            <w:tcW w:w="4480" w:type="dxa"/>
            <w:vAlign w:val="bottom"/>
            <w:gridSpan w:val="6"/>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rPr>
              <w:t>Item 4. Mine Safety Disclosures</w:t>
            </w:r>
          </w:p>
        </w:tc>
        <w:tc>
          <w:tcPr>
            <w:tcW w:w="7340" w:type="dxa"/>
            <w:vAlign w:val="bottom"/>
            <w:gridSpan w:val="11"/>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Item 5. Other Information</w:t>
            </w:r>
          </w:p>
        </w:tc>
        <w:tc>
          <w:tcPr>
            <w:tcW w:w="7920" w:type="dxa"/>
            <w:vAlign w:val="bottom"/>
            <w:gridSpan w:val="15"/>
          </w:tcPr>
          <w:p>
            <w:pPr>
              <w:spacing w:after="0"/>
              <w:rPr>
                <w:sz w:val="17"/>
                <w:szCs w:val="17"/>
                <w:color w:val="auto"/>
              </w:rPr>
            </w:pP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Arial" w:cs="Arial" w:eastAsia="Arial" w:hAnsi="Arial"/>
                <w:sz w:val="18"/>
                <w:szCs w:val="18"/>
                <w:color w:val="auto"/>
              </w:rPr>
              <w:t>Item 6. Exhibits</w:t>
            </w:r>
          </w:p>
        </w:tc>
        <w:tc>
          <w:tcPr>
            <w:tcW w:w="108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42</w:t>
            </w:r>
          </w:p>
        </w:tc>
      </w:tr>
      <w:tr>
        <w:trPr>
          <w:trHeight w:val="379"/>
        </w:trPr>
        <w:tc>
          <w:tcPr>
            <w:tcW w:w="420" w:type="dxa"/>
            <w:vAlign w:val="bottom"/>
            <w:tcBorders>
              <w:bottom w:val="single" w:sz="8" w:color="auto"/>
            </w:tcBorders>
            <w:gridSpan w:val="2"/>
          </w:tcPr>
          <w:p>
            <w:pPr>
              <w:spacing w:after="0"/>
              <w:rPr>
                <w:sz w:val="24"/>
                <w:szCs w:val="24"/>
                <w:color w:val="auto"/>
              </w:rPr>
            </w:pPr>
          </w:p>
        </w:tc>
        <w:tc>
          <w:tcPr>
            <w:tcW w:w="1220" w:type="dxa"/>
            <w:vAlign w:val="bottom"/>
            <w:tcBorders>
              <w:top w:val="single" w:sz="8" w:color="auto"/>
              <w:bottom w:val="single" w:sz="8" w:color="auto"/>
            </w:tcBorders>
            <w:gridSpan w:val="2"/>
          </w:tcPr>
          <w:p>
            <w:pPr>
              <w:spacing w:after="0"/>
              <w:rPr>
                <w:sz w:val="24"/>
                <w:szCs w:val="24"/>
                <w:color w:val="auto"/>
              </w:rPr>
            </w:pPr>
          </w:p>
        </w:tc>
        <w:tc>
          <w:tcPr>
            <w:tcW w:w="422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17"/>
                <w:szCs w:val="17"/>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9"/>
              </w:rPr>
              <w:t>Nine Months Ended</w:t>
            </w:r>
          </w:p>
        </w:tc>
      </w:tr>
      <w:tr>
        <w:trPr>
          <w:trHeight w:val="203"/>
        </w:trPr>
        <w:tc>
          <w:tcPr>
            <w:tcW w:w="2180" w:type="dxa"/>
            <w:vAlign w:val="bottom"/>
            <w:gridSpan w:val="3"/>
          </w:tcPr>
          <w:p>
            <w:pPr>
              <w:jc w:val="center"/>
              <w:ind w:left="870"/>
              <w:spacing w:after="0" w:line="202" w:lineRule="exact"/>
              <w:rPr>
                <w:sz w:val="20"/>
                <w:szCs w:val="20"/>
                <w:color w:val="auto"/>
              </w:rPr>
            </w:pPr>
            <w:r>
              <w:rPr>
                <w:rFonts w:ascii="Arial" w:cs="Arial" w:eastAsia="Arial" w:hAnsi="Arial"/>
                <w:sz w:val="18"/>
                <w:szCs w:val="18"/>
                <w:color w:val="auto"/>
                <w:w w:val="99"/>
              </w:rPr>
              <w:t>September 30,</w:t>
            </w: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140" w:type="dxa"/>
            <w:vAlign w:val="bottom"/>
            <w:gridSpan w:val="3"/>
          </w:tcPr>
          <w:p>
            <w:pPr>
              <w:jc w:val="center"/>
              <w:ind w:left="830"/>
              <w:spacing w:after="0" w:line="202" w:lineRule="exact"/>
              <w:rPr>
                <w:sz w:val="20"/>
                <w:szCs w:val="20"/>
                <w:color w:val="auto"/>
              </w:rPr>
            </w:pPr>
            <w:r>
              <w:rPr>
                <w:rFonts w:ascii="Arial" w:cs="Arial" w:eastAsia="Arial" w:hAnsi="Arial"/>
                <w:sz w:val="18"/>
                <w:szCs w:val="18"/>
                <w:color w:val="auto"/>
                <w:w w:val="99"/>
              </w:rPr>
              <w:t>September 30,</w:t>
            </w:r>
          </w:p>
        </w:tc>
        <w:tc>
          <w:tcPr>
            <w:tcW w:w="900" w:type="dxa"/>
            <w:vAlign w:val="bottom"/>
          </w:tcPr>
          <w:p>
            <w:pPr>
              <w:spacing w:after="0"/>
              <w:rPr>
                <w:sz w:val="17"/>
                <w:szCs w:val="17"/>
                <w:color w:val="auto"/>
              </w:rPr>
            </w:pPr>
          </w:p>
        </w:tc>
      </w:tr>
      <w:tr>
        <w:trPr>
          <w:trHeight w:val="203"/>
        </w:trPr>
        <w:tc>
          <w:tcPr>
            <w:tcW w:w="13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2014</w:t>
            </w:r>
          </w:p>
        </w:tc>
        <w:tc>
          <w:tcPr>
            <w:tcW w:w="360" w:type="dxa"/>
            <w:vAlign w:val="bottom"/>
            <w:tcBorders>
              <w:bottom w:val="single" w:sz="8" w:color="C0C0C0"/>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2013</w:t>
            </w:r>
          </w:p>
        </w:tc>
        <w:tc>
          <w:tcPr>
            <w:tcW w:w="5260" w:type="dxa"/>
            <w:vAlign w:val="bottom"/>
            <w:tcBorders>
              <w:bottom w:val="single" w:sz="8" w:color="C0C0C0"/>
            </w:tcBorders>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2014</w:t>
            </w:r>
          </w:p>
        </w:tc>
        <w:tc>
          <w:tcPr>
            <w:tcW w:w="320" w:type="dxa"/>
            <w:vAlign w:val="bottom"/>
            <w:tcBorders>
              <w:bottom w:val="single" w:sz="8" w:color="C0C0C0"/>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99"/>
              </w:rPr>
              <w:t>2013</w:t>
            </w:r>
          </w:p>
        </w:tc>
      </w:tr>
      <w:tr>
        <w:trPr>
          <w:trHeight w:val="196"/>
        </w:trPr>
        <w:tc>
          <w:tcPr>
            <w:tcW w:w="1380" w:type="dxa"/>
            <w:vAlign w:val="bottom"/>
            <w:shd w:val="clear" w:color="auto" w:fill="C0C0C0"/>
          </w:tcPr>
          <w:p>
            <w:pPr>
              <w:jc w:val="right"/>
              <w:ind w:right="30"/>
              <w:spacing w:after="0" w:line="196" w:lineRule="exact"/>
              <w:rPr>
                <w:sz w:val="20"/>
                <w:szCs w:val="20"/>
                <w:color w:val="auto"/>
              </w:rPr>
            </w:pPr>
            <w:r>
              <w:rPr>
                <w:rFonts w:ascii="Arial" w:cs="Arial" w:eastAsia="Arial" w:hAnsi="Arial"/>
                <w:sz w:val="18"/>
                <w:szCs w:val="18"/>
                <w:color w:val="auto"/>
              </w:rPr>
              <w:t>$179,861</w:t>
            </w:r>
          </w:p>
        </w:tc>
        <w:tc>
          <w:tcPr>
            <w:tcW w:w="3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30"/>
              <w:spacing w:after="0" w:line="196" w:lineRule="exact"/>
              <w:rPr>
                <w:sz w:val="20"/>
                <w:szCs w:val="20"/>
                <w:color w:val="auto"/>
              </w:rPr>
            </w:pPr>
            <w:r>
              <w:rPr>
                <w:rFonts w:ascii="Arial" w:cs="Arial" w:eastAsia="Arial" w:hAnsi="Arial"/>
                <w:sz w:val="18"/>
                <w:szCs w:val="18"/>
                <w:color w:val="auto"/>
              </w:rPr>
              <w:t>$183,147</w:t>
            </w:r>
          </w:p>
        </w:tc>
        <w:tc>
          <w:tcPr>
            <w:tcW w:w="5260" w:type="dxa"/>
            <w:vAlign w:val="bottom"/>
            <w:shd w:val="clear" w:color="auto" w:fill="C0C0C0"/>
          </w:tcPr>
          <w:p>
            <w:pPr>
              <w:ind w:left="440"/>
              <w:spacing w:after="0" w:line="196" w:lineRule="exact"/>
              <w:rPr>
                <w:sz w:val="20"/>
                <w:szCs w:val="20"/>
                <w:color w:val="auto"/>
              </w:rPr>
            </w:pPr>
            <w:r>
              <w:rPr>
                <w:rFonts w:ascii="Arial" w:cs="Arial" w:eastAsia="Arial" w:hAnsi="Arial"/>
                <w:sz w:val="18"/>
                <w:szCs w:val="18"/>
                <w:color w:val="auto"/>
              </w:rPr>
              <w:t>Net sales</w:t>
            </w:r>
          </w:p>
        </w:tc>
        <w:tc>
          <w:tcPr>
            <w:tcW w:w="1360" w:type="dxa"/>
            <w:vAlign w:val="bottom"/>
            <w:shd w:val="clear" w:color="auto" w:fill="C0C0C0"/>
          </w:tcPr>
          <w:p>
            <w:pPr>
              <w:jc w:val="right"/>
              <w:ind w:right="30"/>
              <w:spacing w:after="0" w:line="196" w:lineRule="exact"/>
              <w:rPr>
                <w:sz w:val="20"/>
                <w:szCs w:val="20"/>
                <w:color w:val="auto"/>
              </w:rPr>
            </w:pPr>
            <w:r>
              <w:rPr>
                <w:rFonts w:ascii="Arial" w:cs="Arial" w:eastAsia="Arial" w:hAnsi="Arial"/>
                <w:sz w:val="18"/>
                <w:szCs w:val="18"/>
                <w:color w:val="auto"/>
              </w:rPr>
              <w:t>$553,686</w:t>
            </w:r>
          </w:p>
        </w:tc>
        <w:tc>
          <w:tcPr>
            <w:tcW w:w="3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10"/>
              <w:spacing w:after="0" w:line="196" w:lineRule="exact"/>
              <w:rPr>
                <w:sz w:val="20"/>
                <w:szCs w:val="20"/>
                <w:color w:val="auto"/>
              </w:rPr>
            </w:pPr>
            <w:r>
              <w:rPr>
                <w:rFonts w:ascii="Arial" w:cs="Arial" w:eastAsia="Arial" w:hAnsi="Arial"/>
                <w:sz w:val="18"/>
                <w:szCs w:val="18"/>
                <w:color w:val="auto"/>
              </w:rPr>
              <w:t>$567,775</w:t>
            </w:r>
          </w:p>
        </w:tc>
      </w:tr>
      <w:tr>
        <w:trPr>
          <w:trHeight w:val="21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111,242</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115,146</w:t>
            </w:r>
          </w:p>
        </w:tc>
        <w:tc>
          <w:tcPr>
            <w:tcW w:w="5260" w:type="dxa"/>
            <w:vAlign w:val="bottom"/>
          </w:tcPr>
          <w:p>
            <w:pPr>
              <w:ind w:left="440"/>
              <w:spacing w:after="0"/>
              <w:rPr>
                <w:sz w:val="20"/>
                <w:szCs w:val="20"/>
                <w:color w:val="auto"/>
              </w:rPr>
            </w:pPr>
            <w:r>
              <w:rPr>
                <w:rFonts w:ascii="Arial" w:cs="Arial" w:eastAsia="Arial" w:hAnsi="Arial"/>
                <w:sz w:val="18"/>
                <w:szCs w:val="18"/>
                <w:color w:val="auto"/>
              </w:rPr>
              <w:t>Cost of goods sold</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334,915</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349,572</w:t>
            </w: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8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68,619</w:t>
            </w:r>
          </w:p>
        </w:tc>
        <w:tc>
          <w:tcPr>
            <w:tcW w:w="36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94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68,001</w:t>
            </w:r>
          </w:p>
        </w:tc>
        <w:tc>
          <w:tcPr>
            <w:tcW w:w="5260" w:type="dxa"/>
            <w:vAlign w:val="bottom"/>
            <w:shd w:val="clear" w:color="auto" w:fill="C0C0C0"/>
          </w:tcPr>
          <w:p>
            <w:pPr>
              <w:ind w:left="440"/>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218,771</w:t>
            </w:r>
          </w:p>
        </w:tc>
        <w:tc>
          <w:tcPr>
            <w:tcW w:w="32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9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218,203</w:t>
            </w: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33,618</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39,143</w:t>
            </w:r>
          </w:p>
        </w:tc>
        <w:tc>
          <w:tcPr>
            <w:tcW w:w="5260" w:type="dxa"/>
            <w:vAlign w:val="bottom"/>
          </w:tcPr>
          <w:p>
            <w:pPr>
              <w:ind w:left="6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112,787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117,690</w:t>
            </w: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580"/>
              <w:spacing w:after="0" w:line="201" w:lineRule="exact"/>
              <w:rPr>
                <w:sz w:val="20"/>
                <w:szCs w:val="20"/>
                <w:color w:val="auto"/>
              </w:rPr>
            </w:pPr>
            <w:r>
              <w:rPr>
                <w:rFonts w:ascii="Arial" w:cs="Arial" w:eastAsia="Arial" w:hAnsi="Arial"/>
                <w:sz w:val="18"/>
                <w:szCs w:val="18"/>
                <w:color w:val="auto"/>
              </w:rPr>
              <w:t>Technical, product engineering, and research</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r>
      <w:tr>
        <w:trPr>
          <w:trHeight w:val="203"/>
        </w:trPr>
        <w:tc>
          <w:tcPr>
            <w:tcW w:w="138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14,924</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13,347</w:t>
            </w:r>
          </w:p>
        </w:tc>
        <w:tc>
          <w:tcPr>
            <w:tcW w:w="5260" w:type="dxa"/>
            <w:vAlign w:val="bottom"/>
            <w:shd w:val="clear" w:color="auto" w:fill="BFBFBF"/>
          </w:tcPr>
          <w:p>
            <w:pPr>
              <w:ind w:left="600"/>
              <w:spacing w:after="0" w:line="203" w:lineRule="exact"/>
              <w:rPr>
                <w:sz w:val="20"/>
                <w:szCs w:val="20"/>
                <w:color w:val="auto"/>
              </w:rPr>
            </w:pPr>
            <w:r>
              <w:rPr>
                <w:rFonts w:ascii="Arial" w:cs="Arial" w:eastAsia="Arial" w:hAnsi="Arial"/>
                <w:sz w:val="18"/>
                <w:szCs w:val="18"/>
                <w:color w:val="auto"/>
              </w:rPr>
              <w:t>expenses</w:t>
            </w:r>
          </w:p>
        </w:tc>
        <w:tc>
          <w:tcPr>
            <w:tcW w:w="136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43,190</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41,040</w:t>
            </w:r>
          </w:p>
        </w:tc>
      </w:tr>
      <w:tr>
        <w:trPr>
          <w:trHeight w:val="21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919</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2,256</w:t>
            </w:r>
          </w:p>
        </w:tc>
        <w:tc>
          <w:tcPr>
            <w:tcW w:w="5260" w:type="dxa"/>
            <w:vAlign w:val="bottom"/>
            <w:tcBorders>
              <w:bottom w:val="single" w:sz="8" w:color="BFBFBF"/>
            </w:tcBorders>
          </w:tcPr>
          <w:p>
            <w:pPr>
              <w:ind w:left="600"/>
              <w:spacing w:after="0"/>
              <w:rPr>
                <w:sz w:val="20"/>
                <w:szCs w:val="20"/>
                <w:color w:val="auto"/>
              </w:rPr>
            </w:pPr>
            <w:r>
              <w:rPr>
                <w:rFonts w:ascii="Arial" w:cs="Arial" w:eastAsia="Arial" w:hAnsi="Arial"/>
                <w:sz w:val="18"/>
                <w:szCs w:val="18"/>
                <w:color w:val="auto"/>
              </w:rPr>
              <w:t>Restructuring and other, net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4,058</w:t>
            </w:r>
          </w:p>
        </w:tc>
        <w:tc>
          <w:tcPr>
            <w:tcW w:w="32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27,213</w:t>
            </w:r>
          </w:p>
        </w:tc>
      </w:tr>
      <w:tr>
        <w:trPr>
          <w:trHeight w:val="196"/>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19,158</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13,255</w:t>
            </w: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Operating income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58,736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32,260</w:t>
            </w: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2,486</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3,484</w:t>
            </w:r>
          </w:p>
        </w:tc>
        <w:tc>
          <w:tcPr>
            <w:tcW w:w="5260" w:type="dxa"/>
            <w:vAlign w:val="bottom"/>
            <w:shd w:val="clear" w:color="auto" w:fill="BFBFBF"/>
          </w:tcPr>
          <w:p>
            <w:pPr>
              <w:ind w:left="600"/>
              <w:spacing w:after="0" w:line="202" w:lineRule="exact"/>
              <w:rPr>
                <w:sz w:val="20"/>
                <w:szCs w:val="20"/>
                <w:color w:val="auto"/>
              </w:rPr>
            </w:pPr>
            <w:r>
              <w:rPr>
                <w:rFonts w:ascii="Arial" w:cs="Arial" w:eastAsia="Arial" w:hAnsi="Arial"/>
                <w:sz w:val="18"/>
                <w:szCs w:val="18"/>
                <w:color w:val="auto"/>
              </w:rPr>
              <w:t>Interest expense, net</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8,121</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11,056</w:t>
            </w:r>
          </w:p>
        </w:tc>
      </w:tr>
      <w:tr>
        <w:trPr>
          <w:trHeight w:val="21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2,692</w:t>
            </w:r>
          </w:p>
        </w:tc>
        <w:tc>
          <w:tcPr>
            <w:tcW w:w="5260" w:type="dxa"/>
            <w:vAlign w:val="bottom"/>
            <w:tcBorders>
              <w:bottom w:val="single" w:sz="8" w:color="BFBFBF"/>
            </w:tcBorders>
          </w:tcPr>
          <w:p>
            <w:pPr>
              <w:ind w:left="600"/>
              <w:spacing w:after="0"/>
              <w:rPr>
                <w:sz w:val="20"/>
                <w:szCs w:val="20"/>
                <w:color w:val="auto"/>
              </w:rPr>
            </w:pPr>
            <w:r>
              <w:rPr>
                <w:rFonts w:ascii="Arial" w:cs="Arial" w:eastAsia="Arial" w:hAnsi="Arial"/>
                <w:sz w:val="18"/>
                <w:szCs w:val="18"/>
                <w:color w:val="auto"/>
              </w:rPr>
              <w:t>Other (income)/expenses,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32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5,637</w:t>
            </w:r>
          </w:p>
        </w:tc>
      </w:tr>
      <w:tr>
        <w:trPr>
          <w:trHeight w:val="196"/>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spacing w:after="0"/>
              <w:rPr>
                <w:sz w:val="17"/>
                <w:szCs w:val="17"/>
                <w:color w:val="auto"/>
              </w:rPr>
            </w:pP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18,536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7,079</w:t>
            </w:r>
          </w:p>
        </w:tc>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55,079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15,567</w:t>
            </w:r>
          </w:p>
        </w:tc>
      </w:tr>
      <w:tr>
        <w:trPr>
          <w:trHeight w:val="216"/>
        </w:trPr>
        <w:tc>
          <w:tcPr>
            <w:tcW w:w="138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6,762</w:t>
            </w:r>
          </w:p>
        </w:tc>
        <w:tc>
          <w:tcPr>
            <w:tcW w:w="360" w:type="dxa"/>
            <w:vAlign w:val="bottom"/>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2,381</w:t>
            </w:r>
          </w:p>
        </w:tc>
        <w:tc>
          <w:tcPr>
            <w:tcW w:w="5260" w:type="dxa"/>
            <w:vAlign w:val="bottom"/>
            <w:shd w:val="clear" w:color="auto" w:fill="BFBFBF"/>
          </w:tcPr>
          <w:p>
            <w:pPr>
              <w:ind w:left="600"/>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21,435</w:t>
            </w:r>
          </w:p>
        </w:tc>
        <w:tc>
          <w:tcPr>
            <w:tcW w:w="320" w:type="dxa"/>
            <w:vAlign w:val="bottom"/>
            <w:shd w:val="clear" w:color="auto" w:fill="BFBFBF"/>
          </w:tcPr>
          <w:p>
            <w:pPr>
              <w:spacing w:after="0"/>
              <w:rPr>
                <w:sz w:val="18"/>
                <w:szCs w:val="18"/>
                <w:color w:val="auto"/>
              </w:rPr>
            </w:pPr>
          </w:p>
        </w:tc>
        <w:tc>
          <w:tcPr>
            <w:tcW w:w="460" w:type="dxa"/>
            <w:vAlign w:val="bottom"/>
            <w:tcBorders>
              <w:bottom w:val="single" w:sz="8" w:color="auto"/>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6,386</w:t>
            </w: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8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11,774</w:t>
            </w:r>
          </w:p>
        </w:tc>
        <w:tc>
          <w:tcPr>
            <w:tcW w:w="360" w:type="dxa"/>
            <w:vAlign w:val="bottom"/>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4,698</w:t>
            </w:r>
          </w:p>
        </w:tc>
        <w:tc>
          <w:tcPr>
            <w:tcW w:w="5260" w:type="dxa"/>
            <w:vAlign w:val="bottom"/>
            <w:shd w:val="clear" w:color="auto" w:fill="BFBFBF"/>
          </w:tcPr>
          <w:p>
            <w:pPr>
              <w:ind w:left="440"/>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33,644</w:t>
            </w:r>
          </w:p>
        </w:tc>
        <w:tc>
          <w:tcPr>
            <w:tcW w:w="320" w:type="dxa"/>
            <w:vAlign w:val="bottom"/>
            <w:shd w:val="clear" w:color="auto" w:fill="BFBFBF"/>
          </w:tcPr>
          <w:p>
            <w:pPr>
              <w:spacing w:after="0"/>
              <w:rPr>
                <w:sz w:val="18"/>
                <w:szCs w:val="18"/>
                <w:color w:val="auto"/>
              </w:rPr>
            </w:pPr>
          </w:p>
        </w:tc>
        <w:tc>
          <w:tcPr>
            <w:tcW w:w="460" w:type="dxa"/>
            <w:vAlign w:val="bottom"/>
            <w:tcBorders>
              <w:bottom w:val="single" w:sz="8" w:color="auto"/>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9,181</w:t>
            </w: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Loss from operations of discontinued business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(575)</w:t>
            </w:r>
          </w:p>
        </w:tc>
      </w:tr>
      <w:tr>
        <w:trPr>
          <w:trHeight w:val="21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BFBFBF"/>
            </w:tcBorders>
          </w:tcPr>
          <w:p>
            <w:pPr>
              <w:ind w:left="600"/>
              <w:spacing w:after="0"/>
              <w:rPr>
                <w:sz w:val="20"/>
                <w:szCs w:val="20"/>
                <w:color w:val="auto"/>
              </w:rPr>
            </w:pPr>
            <w:r>
              <w:rPr>
                <w:rFonts w:ascii="Arial" w:cs="Arial" w:eastAsia="Arial" w:hAnsi="Arial"/>
                <w:sz w:val="18"/>
                <w:szCs w:val="18"/>
                <w:color w:val="auto"/>
              </w:rPr>
              <w:t>Income tax benefit on discontinued operations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BFB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196"/>
        </w:trPr>
        <w:tc>
          <w:tcPr>
            <w:tcW w:w="138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4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440"/>
              <w:spacing w:after="0" w:line="196" w:lineRule="exact"/>
              <w:rPr>
                <w:sz w:val="20"/>
                <w:szCs w:val="20"/>
                <w:color w:val="auto"/>
              </w:rPr>
            </w:pPr>
            <w:r>
              <w:rPr>
                <w:rFonts w:ascii="Arial" w:cs="Arial" w:eastAsia="Arial" w:hAnsi="Arial"/>
                <w:sz w:val="18"/>
                <w:szCs w:val="18"/>
                <w:color w:val="auto"/>
              </w:rPr>
              <w:t>Loss from discontinued operations</w:t>
            </w:r>
          </w:p>
        </w:tc>
        <w:tc>
          <w:tcPr>
            <w:tcW w:w="136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60" w:type="dxa"/>
            <w:vAlign w:val="bottom"/>
            <w:tcBorders>
              <w:bottom w:val="single" w:sz="8" w:color="auto"/>
            </w:tcBorders>
            <w:shd w:val="clear" w:color="auto" w:fill="BFBFBF"/>
          </w:tcPr>
          <w:p>
            <w:pPr>
              <w:spacing w:after="0"/>
              <w:rPr>
                <w:sz w:val="17"/>
                <w:szCs w:val="17"/>
                <w:color w:val="auto"/>
              </w:rPr>
            </w:pPr>
          </w:p>
        </w:tc>
        <w:tc>
          <w:tcPr>
            <w:tcW w:w="9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(351)</w:t>
            </w:r>
          </w:p>
        </w:tc>
      </w:tr>
      <w:tr>
        <w:trPr>
          <w:trHeight w:val="196"/>
        </w:trPr>
        <w:tc>
          <w:tcPr>
            <w:tcW w:w="13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11,774</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4,698</w:t>
            </w:r>
          </w:p>
        </w:tc>
        <w:tc>
          <w:tcPr>
            <w:tcW w:w="5260" w:type="dxa"/>
            <w:vAlign w:val="bottom"/>
          </w:tcPr>
          <w:p>
            <w:pPr>
              <w:ind w:left="500"/>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33,644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8,830</w:t>
            </w:r>
          </w:p>
        </w:tc>
      </w:tr>
      <w:tr>
        <w:trPr>
          <w:trHeight w:val="216"/>
        </w:trPr>
        <w:tc>
          <w:tcPr>
            <w:tcW w:w="13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440"/>
              <w:spacing w:after="0"/>
              <w:rPr>
                <w:sz w:val="20"/>
                <w:szCs w:val="20"/>
                <w:color w:val="auto"/>
              </w:rPr>
            </w:pPr>
            <w:r>
              <w:rPr>
                <w:rFonts w:ascii="Arial" w:cs="Arial" w:eastAsia="Arial" w:hAnsi="Arial"/>
                <w:sz w:val="18"/>
                <w:szCs w:val="18"/>
                <w:color w:val="auto"/>
              </w:rPr>
              <w:t>Net loss attributable to the noncontrolling interest</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BFBFBF"/>
          </w:tcPr>
          <w:p>
            <w:pPr>
              <w:spacing w:after="0"/>
              <w:rPr>
                <w:sz w:val="18"/>
                <w:szCs w:val="18"/>
                <w:color w:val="auto"/>
              </w:rPr>
            </w:pPr>
          </w:p>
        </w:tc>
        <w:tc>
          <w:tcPr>
            <w:tcW w:w="460" w:type="dxa"/>
            <w:vAlign w:val="bottom"/>
            <w:tcBorders>
              <w:bottom w:val="single" w:sz="8" w:color="auto"/>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$11,812</w:t>
            </w:r>
          </w:p>
        </w:tc>
        <w:tc>
          <w:tcPr>
            <w:tcW w:w="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$4,698</w:t>
            </w:r>
          </w:p>
        </w:tc>
        <w:tc>
          <w:tcPr>
            <w:tcW w:w="5260" w:type="dxa"/>
            <w:vAlign w:val="bottom"/>
          </w:tcPr>
          <w:p>
            <w:pPr>
              <w:ind w:left="500"/>
              <w:spacing w:after="0" w:line="197"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$33,652</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right"/>
        <w:ind w:right="560"/>
        <w:spacing w:after="0"/>
        <w:rPr>
          <w:sz w:val="20"/>
          <w:szCs w:val="20"/>
          <w:color w:val="auto"/>
        </w:rPr>
      </w:pPr>
      <w:r>
        <w:rPr>
          <w:rFonts w:ascii="Arial" w:cs="Arial" w:eastAsia="Arial" w:hAnsi="Arial"/>
          <w:sz w:val="17"/>
          <w:szCs w:val="17"/>
          <w:color w:val="auto"/>
        </w:rPr>
        <w:t>$0.37</w:t>
      </w:r>
    </w:p>
    <w:p>
      <w:pPr>
        <w:spacing w:after="0" w:line="21"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875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75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-1905</wp:posOffset>
            </wp:positionV>
            <wp:extent cx="875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-1905</wp:posOffset>
            </wp:positionV>
            <wp:extent cx="875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20"/>
                <w:szCs w:val="20"/>
                <w:color w:val="auto"/>
              </w:rPr>
            </w:pPr>
            <w:r>
              <w:rPr>
                <w:rFonts w:ascii="Arial" w:cs="Arial" w:eastAsia="Arial" w:hAnsi="Arial"/>
                <w:sz w:val="18"/>
                <w:szCs w:val="18"/>
                <w:color w:val="auto"/>
              </w:rPr>
              <w:t>Earnings per share attributable to Company</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shareholders - Basic</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0"/>
        </w:trPr>
        <w:tc>
          <w:tcPr>
            <w:tcW w:w="4820" w:type="dxa"/>
            <w:vAlign w:val="bottom"/>
          </w:tcPr>
          <w:p>
            <w:pPr>
              <w:spacing w:after="0" w:line="197"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-694055</wp:posOffset>
            </wp:positionV>
            <wp:extent cx="72466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-307975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3">
            <w:col w:w="1820" w:space="720"/>
            <w:col w:w="460" w:space="560"/>
            <w:col w:w="7860"/>
          </w:cols>
          <w:pgMar w:left="240" w:top="796"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right"/>
        <w:ind w:right="560"/>
        <w:spacing w:after="0"/>
        <w:rPr>
          <w:sz w:val="20"/>
          <w:szCs w:val="20"/>
          <w:color w:val="auto"/>
        </w:rPr>
      </w:pPr>
      <w:r>
        <w:rPr>
          <w:rFonts w:ascii="Arial" w:cs="Arial" w:eastAsia="Arial" w:hAnsi="Arial"/>
          <w:sz w:val="17"/>
          <w:szCs w:val="17"/>
          <w:color w:val="auto"/>
        </w:rPr>
        <w:t>$0.37</w:t>
      </w:r>
    </w:p>
    <w:p>
      <w:pPr>
        <w:spacing w:after="0" w:line="21"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0.00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875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14605</wp:posOffset>
            </wp:positionV>
            <wp:extent cx="875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20"/>
                <w:szCs w:val="20"/>
                <w:color w:val="auto"/>
              </w:rPr>
            </w:pPr>
            <w:r>
              <w:rPr>
                <w:rFonts w:ascii="Arial" w:cs="Arial" w:eastAsia="Arial" w:hAnsi="Arial"/>
                <w:sz w:val="18"/>
                <w:szCs w:val="18"/>
                <w:color w:val="auto"/>
              </w:rPr>
              <w:t>Earnings per share attributable to Company</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shareholders - Diluted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0"/>
        </w:trPr>
        <w:tc>
          <w:tcPr>
            <w:tcW w:w="4820" w:type="dxa"/>
            <w:vAlign w:val="bottom"/>
          </w:tcPr>
          <w:p>
            <w:pPr>
              <w:spacing w:after="0" w:line="197" w:lineRule="exact"/>
              <w:rPr>
                <w:sz w:val="20"/>
                <w:szCs w:val="20"/>
                <w:color w:val="auto"/>
              </w:rPr>
            </w:pPr>
            <w:r>
              <w:rPr>
                <w:rFonts w:ascii="Arial" w:cs="Arial" w:eastAsia="Arial" w:hAnsi="Arial"/>
                <w:sz w:val="18"/>
                <w:szCs w:val="18"/>
                <w:color w:val="auto"/>
              </w:rPr>
              <w:t>Net income attributable to the Company</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-170815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3">
            <w:col w:w="1820" w:space="720"/>
            <w:col w:w="460" w:space="560"/>
            <w:col w:w="786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60" w:type="dxa"/>
            <w:vAlign w:val="bottom"/>
            <w:shd w:val="clear" w:color="auto" w:fill="BFBFBF"/>
          </w:tcPr>
          <w:p>
            <w:pPr>
              <w:spacing w:after="0"/>
              <w:rPr>
                <w:sz w:val="18"/>
                <w:szCs w:val="18"/>
                <w:color w:val="auto"/>
              </w:rPr>
            </w:pPr>
          </w:p>
        </w:tc>
        <w:tc>
          <w:tcPr>
            <w:tcW w:w="1420" w:type="dxa"/>
            <w:vAlign w:val="bottom"/>
            <w:shd w:val="clear" w:color="auto" w:fill="BFBFBF"/>
          </w:tcPr>
          <w:p>
            <w:pPr>
              <w:spacing w:after="0"/>
              <w:rPr>
                <w:sz w:val="18"/>
                <w:szCs w:val="18"/>
                <w:color w:val="auto"/>
              </w:rPr>
            </w:pPr>
          </w:p>
        </w:tc>
        <w:tc>
          <w:tcPr>
            <w:tcW w:w="5260" w:type="dxa"/>
            <w:vAlign w:val="bottom"/>
            <w:shd w:val="clear" w:color="auto" w:fill="BFBFBF"/>
          </w:tcPr>
          <w:p>
            <w:pPr>
              <w:ind w:left="280"/>
              <w:spacing w:after="0"/>
              <w:rPr>
                <w:sz w:val="20"/>
                <w:szCs w:val="20"/>
                <w:color w:val="auto"/>
              </w:rPr>
            </w:pPr>
            <w:r>
              <w:rPr>
                <w:rFonts w:ascii="Arial" w:cs="Arial" w:eastAsia="Arial" w:hAnsi="Arial"/>
                <w:sz w:val="18"/>
                <w:szCs w:val="18"/>
                <w:color w:val="auto"/>
              </w:rPr>
              <w:t>Shares of the Company used in computing earnings per</w:t>
            </w:r>
          </w:p>
        </w:tc>
        <w:tc>
          <w:tcPr>
            <w:tcW w:w="1660" w:type="dxa"/>
            <w:vAlign w:val="bottom"/>
            <w:shd w:val="clear" w:color="auto" w:fill="BFBFBF"/>
          </w:tcPr>
          <w:p>
            <w:pPr>
              <w:spacing w:after="0"/>
              <w:rPr>
                <w:sz w:val="18"/>
                <w:szCs w:val="18"/>
                <w:color w:val="auto"/>
              </w:rPr>
            </w:pPr>
          </w:p>
        </w:tc>
        <w:tc>
          <w:tcPr>
            <w:tcW w:w="1220" w:type="dxa"/>
            <w:vAlign w:val="bottom"/>
            <w:shd w:val="clear" w:color="auto" w:fill="BFBFBF"/>
          </w:tcPr>
          <w:p>
            <w:pPr>
              <w:spacing w:after="0"/>
              <w:rPr>
                <w:sz w:val="18"/>
                <w:szCs w:val="18"/>
                <w:color w:val="auto"/>
              </w:rPr>
            </w:pPr>
          </w:p>
        </w:tc>
      </w:tr>
      <w:tr>
        <w:trPr>
          <w:trHeight w:val="203"/>
        </w:trPr>
        <w:tc>
          <w:tcPr>
            <w:tcW w:w="1860" w:type="dxa"/>
            <w:vAlign w:val="bottom"/>
            <w:shd w:val="clear" w:color="auto" w:fill="BFBFBF"/>
          </w:tcPr>
          <w:p>
            <w:pPr>
              <w:spacing w:after="0"/>
              <w:rPr>
                <w:sz w:val="17"/>
                <w:szCs w:val="17"/>
                <w:color w:val="auto"/>
              </w:rPr>
            </w:pPr>
          </w:p>
        </w:tc>
        <w:tc>
          <w:tcPr>
            <w:tcW w:w="1420" w:type="dxa"/>
            <w:vAlign w:val="bottom"/>
            <w:shd w:val="clear" w:color="auto" w:fill="BFBFBF"/>
          </w:tcPr>
          <w:p>
            <w:pPr>
              <w:spacing w:after="0"/>
              <w:rPr>
                <w:sz w:val="17"/>
                <w:szCs w:val="17"/>
                <w:color w:val="auto"/>
              </w:rPr>
            </w:pPr>
          </w:p>
        </w:tc>
        <w:tc>
          <w:tcPr>
            <w:tcW w:w="5260" w:type="dxa"/>
            <w:vAlign w:val="bottom"/>
            <w:shd w:val="clear" w:color="auto" w:fill="BFBFBF"/>
          </w:tcPr>
          <w:p>
            <w:pPr>
              <w:ind w:left="280"/>
              <w:spacing w:after="0" w:line="203" w:lineRule="exact"/>
              <w:rPr>
                <w:sz w:val="20"/>
                <w:szCs w:val="20"/>
                <w:color w:val="auto"/>
              </w:rPr>
            </w:pPr>
            <w:r>
              <w:rPr>
                <w:rFonts w:ascii="Arial" w:cs="Arial" w:eastAsia="Arial" w:hAnsi="Arial"/>
                <w:sz w:val="18"/>
                <w:szCs w:val="18"/>
                <w:color w:val="auto"/>
              </w:rPr>
              <w:t>share:</w:t>
            </w:r>
          </w:p>
        </w:tc>
        <w:tc>
          <w:tcPr>
            <w:tcW w:w="1660" w:type="dxa"/>
            <w:vAlign w:val="bottom"/>
            <w:shd w:val="clear" w:color="auto" w:fill="BFBFBF"/>
          </w:tcPr>
          <w:p>
            <w:pPr>
              <w:spacing w:after="0"/>
              <w:rPr>
                <w:sz w:val="17"/>
                <w:szCs w:val="17"/>
                <w:color w:val="auto"/>
              </w:rPr>
            </w:pPr>
          </w:p>
        </w:tc>
        <w:tc>
          <w:tcPr>
            <w:tcW w:w="1220" w:type="dxa"/>
            <w:vAlign w:val="bottom"/>
            <w:shd w:val="clear" w:color="auto" w:fill="BFBFBF"/>
          </w:tcPr>
          <w:p>
            <w:pPr>
              <w:spacing w:after="0"/>
              <w:rPr>
                <w:sz w:val="17"/>
                <w:szCs w:val="17"/>
                <w:color w:val="auto"/>
              </w:rPr>
            </w:pPr>
          </w:p>
        </w:tc>
      </w:tr>
      <w:tr>
        <w:trPr>
          <w:trHeight w:val="203"/>
        </w:trPr>
        <w:tc>
          <w:tcPr>
            <w:tcW w:w="186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31,848</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31,719</w:t>
            </w:r>
          </w:p>
        </w:tc>
        <w:tc>
          <w:tcPr>
            <w:tcW w:w="5260" w:type="dxa"/>
            <w:vAlign w:val="bottom"/>
          </w:tcPr>
          <w:p>
            <w:pPr>
              <w:ind w:left="380"/>
              <w:spacing w:after="0" w:line="202" w:lineRule="exact"/>
              <w:rPr>
                <w:sz w:val="20"/>
                <w:szCs w:val="20"/>
                <w:color w:val="auto"/>
              </w:rPr>
            </w:pPr>
            <w:r>
              <w:rPr>
                <w:rFonts w:ascii="Arial" w:cs="Arial" w:eastAsia="Arial" w:hAnsi="Arial"/>
                <w:sz w:val="18"/>
                <w:szCs w:val="18"/>
                <w:color w:val="auto"/>
              </w:rPr>
              <w:t>Basic</w:t>
            </w:r>
          </w:p>
        </w:tc>
        <w:tc>
          <w:tcPr>
            <w:tcW w:w="16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31,822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31,615</w:t>
            </w:r>
          </w:p>
        </w:tc>
      </w:tr>
      <w:tr>
        <w:trPr>
          <w:trHeight w:val="203"/>
        </w:trPr>
        <w:tc>
          <w:tcPr>
            <w:tcW w:w="1860" w:type="dxa"/>
            <w:vAlign w:val="bottom"/>
            <w:shd w:val="clear" w:color="auto" w:fill="BFBFBF"/>
          </w:tcPr>
          <w:p>
            <w:pPr>
              <w:jc w:val="right"/>
              <w:ind w:right="510"/>
              <w:spacing w:after="0" w:line="202" w:lineRule="exact"/>
              <w:rPr>
                <w:sz w:val="20"/>
                <w:szCs w:val="20"/>
                <w:color w:val="auto"/>
              </w:rPr>
            </w:pPr>
            <w:r>
              <w:rPr>
                <w:rFonts w:ascii="Arial" w:cs="Arial" w:eastAsia="Arial" w:hAnsi="Arial"/>
                <w:sz w:val="18"/>
                <w:szCs w:val="18"/>
                <w:color w:val="auto"/>
              </w:rPr>
              <w:t>31,946</w:t>
            </w:r>
          </w:p>
        </w:tc>
        <w:tc>
          <w:tcPr>
            <w:tcW w:w="1420" w:type="dxa"/>
            <w:vAlign w:val="bottom"/>
            <w:shd w:val="clear" w:color="auto" w:fill="BFBFBF"/>
          </w:tcPr>
          <w:p>
            <w:pPr>
              <w:jc w:val="right"/>
              <w:ind w:right="190"/>
              <w:spacing w:after="0" w:line="202" w:lineRule="exact"/>
              <w:rPr>
                <w:sz w:val="20"/>
                <w:szCs w:val="20"/>
                <w:color w:val="auto"/>
              </w:rPr>
            </w:pPr>
            <w:r>
              <w:rPr>
                <w:rFonts w:ascii="Arial" w:cs="Arial" w:eastAsia="Arial" w:hAnsi="Arial"/>
                <w:sz w:val="18"/>
                <w:szCs w:val="18"/>
                <w:color w:val="auto"/>
              </w:rPr>
              <w:t>31,841</w:t>
            </w:r>
          </w:p>
        </w:tc>
        <w:tc>
          <w:tcPr>
            <w:tcW w:w="526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Diluted</w:t>
            </w:r>
          </w:p>
        </w:tc>
        <w:tc>
          <w:tcPr>
            <w:tcW w:w="1660" w:type="dxa"/>
            <w:vAlign w:val="bottom"/>
            <w:shd w:val="clear" w:color="auto" w:fill="BFBFBF"/>
          </w:tcPr>
          <w:p>
            <w:pPr>
              <w:jc w:val="right"/>
              <w:ind w:right="490"/>
              <w:spacing w:after="0" w:line="202" w:lineRule="exact"/>
              <w:rPr>
                <w:sz w:val="20"/>
                <w:szCs w:val="20"/>
                <w:color w:val="auto"/>
              </w:rPr>
            </w:pPr>
            <w:r>
              <w:rPr>
                <w:rFonts w:ascii="Arial" w:cs="Arial" w:eastAsia="Arial" w:hAnsi="Arial"/>
                <w:sz w:val="18"/>
                <w:szCs w:val="18"/>
                <w:color w:val="auto"/>
              </w:rPr>
              <w:t>31,924</w:t>
            </w:r>
          </w:p>
        </w:tc>
        <w:tc>
          <w:tcPr>
            <w:tcW w:w="12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31,744</w:t>
            </w:r>
          </w:p>
        </w:tc>
      </w:tr>
      <w:tr>
        <w:trPr>
          <w:trHeight w:val="203"/>
        </w:trPr>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860" w:type="dxa"/>
            <w:vAlign w:val="bottom"/>
            <w:shd w:val="clear" w:color="auto" w:fill="BFBFBF"/>
          </w:tcPr>
          <w:p>
            <w:pPr>
              <w:jc w:val="right"/>
              <w:ind w:right="510"/>
              <w:spacing w:after="0" w:line="202" w:lineRule="exact"/>
              <w:rPr>
                <w:sz w:val="20"/>
                <w:szCs w:val="20"/>
                <w:color w:val="auto"/>
              </w:rPr>
            </w:pPr>
            <w:r>
              <w:rPr>
                <w:rFonts w:ascii="Arial" w:cs="Arial" w:eastAsia="Arial" w:hAnsi="Arial"/>
                <w:sz w:val="18"/>
                <w:szCs w:val="18"/>
                <w:color w:val="auto"/>
              </w:rPr>
              <w:t>$0.16</w:t>
            </w:r>
          </w:p>
        </w:tc>
        <w:tc>
          <w:tcPr>
            <w:tcW w:w="1420" w:type="dxa"/>
            <w:vAlign w:val="bottom"/>
            <w:shd w:val="clear" w:color="auto" w:fill="BFBFBF"/>
          </w:tcPr>
          <w:p>
            <w:pPr>
              <w:jc w:val="right"/>
              <w:ind w:right="190"/>
              <w:spacing w:after="0" w:line="202" w:lineRule="exact"/>
              <w:rPr>
                <w:sz w:val="20"/>
                <w:szCs w:val="20"/>
                <w:color w:val="auto"/>
              </w:rPr>
            </w:pPr>
            <w:r>
              <w:rPr>
                <w:rFonts w:ascii="Arial" w:cs="Arial" w:eastAsia="Arial" w:hAnsi="Arial"/>
                <w:sz w:val="18"/>
                <w:szCs w:val="18"/>
                <w:color w:val="auto"/>
              </w:rPr>
              <w:t>$0.15</w:t>
            </w:r>
          </w:p>
        </w:tc>
        <w:tc>
          <w:tcPr>
            <w:tcW w:w="5260" w:type="dxa"/>
            <w:vAlign w:val="bottom"/>
            <w:shd w:val="clear" w:color="auto" w:fill="BFBFBF"/>
          </w:tcPr>
          <w:p>
            <w:pPr>
              <w:ind w:left="280"/>
              <w:spacing w:after="0" w:line="202" w:lineRule="exact"/>
              <w:rPr>
                <w:sz w:val="20"/>
                <w:szCs w:val="20"/>
                <w:color w:val="auto"/>
              </w:rPr>
            </w:pPr>
            <w:r>
              <w:rPr>
                <w:rFonts w:ascii="Arial" w:cs="Arial" w:eastAsia="Arial" w:hAnsi="Arial"/>
                <w:sz w:val="18"/>
                <w:szCs w:val="18"/>
                <w:color w:val="auto"/>
              </w:rPr>
              <w:t>Dividends per share</w:t>
            </w:r>
          </w:p>
        </w:tc>
        <w:tc>
          <w:tcPr>
            <w:tcW w:w="1660" w:type="dxa"/>
            <w:vAlign w:val="bottom"/>
            <w:shd w:val="clear" w:color="auto" w:fill="BFBFBF"/>
          </w:tcPr>
          <w:p>
            <w:pPr>
              <w:jc w:val="right"/>
              <w:ind w:right="490"/>
              <w:spacing w:after="0" w:line="202" w:lineRule="exact"/>
              <w:rPr>
                <w:sz w:val="20"/>
                <w:szCs w:val="20"/>
                <w:color w:val="auto"/>
              </w:rPr>
            </w:pPr>
            <w:r>
              <w:rPr>
                <w:rFonts w:ascii="Arial" w:cs="Arial" w:eastAsia="Arial" w:hAnsi="Arial"/>
                <w:sz w:val="18"/>
                <w:szCs w:val="18"/>
                <w:color w:val="auto"/>
              </w:rPr>
              <w:t>$0.47</w:t>
            </w:r>
          </w:p>
        </w:tc>
        <w:tc>
          <w:tcPr>
            <w:tcW w:w="12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17"/>
                <w:szCs w:val="17"/>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9"/>
              </w:rPr>
              <w:t>Nine Months Ended</w:t>
            </w:r>
          </w:p>
        </w:tc>
      </w:tr>
      <w:tr>
        <w:trPr>
          <w:trHeight w:val="217"/>
        </w:trPr>
        <w:tc>
          <w:tcPr>
            <w:tcW w:w="2160" w:type="dxa"/>
            <w:vAlign w:val="bottom"/>
            <w:gridSpan w:val="3"/>
          </w:tcPr>
          <w:p>
            <w:pPr>
              <w:jc w:val="center"/>
              <w:ind w:left="890"/>
              <w:spacing w:after="0"/>
              <w:rPr>
                <w:sz w:val="20"/>
                <w:szCs w:val="20"/>
                <w:color w:val="auto"/>
              </w:rPr>
            </w:pPr>
            <w:r>
              <w:rPr>
                <w:rFonts w:ascii="Arial" w:cs="Arial" w:eastAsia="Arial" w:hAnsi="Arial"/>
                <w:sz w:val="18"/>
                <w:szCs w:val="18"/>
                <w:color w:val="auto"/>
                <w:w w:val="99"/>
              </w:rPr>
              <w:t>September 30,</w:t>
            </w:r>
          </w:p>
        </w:tc>
        <w:tc>
          <w:tcPr>
            <w:tcW w:w="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120" w:type="dxa"/>
            <w:vAlign w:val="bottom"/>
            <w:gridSpan w:val="3"/>
          </w:tcPr>
          <w:p>
            <w:pPr>
              <w:jc w:val="center"/>
              <w:ind w:left="850"/>
              <w:spacing w:after="0"/>
              <w:rPr>
                <w:sz w:val="20"/>
                <w:szCs w:val="20"/>
                <w:color w:val="auto"/>
              </w:rPr>
            </w:pPr>
            <w:r>
              <w:rPr>
                <w:rFonts w:ascii="Arial" w:cs="Arial" w:eastAsia="Arial" w:hAnsi="Arial"/>
                <w:sz w:val="18"/>
                <w:szCs w:val="18"/>
                <w:color w:val="auto"/>
                <w:w w:val="99"/>
              </w:rPr>
              <w:t>September 30,</w:t>
            </w:r>
          </w:p>
        </w:tc>
        <w:tc>
          <w:tcPr>
            <w:tcW w:w="920" w:type="dxa"/>
            <w:vAlign w:val="bottom"/>
          </w:tcPr>
          <w:p>
            <w:pPr>
              <w:spacing w:after="0"/>
              <w:rPr>
                <w:sz w:val="18"/>
                <w:szCs w:val="18"/>
                <w:color w:val="auto"/>
              </w:rPr>
            </w:pPr>
          </w:p>
        </w:tc>
      </w:tr>
      <w:tr>
        <w:trPr>
          <w:trHeight w:val="405"/>
        </w:trPr>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BFBFB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2013</w:t>
            </w:r>
          </w:p>
        </w:tc>
        <w:tc>
          <w:tcPr>
            <w:tcW w:w="5260" w:type="dxa"/>
            <w:vAlign w:val="bottom"/>
            <w:tcBorders>
              <w:bottom w:val="single" w:sz="8" w:color="BFBFBF"/>
            </w:tcBorders>
          </w:tcPr>
          <w:p>
            <w:pPr>
              <w:spacing w:after="0"/>
              <w:rPr>
                <w:sz w:val="24"/>
                <w:szCs w:val="24"/>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BFBFB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2013</w:t>
            </w:r>
          </w:p>
        </w:tc>
      </w:tr>
      <w:tr>
        <w:trPr>
          <w:trHeight w:val="196"/>
        </w:trPr>
        <w:tc>
          <w:tcPr>
            <w:tcW w:w="138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$11,774</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$4,698</w:t>
            </w:r>
          </w:p>
        </w:tc>
        <w:tc>
          <w:tcPr>
            <w:tcW w:w="5260" w:type="dxa"/>
            <w:vAlign w:val="bottom"/>
            <w:shd w:val="clear" w:color="auto" w:fill="BFBFBF"/>
          </w:tcPr>
          <w:p>
            <w:pPr>
              <w:ind w:left="340"/>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$33,644</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$8,830</w:t>
            </w:r>
          </w:p>
        </w:tc>
      </w:tr>
      <w:tr>
        <w:trPr>
          <w:trHeight w:val="405"/>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Other comprehensive income, before tax:</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(27,765)</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17,805</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(29,705)</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4,536</w:t>
            </w: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14,417</w:t>
            </w:r>
          </w:p>
        </w:tc>
        <w:tc>
          <w:tcPr>
            <w:tcW w:w="5260" w:type="dxa"/>
            <w:vAlign w:val="bottom"/>
          </w:tcPr>
          <w:p>
            <w:pPr>
              <w:ind w:left="5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14,417</w:t>
            </w: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7,974</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Pension/postretirement plan amendment</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7,974</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Transition obligation</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51</w:t>
            </w: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(1,108)</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(974)</w:t>
            </w:r>
          </w:p>
        </w:tc>
        <w:tc>
          <w:tcPr>
            <w:tcW w:w="5260" w:type="dxa"/>
            <w:vAlign w:val="bottom"/>
          </w:tcPr>
          <w:p>
            <w:pPr>
              <w:ind w:left="500"/>
              <w:spacing w:after="0" w:line="202" w:lineRule="exact"/>
              <w:rPr>
                <w:sz w:val="20"/>
                <w:szCs w:val="20"/>
                <w:color w:val="auto"/>
              </w:rPr>
            </w:pPr>
            <w:r>
              <w:rPr>
                <w:rFonts w:ascii="Arial" w:cs="Arial" w:eastAsia="Arial" w:hAnsi="Arial"/>
                <w:sz w:val="18"/>
                <w:szCs w:val="18"/>
                <w:color w:val="auto"/>
              </w:rPr>
              <w:t>Prior service (credit)/cost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(3,325)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(2,791)</w:t>
            </w: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1,343</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1,635</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Net actuarial loss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4,026</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4,963</w:t>
            </w:r>
          </w:p>
        </w:tc>
      </w:tr>
      <w:tr>
        <w:trPr>
          <w:trHeight w:val="202"/>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60" w:type="dxa"/>
            <w:vAlign w:val="bottom"/>
          </w:tcPr>
          <w:p>
            <w:pPr>
              <w:ind w:left="500"/>
              <w:spacing w:after="0" w:line="201" w:lineRule="exact"/>
              <w:rPr>
                <w:sz w:val="20"/>
                <w:szCs w:val="20"/>
                <w:color w:val="auto"/>
              </w:rPr>
            </w:pPr>
            <w:r>
              <w:rPr>
                <w:rFonts w:ascii="Arial" w:cs="Arial" w:eastAsia="Arial" w:hAnsi="Arial"/>
                <w:sz w:val="18"/>
                <w:szCs w:val="18"/>
                <w:color w:val="auto"/>
              </w:rPr>
              <w:t>Payments related to interest rate swaps included in</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3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480</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467</w:t>
            </w:r>
          </w:p>
        </w:tc>
        <w:tc>
          <w:tcPr>
            <w:tcW w:w="5260" w:type="dxa"/>
            <w:vAlign w:val="bottom"/>
          </w:tcPr>
          <w:p>
            <w:pPr>
              <w:ind w:left="620"/>
              <w:spacing w:after="0" w:line="203" w:lineRule="exact"/>
              <w:rPr>
                <w:sz w:val="20"/>
                <w:szCs w:val="20"/>
                <w:color w:val="auto"/>
              </w:rPr>
            </w:pPr>
            <w:r>
              <w:rPr>
                <w:rFonts w:ascii="Arial" w:cs="Arial" w:eastAsia="Arial" w:hAnsi="Arial"/>
                <w:sz w:val="18"/>
                <w:szCs w:val="18"/>
                <w:color w:val="auto"/>
              </w:rPr>
              <w:t>earnings</w:t>
            </w:r>
          </w:p>
        </w:tc>
        <w:tc>
          <w:tcPr>
            <w:tcW w:w="13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1,431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1,377</w:t>
            </w: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446</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(865)</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Derivative valuation adjustment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(869)</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1,096</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1" w:lineRule="exact"/>
              <w:rPr>
                <w:sz w:val="20"/>
                <w:szCs w:val="20"/>
                <w:color w:val="auto"/>
              </w:rPr>
            </w:pPr>
            <w:r>
              <w:rPr>
                <w:rFonts w:ascii="Arial" w:cs="Arial" w:eastAsia="Arial" w:hAnsi="Arial"/>
                <w:sz w:val="18"/>
                <w:szCs w:val="18"/>
                <w:color w:val="auto"/>
              </w:rPr>
              <w:t>Income taxes related to items of other comprehensive</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r>
      <w:tr>
        <w:trPr>
          <w:trHeight w:val="203"/>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income:</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(5,623)</w:t>
            </w:r>
          </w:p>
        </w:tc>
        <w:tc>
          <w:tcPr>
            <w:tcW w:w="5260" w:type="dxa"/>
            <w:vAlign w:val="bottom"/>
          </w:tcPr>
          <w:p>
            <w:pPr>
              <w:ind w:left="5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(5,623)</w:t>
            </w: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(3,110)</w:t>
            </w:r>
          </w:p>
        </w:tc>
        <w:tc>
          <w:tcPr>
            <w:tcW w:w="5260" w:type="dxa"/>
            <w:vAlign w:val="bottom"/>
            <w:shd w:val="clear" w:color="auto" w:fill="BFBFBF"/>
          </w:tcPr>
          <w:p>
            <w:pPr>
              <w:ind w:left="500"/>
              <w:spacing w:after="0" w:line="202" w:lineRule="exact"/>
              <w:rPr>
                <w:sz w:val="20"/>
                <w:szCs w:val="20"/>
                <w:color w:val="auto"/>
              </w:rPr>
            </w:pPr>
            <w:r>
              <w:rPr>
                <w:rFonts w:ascii="Arial" w:cs="Arial" w:eastAsia="Arial" w:hAnsi="Arial"/>
                <w:sz w:val="18"/>
                <w:szCs w:val="18"/>
                <w:color w:val="auto"/>
              </w:rPr>
              <w:t>Pension/postretirement plan amendment</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(3,110)</w:t>
            </w: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5260" w:type="dxa"/>
            <w:vAlign w:val="bottom"/>
          </w:tcPr>
          <w:p>
            <w:pPr>
              <w:ind w:left="4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spacing w:after="0"/>
              <w:rPr>
                <w:sz w:val="17"/>
                <w:szCs w:val="17"/>
                <w:color w:val="auto"/>
              </w:rPr>
            </w:pPr>
          </w:p>
        </w:tc>
        <w:tc>
          <w:tcPr>
            <w:tcW w:w="5260" w:type="dxa"/>
            <w:vAlign w:val="bottom"/>
            <w:shd w:val="clear" w:color="auto" w:fill="BFBFBF"/>
          </w:tcPr>
          <w:p>
            <w:pPr>
              <w:ind w:left="500"/>
              <w:spacing w:after="0" w:line="201" w:lineRule="exact"/>
              <w:rPr>
                <w:sz w:val="20"/>
                <w:szCs w:val="20"/>
                <w:color w:val="auto"/>
              </w:rPr>
            </w:pPr>
            <w:r>
              <w:rPr>
                <w:rFonts w:ascii="Arial" w:cs="Arial" w:eastAsia="Arial" w:hAnsi="Arial"/>
                <w:sz w:val="18"/>
                <w:szCs w:val="18"/>
                <w:color w:val="auto"/>
              </w:rPr>
              <w:t>Payments related to interest rate swaps included in</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r>
      <w:tr>
        <w:trPr>
          <w:trHeight w:val="203"/>
        </w:trPr>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(187)</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(183)</w:t>
            </w:r>
          </w:p>
        </w:tc>
        <w:tc>
          <w:tcPr>
            <w:tcW w:w="5260" w:type="dxa"/>
            <w:vAlign w:val="bottom"/>
            <w:shd w:val="clear" w:color="auto" w:fill="BFBFBF"/>
          </w:tcPr>
          <w:p>
            <w:pPr>
              <w:ind w:left="620"/>
              <w:spacing w:after="0" w:line="203" w:lineRule="exact"/>
              <w:rPr>
                <w:sz w:val="20"/>
                <w:szCs w:val="20"/>
                <w:color w:val="auto"/>
              </w:rPr>
            </w:pPr>
            <w:r>
              <w:rPr>
                <w:rFonts w:ascii="Arial" w:cs="Arial" w:eastAsia="Arial" w:hAnsi="Arial"/>
                <w:sz w:val="18"/>
                <w:szCs w:val="18"/>
                <w:color w:val="auto"/>
              </w:rPr>
              <w:t>earnings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(558)</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(537)</w:t>
            </w:r>
          </w:p>
        </w:tc>
      </w:tr>
      <w:tr>
        <w:trPr>
          <w:trHeight w:val="21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5260" w:type="dxa"/>
            <w:vAlign w:val="bottom"/>
            <w:tcBorders>
              <w:bottom w:val="single" w:sz="8" w:color="BFBFBF"/>
            </w:tcBorders>
          </w:tcPr>
          <w:p>
            <w:pPr>
              <w:ind w:left="500"/>
              <w:spacing w:after="0"/>
              <w:rPr>
                <w:sz w:val="20"/>
                <w:szCs w:val="20"/>
                <w:color w:val="auto"/>
              </w:rPr>
            </w:pPr>
            <w:r>
              <w:rPr>
                <w:rFonts w:ascii="Arial" w:cs="Arial" w:eastAsia="Arial" w:hAnsi="Arial"/>
                <w:sz w:val="18"/>
                <w:szCs w:val="18"/>
                <w:color w:val="auto"/>
              </w:rPr>
              <w:t>Derivative valuation adjustment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196"/>
        </w:trPr>
        <w:tc>
          <w:tcPr>
            <w:tcW w:w="138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(15,285)</w:t>
            </w:r>
          </w:p>
        </w:tc>
        <w:tc>
          <w:tcPr>
            <w:tcW w:w="36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6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36,331</w:t>
            </w:r>
          </w:p>
        </w:tc>
        <w:tc>
          <w:tcPr>
            <w:tcW w:w="5260" w:type="dxa"/>
            <w:vAlign w:val="bottom"/>
            <w:shd w:val="clear" w:color="auto" w:fill="BFBFBF"/>
          </w:tcPr>
          <w:p>
            <w:pPr>
              <w:ind w:left="500"/>
              <w:spacing w:after="0" w:line="196" w:lineRule="exact"/>
              <w:rPr>
                <w:sz w:val="20"/>
                <w:szCs w:val="20"/>
                <w:color w:val="auto"/>
              </w:rPr>
            </w:pPr>
            <w:r>
              <w:rPr>
                <w:rFonts w:ascii="Arial" w:cs="Arial" w:eastAsia="Arial" w:hAnsi="Arial"/>
                <w:sz w:val="18"/>
                <w:szCs w:val="18"/>
                <w:color w:val="auto"/>
              </w:rPr>
              <w:t>Comprehensive income/(loss)</w:t>
            </w:r>
          </w:p>
        </w:tc>
        <w:tc>
          <w:tcPr>
            <w:tcW w:w="136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4,703</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29,950</w:t>
            </w:r>
          </w:p>
        </w:tc>
      </w:tr>
      <w:tr>
        <w:trPr>
          <w:trHeight w:val="202"/>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Net loss and comprehensive income attributable to the</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7"/>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BFBFBF"/>
            </w:tcBorders>
          </w:tcPr>
          <w:p>
            <w:pPr>
              <w:ind w:left="340"/>
              <w:spacing w:after="0"/>
              <w:rPr>
                <w:sz w:val="20"/>
                <w:szCs w:val="20"/>
                <w:color w:val="auto"/>
              </w:rPr>
            </w:pPr>
            <w:r>
              <w:rPr>
                <w:rFonts w:ascii="Arial" w:cs="Arial" w:eastAsia="Arial" w:hAnsi="Arial"/>
                <w:sz w:val="18"/>
                <w:szCs w:val="18"/>
                <w:color w:val="auto"/>
              </w:rPr>
              <w:t>noncontrolling interest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82"/>
        </w:trPr>
        <w:tc>
          <w:tcPr>
            <w:tcW w:w="138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420" w:type="dxa"/>
            <w:vAlign w:val="bottom"/>
            <w:shd w:val="clear" w:color="auto" w:fill="BFBFBF"/>
          </w:tcPr>
          <w:p>
            <w:pPr>
              <w:spacing w:after="0"/>
              <w:rPr>
                <w:sz w:val="15"/>
                <w:szCs w:val="15"/>
                <w:color w:val="auto"/>
              </w:rPr>
            </w:pPr>
          </w:p>
        </w:tc>
        <w:tc>
          <w:tcPr>
            <w:tcW w:w="960" w:type="dxa"/>
            <w:vAlign w:val="bottom"/>
            <w:shd w:val="clear" w:color="auto" w:fill="BFBFBF"/>
          </w:tcPr>
          <w:p>
            <w:pPr>
              <w:spacing w:after="0"/>
              <w:rPr>
                <w:sz w:val="15"/>
                <w:szCs w:val="15"/>
                <w:color w:val="auto"/>
              </w:rPr>
            </w:pPr>
          </w:p>
        </w:tc>
        <w:tc>
          <w:tcPr>
            <w:tcW w:w="5260" w:type="dxa"/>
            <w:vAlign w:val="bottom"/>
            <w:shd w:val="clear" w:color="auto" w:fill="BFBFBF"/>
          </w:tcPr>
          <w:p>
            <w:pPr>
              <w:ind w:left="340"/>
              <w:spacing w:after="0" w:line="182" w:lineRule="exact"/>
              <w:rPr>
                <w:sz w:val="20"/>
                <w:szCs w:val="20"/>
                <w:color w:val="auto"/>
              </w:rPr>
            </w:pPr>
            <w:r>
              <w:rPr>
                <w:rFonts w:ascii="Arial" w:cs="Arial" w:eastAsia="Arial" w:hAnsi="Arial"/>
                <w:sz w:val="18"/>
                <w:szCs w:val="18"/>
                <w:color w:val="auto"/>
              </w:rPr>
              <w:t>Comprehensive income/(loss) attributable to the</w:t>
            </w:r>
          </w:p>
        </w:tc>
        <w:tc>
          <w:tcPr>
            <w:tcW w:w="1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440" w:type="dxa"/>
            <w:vAlign w:val="bottom"/>
            <w:shd w:val="clear" w:color="auto" w:fill="BFBFBF"/>
          </w:tcPr>
          <w:p>
            <w:pPr>
              <w:spacing w:after="0"/>
              <w:rPr>
                <w:sz w:val="15"/>
                <w:szCs w:val="15"/>
                <w:color w:val="auto"/>
              </w:rPr>
            </w:pPr>
          </w:p>
        </w:tc>
        <w:tc>
          <w:tcPr>
            <w:tcW w:w="920" w:type="dxa"/>
            <w:vAlign w:val="bottom"/>
            <w:shd w:val="clear" w:color="auto" w:fill="BFBFBF"/>
          </w:tcPr>
          <w:p>
            <w:pPr>
              <w:spacing w:after="0"/>
              <w:rPr>
                <w:sz w:val="15"/>
                <w:szCs w:val="15"/>
                <w:color w:val="auto"/>
              </w:rPr>
            </w:pPr>
          </w:p>
        </w:tc>
      </w:tr>
      <w:tr>
        <w:trPr>
          <w:trHeight w:val="230"/>
        </w:trPr>
        <w:tc>
          <w:tcPr>
            <w:tcW w:w="13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($15,316)</w:t>
            </w:r>
          </w:p>
        </w:tc>
        <w:tc>
          <w:tcPr>
            <w:tcW w:w="360" w:type="dxa"/>
            <w:vAlign w:val="bottom"/>
            <w:tcBorders>
              <w:bottom w:val="single" w:sz="8" w:color="BFBFBF"/>
            </w:tcBorders>
            <w:shd w:val="clear" w:color="auto" w:fill="BFBFBF"/>
          </w:tcPr>
          <w:p>
            <w:pPr>
              <w:spacing w:after="0"/>
              <w:rPr>
                <w:sz w:val="20"/>
                <w:szCs w:val="20"/>
                <w:color w:val="auto"/>
              </w:rPr>
            </w:pPr>
          </w:p>
        </w:tc>
        <w:tc>
          <w:tcPr>
            <w:tcW w:w="420" w:type="dxa"/>
            <w:vAlign w:val="bottom"/>
            <w:tcBorders>
              <w:bottom w:val="single" w:sz="8" w:color="auto"/>
            </w:tcBorders>
            <w:shd w:val="clear" w:color="auto" w:fill="BFBFBF"/>
          </w:tcPr>
          <w:p>
            <w:pPr>
              <w:spacing w:after="0"/>
              <w:rPr>
                <w:sz w:val="20"/>
                <w:szCs w:val="20"/>
                <w:color w:val="auto"/>
              </w:rPr>
            </w:pPr>
          </w:p>
        </w:tc>
        <w:tc>
          <w:tcPr>
            <w:tcW w:w="9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$36,331</w:t>
            </w:r>
          </w:p>
        </w:tc>
        <w:tc>
          <w:tcPr>
            <w:tcW w:w="5260" w:type="dxa"/>
            <w:vAlign w:val="bottom"/>
            <w:tcBorders>
              <w:bottom w:val="single" w:sz="8" w:color="BFBFBF"/>
            </w:tcBorders>
            <w:shd w:val="clear" w:color="auto" w:fill="BFBFBF"/>
          </w:tcPr>
          <w:p>
            <w:pPr>
              <w:ind w:left="340"/>
              <w:spacing w:after="0"/>
              <w:rPr>
                <w:sz w:val="20"/>
                <w:szCs w:val="20"/>
                <w:color w:val="auto"/>
              </w:rPr>
            </w:pPr>
            <w:r>
              <w:rPr>
                <w:rFonts w:ascii="Arial" w:cs="Arial" w:eastAsia="Arial" w:hAnsi="Arial"/>
                <w:sz w:val="18"/>
                <w:szCs w:val="18"/>
                <w:color w:val="auto"/>
              </w:rPr>
              <w:t>Company</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$4,702</w:t>
            </w:r>
          </w:p>
        </w:tc>
        <w:tc>
          <w:tcPr>
            <w:tcW w:w="320" w:type="dxa"/>
            <w:vAlign w:val="bottom"/>
            <w:tcBorders>
              <w:bottom w:val="single" w:sz="8" w:color="BFBFBF"/>
            </w:tcBorders>
            <w:shd w:val="clear" w:color="auto" w:fill="BFBFBF"/>
          </w:tcPr>
          <w:p>
            <w:pPr>
              <w:spacing w:after="0"/>
              <w:rPr>
                <w:sz w:val="20"/>
                <w:szCs w:val="20"/>
                <w:color w:val="auto"/>
              </w:rPr>
            </w:pPr>
          </w:p>
        </w:tc>
        <w:tc>
          <w:tcPr>
            <w:tcW w:w="440" w:type="dxa"/>
            <w:vAlign w:val="bottom"/>
            <w:tcBorders>
              <w:bottom w:val="single" w:sz="8" w:color="auto"/>
            </w:tcBorders>
            <w:shd w:val="clear" w:color="auto" w:fill="BFBFBF"/>
          </w:tcPr>
          <w:p>
            <w:pPr>
              <w:spacing w:after="0"/>
              <w:rPr>
                <w:sz w:val="20"/>
                <w:szCs w:val="20"/>
                <w:color w:val="auto"/>
              </w:rPr>
            </w:pPr>
          </w:p>
        </w:tc>
        <w:tc>
          <w:tcPr>
            <w:tcW w:w="9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$29,950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64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540" w:type="dxa"/>
            <w:vAlign w:val="bottom"/>
            <w:gridSpan w:val="2"/>
          </w:tcPr>
          <w:p>
            <w:pPr>
              <w:jc w:val="right"/>
              <w:ind w:right="510"/>
              <w:spacing w:after="0" w:line="203" w:lineRule="exact"/>
              <w:rPr>
                <w:sz w:val="20"/>
                <w:szCs w:val="20"/>
                <w:color w:val="auto"/>
              </w:rPr>
            </w:pPr>
            <w:r>
              <w:rPr>
                <w:rFonts w:ascii="Arial" w:cs="Arial" w:eastAsia="Arial" w:hAnsi="Arial"/>
                <w:sz w:val="18"/>
                <w:szCs w:val="18"/>
                <w:color w:val="auto"/>
              </w:rPr>
              <w:t>2014</w:t>
            </w:r>
          </w:p>
        </w:tc>
        <w:tc>
          <w:tcPr>
            <w:tcW w:w="2480" w:type="dxa"/>
            <w:vAlign w:val="bottom"/>
            <w:gridSpan w:val="2"/>
          </w:tcPr>
          <w:p>
            <w:pPr>
              <w:jc w:val="right"/>
              <w:ind w:right="49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$195,461</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147,483</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163,547</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121,592</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112,739</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13,666</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9,238</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487,440</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522,484</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408,096</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418,830</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Intangibles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443</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74,022</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78,890</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110,609</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119,612</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31,331</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26,456</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line="197" w:lineRule="exact"/>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$1,111,941</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$1,166,888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$551</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32,211</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36,397</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100,809</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112,331</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Income taxes payable and deferred</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5,898</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139,484</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158,508</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283,100</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96,991</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106,014</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Deferred taxes and other credits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52,895</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54,476</w:t>
            </w:r>
          </w:p>
        </w:tc>
        <w:tc>
          <w:tcPr>
            <w:tcW w:w="0" w:type="dxa"/>
            <w:vAlign w:val="bottom"/>
          </w:tcPr>
          <w:p>
            <w:pPr>
              <w:spacing w:after="0"/>
              <w:rPr>
                <w:sz w:val="1"/>
                <w:szCs w:val="1"/>
                <w:color w:val="auto"/>
              </w:rPr>
            </w:pPr>
          </w:p>
        </w:tc>
      </w:tr>
      <w:tr>
        <w:trPr>
          <w:trHeight w:val="196"/>
        </w:trPr>
        <w:tc>
          <w:tcPr>
            <w:tcW w:w="640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7"/>
                <w:szCs w:val="17"/>
                <w:color w:val="auto"/>
              </w:rPr>
            </w:pP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572,470</w:t>
            </w:r>
          </w:p>
        </w:tc>
        <w:tc>
          <w:tcPr>
            <w:tcW w:w="900" w:type="dxa"/>
            <w:vAlign w:val="bottom"/>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619,109</w:t>
            </w:r>
          </w:p>
        </w:tc>
        <w:tc>
          <w:tcPr>
            <w:tcW w:w="0" w:type="dxa"/>
            <w:vAlign w:val="bottom"/>
          </w:tcPr>
          <w:p>
            <w:pPr>
              <w:spacing w:after="0"/>
              <w:rPr>
                <w:sz w:val="1"/>
                <w:szCs w:val="1"/>
                <w:color w:val="auto"/>
              </w:rPr>
            </w:pPr>
          </w:p>
        </w:tc>
      </w:tr>
      <w:tr>
        <w:trPr>
          <w:trHeight w:val="398"/>
        </w:trPr>
        <w:tc>
          <w:tcPr>
            <w:tcW w:w="6400" w:type="dxa"/>
            <w:vAlign w:val="bottom"/>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0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100,000,000 shares; issued</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3" w:lineRule="exact"/>
              <w:rPr>
                <w:sz w:val="20"/>
                <w:szCs w:val="20"/>
                <w:color w:val="auto"/>
              </w:rPr>
            </w:pPr>
            <w:r>
              <w:rPr>
                <w:rFonts w:ascii="Arial" w:cs="Arial" w:eastAsia="Arial" w:hAnsi="Arial"/>
                <w:sz w:val="18"/>
                <w:szCs w:val="18"/>
                <w:color w:val="auto"/>
              </w:rPr>
              <w:t>37,076,689 in 2014 and 36,997,277 in 2013</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37</w:t>
            </w:r>
          </w:p>
        </w:tc>
        <w:tc>
          <w:tcPr>
            <w:tcW w:w="2480" w:type="dxa"/>
            <w:vAlign w:val="bottom"/>
            <w:gridSpan w:val="2"/>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3" w:lineRule="exact"/>
              <w:rPr>
                <w:sz w:val="20"/>
                <w:szCs w:val="20"/>
                <w:color w:val="auto"/>
              </w:rPr>
            </w:pPr>
            <w:r>
              <w:rPr>
                <w:rFonts w:ascii="Arial" w:cs="Arial" w:eastAsia="Arial" w:hAnsi="Arial"/>
                <w:sz w:val="18"/>
                <w:szCs w:val="18"/>
                <w:color w:val="auto"/>
              </w:rPr>
              <w:t>outstanding 3,235,048 in 2014 and 2013</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248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418,546</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416,728</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Retained earnings</w:t>
            </w:r>
          </w:p>
        </w:tc>
        <w:tc>
          <w:tcPr>
            <w:tcW w:w="25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453,286</w:t>
            </w:r>
          </w:p>
        </w:tc>
        <w:tc>
          <w:tcPr>
            <w:tcW w:w="248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434,598</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(30,841)</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(46,964)</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(48,383)</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(634)</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Treasury stock (Class A), at cost 8,459,498 shares</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8"/>
                <w:szCs w:val="18"/>
                <w:color w:val="auto"/>
              </w:rPr>
              <w:t>in 2014 and 8,463,635 in 2013</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(257,481)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(257,571)</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535,952</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544,297</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3,519</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539,471</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547,779</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$1,111,941</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$1,166,888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5260" w:type="dxa"/>
            <w:vAlign w:val="bottom"/>
          </w:tcPr>
          <w:p>
            <w:pPr>
              <w:spacing w:after="0"/>
              <w:rPr>
                <w:sz w:val="17"/>
                <w:szCs w:val="17"/>
                <w:color w:val="auto"/>
              </w:rPr>
            </w:pPr>
          </w:p>
        </w:tc>
        <w:tc>
          <w:tcPr>
            <w:tcW w:w="3040" w:type="dxa"/>
            <w:vAlign w:val="bottom"/>
            <w:gridSpan w:val="4"/>
          </w:tcPr>
          <w:p>
            <w:pPr>
              <w:jc w:val="center"/>
              <w:ind w:right="1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03"/>
        </w:trPr>
        <w:tc>
          <w:tcPr>
            <w:tcW w:w="2180" w:type="dxa"/>
            <w:vAlign w:val="bottom"/>
            <w:gridSpan w:val="3"/>
          </w:tcPr>
          <w:p>
            <w:pPr>
              <w:jc w:val="center"/>
              <w:ind w:left="870"/>
              <w:spacing w:after="0" w:line="202" w:lineRule="exact"/>
              <w:rPr>
                <w:sz w:val="20"/>
                <w:szCs w:val="20"/>
                <w:color w:val="auto"/>
              </w:rPr>
            </w:pPr>
            <w:r>
              <w:rPr>
                <w:rFonts w:ascii="Arial" w:cs="Arial" w:eastAsia="Arial" w:hAnsi="Arial"/>
                <w:sz w:val="18"/>
                <w:szCs w:val="18"/>
                <w:color w:val="auto"/>
                <w:w w:val="99"/>
              </w:rPr>
              <w:t>September 30,</w:t>
            </w: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120" w:type="dxa"/>
            <w:vAlign w:val="bottom"/>
            <w:gridSpan w:val="3"/>
          </w:tcPr>
          <w:p>
            <w:pPr>
              <w:jc w:val="center"/>
              <w:ind w:left="730"/>
              <w:spacing w:after="0" w:line="202" w:lineRule="exact"/>
              <w:rPr>
                <w:sz w:val="20"/>
                <w:szCs w:val="20"/>
                <w:color w:val="auto"/>
              </w:rPr>
            </w:pPr>
            <w:r>
              <w:rPr>
                <w:rFonts w:ascii="Arial" w:cs="Arial" w:eastAsia="Arial" w:hAnsi="Arial"/>
                <w:sz w:val="18"/>
                <w:szCs w:val="18"/>
                <w:color w:val="auto"/>
                <w:w w:val="99"/>
              </w:rPr>
              <w:t>September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2014</w:t>
            </w:r>
          </w:p>
        </w:tc>
        <w:tc>
          <w:tcPr>
            <w:tcW w:w="3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2013</w:t>
            </w:r>
          </w:p>
        </w:tc>
        <w:tc>
          <w:tcPr>
            <w:tcW w:w="5260" w:type="dxa"/>
            <w:vAlign w:val="bottom"/>
            <w:vMerge w:val="restart"/>
          </w:tcPr>
          <w:p>
            <w:pPr>
              <w:ind w:left="340"/>
              <w:spacing w:after="0"/>
              <w:rPr>
                <w:sz w:val="20"/>
                <w:szCs w:val="20"/>
                <w:color w:val="auto"/>
              </w:rPr>
            </w:pPr>
            <w:r>
              <w:rPr>
                <w:rFonts w:ascii="Arial" w:cs="Arial" w:eastAsia="Arial" w:hAnsi="Arial"/>
                <w:sz w:val="18"/>
                <w:szCs w:val="18"/>
                <w:color w:val="auto"/>
              </w:rPr>
              <w:t>OPERATING ACTIVITIES</w:t>
            </w: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2014</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$11,774</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$4,698</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$33,644</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by operating activities: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13,737</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14,230</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Depreciation</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42,120</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42,868</w:t>
            </w:r>
          </w:p>
        </w:tc>
        <w:tc>
          <w:tcPr>
            <w:tcW w:w="0" w:type="dxa"/>
            <w:vAlign w:val="bottom"/>
          </w:tcPr>
          <w:p>
            <w:pPr>
              <w:spacing w:after="0"/>
              <w:rPr>
                <w:sz w:val="1"/>
                <w:szCs w:val="1"/>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1,999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1,567</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Amortization</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5,621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660"/>
              <w:spacing w:after="0" w:line="201" w:lineRule="exact"/>
              <w:rPr>
                <w:sz w:val="20"/>
                <w:szCs w:val="20"/>
                <w:color w:val="auto"/>
              </w:rPr>
            </w:pPr>
            <w:r>
              <w:rPr>
                <w:rFonts w:ascii="Arial" w:cs="Arial" w:eastAsia="Arial" w:hAnsi="Arial"/>
                <w:sz w:val="18"/>
                <w:szCs w:val="18"/>
                <w:color w:val="auto"/>
              </w:rPr>
              <w:t>Change in long-term liabilities, deferred taxes and</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(2,637)</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(283)</w:t>
            </w:r>
          </w:p>
        </w:tc>
        <w:tc>
          <w:tcPr>
            <w:tcW w:w="5260" w:type="dxa"/>
            <w:vAlign w:val="bottom"/>
            <w:shd w:val="clear" w:color="auto" w:fill="BFBFBF"/>
          </w:tcPr>
          <w:p>
            <w:pPr>
              <w:ind w:left="660"/>
              <w:spacing w:after="0" w:line="203" w:lineRule="exact"/>
              <w:rPr>
                <w:sz w:val="20"/>
                <w:szCs w:val="20"/>
                <w:color w:val="auto"/>
              </w:rPr>
            </w:pPr>
            <w:r>
              <w:rPr>
                <w:rFonts w:ascii="Arial" w:cs="Arial" w:eastAsia="Arial" w:hAnsi="Arial"/>
                <w:sz w:val="18"/>
                <w:szCs w:val="18"/>
                <w:color w:val="auto"/>
              </w:rPr>
              <w:t>other credits</w:t>
            </w:r>
          </w:p>
        </w:tc>
        <w:tc>
          <w:tcPr>
            <w:tcW w:w="136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95</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ind w:left="660"/>
              <w:spacing w:after="0" w:line="201" w:lineRule="exact"/>
              <w:rPr>
                <w:sz w:val="20"/>
                <w:szCs w:val="20"/>
                <w:color w:val="auto"/>
              </w:rPr>
            </w:pPr>
            <w:r>
              <w:rPr>
                <w:rFonts w:ascii="Arial" w:cs="Arial" w:eastAsia="Arial" w:hAnsi="Arial"/>
                <w:sz w:val="18"/>
                <w:szCs w:val="18"/>
                <w:color w:val="auto"/>
              </w:rPr>
              <w:t>Provision for write-off of property, plant and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557</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264</w:t>
            </w:r>
          </w:p>
        </w:tc>
        <w:tc>
          <w:tcPr>
            <w:tcW w:w="5260" w:type="dxa"/>
            <w:vAlign w:val="bottom"/>
          </w:tcPr>
          <w:p>
            <w:pPr>
              <w:ind w:left="660"/>
              <w:spacing w:after="0" w:line="203" w:lineRule="exact"/>
              <w:rPr>
                <w:sz w:val="20"/>
                <w:szCs w:val="20"/>
                <w:color w:val="auto"/>
              </w:rPr>
            </w:pPr>
            <w:r>
              <w:rPr>
                <w:rFonts w:ascii="Arial" w:cs="Arial" w:eastAsia="Arial" w:hAnsi="Arial"/>
                <w:sz w:val="18"/>
                <w:szCs w:val="18"/>
                <w:color w:val="auto"/>
              </w:rPr>
              <w:t>equipment</w:t>
            </w:r>
          </w:p>
        </w:tc>
        <w:tc>
          <w:tcPr>
            <w:tcW w:w="13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1,286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660"/>
              <w:spacing w:after="0" w:line="201" w:lineRule="exact"/>
              <w:rPr>
                <w:sz w:val="20"/>
                <w:szCs w:val="20"/>
                <w:color w:val="auto"/>
              </w:rPr>
            </w:pPr>
            <w:r>
              <w:rPr>
                <w:rFonts w:ascii="Arial" w:cs="Arial" w:eastAsia="Arial" w:hAnsi="Arial"/>
                <w:sz w:val="18"/>
                <w:szCs w:val="18"/>
                <w:color w:val="auto"/>
              </w:rPr>
              <w:t>Gain on disposition or involuntary conversion of</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660"/>
              <w:spacing w:after="0" w:line="203" w:lineRule="exact"/>
              <w:rPr>
                <w:sz w:val="20"/>
                <w:szCs w:val="20"/>
                <w:color w:val="auto"/>
              </w:rPr>
            </w:pPr>
            <w:r>
              <w:rPr>
                <w:rFonts w:ascii="Arial" w:cs="Arial" w:eastAsia="Arial" w:hAnsi="Arial"/>
                <w:sz w:val="18"/>
                <w:szCs w:val="18"/>
                <w:color w:val="auto"/>
              </w:rPr>
              <w:t>assets</w:t>
            </w:r>
          </w:p>
        </w:tc>
        <w:tc>
          <w:tcPr>
            <w:tcW w:w="13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(961)</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660"/>
              <w:spacing w:after="0" w:line="201" w:lineRule="exact"/>
              <w:rPr>
                <w:sz w:val="20"/>
                <w:szCs w:val="20"/>
                <w:color w:val="auto"/>
              </w:rPr>
            </w:pPr>
            <w:r>
              <w:rPr>
                <w:rFonts w:ascii="Arial" w:cs="Arial" w:eastAsia="Arial" w:hAnsi="Arial"/>
                <w:sz w:val="18"/>
                <w:szCs w:val="18"/>
                <w:color w:val="auto"/>
              </w:rPr>
              <w:t>Compensation and benefits paid or payable in Class</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213</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287</w:t>
            </w:r>
          </w:p>
        </w:tc>
        <w:tc>
          <w:tcPr>
            <w:tcW w:w="5260" w:type="dxa"/>
            <w:vAlign w:val="bottom"/>
            <w:shd w:val="clear" w:color="auto" w:fill="BFBFBF"/>
          </w:tcPr>
          <w:p>
            <w:pPr>
              <w:ind w:left="660"/>
              <w:spacing w:after="0" w:line="203" w:lineRule="exact"/>
              <w:rPr>
                <w:sz w:val="20"/>
                <w:szCs w:val="20"/>
                <w:color w:val="auto"/>
              </w:rPr>
            </w:pPr>
            <w:r>
              <w:rPr>
                <w:rFonts w:ascii="Arial" w:cs="Arial" w:eastAsia="Arial" w:hAnsi="Arial"/>
                <w:sz w:val="18"/>
                <w:szCs w:val="18"/>
                <w:color w:val="auto"/>
              </w:rPr>
              <w:t>A Common Stock</w:t>
            </w:r>
          </w:p>
        </w:tc>
        <w:tc>
          <w:tcPr>
            <w:tcW w:w="136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1,160</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404"/>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that</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provide/(use) cash, net of business divestitures: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(4,368)</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5,759</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9,929</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290</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Inventories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(12,238)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661</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327</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275</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129</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Income taxes prepaid and receivable</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(2,128)</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4,516</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(2,867)</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4,414</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4,076</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Accrued liabilities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(8,265)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1,819</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(4,101)</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Income taxes payable</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760</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5260" w:type="dxa"/>
            <w:vAlign w:val="bottom"/>
            <w:tcBorders>
              <w:bottom w:val="single" w:sz="8" w:color="BFBFBF"/>
            </w:tcBorders>
          </w:tcPr>
          <w:p>
            <w:pPr>
              <w:ind w:left="660"/>
              <w:spacing w:after="0"/>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22,463</w:t>
            </w:r>
          </w:p>
        </w:tc>
        <w:tc>
          <w:tcPr>
            <w:tcW w:w="36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4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30,746</w:t>
            </w:r>
          </w:p>
        </w:tc>
        <w:tc>
          <w:tcPr>
            <w:tcW w:w="5260" w:type="dxa"/>
            <w:vAlign w:val="bottom"/>
            <w:shd w:val="clear" w:color="auto" w:fill="BFBFBF"/>
          </w:tcPr>
          <w:p>
            <w:pPr>
              <w:ind w:left="6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64,000</w:t>
            </w:r>
          </w:p>
        </w:tc>
        <w:tc>
          <w:tcPr>
            <w:tcW w:w="32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2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63,054</w:t>
            </w:r>
          </w:p>
        </w:tc>
        <w:tc>
          <w:tcPr>
            <w:tcW w:w="0" w:type="dxa"/>
            <w:vAlign w:val="bottom"/>
          </w:tcPr>
          <w:p>
            <w:pPr>
              <w:spacing w:after="0"/>
              <w:rPr>
                <w:sz w:val="1"/>
                <w:szCs w:val="1"/>
                <w:color w:val="auto"/>
              </w:rPr>
            </w:pPr>
          </w:p>
        </w:tc>
      </w:tr>
      <w:tr>
        <w:trPr>
          <w:trHeight w:val="399"/>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(18,704)</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(18,378)</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(46,106)</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Purchased software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660"/>
              <w:spacing w:after="0" w:line="201" w:lineRule="exact"/>
              <w:rPr>
                <w:sz w:val="20"/>
                <w:szCs w:val="20"/>
                <w:color w:val="auto"/>
              </w:rPr>
            </w:pPr>
            <w:r>
              <w:rPr>
                <w:rFonts w:ascii="Arial" w:cs="Arial" w:eastAsia="Arial" w:hAnsi="Arial"/>
                <w:sz w:val="18"/>
                <w:szCs w:val="18"/>
                <w:color w:val="auto"/>
              </w:rPr>
              <w:t>Proceeds from sale or involuntary conversion of</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660"/>
              <w:spacing w:after="0" w:line="203" w:lineRule="exact"/>
              <w:rPr>
                <w:sz w:val="20"/>
                <w:szCs w:val="20"/>
                <w:color w:val="auto"/>
              </w:rPr>
            </w:pPr>
            <w:r>
              <w:rPr>
                <w:rFonts w:ascii="Arial" w:cs="Arial" w:eastAsia="Arial" w:hAnsi="Arial"/>
                <w:sz w:val="18"/>
                <w:szCs w:val="18"/>
                <w:color w:val="auto"/>
              </w:rPr>
              <w:t>assets</w:t>
            </w:r>
          </w:p>
        </w:tc>
        <w:tc>
          <w:tcPr>
            <w:tcW w:w="136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961</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ind w:left="660"/>
              <w:spacing w:after="0" w:line="201" w:lineRule="exact"/>
              <w:rPr>
                <w:sz w:val="20"/>
                <w:szCs w:val="20"/>
                <w:color w:val="auto"/>
              </w:rPr>
            </w:pPr>
            <w:r>
              <w:rPr>
                <w:rFonts w:ascii="Arial" w:cs="Arial" w:eastAsia="Arial" w:hAnsi="Arial"/>
                <w:sz w:val="18"/>
                <w:szCs w:val="18"/>
                <w:color w:val="auto"/>
              </w:rPr>
              <w:t>Proceeds from sale of discontinued operations, net of</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13,000</w:t>
            </w:r>
          </w:p>
        </w:tc>
        <w:tc>
          <w:tcPr>
            <w:tcW w:w="5260" w:type="dxa"/>
            <w:vAlign w:val="bottom"/>
            <w:tcBorders>
              <w:bottom w:val="single" w:sz="8" w:color="BFBFBF"/>
            </w:tcBorders>
          </w:tcPr>
          <w:p>
            <w:pPr>
              <w:ind w:left="660"/>
              <w:spacing w:after="0"/>
              <w:rPr>
                <w:sz w:val="20"/>
                <w:szCs w:val="20"/>
                <w:color w:val="auto"/>
              </w:rPr>
            </w:pPr>
            <w:r>
              <w:rPr>
                <w:rFonts w:ascii="Arial" w:cs="Arial" w:eastAsia="Arial" w:hAnsi="Arial"/>
                <w:sz w:val="18"/>
                <w:szCs w:val="18"/>
                <w:color w:val="auto"/>
              </w:rPr>
              <w:t>expenses</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(18,893)</w:t>
            </w:r>
          </w:p>
        </w:tc>
        <w:tc>
          <w:tcPr>
            <w:tcW w:w="36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(6,106)</w:t>
            </w:r>
          </w:p>
        </w:tc>
        <w:tc>
          <w:tcPr>
            <w:tcW w:w="5260" w:type="dxa"/>
            <w:vAlign w:val="bottom"/>
            <w:shd w:val="clear" w:color="auto" w:fill="BFBFBF"/>
          </w:tcPr>
          <w:p>
            <w:pPr>
              <w:ind w:left="660"/>
              <w:spacing w:after="0" w:line="196" w:lineRule="exact"/>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(45,649)</w:t>
            </w:r>
          </w:p>
        </w:tc>
        <w:tc>
          <w:tcPr>
            <w:tcW w:w="32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(28,294)</w:t>
            </w:r>
          </w:p>
        </w:tc>
        <w:tc>
          <w:tcPr>
            <w:tcW w:w="0" w:type="dxa"/>
            <w:vAlign w:val="bottom"/>
          </w:tcPr>
          <w:p>
            <w:pPr>
              <w:spacing w:after="0"/>
              <w:rPr>
                <w:sz w:val="1"/>
                <w:szCs w:val="1"/>
                <w:color w:val="auto"/>
              </w:rPr>
            </w:pPr>
          </w:p>
        </w:tc>
      </w:tr>
      <w:tr>
        <w:trPr>
          <w:trHeight w:val="399"/>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5,420</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5,271</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10,090</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(6,815)</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(18,562)</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Principal payments on debt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(30,924)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(69,221)</w:t>
            </w: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223</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1,661</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Proceeds from options exercised</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610</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03"/>
        </w:trPr>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420</w:t>
            </w:r>
          </w:p>
        </w:tc>
        <w:tc>
          <w:tcPr>
            <w:tcW w:w="5260" w:type="dxa"/>
            <w:vAlign w:val="bottom"/>
          </w:tcPr>
          <w:p>
            <w:pPr>
              <w:ind w:left="6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BFBFBF"/>
          </w:tcPr>
          <w:p>
            <w:pPr>
              <w:ind w:left="660"/>
              <w:spacing w:after="0" w:line="202" w:lineRule="exact"/>
              <w:rPr>
                <w:sz w:val="20"/>
                <w:szCs w:val="20"/>
                <w:color w:val="auto"/>
              </w:rPr>
            </w:pPr>
            <w:r>
              <w:rPr>
                <w:rFonts w:ascii="Arial" w:cs="Arial" w:eastAsia="Arial" w:hAnsi="Arial"/>
                <w:sz w:val="18"/>
                <w:szCs w:val="18"/>
                <w:color w:val="auto"/>
              </w:rPr>
              <w:t>Debt acquisition costs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5260" w:type="dxa"/>
            <w:vAlign w:val="bottom"/>
            <w:tcBorders>
              <w:bottom w:val="single" w:sz="8" w:color="BFBFBF"/>
            </w:tcBorders>
          </w:tcPr>
          <w:p>
            <w:pPr>
              <w:ind w:left="660"/>
              <w:spacing w:after="0"/>
              <w:rPr>
                <w:sz w:val="20"/>
                <w:szCs w:val="20"/>
                <w:color w:val="auto"/>
              </w:rPr>
            </w:pPr>
            <w:r>
              <w:rPr>
                <w:rFonts w:ascii="Arial" w:cs="Arial" w:eastAsia="Arial" w:hAnsi="Arial"/>
                <w:sz w:val="18"/>
                <w:szCs w:val="18"/>
                <w:color w:val="auto"/>
              </w:rPr>
              <w:t>Dividends paid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(6,250)</w:t>
            </w:r>
          </w:p>
        </w:tc>
        <w:tc>
          <w:tcPr>
            <w:tcW w:w="36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4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(15,957)</w:t>
            </w:r>
          </w:p>
        </w:tc>
        <w:tc>
          <w:tcPr>
            <w:tcW w:w="5260" w:type="dxa"/>
            <w:vAlign w:val="bottom"/>
            <w:shd w:val="clear" w:color="auto" w:fill="BFBFBF"/>
          </w:tcPr>
          <w:p>
            <w:pPr>
              <w:ind w:left="660"/>
              <w:spacing w:after="0" w:line="196" w:lineRule="exact"/>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(34,696)</w:t>
            </w:r>
          </w:p>
        </w:tc>
        <w:tc>
          <w:tcPr>
            <w:tcW w:w="32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92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spacing w:after="0"/>
              <w:rPr>
                <w:sz w:val="17"/>
                <w:szCs w:val="17"/>
                <w:color w:val="auto"/>
              </w:rPr>
            </w:pPr>
          </w:p>
        </w:tc>
        <w:tc>
          <w:tcPr>
            <w:tcW w:w="5260" w:type="dxa"/>
            <w:vAlign w:val="bottom"/>
            <w:shd w:val="clear" w:color="auto" w:fill="BFBFBF"/>
          </w:tcPr>
          <w:p>
            <w:pPr>
              <w:ind w:left="340"/>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1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(8,695)</w:t>
            </w:r>
          </w:p>
        </w:tc>
        <w:tc>
          <w:tcPr>
            <w:tcW w:w="360" w:type="dxa"/>
            <w:vAlign w:val="bottom"/>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6,805</w:t>
            </w:r>
          </w:p>
        </w:tc>
        <w:tc>
          <w:tcPr>
            <w:tcW w:w="5260" w:type="dxa"/>
            <w:vAlign w:val="bottom"/>
            <w:shd w:val="clear" w:color="auto" w:fill="BFBFBF"/>
          </w:tcPr>
          <w:p>
            <w:pPr>
              <w:ind w:left="340"/>
              <w:spacing w:after="0"/>
              <w:rPr>
                <w:sz w:val="20"/>
                <w:szCs w:val="20"/>
                <w:color w:val="auto"/>
              </w:rPr>
            </w:pPr>
            <w:r>
              <w:rPr>
                <w:rFonts w:ascii="Arial" w:cs="Arial" w:eastAsia="Arial" w:hAnsi="Arial"/>
                <w:sz w:val="18"/>
                <w:szCs w:val="18"/>
                <w:color w:val="auto"/>
              </w:rPr>
              <w:t>equivalents</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(10,860)</w:t>
            </w:r>
          </w:p>
        </w:tc>
        <w:tc>
          <w:tcPr>
            <w:tcW w:w="320" w:type="dxa"/>
            <w:vAlign w:val="bottom"/>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(11,375)</w:t>
            </w:r>
          </w:p>
        </w:tc>
        <w:tc>
          <w:tcPr>
            <w:tcW w:w="36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4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15,488</w:t>
            </w:r>
          </w:p>
        </w:tc>
        <w:tc>
          <w:tcPr>
            <w:tcW w:w="526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(Decrease)/increase in cash and cash equivalents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(27,205)</w:t>
            </w:r>
          </w:p>
        </w:tc>
        <w:tc>
          <w:tcPr>
            <w:tcW w:w="32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206,836</w:t>
            </w:r>
          </w:p>
        </w:tc>
        <w:tc>
          <w:tcPr>
            <w:tcW w:w="36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197,321</w:t>
            </w:r>
          </w:p>
        </w:tc>
        <w:tc>
          <w:tcPr>
            <w:tcW w:w="5260" w:type="dxa"/>
            <w:vAlign w:val="bottom"/>
            <w:tcBorders>
              <w:bottom w:val="single" w:sz="8" w:color="BFBFBF"/>
            </w:tcBorders>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222,666</w:t>
            </w:r>
          </w:p>
        </w:tc>
        <w:tc>
          <w:tcPr>
            <w:tcW w:w="320" w:type="dxa"/>
            <w:vAlign w:val="bottom"/>
            <w:tcBorders>
              <w:bottom w:val="single" w:sz="8" w:color="BFBFB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$195,461</w:t>
            </w:r>
          </w:p>
        </w:tc>
        <w:tc>
          <w:tcPr>
            <w:tcW w:w="360" w:type="dxa"/>
            <w:vAlign w:val="bottom"/>
            <w:tcBorders>
              <w:bottom w:val="single" w:sz="8" w:color="BFBFBF"/>
            </w:tcBorders>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4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$212,809</w:t>
            </w:r>
          </w:p>
        </w:tc>
        <w:tc>
          <w:tcPr>
            <w:tcW w:w="5260" w:type="dxa"/>
            <w:vAlign w:val="bottom"/>
            <w:tcBorders>
              <w:bottom w:val="single" w:sz="8" w:color="BFBFBF"/>
            </w:tcBorders>
            <w:shd w:val="clear" w:color="auto" w:fill="BFBFBF"/>
          </w:tcPr>
          <w:p>
            <w:pPr>
              <w:ind w:left="340"/>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$195,461</w:t>
            </w:r>
          </w:p>
        </w:tc>
        <w:tc>
          <w:tcPr>
            <w:tcW w:w="320" w:type="dxa"/>
            <w:vAlign w:val="bottom"/>
            <w:tcBorders>
              <w:bottom w:val="single" w:sz="8" w:color="BFBFBF"/>
            </w:tcBorders>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$212,809</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1"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color w:val="auto"/>
        </w:rPr>
        <w:t>ALBANY INTERNATIONAL CORP.</w:t>
      </w:r>
    </w:p>
    <w:p>
      <w:pPr>
        <w:jc w:val="center"/>
        <w:ind w:right="-11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20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2013.</w:t>
      </w:r>
    </w:p>
    <w:p>
      <w:pPr>
        <w:spacing w:after="0" w:line="168"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93"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65"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701" w:right="3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25"/>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2014</w:t>
            </w:r>
          </w:p>
        </w:tc>
      </w:tr>
      <w:tr>
        <w:trPr>
          <w:trHeight w:val="195"/>
        </w:trPr>
        <w:tc>
          <w:tcPr>
            <w:tcW w:w="7980" w:type="dxa"/>
            <w:vAlign w:val="bottom"/>
          </w:tcPr>
          <w:p>
            <w:pPr>
              <w:spacing w:after="0" w:line="195" w:lineRule="exact"/>
              <w:rPr>
                <w:sz w:val="20"/>
                <w:szCs w:val="20"/>
                <w:color w:val="auto"/>
              </w:rPr>
            </w:pPr>
            <w:r>
              <w:rPr>
                <w:rFonts w:ascii="Arial" w:cs="Arial" w:eastAsia="Arial" w:hAnsi="Arial"/>
                <w:sz w:val="18"/>
                <w:szCs w:val="18"/>
                <w:color w:val="auto"/>
              </w:rPr>
              <w:t>Net income of ASC</w:t>
            </w:r>
          </w:p>
        </w:tc>
        <w:tc>
          <w:tcPr>
            <w:tcW w:w="34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$679</w:t>
            </w:r>
          </w:p>
        </w:tc>
      </w:tr>
      <w:tr>
        <w:trPr>
          <w:trHeight w:val="203"/>
        </w:trPr>
        <w:tc>
          <w:tcPr>
            <w:tcW w:w="7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Less: Return attributable to the Company's preferred holding</w:t>
            </w:r>
          </w:p>
        </w:tc>
        <w:tc>
          <w:tcPr>
            <w:tcW w:w="34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759</w:t>
            </w:r>
          </w:p>
        </w:tc>
      </w:tr>
      <w:tr>
        <w:trPr>
          <w:trHeight w:val="195"/>
        </w:trPr>
        <w:tc>
          <w:tcPr>
            <w:tcW w:w="7980" w:type="dxa"/>
            <w:vAlign w:val="bottom"/>
          </w:tcPr>
          <w:p>
            <w:pPr>
              <w:spacing w:after="0" w:line="195" w:lineRule="exact"/>
              <w:rPr>
                <w:sz w:val="20"/>
                <w:szCs w:val="20"/>
                <w:color w:val="auto"/>
              </w:rPr>
            </w:pPr>
            <w:r>
              <w:rPr>
                <w:rFonts w:ascii="Arial" w:cs="Arial" w:eastAsia="Arial" w:hAnsi="Arial"/>
                <w:sz w:val="18"/>
                <w:szCs w:val="18"/>
                <w:color w:val="auto"/>
              </w:rPr>
              <w:t>Net loss of ASC available for common ownership</w:t>
            </w:r>
          </w:p>
        </w:tc>
        <w:tc>
          <w:tcPr>
            <w:tcW w:w="3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(80)</w:t>
            </w:r>
          </w:p>
        </w:tc>
      </w:tr>
      <w:tr>
        <w:trPr>
          <w:trHeight w:val="203"/>
        </w:trPr>
        <w:tc>
          <w:tcPr>
            <w:tcW w:w="7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Ownership percentage of noncontrolling shareholder</w:t>
            </w:r>
          </w:p>
        </w:tc>
        <w:tc>
          <w:tcPr>
            <w:tcW w:w="3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r>
      <w:tr>
        <w:trPr>
          <w:trHeight w:val="196"/>
        </w:trPr>
        <w:tc>
          <w:tcPr>
            <w:tcW w:w="7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loss attributable to noncontrolling interest</w:t>
            </w:r>
          </w:p>
        </w:tc>
        <w:tc>
          <w:tcPr>
            <w:tcW w:w="3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w:t>
            </w:r>
          </w:p>
        </w:tc>
      </w:tr>
      <w:tr>
        <w:trPr>
          <w:trHeight w:val="196"/>
        </w:trPr>
        <w:tc>
          <w:tcPr>
            <w:tcW w:w="79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r>
      <w:tr>
        <w:trPr>
          <w:trHeight w:val="195"/>
        </w:trPr>
        <w:tc>
          <w:tcPr>
            <w:tcW w:w="7980" w:type="dxa"/>
            <w:vAlign w:val="bottom"/>
          </w:tcPr>
          <w:p>
            <w:pPr>
              <w:spacing w:after="0" w:line="195" w:lineRule="exact"/>
              <w:rPr>
                <w:sz w:val="20"/>
                <w:szCs w:val="20"/>
                <w:color w:val="auto"/>
              </w:rPr>
            </w:pPr>
            <w:r>
              <w:rPr>
                <w:rFonts w:ascii="Arial" w:cs="Arial" w:eastAsia="Arial" w:hAnsi="Arial"/>
                <w:sz w:val="18"/>
                <w:szCs w:val="18"/>
                <w:color w:val="auto"/>
              </w:rPr>
              <w:t>Noncontrolling interest as of December 31, 2013</w:t>
            </w:r>
          </w:p>
        </w:tc>
        <w:tc>
          <w:tcPr>
            <w:tcW w:w="34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$3,482</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Adjustment to net assets contributed by Albany</w:t>
            </w:r>
          </w:p>
        </w:tc>
        <w:tc>
          <w:tcPr>
            <w:tcW w:w="3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3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r>
      <w:tr>
        <w:trPr>
          <w:trHeight w:val="203"/>
        </w:trPr>
        <w:tc>
          <w:tcPr>
            <w:tcW w:w="7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Changes in other comprehensive income attributable to noncontrolling interest</w:t>
            </w:r>
          </w:p>
        </w:tc>
        <w:tc>
          <w:tcPr>
            <w:tcW w:w="34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7</w:t>
            </w:r>
          </w:p>
        </w:tc>
      </w:tr>
      <w:tr>
        <w:trPr>
          <w:trHeight w:val="196"/>
        </w:trPr>
        <w:tc>
          <w:tcPr>
            <w:tcW w:w="7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as of September 30, 2014</w:t>
            </w:r>
          </w:p>
        </w:tc>
        <w:tc>
          <w:tcPr>
            <w:tcW w:w="34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$3,519</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Effective January 1, 2014, Albany International Corp. (the “Company”) changed its business segment reporting by recasting, for all prior periods, certain expenses previously identified as Research and Unallocated expenses to existing segments. The Company has two reportable segments: Machine Clothing (MC) and Albany Engineered Composites (AEC), and had Research and Unallocated expenses that were not allocated to these segments. Substantially all research and development expenses are now included in segment operating expenses. Prior to this change, Unallocated expenses included long-term incentive compensation for all Company employees. To the extent such programs are related to MC and AEC employees, such expenses are now included in segment operating expenses. Additionally, the amounts previously referred to as “Unallocated expenses,” is now referred to as “Corporate expenses.” These changes are being made to be consistent with how the chief operating decision-maker assesses Company performance. On April 10, 2014, we filed a Form 8-K to show the effect of these changes on previously reported results and, accordingly, the 2013 segment results in this report reflect the effect of this change.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Three months ended</w:t>
            </w:r>
          </w:p>
        </w:tc>
        <w:tc>
          <w:tcPr>
            <w:tcW w:w="300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72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00" w:type="dxa"/>
            <w:vAlign w:val="bottom"/>
          </w:tcPr>
          <w:p>
            <w:pPr>
              <w:spacing w:after="0"/>
              <w:rPr>
                <w:sz w:val="15"/>
                <w:szCs w:val="15"/>
                <w:color w:val="auto"/>
              </w:rPr>
            </w:pPr>
          </w:p>
        </w:tc>
        <w:tc>
          <w:tcPr>
            <w:tcW w:w="21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95"/>
        </w:trPr>
        <w:tc>
          <w:tcPr>
            <w:tcW w:w="44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7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$157,891</w:t>
            </w:r>
          </w:p>
        </w:tc>
        <w:tc>
          <w:tcPr>
            <w:tcW w:w="1300" w:type="dxa"/>
            <w:vAlign w:val="bottom"/>
          </w:tcPr>
          <w:p>
            <w:pPr>
              <w:spacing w:after="0"/>
              <w:rPr>
                <w:sz w:val="16"/>
                <w:szCs w:val="16"/>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$494,788</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2720" w:type="dxa"/>
            <w:vAlign w:val="bottom"/>
            <w:vMerge w:val="continue"/>
          </w:tcPr>
          <w:p>
            <w:pPr>
              <w:spacing w:after="0"/>
              <w:rPr>
                <w:sz w:val="16"/>
                <w:szCs w:val="16"/>
                <w:color w:val="auto"/>
              </w:rPr>
            </w:pPr>
          </w:p>
        </w:tc>
        <w:tc>
          <w:tcPr>
            <w:tcW w:w="13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$162,864</w:t>
            </w:r>
          </w:p>
        </w:tc>
        <w:tc>
          <w:tcPr>
            <w:tcW w:w="2100" w:type="dxa"/>
            <w:vAlign w:val="bottom"/>
            <w:vMerge w:val="continue"/>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$507,809</w:t>
            </w:r>
          </w:p>
        </w:tc>
        <w:tc>
          <w:tcPr>
            <w:tcW w:w="0" w:type="dxa"/>
            <w:vAlign w:val="bottom"/>
          </w:tcPr>
          <w:p>
            <w:pPr>
              <w:spacing w:after="0"/>
              <w:rPr>
                <w:sz w:val="1"/>
                <w:szCs w:val="1"/>
                <w:color w:val="auto"/>
              </w:rPr>
            </w:pPr>
          </w:p>
        </w:tc>
      </w:tr>
      <w:tr>
        <w:trPr>
          <w:trHeight w:val="225"/>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2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21,970</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20,283</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58,898</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59,966</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total</w:t>
            </w:r>
          </w:p>
        </w:tc>
        <w:tc>
          <w:tcPr>
            <w:tcW w:w="2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$179,861</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$183,147</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$553,686</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$567,775</w:t>
            </w:r>
          </w:p>
        </w:tc>
        <w:tc>
          <w:tcPr>
            <w:tcW w:w="0" w:type="dxa"/>
            <w:vAlign w:val="bottom"/>
          </w:tcPr>
          <w:p>
            <w:pPr>
              <w:spacing w:after="0"/>
              <w:rPr>
                <w:sz w:val="1"/>
                <w:szCs w:val="1"/>
                <w:color w:val="auto"/>
              </w:rPr>
            </w:pPr>
          </w:p>
        </w:tc>
      </w:tr>
      <w:tr>
        <w:trPr>
          <w:trHeight w:val="195"/>
        </w:trPr>
        <w:tc>
          <w:tcPr>
            <w:tcW w:w="44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w:t>
            </w:r>
          </w:p>
        </w:tc>
        <w:tc>
          <w:tcPr>
            <w:tcW w:w="27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$33,308</w:t>
            </w:r>
          </w:p>
        </w:tc>
        <w:tc>
          <w:tcPr>
            <w:tcW w:w="1300" w:type="dxa"/>
            <w:vAlign w:val="bottom"/>
          </w:tcPr>
          <w:p>
            <w:pPr>
              <w:spacing w:after="0"/>
              <w:rPr>
                <w:sz w:val="16"/>
                <w:szCs w:val="16"/>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$103,329</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0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720" w:type="dxa"/>
            <w:vAlign w:val="bottom"/>
            <w:vMerge w:val="continue"/>
          </w:tcPr>
          <w:p>
            <w:pPr>
              <w:spacing w:after="0"/>
              <w:rPr>
                <w:sz w:val="15"/>
                <w:szCs w:val="15"/>
                <w:color w:val="auto"/>
              </w:rPr>
            </w:pPr>
          </w:p>
        </w:tc>
        <w:tc>
          <w:tcPr>
            <w:tcW w:w="130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$27,910</w:t>
            </w:r>
          </w:p>
        </w:tc>
        <w:tc>
          <w:tcPr>
            <w:tcW w:w="2100" w:type="dxa"/>
            <w:vAlign w:val="bottom"/>
            <w:vMerge w:val="continue"/>
          </w:tcPr>
          <w:p>
            <w:pPr>
              <w:spacing w:after="0"/>
              <w:rPr>
                <w:sz w:val="15"/>
                <w:szCs w:val="15"/>
                <w:color w:val="auto"/>
              </w:rPr>
            </w:pP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$80,287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2720" w:type="dxa"/>
            <w:vAlign w:val="bottom"/>
          </w:tcPr>
          <w:p>
            <w:pPr>
              <w:jc w:val="right"/>
              <w:ind w:right="770"/>
              <w:spacing w:after="0"/>
              <w:rPr>
                <w:sz w:val="20"/>
                <w:szCs w:val="20"/>
                <w:color w:val="auto"/>
              </w:rPr>
            </w:pPr>
            <w:r>
              <w:rPr>
                <w:rFonts w:ascii="Arial" w:cs="Arial" w:eastAsia="Arial" w:hAnsi="Arial"/>
                <w:sz w:val="18"/>
                <w:szCs w:val="18"/>
                <w:b w:val="1"/>
                <w:bCs w:val="1"/>
                <w:color w:val="auto"/>
              </w:rPr>
              <w:t>(2,765)</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(3,951)</w:t>
            </w:r>
          </w:p>
        </w:tc>
        <w:tc>
          <w:tcPr>
            <w:tcW w:w="2100" w:type="dxa"/>
            <w:vAlign w:val="bottom"/>
          </w:tcPr>
          <w:p>
            <w:pPr>
              <w:jc w:val="right"/>
              <w:ind w:right="750"/>
              <w:spacing w:after="0"/>
              <w:rPr>
                <w:sz w:val="20"/>
                <w:szCs w:val="20"/>
                <w:color w:val="auto"/>
              </w:rPr>
            </w:pPr>
            <w:r>
              <w:rPr>
                <w:rFonts w:ascii="Arial" w:cs="Arial" w:eastAsia="Arial" w:hAnsi="Arial"/>
                <w:sz w:val="18"/>
                <w:szCs w:val="18"/>
                <w:b w:val="1"/>
                <w:bCs w:val="1"/>
                <w:color w:val="auto"/>
              </w:rPr>
              <w:t>(9,785)</w:t>
            </w:r>
          </w:p>
        </w:tc>
        <w:tc>
          <w:tcPr>
            <w:tcW w:w="900" w:type="dxa"/>
            <w:vAlign w:val="bottom"/>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25"/>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(11,385)</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(10,704)</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(34,808)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195"/>
        </w:trPr>
        <w:tc>
          <w:tcPr>
            <w:tcW w:w="440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 before reconciling items</w:t>
            </w:r>
          </w:p>
        </w:tc>
        <w:tc>
          <w:tcPr>
            <w:tcW w:w="2720" w:type="dxa"/>
            <w:vAlign w:val="bottom"/>
          </w:tcPr>
          <w:p>
            <w:pPr>
              <w:jc w:val="right"/>
              <w:ind w:right="830"/>
              <w:spacing w:after="0" w:line="195" w:lineRule="exact"/>
              <w:rPr>
                <w:sz w:val="20"/>
                <w:szCs w:val="20"/>
                <w:color w:val="auto"/>
              </w:rPr>
            </w:pPr>
            <w:r>
              <w:rPr>
                <w:rFonts w:ascii="Arial" w:cs="Arial" w:eastAsia="Arial" w:hAnsi="Arial"/>
                <w:sz w:val="18"/>
                <w:szCs w:val="18"/>
                <w:b w:val="1"/>
                <w:bCs w:val="1"/>
                <w:color w:val="auto"/>
              </w:rPr>
              <w:t>19,158</w:t>
            </w:r>
          </w:p>
        </w:tc>
        <w:tc>
          <w:tcPr>
            <w:tcW w:w="13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13,255</w:t>
            </w:r>
          </w:p>
        </w:tc>
        <w:tc>
          <w:tcPr>
            <w:tcW w:w="2100" w:type="dxa"/>
            <w:vAlign w:val="bottom"/>
          </w:tcPr>
          <w:p>
            <w:pPr>
              <w:jc w:val="right"/>
              <w:ind w:right="810"/>
              <w:spacing w:after="0" w:line="195" w:lineRule="exact"/>
              <w:rPr>
                <w:sz w:val="20"/>
                <w:szCs w:val="20"/>
                <w:color w:val="auto"/>
              </w:rPr>
            </w:pPr>
            <w:r>
              <w:rPr>
                <w:rFonts w:ascii="Arial" w:cs="Arial" w:eastAsia="Arial" w:hAnsi="Arial"/>
                <w:sz w:val="18"/>
                <w:szCs w:val="18"/>
                <w:b w:val="1"/>
                <w:bCs w:val="1"/>
                <w:color w:val="auto"/>
              </w:rPr>
              <w:t>58,736</w:t>
            </w: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32,260</w:t>
            </w: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7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(527)</w:t>
            </w:r>
          </w:p>
        </w:tc>
        <w:tc>
          <w:tcPr>
            <w:tcW w:w="1300" w:type="dxa"/>
            <w:vAlign w:val="bottom"/>
          </w:tcPr>
          <w:p>
            <w:pPr>
              <w:spacing w:after="0"/>
              <w:rPr>
                <w:sz w:val="17"/>
                <w:szCs w:val="17"/>
                <w:color w:val="auto"/>
              </w:rPr>
            </w:pPr>
          </w:p>
        </w:tc>
        <w:tc>
          <w:tcPr>
            <w:tcW w:w="21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(1,079)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tcPr>
          <w:p>
            <w:pPr>
              <w:ind w:left="140"/>
              <w:spacing w:after="0" w:line="181" w:lineRule="exact"/>
              <w:rPr>
                <w:sz w:val="20"/>
                <w:szCs w:val="20"/>
                <w:color w:val="auto"/>
              </w:rPr>
            </w:pPr>
            <w:r>
              <w:rPr>
                <w:rFonts w:ascii="Arial" w:cs="Arial" w:eastAsia="Arial" w:hAnsi="Arial"/>
                <w:sz w:val="18"/>
                <w:szCs w:val="18"/>
                <w:color w:val="auto"/>
              </w:rPr>
              <w:t>Interest income</w:t>
            </w:r>
          </w:p>
        </w:tc>
        <w:tc>
          <w:tcPr>
            <w:tcW w:w="2720" w:type="dxa"/>
            <w:vAlign w:val="bottom"/>
            <w:vMerge w:val="continue"/>
          </w:tcPr>
          <w:p>
            <w:pPr>
              <w:spacing w:after="0"/>
              <w:rPr>
                <w:sz w:val="15"/>
                <w:szCs w:val="15"/>
                <w:color w:val="auto"/>
              </w:rPr>
            </w:pPr>
          </w:p>
        </w:tc>
        <w:tc>
          <w:tcPr>
            <w:tcW w:w="130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(351)</w:t>
            </w:r>
          </w:p>
        </w:tc>
        <w:tc>
          <w:tcPr>
            <w:tcW w:w="2100" w:type="dxa"/>
            <w:vAlign w:val="bottom"/>
            <w:vMerge w:val="continue"/>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720" w:type="dxa"/>
            <w:vAlign w:val="bottom"/>
          </w:tcPr>
          <w:p>
            <w:pPr>
              <w:jc w:val="right"/>
              <w:ind w:right="830"/>
              <w:spacing w:after="0"/>
              <w:rPr>
                <w:sz w:val="20"/>
                <w:szCs w:val="20"/>
                <w:color w:val="auto"/>
              </w:rPr>
            </w:pPr>
            <w:r>
              <w:rPr>
                <w:rFonts w:ascii="Arial" w:cs="Arial" w:eastAsia="Arial" w:hAnsi="Arial"/>
                <w:sz w:val="18"/>
                <w:szCs w:val="18"/>
                <w:b w:val="1"/>
                <w:bCs w:val="1"/>
                <w:color w:val="auto"/>
              </w:rPr>
              <w:t>3,013</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3,835</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9,200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12,007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(income), net</w:t>
            </w:r>
          </w:p>
        </w:tc>
        <w:tc>
          <w:tcPr>
            <w:tcW w:w="27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(1,864)</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2,692</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(4,464)</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2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$18,536</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$7,079</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$55,079</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3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26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w:t>
            </w:r>
          </w:p>
        </w:tc>
        <w:tc>
          <w:tcPr>
            <w:tcW w:w="314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$968</w:t>
            </w:r>
          </w:p>
        </w:tc>
        <w:tc>
          <w:tcPr>
            <w:tcW w:w="1260" w:type="dxa"/>
            <w:vAlign w:val="bottom"/>
          </w:tcPr>
          <w:p>
            <w:pPr>
              <w:spacing w:after="0"/>
              <w:rPr>
                <w:sz w:val="16"/>
                <w:szCs w:val="16"/>
                <w:color w:val="auto"/>
              </w:rPr>
            </w:pPr>
          </w:p>
        </w:tc>
        <w:tc>
          <w:tcPr>
            <w:tcW w:w="214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$3,127</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8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140" w:type="dxa"/>
            <w:vAlign w:val="bottom"/>
            <w:vMerge w:val="continue"/>
          </w:tcPr>
          <w:p>
            <w:pPr>
              <w:spacing w:after="0"/>
              <w:rPr>
                <w:sz w:val="16"/>
                <w:szCs w:val="16"/>
                <w:color w:val="auto"/>
              </w:rPr>
            </w:pPr>
          </w:p>
        </w:tc>
        <w:tc>
          <w:tcPr>
            <w:tcW w:w="12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$2,250</w:t>
            </w:r>
          </w:p>
        </w:tc>
        <w:tc>
          <w:tcPr>
            <w:tcW w:w="2140" w:type="dxa"/>
            <w:vAlign w:val="bottom"/>
            <w:vMerge w:val="continue"/>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$26,673</w:t>
            </w:r>
          </w:p>
        </w:tc>
        <w:tc>
          <w:tcPr>
            <w:tcW w:w="0" w:type="dxa"/>
            <w:vAlign w:val="bottom"/>
          </w:tcPr>
          <w:p>
            <w:pPr>
              <w:spacing w:after="0"/>
              <w:rPr>
                <w:sz w:val="1"/>
                <w:szCs w:val="1"/>
                <w:color w:val="auto"/>
              </w:rPr>
            </w:pPr>
          </w:p>
        </w:tc>
      </w:tr>
      <w:tr>
        <w:trPr>
          <w:trHeight w:val="22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(49)</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21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931</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total</w:t>
            </w:r>
          </w:p>
        </w:tc>
        <w:tc>
          <w:tcPr>
            <w:tcW w:w="3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$919</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$2,256</w:t>
            </w:r>
          </w:p>
        </w:tc>
        <w:tc>
          <w:tcPr>
            <w:tcW w:w="21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$4,058</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$27,213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Machine Clothing restructuring expense was principally related to the reduction in manufacturing capacity at the production facilities in France. Restructuring expenses in the Albany Engineered Composites operations were principally related to organizational changes and exiting certain aerospace programs.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178"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composition of the net periodic benefit plan cost for the nine months ended September 30, 2014 and 2013 was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410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jc w:val="right"/>
              <w:ind w:right="1050"/>
              <w:spacing w:after="0" w:line="194" w:lineRule="exact"/>
              <w:rPr>
                <w:sz w:val="20"/>
                <w:szCs w:val="20"/>
                <w:color w:val="auto"/>
              </w:rPr>
            </w:pPr>
            <w:r>
              <w:rPr>
                <w:rFonts w:ascii="Arial" w:cs="Arial" w:eastAsia="Arial" w:hAnsi="Arial"/>
                <w:sz w:val="18"/>
                <w:szCs w:val="18"/>
                <w:color w:val="auto"/>
              </w:rPr>
              <w:t>Pension plans</w:t>
            </w:r>
          </w:p>
        </w:tc>
        <w:tc>
          <w:tcPr>
            <w:tcW w:w="2880" w:type="dxa"/>
            <w:vAlign w:val="bottom"/>
            <w:tcBorders>
              <w:top w:val="single" w:sz="8" w:color="auto"/>
            </w:tcBorders>
            <w:gridSpan w:val="2"/>
          </w:tcPr>
          <w:p>
            <w:pPr>
              <w:jc w:val="right"/>
              <w:ind w:right="150"/>
              <w:spacing w:after="0" w:line="194" w:lineRule="exact"/>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39"/>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0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98"/>
        </w:trPr>
        <w:tc>
          <w:tcPr>
            <w:tcW w:w="41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$2,521</w:t>
            </w:r>
          </w:p>
        </w:tc>
        <w:tc>
          <w:tcPr>
            <w:tcW w:w="1540" w:type="dxa"/>
            <w:vAlign w:val="bottom"/>
          </w:tcPr>
          <w:p>
            <w:pPr>
              <w:spacing w:after="0"/>
              <w:rPr>
                <w:sz w:val="24"/>
                <w:szCs w:val="24"/>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$236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10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080" w:type="dxa"/>
            <w:vAlign w:val="bottom"/>
            <w:vMerge w:val="continue"/>
          </w:tcPr>
          <w:p>
            <w:pPr>
              <w:spacing w:after="0"/>
              <w:rPr>
                <w:sz w:val="15"/>
                <w:szCs w:val="15"/>
                <w:color w:val="auto"/>
              </w:rPr>
            </w:pPr>
          </w:p>
        </w:tc>
        <w:tc>
          <w:tcPr>
            <w:tcW w:w="154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$2,526</w:t>
            </w:r>
          </w:p>
        </w:tc>
        <w:tc>
          <w:tcPr>
            <w:tcW w:w="1640" w:type="dxa"/>
            <w:vAlign w:val="bottom"/>
            <w:vMerge w:val="continue"/>
          </w:tcPr>
          <w:p>
            <w:pPr>
              <w:spacing w:after="0"/>
              <w:rPr>
                <w:sz w:val="15"/>
                <w:szCs w:val="15"/>
                <w:color w:val="auto"/>
              </w:rPr>
            </w:pPr>
          </w:p>
        </w:tc>
        <w:tc>
          <w:tcPr>
            <w:tcW w:w="12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7,217</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5,999</w:t>
            </w: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2,057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0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(7,260)</w:t>
            </w:r>
          </w:p>
        </w:tc>
        <w:tc>
          <w:tcPr>
            <w:tcW w:w="1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(6,103)</w:t>
            </w: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41</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w:t>
            </w:r>
          </w:p>
        </w:tc>
        <w:tc>
          <w:tcPr>
            <w:tcW w:w="164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(3,366)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51</w:t>
            </w: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20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1,845</w:t>
            </w:r>
          </w:p>
        </w:tc>
        <w:tc>
          <w:tcPr>
            <w:tcW w:w="15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2,357</w:t>
            </w:r>
          </w:p>
        </w:tc>
        <w:tc>
          <w:tcPr>
            <w:tcW w:w="16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2,181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Curtailment</w:t>
            </w:r>
          </w:p>
        </w:tc>
        <w:tc>
          <w:tcPr>
            <w:tcW w:w="2080" w:type="dxa"/>
            <w:vAlign w:val="bottom"/>
          </w:tcPr>
          <w:p>
            <w:pPr>
              <w:jc w:val="right"/>
              <w:ind w:right="290"/>
              <w:spacing w:after="0"/>
              <w:rPr>
                <w:sz w:val="20"/>
                <w:szCs w:val="20"/>
                <w:color w:val="auto"/>
              </w:rPr>
            </w:pPr>
            <w:r>
              <w:rPr>
                <w:rFonts w:ascii="Arial" w:cs="Arial" w:eastAsia="Arial" w:hAnsi="Arial"/>
                <w:sz w:val="18"/>
                <w:szCs w:val="18"/>
                <w:b w:val="1"/>
                <w:bCs w:val="1"/>
                <w:color w:val="auto"/>
              </w:rPr>
              <w:t>(710)</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315</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$3,654</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$5,172</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$1,108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September 2014, certain participants of the U.S. pension plan were notified of a limited-time opportunity whereby they could elect to receive the value of their pension benefit in a lump -sum payment. All lump-sum payments will be funded from pension plan assets and are expected to be made before the end of 2014. As a result of this initiative, and depending on the number of participants that elect the lump-sum payment, the Company expects to record a non-cash settlement charge of approximately $5 to $10 million in 2014. The payments are not expected to have a significant impact on the plan’s funded status.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September 30, 2014, approximately 190 positions had been eliminated.</w:t>
      </w:r>
    </w:p>
    <w:p>
      <w:pPr>
        <w:spacing w:after="0" w:line="16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The Company recorded a curtailment gain of $0.7 million for the first nine months of 2014 related to the elimination of pension accruals, which reduced net restructuring expense as reflected in the table below. Such curtailment gains are recorded as employees terminate employment and, accordingly, we expect to</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 w:name="page11"/>
    <w:bookmarkEnd w:id="10"/>
    <w:p>
      <w:pPr>
        <w:ind w:right="420"/>
        <w:spacing w:after="0" w:line="246" w:lineRule="auto"/>
        <w:rPr>
          <w:sz w:val="20"/>
          <w:szCs w:val="20"/>
          <w:color w:val="auto"/>
        </w:rPr>
      </w:pPr>
      <w:r>
        <w:rPr>
          <w:rFonts w:ascii="Arial" w:cs="Arial" w:eastAsia="Arial" w:hAnsi="Arial"/>
          <w:sz w:val="18"/>
          <w:szCs w:val="18"/>
          <w:color w:val="auto"/>
        </w:rPr>
        <w:t>record additional gains during 2014. Remaining costs for this program are expected to be between $1 and $2 million, and we expect these costs to occur over the next several quarters.</w:t>
      </w:r>
    </w:p>
    <w:p>
      <w:pPr>
        <w:spacing w:after="0" w:line="15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Restructuring expenses in the Albany Engineered Composites operations were principally related to organizational changes and exiting certain aerospace programs.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 net”: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Three months ended</w:t>
            </w:r>
          </w:p>
        </w:tc>
        <w:tc>
          <w:tcPr>
            <w:tcW w:w="316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9"/>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4080" w:type="dxa"/>
            <w:vAlign w:val="bottom"/>
            <w:gridSpan w:val="2"/>
          </w:tcPr>
          <w:p>
            <w:pPr>
              <w:jc w:val="right"/>
              <w:ind w:right="1090"/>
              <w:spacing w:after="0" w:line="181" w:lineRule="exact"/>
              <w:rPr>
                <w:sz w:val="20"/>
                <w:szCs w:val="20"/>
                <w:color w:val="auto"/>
              </w:rPr>
            </w:pPr>
            <w:r>
              <w:rPr>
                <w:rFonts w:ascii="Arial" w:cs="Arial" w:eastAsia="Arial" w:hAnsi="Arial"/>
                <w:sz w:val="18"/>
                <w:szCs w:val="18"/>
                <w:color w:val="auto"/>
              </w:rPr>
              <w:t>September 30,</w:t>
            </w:r>
          </w:p>
        </w:tc>
        <w:tc>
          <w:tcPr>
            <w:tcW w:w="3180" w:type="dxa"/>
            <w:vAlign w:val="bottom"/>
            <w:gridSpan w:val="3"/>
          </w:tcPr>
          <w:p>
            <w:pPr>
              <w:jc w:val="center"/>
              <w:ind w:left="30"/>
              <w:spacing w:after="0" w:line="181"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8"/>
                <w:szCs w:val="18"/>
                <w:color w:val="auto"/>
              </w:rPr>
              <w:t>(in thousands)</w:t>
            </w:r>
          </w:p>
        </w:tc>
        <w:tc>
          <w:tcPr>
            <w:tcW w:w="232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1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87"/>
        </w:trPr>
        <w:tc>
          <w:tcPr>
            <w:tcW w:w="4180" w:type="dxa"/>
            <w:vAlign w:val="bottom"/>
            <w:tcBorders>
              <w:top w:val="single" w:sz="8" w:color="auto"/>
            </w:tcBorders>
          </w:tcPr>
          <w:p>
            <w:pPr>
              <w:ind w:left="60"/>
              <w:spacing w:after="0" w:line="187" w:lineRule="exact"/>
              <w:rPr>
                <w:sz w:val="20"/>
                <w:szCs w:val="20"/>
                <w:color w:val="auto"/>
              </w:rPr>
            </w:pPr>
            <w:r>
              <w:rPr>
                <w:rFonts w:ascii="Arial" w:cs="Arial" w:eastAsia="Arial" w:hAnsi="Arial"/>
                <w:sz w:val="18"/>
                <w:szCs w:val="18"/>
                <w:color w:val="auto"/>
              </w:rPr>
              <w:t>Machine Clothing</w:t>
            </w:r>
          </w:p>
        </w:tc>
        <w:tc>
          <w:tcPr>
            <w:tcW w:w="2320" w:type="dxa"/>
            <w:vAlign w:val="bottom"/>
            <w:tcBorders>
              <w:top w:val="single" w:sz="8" w:color="auto"/>
            </w:tcBorders>
          </w:tcPr>
          <w:p>
            <w:pPr>
              <w:jc w:val="right"/>
              <w:ind w:right="210"/>
              <w:spacing w:after="0" w:line="187" w:lineRule="exact"/>
              <w:rPr>
                <w:sz w:val="20"/>
                <w:szCs w:val="20"/>
                <w:color w:val="auto"/>
              </w:rPr>
            </w:pPr>
            <w:r>
              <w:rPr>
                <w:rFonts w:ascii="Arial" w:cs="Arial" w:eastAsia="Arial" w:hAnsi="Arial"/>
                <w:sz w:val="18"/>
                <w:szCs w:val="18"/>
                <w:b w:val="1"/>
                <w:bCs w:val="1"/>
                <w:color w:val="auto"/>
              </w:rPr>
              <w:t>$968</w:t>
            </w:r>
          </w:p>
        </w:tc>
        <w:tc>
          <w:tcPr>
            <w:tcW w:w="1760" w:type="dxa"/>
            <w:vAlign w:val="bottom"/>
            <w:tcBorders>
              <w:top w:val="single" w:sz="8" w:color="auto"/>
            </w:tcBorders>
          </w:tcPr>
          <w:p>
            <w:pPr>
              <w:jc w:val="right"/>
              <w:ind w:right="250"/>
              <w:spacing w:after="0" w:line="187" w:lineRule="exact"/>
              <w:rPr>
                <w:sz w:val="20"/>
                <w:szCs w:val="20"/>
                <w:color w:val="auto"/>
              </w:rPr>
            </w:pPr>
            <w:r>
              <w:rPr>
                <w:rFonts w:ascii="Arial" w:cs="Arial" w:eastAsia="Arial" w:hAnsi="Arial"/>
                <w:sz w:val="18"/>
                <w:szCs w:val="18"/>
                <w:color w:val="auto"/>
              </w:rPr>
              <w:t>$2,250</w:t>
            </w:r>
          </w:p>
        </w:tc>
        <w:tc>
          <w:tcPr>
            <w:tcW w:w="1720" w:type="dxa"/>
            <w:vAlign w:val="bottom"/>
            <w:tcBorders>
              <w:top w:val="single" w:sz="8" w:color="auto"/>
            </w:tcBorders>
          </w:tcPr>
          <w:p>
            <w:pPr>
              <w:jc w:val="right"/>
              <w:ind w:right="270"/>
              <w:spacing w:after="0" w:line="187" w:lineRule="exact"/>
              <w:rPr>
                <w:sz w:val="20"/>
                <w:szCs w:val="20"/>
                <w:color w:val="auto"/>
              </w:rPr>
            </w:pPr>
            <w:r>
              <w:rPr>
                <w:rFonts w:ascii="Arial" w:cs="Arial" w:eastAsia="Arial" w:hAnsi="Arial"/>
                <w:sz w:val="18"/>
                <w:szCs w:val="18"/>
                <w:b w:val="1"/>
                <w:bCs w:val="1"/>
                <w:color w:val="auto"/>
              </w:rPr>
              <w:t>$3,127</w:t>
            </w:r>
          </w:p>
        </w:tc>
        <w:tc>
          <w:tcPr>
            <w:tcW w:w="1440" w:type="dxa"/>
            <w:vAlign w:val="bottom"/>
            <w:tcBorders>
              <w:top w:val="single" w:sz="8" w:color="auto"/>
            </w:tcBorders>
          </w:tcPr>
          <w:p>
            <w:pPr>
              <w:jc w:val="right"/>
              <w:ind w:right="10"/>
              <w:spacing w:after="0" w:line="187" w:lineRule="exact"/>
              <w:rPr>
                <w:sz w:val="20"/>
                <w:szCs w:val="20"/>
                <w:color w:val="auto"/>
              </w:rPr>
            </w:pPr>
            <w:r>
              <w:rPr>
                <w:rFonts w:ascii="Arial" w:cs="Arial" w:eastAsia="Arial" w:hAnsi="Arial"/>
                <w:sz w:val="18"/>
                <w:szCs w:val="18"/>
                <w:color w:val="auto"/>
              </w:rPr>
              <w:t>$26,673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2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(49)</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931</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$919</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$2,256</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$4,058</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320" w:type="dxa"/>
            <w:vAlign w:val="bottom"/>
          </w:tcPr>
          <w:p>
            <w:pPr>
              <w:jc w:val="center"/>
              <w:ind w:left="490"/>
              <w:spacing w:after="0" w:line="173" w:lineRule="exact"/>
              <w:rPr>
                <w:sz w:val="20"/>
                <w:szCs w:val="20"/>
                <w:color w:val="auto"/>
              </w:rPr>
            </w:pPr>
            <w:r>
              <w:rPr>
                <w:rFonts w:ascii="Arial" w:cs="Arial" w:eastAsia="Arial" w:hAnsi="Arial"/>
                <w:sz w:val="18"/>
                <w:szCs w:val="18"/>
                <w:b w:val="1"/>
                <w:bCs w:val="1"/>
                <w:color w:val="auto"/>
                <w:w w:val="97"/>
              </w:rPr>
              <w:t>Total</w:t>
            </w:r>
          </w:p>
        </w:tc>
        <w:tc>
          <w:tcPr>
            <w:tcW w:w="17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7"/>
              </w:rPr>
              <w:t>Termination</w:t>
            </w:r>
          </w:p>
        </w:tc>
        <w:tc>
          <w:tcPr>
            <w:tcW w:w="1720" w:type="dxa"/>
            <w:vAlign w:val="bottom"/>
          </w:tcPr>
          <w:p>
            <w:pPr>
              <w:jc w:val="center"/>
              <w:ind w:right="30"/>
              <w:spacing w:after="0" w:line="173" w:lineRule="exact"/>
              <w:rPr>
                <w:sz w:val="20"/>
                <w:szCs w:val="20"/>
                <w:color w:val="auto"/>
              </w:rPr>
            </w:pPr>
            <w:r>
              <w:rPr>
                <w:rFonts w:ascii="Arial" w:cs="Arial" w:eastAsia="Arial" w:hAnsi="Arial"/>
                <w:sz w:val="18"/>
                <w:szCs w:val="18"/>
                <w:b w:val="1"/>
                <w:bCs w:val="1"/>
                <w:color w:val="auto"/>
              </w:rPr>
              <w:t>Impairment of</w:t>
            </w:r>
          </w:p>
        </w:tc>
        <w:tc>
          <w:tcPr>
            <w:tcW w:w="1440" w:type="dxa"/>
            <w:vAlign w:val="bottom"/>
          </w:tcPr>
          <w:p>
            <w:pPr>
              <w:ind w:left="280"/>
              <w:spacing w:after="0" w:line="173" w:lineRule="exact"/>
              <w:rPr>
                <w:sz w:val="20"/>
                <w:szCs w:val="20"/>
                <w:color w:val="auto"/>
              </w:rPr>
            </w:pPr>
            <w:r>
              <w:rPr>
                <w:rFonts w:ascii="Arial" w:cs="Arial" w:eastAsia="Arial" w:hAnsi="Arial"/>
                <w:sz w:val="18"/>
                <w:szCs w:val="18"/>
                <w:b w:val="1"/>
                <w:bCs w:val="1"/>
                <w:color w:val="auto"/>
              </w:rPr>
              <w:t>Benefit plan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b w:val="1"/>
                <w:bCs w:val="1"/>
                <w:color w:val="auto"/>
              </w:rPr>
              <w:t>Nine months ended September 30, 2014</w:t>
            </w:r>
          </w:p>
        </w:tc>
        <w:tc>
          <w:tcPr>
            <w:tcW w:w="2320" w:type="dxa"/>
            <w:vAlign w:val="bottom"/>
          </w:tcPr>
          <w:p>
            <w:pPr>
              <w:jc w:val="center"/>
              <w:ind w:left="4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 costs</w:t>
            </w:r>
          </w:p>
        </w:tc>
        <w:tc>
          <w:tcPr>
            <w:tcW w:w="17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plant and</w:t>
            </w:r>
          </w:p>
        </w:tc>
        <w:tc>
          <w:tcPr>
            <w:tcW w:w="146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costs incurred</w:t>
            </w:r>
          </w:p>
        </w:tc>
        <w:tc>
          <w:tcPr>
            <w:tcW w:w="176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equipment</w:t>
            </w: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41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3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$3,127</w:t>
            </w:r>
          </w:p>
        </w:tc>
        <w:tc>
          <w:tcPr>
            <w:tcW w:w="17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$3,837</w:t>
            </w:r>
          </w:p>
        </w:tc>
        <w:tc>
          <w:tcPr>
            <w:tcW w:w="17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931</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320</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611</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$4,058</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$4,157</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$611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94"/>
              </w:rPr>
              <w:t>Total</w:t>
            </w:r>
          </w:p>
        </w:tc>
        <w:tc>
          <w:tcPr>
            <w:tcW w:w="17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9"/>
              </w:rPr>
              <w:t>Impairment of</w:t>
            </w:r>
          </w:p>
        </w:tc>
        <w:tc>
          <w:tcPr>
            <w:tcW w:w="144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Benefit 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Nine months ended September 30, 2013</w:t>
            </w:r>
          </w:p>
        </w:tc>
        <w:tc>
          <w:tcPr>
            <w:tcW w:w="23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99"/>
              </w:rPr>
              <w:t>restructuring</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8"/>
              </w:rPr>
              <w:t>Termination and</w:t>
            </w:r>
          </w:p>
        </w:tc>
        <w:tc>
          <w:tcPr>
            <w:tcW w:w="17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plant and</w:t>
            </w:r>
          </w:p>
        </w:tc>
        <w:tc>
          <w:tcPr>
            <w:tcW w:w="1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curtailment/</w:t>
            </w:r>
          </w:p>
        </w:tc>
        <w:tc>
          <w:tcPr>
            <w:tcW w:w="0" w:type="dxa"/>
            <w:vAlign w:val="bottom"/>
          </w:tcPr>
          <w:p>
            <w:pPr>
              <w:spacing w:after="0"/>
              <w:rPr>
                <w:sz w:val="1"/>
                <w:szCs w:val="1"/>
                <w:color w:val="auto"/>
              </w:rPr>
            </w:pPr>
          </w:p>
        </w:tc>
      </w:tr>
      <w:tr>
        <w:trPr>
          <w:trHeight w:val="203"/>
        </w:trPr>
        <w:tc>
          <w:tcPr>
            <w:tcW w:w="418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32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costs incurred</w:t>
            </w:r>
          </w:p>
        </w:tc>
        <w:tc>
          <w:tcPr>
            <w:tcW w:w="176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other costs</w:t>
            </w:r>
          </w:p>
        </w:tc>
        <w:tc>
          <w:tcPr>
            <w:tcW w:w="1720" w:type="dxa"/>
            <w:vAlign w:val="bottom"/>
          </w:tcPr>
          <w:p>
            <w:pPr>
              <w:jc w:val="center"/>
              <w:ind w:right="30"/>
              <w:spacing w:after="0" w:line="203" w:lineRule="exact"/>
              <w:rPr>
                <w:sz w:val="20"/>
                <w:szCs w:val="20"/>
                <w:color w:val="auto"/>
              </w:rPr>
            </w:pPr>
            <w:r>
              <w:rPr>
                <w:rFonts w:ascii="Arial" w:cs="Arial" w:eastAsia="Arial" w:hAnsi="Arial"/>
                <w:sz w:val="18"/>
                <w:szCs w:val="18"/>
                <w:color w:val="auto"/>
                <w:w w:val="99"/>
              </w:rPr>
              <w:t>equipment</w:t>
            </w:r>
          </w:p>
        </w:tc>
        <w:tc>
          <w:tcPr>
            <w:tcW w:w="146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settlement</w:t>
            </w:r>
          </w:p>
        </w:tc>
        <w:tc>
          <w:tcPr>
            <w:tcW w:w="0" w:type="dxa"/>
            <w:vAlign w:val="bottom"/>
          </w:tcPr>
          <w:p>
            <w:pPr>
              <w:spacing w:after="0"/>
              <w:rPr>
                <w:sz w:val="1"/>
                <w:szCs w:val="1"/>
                <w:color w:val="auto"/>
              </w:rPr>
            </w:pPr>
          </w:p>
        </w:tc>
      </w:tr>
      <w:tr>
        <w:trPr>
          <w:trHeight w:val="195"/>
        </w:trPr>
        <w:tc>
          <w:tcPr>
            <w:tcW w:w="41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23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$26,673</w:t>
            </w:r>
          </w:p>
        </w:tc>
        <w:tc>
          <w:tcPr>
            <w:tcW w:w="17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$26,837</w:t>
            </w:r>
          </w:p>
        </w:tc>
        <w:tc>
          <w:tcPr>
            <w:tcW w:w="17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540</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452</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$27,213</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$27,289</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We expect that substantially all Accrued liabilities for restructuring will be paid within one year. The table below presents year-to-date changes in restructuring liabilities for 2014 and 2013, all of which related to termination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center"/>
              <w:ind w:left="370"/>
              <w:spacing w:after="0" w:line="194" w:lineRule="exact"/>
              <w:rPr>
                <w:sz w:val="20"/>
                <w:szCs w:val="20"/>
                <w:color w:val="auto"/>
              </w:rPr>
            </w:pPr>
            <w:r>
              <w:rPr>
                <w:rFonts w:ascii="Arial" w:cs="Arial" w:eastAsia="Arial" w:hAnsi="Arial"/>
                <w:sz w:val="18"/>
                <w:szCs w:val="18"/>
                <w:b w:val="1"/>
                <w:bCs w:val="1"/>
                <w:color w:val="auto"/>
              </w:rPr>
              <w:t>December 31,</w:t>
            </w:r>
          </w:p>
        </w:tc>
        <w:tc>
          <w:tcPr>
            <w:tcW w:w="1900" w:type="dxa"/>
            <w:vAlign w:val="bottom"/>
            <w:tcBorders>
              <w:top w:val="single" w:sz="8" w:color="auto"/>
            </w:tcBorders>
          </w:tcPr>
          <w:p>
            <w:pPr>
              <w:jc w:val="center"/>
              <w:ind w:right="3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5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Currency</w:t>
            </w:r>
          </w:p>
        </w:tc>
        <w:tc>
          <w:tcPr>
            <w:tcW w:w="15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1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2013</w:t>
            </w: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charges accrued</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Payments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translation/other</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r>
      <w:tr>
        <w:trPr>
          <w:trHeight w:val="210"/>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$9,656</w:t>
            </w:r>
          </w:p>
        </w:tc>
        <w:tc>
          <w:tcPr>
            <w:tcW w:w="1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$4,148</w:t>
            </w: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($10,904)</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($277)</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w:t>
            </w:r>
          </w:p>
        </w:tc>
      </w:tr>
      <w:tr>
        <w:trPr>
          <w:trHeight w:val="561"/>
        </w:trPr>
        <w:tc>
          <w:tcPr>
            <w:tcW w:w="2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95"/>
        </w:trPr>
        <w:tc>
          <w:tcPr>
            <w:tcW w:w="2560" w:type="dxa"/>
            <w:vAlign w:val="bottom"/>
          </w:tcPr>
          <w:p>
            <w:pPr>
              <w:spacing w:after="0"/>
              <w:rPr>
                <w:sz w:val="16"/>
                <w:szCs w:val="16"/>
                <w:color w:val="auto"/>
              </w:rPr>
            </w:pPr>
          </w:p>
        </w:tc>
        <w:tc>
          <w:tcPr>
            <w:tcW w:w="2120" w:type="dxa"/>
            <w:vAlign w:val="bottom"/>
          </w:tcPr>
          <w:p>
            <w:pPr>
              <w:jc w:val="center"/>
              <w:ind w:left="370"/>
              <w:spacing w:after="0" w:line="195" w:lineRule="exact"/>
              <w:rPr>
                <w:sz w:val="20"/>
                <w:szCs w:val="20"/>
                <w:color w:val="auto"/>
              </w:rPr>
            </w:pPr>
            <w:r>
              <w:rPr>
                <w:rFonts w:ascii="Arial" w:cs="Arial" w:eastAsia="Arial" w:hAnsi="Arial"/>
                <w:sz w:val="18"/>
                <w:szCs w:val="18"/>
                <w:color w:val="auto"/>
              </w:rPr>
              <w:t>December 31,</w:t>
            </w:r>
          </w:p>
        </w:tc>
        <w:tc>
          <w:tcPr>
            <w:tcW w:w="1900" w:type="dxa"/>
            <w:vAlign w:val="bottom"/>
          </w:tcPr>
          <w:p>
            <w:pPr>
              <w:jc w:val="center"/>
              <w:ind w:right="10"/>
              <w:spacing w:after="0" w:line="195" w:lineRule="exact"/>
              <w:rPr>
                <w:sz w:val="20"/>
                <w:szCs w:val="20"/>
                <w:color w:val="auto"/>
              </w:rPr>
            </w:pPr>
            <w:r>
              <w:rPr>
                <w:rFonts w:ascii="Arial" w:cs="Arial" w:eastAsia="Arial" w:hAnsi="Arial"/>
                <w:sz w:val="18"/>
                <w:szCs w:val="18"/>
                <w:color w:val="auto"/>
              </w:rPr>
              <w:t>Restructuring</w:t>
            </w:r>
          </w:p>
        </w:tc>
        <w:tc>
          <w:tcPr>
            <w:tcW w:w="156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8"/>
              </w:rPr>
              <w:t>Currency</w:t>
            </w:r>
          </w:p>
        </w:tc>
        <w:tc>
          <w:tcPr>
            <w:tcW w:w="1540" w:type="dxa"/>
            <w:vAlign w:val="bottom"/>
          </w:tcPr>
          <w:p>
            <w:pPr>
              <w:jc w:val="center"/>
              <w:spacing w:after="0" w:line="195" w:lineRule="exact"/>
              <w:rPr>
                <w:sz w:val="20"/>
                <w:szCs w:val="20"/>
                <w:color w:val="auto"/>
              </w:rPr>
            </w:pPr>
            <w:r>
              <w:rPr>
                <w:rFonts w:ascii="Arial" w:cs="Arial" w:eastAsia="Arial" w:hAnsi="Arial"/>
                <w:sz w:val="18"/>
                <w:szCs w:val="18"/>
                <w:color w:val="auto"/>
                <w:w w:val="99"/>
              </w:rPr>
              <w:t>September 30,</w:t>
            </w:r>
          </w:p>
        </w:tc>
      </w:tr>
      <w:tr>
        <w:trPr>
          <w:trHeight w:val="203"/>
        </w:trPr>
        <w:tc>
          <w:tcPr>
            <w:tcW w:w="25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120" w:type="dxa"/>
            <w:vAlign w:val="bottom"/>
            <w:tcBorders>
              <w:bottom w:val="single" w:sz="8" w:color="auto"/>
            </w:tcBorders>
          </w:tcPr>
          <w:p>
            <w:pPr>
              <w:jc w:val="center"/>
              <w:ind w:left="390"/>
              <w:spacing w:after="0" w:line="203" w:lineRule="exact"/>
              <w:rPr>
                <w:sz w:val="20"/>
                <w:szCs w:val="20"/>
                <w:color w:val="auto"/>
              </w:rPr>
            </w:pPr>
            <w:r>
              <w:rPr>
                <w:rFonts w:ascii="Arial" w:cs="Arial" w:eastAsia="Arial" w:hAnsi="Arial"/>
                <w:sz w:val="18"/>
                <w:szCs w:val="18"/>
                <w:color w:val="auto"/>
                <w:w w:val="99"/>
              </w:rPr>
              <w:t>2012</w:t>
            </w:r>
          </w:p>
        </w:tc>
        <w:tc>
          <w:tcPr>
            <w:tcW w:w="190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9"/>
              </w:rPr>
              <w:t>charges accrued</w:t>
            </w:r>
          </w:p>
        </w:tc>
        <w:tc>
          <w:tcPr>
            <w:tcW w:w="1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Payments</w:t>
            </w:r>
          </w:p>
        </w:tc>
        <w:tc>
          <w:tcPr>
            <w:tcW w:w="1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translation/other</w:t>
            </w:r>
          </w:p>
        </w:tc>
        <w:tc>
          <w:tcPr>
            <w:tcW w:w="1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2013</w:t>
            </w:r>
          </w:p>
        </w:tc>
      </w:tr>
      <w:tr>
        <w:trPr>
          <w:trHeight w:val="210"/>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$4,947</w:t>
            </w:r>
          </w:p>
        </w:tc>
        <w:tc>
          <w:tcPr>
            <w:tcW w:w="1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$25,860</w:t>
            </w: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($5,529)</w:t>
            </w: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$609</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$25,887</w:t>
            </w:r>
          </w:p>
        </w:tc>
      </w:tr>
      <w:tr>
        <w:trPr>
          <w:trHeight w:val="595"/>
        </w:trPr>
        <w:tc>
          <w:tcPr>
            <w:tcW w:w="2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6. Other (Income)/Expenses, net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(income)/expenses, net,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238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26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 thousands)</w:t>
            </w:r>
          </w:p>
        </w:tc>
        <w:tc>
          <w:tcPr>
            <w:tcW w:w="238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73"/>
        </w:trPr>
        <w:tc>
          <w:tcPr>
            <w:tcW w:w="4740" w:type="dxa"/>
            <w:vAlign w:val="bottom"/>
          </w:tcPr>
          <w:p>
            <w:pPr>
              <w:ind w:left="60"/>
              <w:spacing w:after="0" w:line="173" w:lineRule="exact"/>
              <w:rPr>
                <w:sz w:val="20"/>
                <w:szCs w:val="20"/>
                <w:color w:val="auto"/>
              </w:rPr>
            </w:pPr>
            <w:r>
              <w:rPr>
                <w:rFonts w:ascii="Arial" w:cs="Arial" w:eastAsia="Arial" w:hAnsi="Arial"/>
                <w:sz w:val="18"/>
                <w:szCs w:val="18"/>
                <w:color w:val="auto"/>
              </w:rPr>
              <w:t>Currency transactions</w:t>
            </w:r>
          </w:p>
        </w:tc>
        <w:tc>
          <w:tcPr>
            <w:tcW w:w="238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($1,916)</w:t>
            </w:r>
          </w:p>
        </w:tc>
        <w:tc>
          <w:tcPr>
            <w:tcW w:w="126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$1,975</w:t>
            </w:r>
          </w:p>
        </w:tc>
        <w:tc>
          <w:tcPr>
            <w:tcW w:w="214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($3,819)</w:t>
            </w:r>
          </w:p>
        </w:tc>
        <w:tc>
          <w:tcPr>
            <w:tcW w:w="9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3"/>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3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271</w:t>
            </w:r>
          </w:p>
        </w:tc>
        <w:tc>
          <w:tcPr>
            <w:tcW w:w="12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203</w:t>
            </w:r>
          </w:p>
        </w:tc>
        <w:tc>
          <w:tcPr>
            <w:tcW w:w="214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868</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Arial" w:cs="Arial" w:eastAsia="Arial" w:hAnsi="Arial"/>
                <w:sz w:val="18"/>
                <w:szCs w:val="18"/>
                <w:color w:val="auto"/>
              </w:rPr>
              <w:t>Gain on insurance recovery</w:t>
            </w:r>
          </w:p>
        </w:tc>
        <w:tc>
          <w:tcPr>
            <w:tcW w:w="2380" w:type="dxa"/>
            <w:vAlign w:val="bottom"/>
          </w:tcPr>
          <w:p>
            <w:pPr>
              <w:jc w:val="right"/>
              <w:ind w:right="770"/>
              <w:spacing w:after="0"/>
              <w:rPr>
                <w:sz w:val="20"/>
                <w:szCs w:val="20"/>
                <w:color w:val="auto"/>
              </w:rPr>
            </w:pPr>
            <w:r>
              <w:rPr>
                <w:rFonts w:ascii="Arial" w:cs="Arial" w:eastAsia="Arial" w:hAnsi="Arial"/>
                <w:sz w:val="18"/>
                <w:szCs w:val="18"/>
                <w:b w:val="1"/>
                <w:bCs w:val="1"/>
                <w:color w:val="auto"/>
              </w:rPr>
              <w:t>(165)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750"/>
              <w:spacing w:after="0"/>
              <w:rPr>
                <w:sz w:val="20"/>
                <w:szCs w:val="20"/>
                <w:color w:val="auto"/>
              </w:rPr>
            </w:pPr>
            <w:r>
              <w:rPr>
                <w:rFonts w:ascii="Arial" w:cs="Arial" w:eastAsia="Arial" w:hAnsi="Arial"/>
                <w:sz w:val="18"/>
                <w:szCs w:val="18"/>
                <w:b w:val="1"/>
                <w:bCs w:val="1"/>
                <w:color w:val="auto"/>
              </w:rPr>
              <w:t>(1,126)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Organizational costs related to Albany Safran</w:t>
            </w:r>
          </w:p>
        </w:tc>
        <w:tc>
          <w:tcPr>
            <w:tcW w:w="23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spacing w:after="0"/>
              <w:rPr>
                <w:sz w:val="17"/>
                <w:szCs w:val="17"/>
                <w:color w:val="auto"/>
              </w:rPr>
            </w:pPr>
          </w:p>
        </w:tc>
        <w:tc>
          <w:tcPr>
            <w:tcW w:w="214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40" w:type="dxa"/>
            <w:vAlign w:val="bottom"/>
          </w:tcPr>
          <w:p>
            <w:pPr>
              <w:ind w:left="280"/>
              <w:spacing w:after="0" w:line="195" w:lineRule="exact"/>
              <w:rPr>
                <w:sz w:val="20"/>
                <w:szCs w:val="20"/>
                <w:color w:val="auto"/>
              </w:rPr>
            </w:pPr>
            <w:r>
              <w:rPr>
                <w:rFonts w:ascii="Arial" w:cs="Arial" w:eastAsia="Arial" w:hAnsi="Arial"/>
                <w:sz w:val="18"/>
                <w:szCs w:val="18"/>
                <w:color w:val="auto"/>
              </w:rPr>
              <w:t>Composites</w:t>
            </w:r>
          </w:p>
        </w:tc>
        <w:tc>
          <w:tcPr>
            <w:tcW w:w="2380" w:type="dxa"/>
            <w:vAlign w:val="bottom"/>
            <w:vMerge w:val="continue"/>
          </w:tcPr>
          <w:p>
            <w:pPr>
              <w:spacing w:after="0"/>
              <w:rPr>
                <w:sz w:val="16"/>
                <w:szCs w:val="16"/>
                <w:color w:val="auto"/>
              </w:rPr>
            </w:pPr>
          </w:p>
        </w:tc>
        <w:tc>
          <w:tcPr>
            <w:tcW w:w="12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500</w:t>
            </w:r>
          </w:p>
        </w:tc>
        <w:tc>
          <w:tcPr>
            <w:tcW w:w="2140" w:type="dxa"/>
            <w:vAlign w:val="bottom"/>
            <w:vMerge w:val="continue"/>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(54)</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21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(387)</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($1,864)</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$2,692</w:t>
            </w:r>
          </w:p>
        </w:tc>
        <w:tc>
          <w:tcPr>
            <w:tcW w:w="21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($4,464)</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80" w:firstLine="648"/>
        <w:spacing w:after="0"/>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that value was minimal. The gain recorded in the third quarter of 2014 represented the finalization of the insurance claim.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tax expense/(benefit) for the three and nine months ended September 30,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Three months ended</w:t>
            </w:r>
          </w:p>
        </w:tc>
        <w:tc>
          <w:tcPr>
            <w:tcW w:w="300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12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00" w:type="dxa"/>
            <w:vAlign w:val="bottom"/>
          </w:tcPr>
          <w:p>
            <w:pPr>
              <w:spacing w:after="0"/>
              <w:rPr>
                <w:sz w:val="15"/>
                <w:szCs w:val="15"/>
                <w:color w:val="auto"/>
              </w:rPr>
            </w:pPr>
          </w:p>
        </w:tc>
        <w:tc>
          <w:tcPr>
            <w:tcW w:w="21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398"/>
        </w:trPr>
        <w:tc>
          <w:tcPr>
            <w:tcW w:w="500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$6,470</w:t>
            </w:r>
          </w:p>
        </w:tc>
        <w:tc>
          <w:tcPr>
            <w:tcW w:w="1300" w:type="dxa"/>
            <w:vAlign w:val="bottom"/>
          </w:tcPr>
          <w:p>
            <w:pPr>
              <w:spacing w:after="0"/>
              <w:rPr>
                <w:sz w:val="24"/>
                <w:szCs w:val="24"/>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$19,226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0" w:type="dxa"/>
            <w:vAlign w:val="bottom"/>
            <w:gridSpan w:val="2"/>
          </w:tcPr>
          <w:p>
            <w:pPr>
              <w:spacing w:after="0" w:line="195" w:lineRule="exact"/>
              <w:rPr>
                <w:sz w:val="20"/>
                <w:szCs w:val="20"/>
                <w:color w:val="auto"/>
              </w:rPr>
            </w:pPr>
            <w:r>
              <w:rPr>
                <w:rFonts w:ascii="Arial" w:cs="Arial" w:eastAsia="Arial" w:hAnsi="Arial"/>
                <w:sz w:val="18"/>
                <w:szCs w:val="18"/>
                <w:color w:val="auto"/>
              </w:rPr>
              <w:t>at estimated tax rates of 34.9% and 41.0%, respectively</w:t>
            </w:r>
          </w:p>
        </w:tc>
        <w:tc>
          <w:tcPr>
            <w:tcW w:w="2120" w:type="dxa"/>
            <w:vAlign w:val="bottom"/>
            <w:vMerge w:val="continue"/>
          </w:tcPr>
          <w:p>
            <w:pPr>
              <w:spacing w:after="0"/>
              <w:rPr>
                <w:sz w:val="16"/>
                <w:szCs w:val="16"/>
                <w:color w:val="auto"/>
              </w:rPr>
            </w:pPr>
          </w:p>
        </w:tc>
        <w:tc>
          <w:tcPr>
            <w:tcW w:w="13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$2,902</w:t>
            </w:r>
          </w:p>
        </w:tc>
        <w:tc>
          <w:tcPr>
            <w:tcW w:w="2100" w:type="dxa"/>
            <w:vAlign w:val="bottom"/>
            <w:vMerge w:val="continue"/>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change in estimated tax rates</w:t>
            </w:r>
          </w:p>
        </w:tc>
        <w:tc>
          <w:tcPr>
            <w:tcW w:w="2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(243)</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170</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500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2120" w:type="dxa"/>
            <w:vAlign w:val="bottom"/>
          </w:tcPr>
          <w:p>
            <w:pPr>
              <w:jc w:val="right"/>
              <w:ind w:right="830"/>
              <w:spacing w:after="0"/>
              <w:rPr>
                <w:sz w:val="20"/>
                <w:szCs w:val="20"/>
                <w:color w:val="auto"/>
              </w:rPr>
            </w:pPr>
            <w:r>
              <w:rPr>
                <w:rFonts w:ascii="Arial" w:cs="Arial" w:eastAsia="Arial" w:hAnsi="Arial"/>
                <w:sz w:val="18"/>
                <w:szCs w:val="18"/>
                <w:b w:val="1"/>
                <w:bCs w:val="1"/>
                <w:color w:val="auto"/>
              </w:rPr>
              <w:t>6,227</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3,072</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19,226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368"/>
        </w:trPr>
        <w:tc>
          <w:tcPr>
            <w:tcW w:w="500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Provision for/adjustment to beginning of year valuation</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7"/>
                <w:szCs w:val="17"/>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437</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allowances</w:t>
            </w:r>
          </w:p>
        </w:tc>
        <w:tc>
          <w:tcPr>
            <w:tcW w:w="2120" w:type="dxa"/>
            <w:vAlign w:val="bottom"/>
            <w:vMerge w:val="continue"/>
          </w:tcPr>
          <w:p>
            <w:pPr>
              <w:spacing w:after="0"/>
              <w:rPr>
                <w:sz w:val="17"/>
                <w:szCs w:val="17"/>
                <w:color w:val="auto"/>
              </w:rPr>
            </w:pPr>
          </w:p>
        </w:tc>
        <w:tc>
          <w:tcPr>
            <w:tcW w:w="1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2100" w:type="dxa"/>
            <w:vAlign w:val="bottom"/>
            <w:vMerge w:val="continue"/>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Provision for/resolution of tax audits and contingencies,</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330</w:t>
            </w:r>
          </w:p>
        </w:tc>
        <w:tc>
          <w:tcPr>
            <w:tcW w:w="1300" w:type="dxa"/>
            <w:vAlign w:val="bottom"/>
          </w:tcPr>
          <w:p>
            <w:pPr>
              <w:spacing w:after="0"/>
              <w:rPr>
                <w:sz w:val="17"/>
                <w:szCs w:val="17"/>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1,310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160"/>
              <w:spacing w:after="0" w:line="181" w:lineRule="exact"/>
              <w:rPr>
                <w:sz w:val="20"/>
                <w:szCs w:val="20"/>
                <w:color w:val="auto"/>
              </w:rPr>
            </w:pPr>
            <w:r>
              <w:rPr>
                <w:rFonts w:ascii="Arial" w:cs="Arial" w:eastAsia="Arial" w:hAnsi="Arial"/>
                <w:sz w:val="18"/>
                <w:szCs w:val="18"/>
                <w:color w:val="auto"/>
              </w:rPr>
              <w:t>net</w:t>
            </w:r>
          </w:p>
        </w:tc>
        <w:tc>
          <w:tcPr>
            <w:tcW w:w="2120" w:type="dxa"/>
            <w:vAlign w:val="bottom"/>
            <w:vMerge w:val="continue"/>
          </w:tcPr>
          <w:p>
            <w:pPr>
              <w:spacing w:after="0"/>
              <w:rPr>
                <w:sz w:val="15"/>
                <w:szCs w:val="15"/>
                <w:color w:val="auto"/>
              </w:rPr>
            </w:pPr>
          </w:p>
        </w:tc>
        <w:tc>
          <w:tcPr>
            <w:tcW w:w="130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w:t>
            </w:r>
          </w:p>
        </w:tc>
        <w:tc>
          <w:tcPr>
            <w:tcW w:w="2100" w:type="dxa"/>
            <w:vAlign w:val="bottom"/>
            <w:vMerge w:val="continue"/>
          </w:tcPr>
          <w:p>
            <w:pPr>
              <w:spacing w:after="0"/>
              <w:rPr>
                <w:sz w:val="15"/>
                <w:szCs w:val="15"/>
                <w:color w:val="auto"/>
              </w:rPr>
            </w:pP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212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205</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(818)</w:t>
            </w:r>
          </w:p>
        </w:tc>
        <w:tc>
          <w:tcPr>
            <w:tcW w:w="210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459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Enacted legislation change</w:t>
            </w:r>
          </w:p>
        </w:tc>
        <w:tc>
          <w:tcPr>
            <w:tcW w:w="212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(269)</w:t>
            </w:r>
          </w:p>
        </w:tc>
        <w:tc>
          <w:tcPr>
            <w:tcW w:w="210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Repatriation of non-U.S. prior years' earnings</w:t>
            </w:r>
          </w:p>
        </w:tc>
        <w:tc>
          <w:tcPr>
            <w:tcW w:w="2120" w:type="dxa"/>
            <w:vAlign w:val="bottom"/>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396</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discrete tax adjustments, net</w:t>
            </w:r>
          </w:p>
        </w:tc>
        <w:tc>
          <w:tcPr>
            <w:tcW w:w="2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expense/(benefit)</w:t>
            </w:r>
          </w:p>
        </w:tc>
        <w:tc>
          <w:tcPr>
            <w:tcW w:w="2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$6,762</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$2,381</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$21,435</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The third quarter estimated effective tax rate on continuing operations was 34.9 percent in 2014, as compared to 41.0 percent for the same period in 2013. The change in the estimated effective tax rate was primarily attributable to changes in the anticipated amount and distribution of income and loss among the countries in which we operate.</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Company accrued as part of the income tax provision before discrete items, for the residual taxes on these earnings to the extent they cannot be repatriated in a tax-free manner. At September 30, 2014 the Company reported a deferred tax liability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of $0.1 million on $3.6 million of prior year non-U.S. earnings that had been targeted for future repatriation to the U.S.</w:t>
      </w:r>
    </w:p>
    <w:p>
      <w:pPr>
        <w:spacing w:after="0" w:line="171"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2013. We are currently under audit in the U.S. and in other non-U.S. tax jurisdictions, including but not limited to Canada, Germany, and Italy.</w:t>
      </w:r>
    </w:p>
    <w:p>
      <w:pPr>
        <w:spacing w:after="0" w:line="176"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$0 million to a net decrease of $2.6 million, from the reevaluation of uncertain tax positions arising in examinations, in appeals, or in the courts, or from the closure of tax statutes.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Not included in the range is $24 million of tax benefits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will be issued in the fourth quarter of 2014. Although we believe that the relevant German tax law is violative of EU principles, management views the conclusion of this case as an opportunity to approach the German tax authorities with the goal of a settlement agreement. We were required to pay tax and interest of approximately $13 million to the German tax authorities in order to pursue our appeal position. In anticipation of a settlement, a portion of the prepaid taxes and interest along with certain deferred tax assets were adjusted downward by $6 million during the third quarter of 2014, which is included in Provision for/resolution of tax audits and contingencies in the above table. Also included on that line, for the third quarter of 2014, is a tax benefit related to the lapse of a tax statute.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7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2"/>
          </w:tcPr>
          <w:p>
            <w:pPr>
              <w:ind w:left="620"/>
              <w:spacing w:after="0"/>
              <w:rPr>
                <w:sz w:val="20"/>
                <w:szCs w:val="20"/>
                <w:color w:val="auto"/>
              </w:rPr>
            </w:pPr>
            <w:r>
              <w:rPr>
                <w:rFonts w:ascii="Arial" w:cs="Arial" w:eastAsia="Arial" w:hAnsi="Arial"/>
                <w:sz w:val="18"/>
                <w:szCs w:val="18"/>
                <w:color w:val="auto"/>
              </w:rPr>
              <w:t>Three months ended</w:t>
            </w:r>
          </w:p>
        </w:tc>
        <w:tc>
          <w:tcPr>
            <w:tcW w:w="198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9"/>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2900" w:type="dxa"/>
            <w:vAlign w:val="bottom"/>
            <w:gridSpan w:val="2"/>
          </w:tcPr>
          <w:p>
            <w:pPr>
              <w:jc w:val="right"/>
              <w:ind w:right="770"/>
              <w:spacing w:after="0" w:line="181" w:lineRule="exact"/>
              <w:rPr>
                <w:sz w:val="20"/>
                <w:szCs w:val="20"/>
                <w:color w:val="auto"/>
              </w:rPr>
            </w:pPr>
            <w:r>
              <w:rPr>
                <w:rFonts w:ascii="Arial" w:cs="Arial" w:eastAsia="Arial" w:hAnsi="Arial"/>
                <w:sz w:val="18"/>
                <w:szCs w:val="18"/>
                <w:color w:val="auto"/>
              </w:rPr>
              <w:t>September 30,</w:t>
            </w:r>
          </w:p>
        </w:tc>
        <w:tc>
          <w:tcPr>
            <w:tcW w:w="2000" w:type="dxa"/>
            <w:vAlign w:val="bottom"/>
            <w:gridSpan w:val="3"/>
          </w:tcPr>
          <w:p>
            <w:pPr>
              <w:jc w:val="center"/>
              <w:ind w:right="200"/>
              <w:spacing w:after="0" w:line="181"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market price and earnings per share data)</w:t>
            </w: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2014</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72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$11,812</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$33,652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412"/>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7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20" w:type="dxa"/>
            <w:vAlign w:val="bottom"/>
          </w:tcPr>
          <w:p>
            <w:pPr>
              <w:ind w:left="140"/>
              <w:spacing w:after="0"/>
              <w:rPr>
                <w:sz w:val="20"/>
                <w:szCs w:val="20"/>
                <w:color w:val="auto"/>
              </w:rPr>
            </w:pPr>
            <w:r>
              <w:rPr>
                <w:rFonts w:ascii="Arial" w:cs="Arial" w:eastAsia="Arial" w:hAnsi="Arial"/>
                <w:sz w:val="18"/>
                <w:szCs w:val="18"/>
                <w:color w:val="auto"/>
              </w:rPr>
              <w:t>Weighted average number of shares used in</w:t>
            </w: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31,848</w:t>
            </w:r>
          </w:p>
        </w:tc>
        <w:tc>
          <w:tcPr>
            <w:tcW w:w="1180" w:type="dxa"/>
            <w:vAlign w:val="bottom"/>
          </w:tcPr>
          <w:p>
            <w:pPr>
              <w:spacing w:after="0"/>
              <w:rPr>
                <w:sz w:val="24"/>
                <w:szCs w:val="24"/>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31,822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140"/>
              <w:spacing w:after="0"/>
              <w:rPr>
                <w:sz w:val="20"/>
                <w:szCs w:val="20"/>
                <w:color w:val="auto"/>
              </w:rPr>
            </w:pPr>
            <w:r>
              <w:rPr>
                <w:rFonts w:ascii="Arial" w:cs="Arial" w:eastAsia="Arial" w:hAnsi="Arial"/>
                <w:sz w:val="18"/>
                <w:szCs w:val="18"/>
                <w:color w:val="auto"/>
              </w:rPr>
              <w:t>calculating basic net income per share</w:t>
            </w:r>
          </w:p>
        </w:tc>
        <w:tc>
          <w:tcPr>
            <w:tcW w:w="1720" w:type="dxa"/>
            <w:vAlign w:val="bottom"/>
            <w:vMerge w:val="continue"/>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31,719</w:t>
            </w:r>
          </w:p>
        </w:tc>
        <w:tc>
          <w:tcPr>
            <w:tcW w:w="1080" w:type="dxa"/>
            <w:vAlign w:val="bottom"/>
            <w:vMerge w:val="continue"/>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31,615</w:t>
            </w:r>
          </w:p>
        </w:tc>
        <w:tc>
          <w:tcPr>
            <w:tcW w:w="0" w:type="dxa"/>
            <w:vAlign w:val="bottom"/>
          </w:tcPr>
          <w:p>
            <w:pPr>
              <w:spacing w:after="0"/>
              <w:rPr>
                <w:sz w:val="1"/>
                <w:szCs w:val="1"/>
                <w:color w:val="auto"/>
              </w:rPr>
            </w:pPr>
          </w:p>
        </w:tc>
      </w:tr>
      <w:tr>
        <w:trPr>
          <w:trHeight w:val="405"/>
        </w:trPr>
        <w:tc>
          <w:tcPr>
            <w:tcW w:w="572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2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98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9"/>
        </w:trPr>
        <w:tc>
          <w:tcPr>
            <w:tcW w:w="57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7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31,946</w:t>
            </w:r>
          </w:p>
        </w:tc>
        <w:tc>
          <w:tcPr>
            <w:tcW w:w="1180" w:type="dxa"/>
            <w:vAlign w:val="bottom"/>
          </w:tcPr>
          <w:p>
            <w:pPr>
              <w:spacing w:after="0"/>
              <w:rPr>
                <w:sz w:val="24"/>
                <w:szCs w:val="24"/>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31,924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1720" w:type="dxa"/>
            <w:vAlign w:val="bottom"/>
            <w:vMerge w:val="continue"/>
          </w:tcPr>
          <w:p>
            <w:pPr>
              <w:spacing w:after="0"/>
              <w:rPr>
                <w:sz w:val="17"/>
                <w:szCs w:val="17"/>
                <w:color w:val="auto"/>
              </w:rPr>
            </w:pPr>
          </w:p>
        </w:tc>
        <w:tc>
          <w:tcPr>
            <w:tcW w:w="11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31,841</w:t>
            </w:r>
          </w:p>
        </w:tc>
        <w:tc>
          <w:tcPr>
            <w:tcW w:w="1080" w:type="dxa"/>
            <w:vAlign w:val="bottom"/>
            <w:vMerge w:val="continue"/>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31,744</w:t>
            </w:r>
          </w:p>
        </w:tc>
        <w:tc>
          <w:tcPr>
            <w:tcW w:w="0" w:type="dxa"/>
            <w:vAlign w:val="bottom"/>
          </w:tcPr>
          <w:p>
            <w:pPr>
              <w:spacing w:after="0"/>
              <w:rPr>
                <w:sz w:val="1"/>
                <w:szCs w:val="1"/>
                <w:color w:val="auto"/>
              </w:rPr>
            </w:pPr>
          </w:p>
        </w:tc>
      </w:tr>
      <w:tr>
        <w:trPr>
          <w:trHeight w:val="398"/>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market price of common stock used</w:t>
            </w:r>
          </w:p>
        </w:tc>
        <w:tc>
          <w:tcPr>
            <w:tcW w:w="17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$37.20</w:t>
            </w:r>
          </w:p>
        </w:tc>
        <w:tc>
          <w:tcPr>
            <w:tcW w:w="1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$36.38</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1720" w:type="dxa"/>
            <w:vAlign w:val="bottom"/>
            <w:vMerge w:val="continue"/>
          </w:tcPr>
          <w:p>
            <w:pPr>
              <w:spacing w:after="0"/>
              <w:rPr>
                <w:sz w:val="17"/>
                <w:szCs w:val="17"/>
                <w:color w:val="auto"/>
              </w:rPr>
            </w:pPr>
          </w:p>
        </w:tc>
        <w:tc>
          <w:tcPr>
            <w:tcW w:w="11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$34.43</w:t>
            </w:r>
          </w:p>
        </w:tc>
        <w:tc>
          <w:tcPr>
            <w:tcW w:w="1080" w:type="dxa"/>
            <w:vAlign w:val="bottom"/>
            <w:vMerge w:val="continue"/>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412"/>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share:</w:t>
            </w:r>
          </w:p>
        </w:tc>
        <w:tc>
          <w:tcPr>
            <w:tcW w:w="17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20" w:type="dxa"/>
            <w:vAlign w:val="bottom"/>
          </w:tcPr>
          <w:p>
            <w:pPr>
              <w:ind w:left="140"/>
              <w:spacing w:after="0"/>
              <w:rPr>
                <w:sz w:val="20"/>
                <w:szCs w:val="20"/>
                <w:color w:val="auto"/>
              </w:rPr>
            </w:pPr>
            <w:r>
              <w:rPr>
                <w:rFonts w:ascii="Arial" w:cs="Arial" w:eastAsia="Arial" w:hAnsi="Arial"/>
                <w:sz w:val="18"/>
                <w:szCs w:val="18"/>
                <w:color w:val="auto"/>
              </w:rPr>
              <w:t>Basic</w:t>
            </w: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$0.37</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$1.06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92"/>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$0.37</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$1.05</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number of shares issued and outstanding:</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Class A</w:t>
            </w:r>
          </w:p>
        </w:tc>
        <w:tc>
          <w:tcPr>
            <w:tcW w:w="2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rPr>
              <w:t>Class B</w:t>
            </w:r>
          </w:p>
        </w:tc>
        <w:tc>
          <w:tcPr>
            <w:tcW w:w="220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Treasury</w:t>
            </w:r>
          </w:p>
        </w:tc>
        <w:tc>
          <w:tcPr>
            <w:tcW w:w="18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Net shares</w:t>
            </w:r>
          </w:p>
        </w:tc>
        <w:tc>
          <w:tcPr>
            <w:tcW w:w="20" w:type="dxa"/>
            <w:vAlign w:val="bottom"/>
          </w:tcPr>
          <w:p>
            <w:pPr>
              <w:spacing w:after="0"/>
              <w:rPr>
                <w:sz w:val="18"/>
                <w:szCs w:val="18"/>
                <w:color w:val="auto"/>
              </w:rPr>
            </w:pPr>
          </w:p>
        </w:tc>
      </w:tr>
      <w:tr>
        <w:trPr>
          <w:trHeight w:val="203"/>
        </w:trPr>
        <w:tc>
          <w:tcPr>
            <w:tcW w:w="24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rPr>
              <w:t>Shares</w:t>
            </w:r>
          </w:p>
        </w:tc>
        <w:tc>
          <w:tcPr>
            <w:tcW w:w="2260" w:type="dxa"/>
            <w:vAlign w:val="bottom"/>
            <w:tcBorders>
              <w:bottom w:val="single" w:sz="8" w:color="auto"/>
            </w:tcBorders>
          </w:tcPr>
          <w:p>
            <w:pPr>
              <w:jc w:val="right"/>
              <w:ind w:right="1070"/>
              <w:spacing w:after="0" w:line="203" w:lineRule="exact"/>
              <w:rPr>
                <w:sz w:val="20"/>
                <w:szCs w:val="20"/>
                <w:color w:val="auto"/>
              </w:rPr>
            </w:pPr>
            <w:r>
              <w:rPr>
                <w:rFonts w:ascii="Arial" w:cs="Arial" w:eastAsia="Arial" w:hAnsi="Arial"/>
                <w:sz w:val="18"/>
                <w:szCs w:val="18"/>
                <w:color w:val="auto"/>
              </w:rPr>
              <w:t>Shares</w:t>
            </w:r>
          </w:p>
        </w:tc>
        <w:tc>
          <w:tcPr>
            <w:tcW w:w="2200" w:type="dxa"/>
            <w:vAlign w:val="bottom"/>
            <w:tcBorders>
              <w:bottom w:val="single" w:sz="8" w:color="auto"/>
            </w:tcBorders>
          </w:tcPr>
          <w:p>
            <w:pPr>
              <w:jc w:val="right"/>
              <w:ind w:right="990"/>
              <w:spacing w:after="0" w:line="203" w:lineRule="exact"/>
              <w:rPr>
                <w:sz w:val="20"/>
                <w:szCs w:val="20"/>
                <w:color w:val="auto"/>
              </w:rPr>
            </w:pPr>
            <w:r>
              <w:rPr>
                <w:rFonts w:ascii="Arial" w:cs="Arial" w:eastAsia="Arial" w:hAnsi="Arial"/>
                <w:sz w:val="18"/>
                <w:szCs w:val="18"/>
                <w:color w:val="auto"/>
              </w:rPr>
              <w:t>Shares</w:t>
            </w:r>
          </w:p>
        </w:tc>
        <w:tc>
          <w:tcPr>
            <w:tcW w:w="18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7"/>
                <w:szCs w:val="17"/>
                <w:color w:val="auto"/>
              </w:rPr>
            </w:pPr>
          </w:p>
        </w:tc>
      </w:tr>
      <w:tr>
        <w:trPr>
          <w:trHeight w:val="398"/>
        </w:trPr>
        <w:tc>
          <w:tcPr>
            <w:tcW w:w="2480" w:type="dxa"/>
            <w:vAlign w:val="bottom"/>
          </w:tcPr>
          <w:p>
            <w:pPr>
              <w:spacing w:after="0"/>
              <w:rPr>
                <w:sz w:val="20"/>
                <w:szCs w:val="20"/>
                <w:color w:val="auto"/>
              </w:rPr>
            </w:pPr>
            <w:r>
              <w:rPr>
                <w:rFonts w:ascii="Arial" w:cs="Arial" w:eastAsia="Arial" w:hAnsi="Arial"/>
                <w:sz w:val="18"/>
                <w:szCs w:val="18"/>
                <w:color w:val="auto"/>
              </w:rPr>
              <w:t>September 30, 2014</w:t>
            </w:r>
          </w:p>
        </w:tc>
        <w:tc>
          <w:tcPr>
            <w:tcW w:w="2620" w:type="dxa"/>
            <w:vAlign w:val="bottom"/>
          </w:tcPr>
          <w:p>
            <w:pPr>
              <w:jc w:val="right"/>
              <w:ind w:right="430"/>
              <w:spacing w:after="0"/>
              <w:rPr>
                <w:sz w:val="20"/>
                <w:szCs w:val="20"/>
                <w:color w:val="auto"/>
              </w:rPr>
            </w:pPr>
            <w:r>
              <w:rPr>
                <w:rFonts w:ascii="Arial" w:cs="Arial" w:eastAsia="Arial" w:hAnsi="Arial"/>
                <w:sz w:val="18"/>
                <w:szCs w:val="18"/>
                <w:color w:val="auto"/>
              </w:rPr>
              <w:t>37,076,689</w:t>
            </w: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3,235,048</w:t>
            </w:r>
          </w:p>
        </w:tc>
        <w:tc>
          <w:tcPr>
            <w:tcW w:w="2200" w:type="dxa"/>
            <w:vAlign w:val="bottom"/>
          </w:tcPr>
          <w:p>
            <w:pPr>
              <w:jc w:val="right"/>
              <w:ind w:right="310"/>
              <w:spacing w:after="0"/>
              <w:rPr>
                <w:sz w:val="20"/>
                <w:szCs w:val="20"/>
                <w:color w:val="auto"/>
              </w:rPr>
            </w:pPr>
            <w:r>
              <w:rPr>
                <w:rFonts w:ascii="Arial" w:cs="Arial" w:eastAsia="Arial" w:hAnsi="Arial"/>
                <w:sz w:val="18"/>
                <w:szCs w:val="18"/>
                <w:color w:val="auto"/>
              </w:rPr>
              <w:t>(8,459,498)</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31,852,239</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June 30, 2014</w:t>
            </w:r>
          </w:p>
        </w:tc>
        <w:tc>
          <w:tcPr>
            <w:tcW w:w="26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37,064,939</w:t>
            </w:r>
          </w:p>
        </w:tc>
        <w:tc>
          <w:tcPr>
            <w:tcW w:w="2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3,235,048</w:t>
            </w:r>
          </w:p>
        </w:tc>
        <w:tc>
          <w:tcPr>
            <w:tcW w:w="22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(8,459,498)</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31,840,489</w:t>
            </w: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September 30, 2013</w:t>
            </w:r>
          </w:p>
        </w:tc>
        <w:tc>
          <w:tcPr>
            <w:tcW w:w="2620" w:type="dxa"/>
            <w:vAlign w:val="bottom"/>
          </w:tcPr>
          <w:p>
            <w:pPr>
              <w:jc w:val="right"/>
              <w:ind w:right="430"/>
              <w:spacing w:after="0"/>
              <w:rPr>
                <w:sz w:val="20"/>
                <w:szCs w:val="20"/>
                <w:color w:val="auto"/>
              </w:rPr>
            </w:pPr>
            <w:r>
              <w:rPr>
                <w:rFonts w:ascii="Arial" w:cs="Arial" w:eastAsia="Arial" w:hAnsi="Arial"/>
                <w:sz w:val="18"/>
                <w:szCs w:val="18"/>
                <w:color w:val="auto"/>
              </w:rPr>
              <w:t>36,954,027</w:t>
            </w:r>
          </w:p>
        </w:tc>
        <w:tc>
          <w:tcPr>
            <w:tcW w:w="2260" w:type="dxa"/>
            <w:vAlign w:val="bottom"/>
          </w:tcPr>
          <w:p>
            <w:pPr>
              <w:jc w:val="right"/>
              <w:ind w:right="390"/>
              <w:spacing w:after="0"/>
              <w:rPr>
                <w:sz w:val="20"/>
                <w:szCs w:val="20"/>
                <w:color w:val="auto"/>
              </w:rPr>
            </w:pPr>
            <w:r>
              <w:rPr>
                <w:rFonts w:ascii="Arial" w:cs="Arial" w:eastAsia="Arial" w:hAnsi="Arial"/>
                <w:sz w:val="18"/>
                <w:szCs w:val="18"/>
                <w:color w:val="auto"/>
              </w:rPr>
              <w:t>3,236,098</w:t>
            </w:r>
          </w:p>
        </w:tc>
        <w:tc>
          <w:tcPr>
            <w:tcW w:w="2200" w:type="dxa"/>
            <w:vAlign w:val="bottom"/>
          </w:tcPr>
          <w:p>
            <w:pPr>
              <w:jc w:val="right"/>
              <w:ind w:right="310"/>
              <w:spacing w:after="0"/>
              <w:rPr>
                <w:sz w:val="20"/>
                <w:szCs w:val="20"/>
                <w:color w:val="auto"/>
              </w:rPr>
            </w:pPr>
            <w:r>
              <w:rPr>
                <w:rFonts w:ascii="Arial" w:cs="Arial" w:eastAsia="Arial" w:hAnsi="Arial"/>
                <w:sz w:val="18"/>
                <w:szCs w:val="18"/>
                <w:color w:val="auto"/>
              </w:rPr>
              <w:t>(8,463,635)</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31,726,490</w:t>
            </w:r>
          </w:p>
        </w:tc>
      </w:tr>
      <w:tr>
        <w:trPr>
          <w:trHeight w:val="189"/>
        </w:trPr>
        <w:tc>
          <w:tcPr>
            <w:tcW w:w="24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9. Accumulated Other Comprehensive Income</w:t>
      </w:r>
    </w:p>
    <w:p>
      <w:pPr>
        <w:spacing w:after="0" w:line="19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table below presents changes in the components of Accumulated Other Comprehensive Income for the period December 31, 2013 to September 30, 2014: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Pension and</w:t>
            </w:r>
          </w:p>
        </w:tc>
        <w:tc>
          <w:tcPr>
            <w:tcW w:w="16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Translation</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47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8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adjustments</w:t>
            </w:r>
          </w:p>
        </w:tc>
        <w:tc>
          <w:tcPr>
            <w:tcW w:w="17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adjustment</w:t>
            </w:r>
          </w:p>
        </w:tc>
        <w:tc>
          <w:tcPr>
            <w:tcW w:w="152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rPr>
              <w:t>Income</w:t>
            </w:r>
          </w:p>
        </w:tc>
      </w:tr>
      <w:tr>
        <w:trPr>
          <w:trHeight w:val="412"/>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($138)</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($48,383)</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($977)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($49,498)</w:t>
            </w:r>
          </w:p>
        </w:tc>
      </w:tr>
      <w:tr>
        <w:trPr>
          <w:trHeight w:val="195"/>
        </w:trPr>
        <w:tc>
          <w:tcPr>
            <w:tcW w:w="4700" w:type="dxa"/>
            <w:vAlign w:val="bottom"/>
            <w:gridSpan w:val="2"/>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8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(30,703)</w:t>
            </w:r>
          </w:p>
        </w:tc>
        <w:tc>
          <w:tcPr>
            <w:tcW w:w="17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998</w:t>
            </w:r>
          </w:p>
        </w:tc>
        <w:tc>
          <w:tcPr>
            <w:tcW w:w="16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(530)</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(30,235)</w:t>
            </w: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Statements of Income, net of tax</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873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873</w:t>
            </w: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reclassified to Statements of Income, net of tax</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421</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r>
      <w:tr>
        <w:trPr>
          <w:trHeight w:val="210"/>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 period other comprehensive income</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(30,703)</w:t>
            </w: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1,419</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r>
      <w:tr>
        <w:trPr>
          <w:trHeight w:val="412"/>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September 30, 2014</w:t>
            </w: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($30,841)</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($46,964)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($634)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($78,439)</w:t>
            </w:r>
          </w:p>
        </w:tc>
      </w:tr>
    </w:tbl>
    <w:p>
      <w:pPr>
        <w:spacing w:after="0" w:line="175" w:lineRule="exact"/>
        <w:rPr>
          <w:sz w:val="20"/>
          <w:szCs w:val="20"/>
          <w:color w:val="auto"/>
        </w:rPr>
      </w:pPr>
    </w:p>
    <w:p>
      <w:pPr>
        <w:ind w:right="440" w:firstLine="648"/>
        <w:spacing w:after="0"/>
        <w:rPr>
          <w:sz w:val="20"/>
          <w:szCs w:val="20"/>
          <w:color w:val="auto"/>
        </w:rPr>
      </w:pPr>
      <w:r>
        <w:rPr>
          <w:rFonts w:ascii="Arial" w:cs="Arial" w:eastAsia="Arial" w:hAnsi="Arial"/>
          <w:sz w:val="18"/>
          <w:szCs w:val="18"/>
          <w:color w:val="auto"/>
        </w:rPr>
        <w:t>The components of our Accumulated Other Comprehensive Income that are reclassified to the Statements of Income relate to our pension and postretirement plans and interest rate swaps. The table below presents the amounts reclassified, and the line items of the Statements of Income that were affected: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Three months ended</w:t>
            </w:r>
          </w:p>
        </w:tc>
        <w:tc>
          <w:tcPr>
            <w:tcW w:w="300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12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00" w:type="dxa"/>
            <w:vAlign w:val="bottom"/>
          </w:tcPr>
          <w:p>
            <w:pPr>
              <w:spacing w:after="0"/>
              <w:rPr>
                <w:sz w:val="15"/>
                <w:szCs w:val="15"/>
                <w:color w:val="auto"/>
              </w:rPr>
            </w:pPr>
          </w:p>
        </w:tc>
        <w:tc>
          <w:tcPr>
            <w:tcW w:w="21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Expense/(income)(in thousands)</w:t>
            </w:r>
          </w:p>
        </w:tc>
        <w:tc>
          <w:tcPr>
            <w:tcW w:w="21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73"/>
        </w:trPr>
        <w:tc>
          <w:tcPr>
            <w:tcW w:w="500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w:t>
            </w:r>
          </w:p>
        </w:tc>
        <w:tc>
          <w:tcPr>
            <w:tcW w:w="2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Payments made on interest rate swaps included in</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$480</w:t>
            </w:r>
          </w:p>
        </w:tc>
        <w:tc>
          <w:tcPr>
            <w:tcW w:w="1300" w:type="dxa"/>
            <w:vAlign w:val="bottom"/>
          </w:tcPr>
          <w:p>
            <w:pPr>
              <w:spacing w:after="0"/>
              <w:rPr>
                <w:sz w:val="17"/>
                <w:szCs w:val="17"/>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$1,431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80" w:type="dxa"/>
            <w:vAlign w:val="bottom"/>
          </w:tcPr>
          <w:p>
            <w:pPr>
              <w:ind w:left="160"/>
              <w:spacing w:after="0" w:line="195" w:lineRule="exact"/>
              <w:rPr>
                <w:sz w:val="20"/>
                <w:szCs w:val="20"/>
                <w:color w:val="auto"/>
              </w:rPr>
            </w:pPr>
            <w:r>
              <w:rPr>
                <w:rFonts w:ascii="Arial" w:cs="Arial" w:eastAsia="Arial" w:hAnsi="Arial"/>
                <w:sz w:val="18"/>
                <w:szCs w:val="18"/>
                <w:color w:val="auto"/>
              </w:rPr>
              <w:t>earnings</w:t>
            </w:r>
          </w:p>
        </w:tc>
        <w:tc>
          <w:tcPr>
            <w:tcW w:w="2120" w:type="dxa"/>
            <w:vAlign w:val="bottom"/>
            <w:vMerge w:val="continue"/>
          </w:tcPr>
          <w:p>
            <w:pPr>
              <w:spacing w:after="0"/>
              <w:rPr>
                <w:sz w:val="16"/>
                <w:szCs w:val="16"/>
                <w:color w:val="auto"/>
              </w:rPr>
            </w:pPr>
          </w:p>
        </w:tc>
        <w:tc>
          <w:tcPr>
            <w:tcW w:w="13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$467</w:t>
            </w:r>
          </w:p>
        </w:tc>
        <w:tc>
          <w:tcPr>
            <w:tcW w:w="2100" w:type="dxa"/>
            <w:vAlign w:val="bottom"/>
            <w:vMerge w:val="continue"/>
          </w:tcPr>
          <w:p>
            <w:pPr>
              <w:spacing w:after="0"/>
              <w:rPr>
                <w:sz w:val="16"/>
                <w:szCs w:val="16"/>
                <w:color w:val="auto"/>
              </w:rPr>
            </w:pP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 effect</w:t>
            </w:r>
          </w:p>
        </w:tc>
        <w:tc>
          <w:tcPr>
            <w:tcW w:w="2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(187)</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(183)</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$293</w:t>
            </w:r>
          </w:p>
        </w:tc>
        <w:tc>
          <w:tcPr>
            <w:tcW w:w="1300" w:type="dxa"/>
            <w:vAlign w:val="bottom"/>
          </w:tcPr>
          <w:p>
            <w:pPr>
              <w:spacing w:after="0"/>
              <w:rPr>
                <w:sz w:val="16"/>
                <w:szCs w:val="16"/>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$873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1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$284</w:t>
            </w:r>
          </w:p>
        </w:tc>
        <w:tc>
          <w:tcPr>
            <w:tcW w:w="2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37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w:t>
            </w:r>
          </w:p>
        </w:tc>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reclassified from Accumulated Other Comprehensive</w:t>
            </w:r>
          </w:p>
        </w:tc>
        <w:tc>
          <w:tcPr>
            <w:tcW w:w="2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212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($1,108)</w:t>
            </w:r>
          </w:p>
        </w:tc>
        <w:tc>
          <w:tcPr>
            <w:tcW w:w="1300" w:type="dxa"/>
            <w:vAlign w:val="bottom"/>
          </w:tcPr>
          <w:p>
            <w:pPr>
              <w:spacing w:after="0"/>
              <w:rPr>
                <w:sz w:val="19"/>
                <w:szCs w:val="19"/>
                <w:color w:val="auto"/>
              </w:rPr>
            </w:pPr>
          </w:p>
        </w:tc>
        <w:tc>
          <w:tcPr>
            <w:tcW w:w="210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($3,325)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120"/>
              <w:spacing w:after="0" w:line="181" w:lineRule="exact"/>
              <w:rPr>
                <w:sz w:val="20"/>
                <w:szCs w:val="20"/>
                <w:color w:val="auto"/>
              </w:rPr>
            </w:pPr>
            <w:r>
              <w:rPr>
                <w:rFonts w:ascii="Arial" w:cs="Arial" w:eastAsia="Arial" w:hAnsi="Arial"/>
                <w:sz w:val="18"/>
                <w:szCs w:val="18"/>
                <w:color w:val="auto"/>
              </w:rPr>
              <w:t>Amortization of prior service cost/(credit)</w:t>
            </w:r>
          </w:p>
        </w:tc>
        <w:tc>
          <w:tcPr>
            <w:tcW w:w="2120" w:type="dxa"/>
            <w:vAlign w:val="bottom"/>
            <w:vMerge w:val="continue"/>
          </w:tcPr>
          <w:p>
            <w:pPr>
              <w:spacing w:after="0"/>
              <w:rPr>
                <w:sz w:val="15"/>
                <w:szCs w:val="15"/>
                <w:color w:val="auto"/>
              </w:rPr>
            </w:pPr>
          </w:p>
        </w:tc>
        <w:tc>
          <w:tcPr>
            <w:tcW w:w="130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($974)</w:t>
            </w:r>
          </w:p>
        </w:tc>
        <w:tc>
          <w:tcPr>
            <w:tcW w:w="2100" w:type="dxa"/>
            <w:vAlign w:val="bottom"/>
            <w:vMerge w:val="continue"/>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Amortization of transition obligation</w:t>
            </w:r>
          </w:p>
        </w:tc>
        <w:tc>
          <w:tcPr>
            <w:tcW w:w="2120" w:type="dxa"/>
            <w:vAlign w:val="bottom"/>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actuarial loss</w:t>
            </w:r>
          </w:p>
        </w:tc>
        <w:tc>
          <w:tcPr>
            <w:tcW w:w="2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1,343</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1,635</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4,026</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pretax amount reclassified (a)</w:t>
            </w:r>
          </w:p>
        </w:tc>
        <w:tc>
          <w:tcPr>
            <w:tcW w:w="2120" w:type="dxa"/>
            <w:vAlign w:val="bottom"/>
          </w:tcPr>
          <w:p>
            <w:pPr>
              <w:jc w:val="right"/>
              <w:ind w:right="830"/>
              <w:spacing w:after="0"/>
              <w:rPr>
                <w:sz w:val="20"/>
                <w:szCs w:val="20"/>
                <w:color w:val="auto"/>
              </w:rPr>
            </w:pPr>
            <w:r>
              <w:rPr>
                <w:rFonts w:ascii="Arial" w:cs="Arial" w:eastAsia="Arial" w:hAnsi="Arial"/>
                <w:sz w:val="18"/>
                <w:szCs w:val="18"/>
                <w:b w:val="1"/>
                <w:bCs w:val="1"/>
                <w:color w:val="auto"/>
              </w:rPr>
              <w:t>235</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678</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701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382"/>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(94)</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(265)</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195"/>
        </w:trPr>
        <w:tc>
          <w:tcPr>
            <w:tcW w:w="500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w:t>
            </w: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$141</w:t>
            </w:r>
          </w:p>
        </w:tc>
        <w:tc>
          <w:tcPr>
            <w:tcW w:w="1300" w:type="dxa"/>
            <w:vAlign w:val="bottom"/>
          </w:tcPr>
          <w:p>
            <w:pPr>
              <w:spacing w:after="0"/>
              <w:rPr>
                <w:sz w:val="16"/>
                <w:szCs w:val="16"/>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$421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1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$413</w:t>
            </w:r>
          </w:p>
        </w:tc>
        <w:tc>
          <w:tcPr>
            <w:tcW w:w="2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17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9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4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September 30, 2014</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December 31, 2013</w:t>
            </w:r>
          </w:p>
        </w:tc>
      </w:tr>
      <w:tr>
        <w:trPr>
          <w:trHeight w:val="173"/>
        </w:trPr>
        <w:tc>
          <w:tcPr>
            <w:tcW w:w="20" w:type="dxa"/>
            <w:vAlign w:val="bottom"/>
          </w:tcPr>
          <w:p>
            <w:pPr>
              <w:spacing w:after="0"/>
              <w:rPr>
                <w:sz w:val="15"/>
                <w:szCs w:val="15"/>
                <w:color w:val="auto"/>
              </w:rPr>
            </w:pPr>
          </w:p>
        </w:tc>
        <w:tc>
          <w:tcPr>
            <w:tcW w:w="508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1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$146,348</w:t>
            </w:r>
          </w:p>
        </w:tc>
        <w:tc>
          <w:tcPr>
            <w:tcW w:w="21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$154,296</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Revenue in excess of progress billings</w:t>
            </w:r>
          </w:p>
        </w:tc>
        <w:tc>
          <w:tcPr>
            <w:tcW w:w="4140" w:type="dxa"/>
            <w:vAlign w:val="bottom"/>
          </w:tcPr>
          <w:p>
            <w:pPr>
              <w:jc w:val="right"/>
              <w:ind w:right="370"/>
              <w:spacing w:after="0"/>
              <w:rPr>
                <w:sz w:val="20"/>
                <w:szCs w:val="20"/>
                <w:color w:val="auto"/>
              </w:rPr>
            </w:pPr>
            <w:r>
              <w:rPr>
                <w:rFonts w:ascii="Arial" w:cs="Arial" w:eastAsia="Arial" w:hAnsi="Arial"/>
                <w:sz w:val="18"/>
                <w:szCs w:val="18"/>
                <w:b w:val="1"/>
                <w:bCs w:val="1"/>
                <w:color w:val="auto"/>
              </w:rPr>
              <w:t>9,799</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20,525</w:t>
            </w:r>
          </w:p>
        </w:tc>
      </w:tr>
      <w:tr>
        <w:trPr>
          <w:trHeight w:val="225"/>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Allowance for doubtful accounts</w:t>
            </w:r>
          </w:p>
        </w:tc>
        <w:tc>
          <w:tcPr>
            <w:tcW w:w="4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(8,664)</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(11,274)</w:t>
            </w:r>
          </w:p>
        </w:tc>
      </w:tr>
      <w:tr>
        <w:trPr>
          <w:trHeight w:val="210"/>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Accounts Receivable</w:t>
            </w:r>
          </w:p>
        </w:tc>
        <w:tc>
          <w:tcPr>
            <w:tcW w:w="4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$147,483</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$163,547</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2014 and December 31, 2013, 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5160" w:type="dxa"/>
            <w:vAlign w:val="bottom"/>
          </w:tcPr>
          <w:p>
            <w:pPr>
              <w:jc w:val="right"/>
              <w:ind w:right="470"/>
              <w:spacing w:after="0"/>
              <w:rPr>
                <w:sz w:val="20"/>
                <w:szCs w:val="20"/>
                <w:color w:val="auto"/>
              </w:rPr>
            </w:pPr>
            <w:r>
              <w:rPr>
                <w:rFonts w:ascii="Arial" w:cs="Arial" w:eastAsia="Arial" w:hAnsi="Arial"/>
                <w:sz w:val="18"/>
                <w:szCs w:val="18"/>
                <w:b w:val="1"/>
                <w:bCs w:val="1"/>
                <w:color w:val="auto"/>
              </w:rPr>
              <w:t>September 30, 2014</w:t>
            </w:r>
          </w:p>
        </w:tc>
        <w:tc>
          <w:tcPr>
            <w:tcW w:w="2120" w:type="dxa"/>
            <w:vAlign w:val="bottom"/>
            <w:gridSpan w:val="2"/>
          </w:tcPr>
          <w:p>
            <w:pPr>
              <w:jc w:val="right"/>
              <w:ind w:right="380"/>
              <w:spacing w:after="0"/>
              <w:rPr>
                <w:sz w:val="20"/>
                <w:szCs w:val="20"/>
                <w:color w:val="auto"/>
              </w:rPr>
            </w:pPr>
            <w:r>
              <w:rPr>
                <w:rFonts w:ascii="Arial" w:cs="Arial" w:eastAsia="Arial" w:hAnsi="Arial"/>
                <w:sz w:val="18"/>
                <w:szCs w:val="18"/>
                <w:color w:val="auto"/>
              </w:rPr>
              <w:t>December 31, 2013</w:t>
            </w:r>
          </w:p>
        </w:tc>
      </w:tr>
      <w:tr>
        <w:trPr>
          <w:trHeight w:val="173"/>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Raw materials</w:t>
            </w:r>
          </w:p>
        </w:tc>
        <w:tc>
          <w:tcPr>
            <w:tcW w:w="516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$29,208</w:t>
            </w:r>
          </w:p>
        </w:tc>
        <w:tc>
          <w:tcPr>
            <w:tcW w:w="2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$25,754</w:t>
            </w:r>
          </w:p>
        </w:tc>
        <w:tc>
          <w:tcPr>
            <w:tcW w:w="20" w:type="dxa"/>
            <w:vAlign w:val="bottom"/>
          </w:tcPr>
          <w:p>
            <w:pPr>
              <w:spacing w:after="0"/>
              <w:rPr>
                <w:sz w:val="15"/>
                <w:szCs w:val="15"/>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Work in process</w:t>
            </w:r>
          </w:p>
        </w:tc>
        <w:tc>
          <w:tcPr>
            <w:tcW w:w="51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47,383</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45,998</w:t>
            </w:r>
          </w:p>
        </w:tc>
      </w:tr>
      <w:tr>
        <w:trPr>
          <w:trHeight w:val="225"/>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Finished goods</w:t>
            </w:r>
          </w:p>
        </w:tc>
        <w:tc>
          <w:tcPr>
            <w:tcW w:w="5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45,001</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40,987</w:t>
            </w:r>
          </w:p>
        </w:tc>
      </w:tr>
      <w:tr>
        <w:trPr>
          <w:trHeight w:val="196"/>
        </w:trPr>
        <w:tc>
          <w:tcPr>
            <w:tcW w:w="41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inventories</w:t>
            </w:r>
          </w:p>
        </w:tc>
        <w:tc>
          <w:tcPr>
            <w:tcW w:w="51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$121,592</w:t>
            </w:r>
          </w:p>
        </w:tc>
        <w:tc>
          <w:tcPr>
            <w:tcW w:w="2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$112,739</w:t>
            </w:r>
          </w:p>
        </w:tc>
      </w:tr>
    </w:tbl>
    <w:p>
      <w:pPr>
        <w:spacing w:after="0" w:line="21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During the second quarter of 2014, the Company identified an error in the value of Machine Clothing inventories reported in prior periods. Included in cost of goods sold for the first nine months of 2014 is a charge of $1.6 million to correct the errors by reducing inventories to their proper carrying values. The error relates to intercompany transfers of inventory and originated when the Company transitioned to a new ERP system in the Americas in 2008 and Europe in 2011.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93"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jc w:val="both"/>
        <w:ind w:right="5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2014, the Company applied the qualitative assessment approach in performing its annual evaluation of goodwill and concluded that no impairment provision was required. In addition, there were no amounts at risk due to the large spread between the fair and carrying values.</w:t>
      </w:r>
    </w:p>
    <w:p>
      <w:pPr>
        <w:spacing w:after="0" w:line="189"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2013 to September 30, 2014,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right"/>
              <w:ind w:right="470"/>
              <w:spacing w:after="0" w:line="194" w:lineRule="exact"/>
              <w:rPr>
                <w:sz w:val="20"/>
                <w:szCs w:val="20"/>
                <w:color w:val="auto"/>
              </w:rPr>
            </w:pPr>
            <w:r>
              <w:rPr>
                <w:rFonts w:ascii="Arial" w:cs="Arial" w:eastAsia="Arial" w:hAnsi="Arial"/>
                <w:sz w:val="18"/>
                <w:szCs w:val="18"/>
                <w:b w:val="1"/>
                <w:bCs w:val="1"/>
                <w:color w:val="auto"/>
              </w:rPr>
              <w:t>Currency</w:t>
            </w:r>
          </w:p>
        </w:tc>
        <w:tc>
          <w:tcPr>
            <w:tcW w:w="1880" w:type="dxa"/>
            <w:vAlign w:val="bottom"/>
            <w:tcBorders>
              <w:top w:val="single" w:sz="8" w:color="auto"/>
            </w:tcBorders>
          </w:tcPr>
          <w:p>
            <w:pPr>
              <w:spacing w:after="0"/>
              <w:rPr>
                <w:sz w:val="16"/>
                <w:szCs w:val="16"/>
                <w:color w:val="auto"/>
              </w:rPr>
            </w:pPr>
          </w:p>
        </w:tc>
      </w:tr>
      <w:tr>
        <w:trPr>
          <w:trHeight w:val="225"/>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2013</w:t>
            </w: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Amortization</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2014</w:t>
            </w:r>
          </w:p>
        </w:tc>
      </w:tr>
      <w:tr>
        <w:trPr>
          <w:trHeight w:val="398"/>
        </w:trPr>
        <w:tc>
          <w:tcPr>
            <w:tcW w:w="32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20"/>
              <w:spacing w:after="0" w:line="202" w:lineRule="exact"/>
              <w:rPr>
                <w:sz w:val="20"/>
                <w:szCs w:val="20"/>
                <w:color w:val="auto"/>
              </w:rPr>
            </w:pPr>
            <w:r>
              <w:rPr>
                <w:rFonts w:ascii="Arial" w:cs="Arial" w:eastAsia="Arial" w:hAnsi="Arial"/>
                <w:sz w:val="18"/>
                <w:szCs w:val="18"/>
                <w:color w:val="auto"/>
              </w:rPr>
              <w:t>AEC trade names</w:t>
            </w:r>
          </w:p>
        </w:tc>
        <w:tc>
          <w:tcPr>
            <w:tcW w:w="2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$33</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w:t>
            </w:r>
          </w:p>
        </w:tc>
        <w:tc>
          <w:tcPr>
            <w:tcW w:w="17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 w:type="dxa"/>
            <w:vAlign w:val="bottom"/>
          </w:tcPr>
          <w:p>
            <w:pPr>
              <w:spacing w:after="0"/>
              <w:rPr>
                <w:sz w:val="17"/>
                <w:szCs w:val="17"/>
                <w:color w:val="auto"/>
              </w:rPr>
            </w:pPr>
          </w:p>
        </w:tc>
        <w:tc>
          <w:tcPr>
            <w:tcW w:w="322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5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404</w:t>
            </w:r>
          </w:p>
        </w:tc>
        <w:tc>
          <w:tcPr>
            <w:tcW w:w="19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(151)</w:t>
            </w:r>
          </w:p>
        </w:tc>
        <w:tc>
          <w:tcPr>
            <w:tcW w:w="17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w:t>
            </w:r>
          </w:p>
        </w:tc>
      </w:tr>
      <w:tr>
        <w:trPr>
          <w:trHeight w:val="217"/>
        </w:trPr>
        <w:tc>
          <w:tcPr>
            <w:tcW w:w="20" w:type="dxa"/>
            <w:vAlign w:val="bottom"/>
          </w:tcPr>
          <w:p>
            <w:pPr>
              <w:spacing w:after="0"/>
              <w:rPr>
                <w:sz w:val="18"/>
                <w:szCs w:val="18"/>
                <w:color w:val="auto"/>
              </w:rPr>
            </w:pPr>
          </w:p>
        </w:tc>
        <w:tc>
          <w:tcPr>
            <w:tcW w:w="3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AEC technology</w:t>
            </w:r>
          </w:p>
        </w:tc>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179</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r>
      <w:tr>
        <w:trPr>
          <w:trHeight w:val="210"/>
        </w:trPr>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amortized intangible assets</w:t>
            </w:r>
          </w:p>
        </w:tc>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$616</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($173)</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r>
        <w:trPr>
          <w:trHeight w:val="398"/>
        </w:trPr>
        <w:tc>
          <w:tcPr>
            <w:tcW w:w="32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Goodwill</w:t>
            </w:r>
          </w:p>
        </w:tc>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$78,890</w:t>
            </w: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($4,868)</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$74,022</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2014 through 2018, is as follows:</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3"/>
        </w:trPr>
        <w:tc>
          <w:tcPr>
            <w:tcW w:w="196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19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2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1960" w:type="dxa"/>
            <w:vAlign w:val="bottom"/>
          </w:tcPr>
          <w:p>
            <w:pPr>
              <w:ind w:left="760"/>
              <w:spacing w:after="0" w:line="195" w:lineRule="exact"/>
              <w:rPr>
                <w:sz w:val="20"/>
                <w:szCs w:val="20"/>
                <w:color w:val="auto"/>
              </w:rPr>
            </w:pPr>
            <w:r>
              <w:rPr>
                <w:rFonts w:ascii="Arial" w:cs="Arial" w:eastAsia="Arial" w:hAnsi="Arial"/>
                <w:sz w:val="18"/>
                <w:szCs w:val="18"/>
                <w:color w:val="auto"/>
              </w:rPr>
              <w:t>2014</w:t>
            </w:r>
          </w:p>
        </w:tc>
        <w:tc>
          <w:tcPr>
            <w:tcW w:w="2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$231</w:t>
            </w:r>
          </w:p>
        </w:tc>
      </w:tr>
      <w:tr>
        <w:trPr>
          <w:trHeight w:val="203"/>
        </w:trPr>
        <w:tc>
          <w:tcPr>
            <w:tcW w:w="1960" w:type="dxa"/>
            <w:vAlign w:val="bottom"/>
          </w:tcPr>
          <w:p>
            <w:pPr>
              <w:ind w:left="760"/>
              <w:spacing w:after="0" w:line="202" w:lineRule="exact"/>
              <w:rPr>
                <w:sz w:val="20"/>
                <w:szCs w:val="20"/>
                <w:color w:val="auto"/>
              </w:rPr>
            </w:pPr>
            <w:r>
              <w:rPr>
                <w:rFonts w:ascii="Arial" w:cs="Arial" w:eastAsia="Arial" w:hAnsi="Arial"/>
                <w:sz w:val="18"/>
                <w:szCs w:val="18"/>
                <w:color w:val="auto"/>
              </w:rPr>
              <w:t>2015</w:t>
            </w:r>
          </w:p>
        </w:tc>
        <w:tc>
          <w:tcPr>
            <w:tcW w:w="2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1960" w:type="dxa"/>
            <w:vAlign w:val="bottom"/>
          </w:tcPr>
          <w:p>
            <w:pPr>
              <w:ind w:left="760"/>
              <w:spacing w:after="0" w:line="202" w:lineRule="exact"/>
              <w:rPr>
                <w:sz w:val="20"/>
                <w:szCs w:val="20"/>
                <w:color w:val="auto"/>
              </w:rPr>
            </w:pPr>
            <w:r>
              <w:rPr>
                <w:rFonts w:ascii="Arial" w:cs="Arial" w:eastAsia="Arial" w:hAnsi="Arial"/>
                <w:sz w:val="18"/>
                <w:szCs w:val="18"/>
                <w:color w:val="auto"/>
              </w:rPr>
              <w:t>2016</w:t>
            </w:r>
          </w:p>
        </w:tc>
        <w:tc>
          <w:tcPr>
            <w:tcW w:w="2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1960" w:type="dxa"/>
            <w:vAlign w:val="bottom"/>
          </w:tcPr>
          <w:p>
            <w:pPr>
              <w:ind w:left="760"/>
              <w:spacing w:after="0" w:line="202" w:lineRule="exact"/>
              <w:rPr>
                <w:sz w:val="20"/>
                <w:szCs w:val="20"/>
                <w:color w:val="auto"/>
              </w:rPr>
            </w:pPr>
            <w:r>
              <w:rPr>
                <w:rFonts w:ascii="Arial" w:cs="Arial" w:eastAsia="Arial" w:hAnsi="Arial"/>
                <w:sz w:val="18"/>
                <w:szCs w:val="18"/>
                <w:color w:val="auto"/>
              </w:rPr>
              <w:t>2017</w:t>
            </w:r>
          </w:p>
        </w:tc>
        <w:tc>
          <w:tcPr>
            <w:tcW w:w="2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1960" w:type="dxa"/>
            <w:vAlign w:val="bottom"/>
            <w:tcBorders>
              <w:bottom w:val="single" w:sz="8" w:color="auto"/>
            </w:tcBorders>
          </w:tcPr>
          <w:p>
            <w:pPr>
              <w:ind w:left="760"/>
              <w:spacing w:after="0" w:line="203" w:lineRule="exact"/>
              <w:rPr>
                <w:sz w:val="20"/>
                <w:szCs w:val="20"/>
                <w:color w:val="auto"/>
              </w:rPr>
            </w:pPr>
            <w:r>
              <w:rPr>
                <w:rFonts w:ascii="Arial" w:cs="Arial" w:eastAsia="Arial" w:hAnsi="Arial"/>
                <w:sz w:val="18"/>
                <w:szCs w:val="18"/>
                <w:color w:val="auto"/>
              </w:rPr>
              <w:t>2018</w:t>
            </w:r>
          </w:p>
        </w:tc>
        <w:tc>
          <w:tcPr>
            <w:tcW w:w="2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 except interest rates)</w:t>
            </w:r>
          </w:p>
        </w:tc>
        <w:tc>
          <w:tcPr>
            <w:tcW w:w="26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September 30, 2014</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412"/>
        </w:trPr>
        <w:tc>
          <w:tcPr>
            <w:tcW w:w="676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and 2017</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$100,000</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91"/>
        </w:trPr>
        <w:tc>
          <w:tcPr>
            <w:tcW w:w="676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of 2.62% in 2014 and 2.53% in 2013 (including the effect of interest rate</w:t>
            </w:r>
          </w:p>
        </w:tc>
        <w:tc>
          <w:tcPr>
            <w:tcW w:w="2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183,000</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hedging transactions, as described below), due in 2018</w:t>
            </w:r>
          </w:p>
        </w:tc>
        <w:tc>
          <w:tcPr>
            <w:tcW w:w="2640" w:type="dxa"/>
            <w:vAlign w:val="bottom"/>
            <w:vMerge w:val="continue"/>
          </w:tcPr>
          <w:p>
            <w:pPr>
              <w:spacing w:after="0"/>
              <w:rPr>
                <w:sz w:val="18"/>
                <w:szCs w:val="18"/>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91"/>
        </w:trPr>
        <w:tc>
          <w:tcPr>
            <w:tcW w:w="676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United States, at an average end of period rate of 5.50% in 2014 and 3.10% in</w:t>
            </w:r>
          </w:p>
        </w:tc>
        <w:tc>
          <w:tcPr>
            <w:tcW w:w="2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115</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 due in varying amounts through 2021</w:t>
            </w:r>
          </w:p>
        </w:tc>
        <w:tc>
          <w:tcPr>
            <w:tcW w:w="264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412"/>
        </w:trPr>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283,115</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303,875</w:t>
            </w:r>
          </w:p>
        </w:tc>
        <w:tc>
          <w:tcPr>
            <w:tcW w:w="0" w:type="dxa"/>
            <w:vAlign w:val="bottom"/>
          </w:tcPr>
          <w:p>
            <w:pPr>
              <w:spacing w:after="0"/>
              <w:rPr>
                <w:sz w:val="1"/>
                <w:szCs w:val="1"/>
                <w:color w:val="auto"/>
              </w:rPr>
            </w:pPr>
          </w:p>
        </w:tc>
      </w:tr>
      <w:tr>
        <w:trPr>
          <w:trHeight w:val="405"/>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(15)</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412"/>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$283,100</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80" w:firstLine="648"/>
        <w:spacing w:after="0" w:line="234"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of September 17, 2010 and March 26, 2013, with the Prudential Insurance Company of America, and certain other purchasers with interest at</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6.84% and a maturity date of October 25, 2017. The remaining obligation under the Prudential Agreement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September 30, 2014, the fair value of this debt was approximately $112.2 million, and was measured using active market interest rates, which would be considered Level 2 for fair value measurement purposes.</w:t>
      </w:r>
    </w:p>
    <w:p>
      <w:pPr>
        <w:spacing w:after="0" w:line="190"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$183 million of borrowings were outstanding as of September 30, 2014. The Credit Agreement replaces the previous $ 390 million five-year Credit Agreement made in 2010. The applicable interest rate for borrowings under the Credit Agreement, as well as under the former agreement, is LIBOR plus a spread, based on our leverage ratio at the time of</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8" w:name="page19"/>
    <w:bookmarkEnd w:id="18"/>
    <w:p>
      <w:pPr>
        <w:ind w:right="380"/>
        <w:spacing w:after="0" w:line="246" w:lineRule="auto"/>
        <w:rPr>
          <w:sz w:val="20"/>
          <w:szCs w:val="20"/>
          <w:color w:val="auto"/>
        </w:rPr>
      </w:pPr>
      <w:r>
        <w:rPr>
          <w:rFonts w:ascii="Arial" w:cs="Arial" w:eastAsia="Arial" w:hAnsi="Arial"/>
          <w:sz w:val="18"/>
          <w:szCs w:val="18"/>
          <w:color w:val="auto"/>
        </w:rPr>
        <w:t>borrowing. At the time of the last borrowing on September 22, 2014, the spread was 1.375%. The spread is based on a pricing grid, which ranges from 1.25% to 1.875%, based on our leverage ratio.</w:t>
      </w:r>
    </w:p>
    <w:p>
      <w:pPr>
        <w:spacing w:after="0" w:line="197"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September 30, 2014, we would have been able to borrow an additional $147 million under our agreement.</w:t>
      </w:r>
    </w:p>
    <w:p>
      <w:pPr>
        <w:spacing w:after="0" w:line="20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July 16, 2014 was 0.24%. The net effect is to fix the effective interest rate on $ 105 million of indebtedness at 2.04%, plus the applicable spread, until these swap agreements expire. On September 30, 2014, the all-in rate on the $105 million of debt was 3.415%.</w:t>
      </w:r>
    </w:p>
    <w:p>
      <w:pPr>
        <w:spacing w:after="0" w:line="20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September 30, 2014 was 0.1525%. The net effect is to fix the effective interest rate on $110 million of indebtedness at 1.414%, plus the applicable spread, during the swap period.</w:t>
      </w:r>
    </w:p>
    <w:p>
      <w:pPr>
        <w:spacing w:after="0" w:line="205" w:lineRule="exact"/>
        <w:rPr>
          <w:sz w:val="20"/>
          <w:szCs w:val="20"/>
          <w:color w:val="auto"/>
        </w:rPr>
      </w:pPr>
    </w:p>
    <w:p>
      <w:pPr>
        <w:ind w:right="84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197"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97"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As of September 30, 2014, our leverage ratio was 1.46 to 1.00 and our interest coverage ratio was 12.10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September 30,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23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598" w:right="319" w:bottom="1440" w:gutter="0" w:footer="0" w:header="0"/>
        </w:sectPr>
      </w:pPr>
    </w:p>
    <w:bookmarkStart w:id="19" w:name="page20"/>
    <w:bookmarkEnd w:id="19"/>
    <w:p>
      <w:pPr>
        <w:ind w:right="140"/>
        <w:spacing w:after="0"/>
        <w:rPr>
          <w:sz w:val="20"/>
          <w:szCs w:val="20"/>
          <w:color w:val="auto"/>
        </w:rPr>
      </w:pPr>
      <w:r>
        <w:rPr>
          <w:rFonts w:ascii="Arial" w:cs="Arial" w:eastAsia="Arial" w:hAnsi="Arial"/>
          <w:sz w:val="18"/>
          <w:szCs w:val="18"/>
          <w:color w:val="auto"/>
        </w:rPr>
        <w:t>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September 30, 2014 and December 31, 2013, we have no Level 3 financial assets or liabilities.</w:t>
      </w:r>
    </w:p>
    <w:p>
      <w:pPr>
        <w:spacing w:after="0" w:line="20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gridSpan w:val="2"/>
          </w:tcPr>
          <w:p>
            <w:pPr>
              <w:jc w:val="right"/>
              <w:ind w:right="310"/>
              <w:spacing w:after="0" w:line="194" w:lineRule="exact"/>
              <w:rPr>
                <w:sz w:val="20"/>
                <w:szCs w:val="20"/>
                <w:color w:val="auto"/>
              </w:rPr>
            </w:pPr>
            <w:r>
              <w:rPr>
                <w:rFonts w:ascii="Arial" w:cs="Arial" w:eastAsia="Arial" w:hAnsi="Arial"/>
                <w:sz w:val="18"/>
                <w:szCs w:val="18"/>
                <w:b w:val="1"/>
                <w:bCs w:val="1"/>
                <w:color w:val="auto"/>
              </w:rPr>
              <w:t>September 30, 2014</w:t>
            </w:r>
          </w:p>
        </w:tc>
        <w:tc>
          <w:tcPr>
            <w:tcW w:w="40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color w:val="auto"/>
              </w:rPr>
              <w:t>December 31, 2013</w:t>
            </w:r>
          </w:p>
        </w:tc>
        <w:tc>
          <w:tcPr>
            <w:tcW w:w="420" w:type="dxa"/>
            <w:vAlign w:val="bottom"/>
            <w:tcBorders>
              <w:top w:val="single" w:sz="8" w:color="auto"/>
            </w:tcBorders>
          </w:tcPr>
          <w:p>
            <w:pPr>
              <w:spacing w:after="0"/>
              <w:rPr>
                <w:sz w:val="16"/>
                <w:szCs w:val="16"/>
                <w:color w:val="auto"/>
              </w:rPr>
            </w:pPr>
          </w:p>
        </w:tc>
      </w:tr>
      <w:tr>
        <w:trPr>
          <w:trHeight w:val="203"/>
        </w:trPr>
        <w:tc>
          <w:tcPr>
            <w:tcW w:w="4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Significant</w:t>
            </w: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Significant</w:t>
            </w:r>
          </w:p>
        </w:tc>
        <w:tc>
          <w:tcPr>
            <w:tcW w:w="4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280" w:type="dxa"/>
            <w:vAlign w:val="bottom"/>
          </w:tcPr>
          <w:p>
            <w:pPr>
              <w:jc w:val="center"/>
              <w:ind w:left="690"/>
              <w:spacing w:after="0" w:line="202" w:lineRule="exact"/>
              <w:rPr>
                <w:sz w:val="20"/>
                <w:szCs w:val="20"/>
                <w:color w:val="auto"/>
              </w:rPr>
            </w:pPr>
            <w:r>
              <w:rPr>
                <w:rFonts w:ascii="Arial" w:cs="Arial" w:eastAsia="Arial" w:hAnsi="Arial"/>
                <w:sz w:val="18"/>
                <w:szCs w:val="18"/>
                <w:b w:val="1"/>
                <w:bCs w:val="1"/>
                <w:color w:val="auto"/>
              </w:rPr>
              <w:t>Quoted prices</w:t>
            </w: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40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Quoted prices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other</w:t>
            </w:r>
          </w:p>
        </w:tc>
        <w:tc>
          <w:tcPr>
            <w:tcW w:w="4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28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in active</w:t>
            </w: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40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in active</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observable</w:t>
            </w:r>
          </w:p>
        </w:tc>
        <w:tc>
          <w:tcPr>
            <w:tcW w:w="4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280" w:type="dxa"/>
            <w:vAlign w:val="bottom"/>
          </w:tcPr>
          <w:p>
            <w:pPr>
              <w:jc w:val="center"/>
              <w:ind w:left="690"/>
              <w:spacing w:after="0" w:line="202" w:lineRule="exact"/>
              <w:rPr>
                <w:sz w:val="20"/>
                <w:szCs w:val="20"/>
                <w:color w:val="auto"/>
              </w:rPr>
            </w:pPr>
            <w:r>
              <w:rPr>
                <w:rFonts w:ascii="Arial" w:cs="Arial" w:eastAsia="Arial" w:hAnsi="Arial"/>
                <w:sz w:val="18"/>
                <w:szCs w:val="18"/>
                <w:b w:val="1"/>
                <w:bCs w:val="1"/>
                <w:color w:val="auto"/>
              </w:rPr>
              <w:t>markets</w:t>
            </w: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40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markets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inputs</w:t>
            </w:r>
          </w:p>
        </w:tc>
        <w:tc>
          <w:tcPr>
            <w:tcW w:w="420" w:type="dxa"/>
            <w:vAlign w:val="bottom"/>
          </w:tcPr>
          <w:p>
            <w:pPr>
              <w:spacing w:after="0"/>
              <w:rPr>
                <w:sz w:val="17"/>
                <w:szCs w:val="17"/>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8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rPr>
              <w:t>(Level 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(Level 1)</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(Level 2)</w:t>
            </w:r>
          </w:p>
        </w:tc>
        <w:tc>
          <w:tcPr>
            <w:tcW w:w="420" w:type="dxa"/>
            <w:vAlign w:val="bottom"/>
            <w:tcBorders>
              <w:bottom w:val="single" w:sz="8" w:color="auto"/>
            </w:tcBorders>
          </w:tcPr>
          <w:p>
            <w:pPr>
              <w:spacing w:after="0"/>
              <w:rPr>
                <w:sz w:val="19"/>
                <w:szCs w:val="19"/>
                <w:color w:val="auto"/>
              </w:rPr>
            </w:pPr>
          </w:p>
        </w:tc>
      </w:tr>
      <w:tr>
        <w:trPr>
          <w:trHeight w:val="177"/>
        </w:trPr>
        <w:tc>
          <w:tcPr>
            <w:tcW w:w="454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$37,037</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$25,073</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540" w:type="dxa"/>
            <w:vAlign w:val="bottom"/>
          </w:tcPr>
          <w:p>
            <w:pPr>
              <w:ind w:left="300"/>
              <w:spacing w:after="0" w:line="202" w:lineRule="exact"/>
              <w:rPr>
                <w:sz w:val="20"/>
                <w:szCs w:val="20"/>
                <w:color w:val="auto"/>
              </w:rPr>
            </w:pPr>
            <w:r>
              <w:rPr>
                <w:rFonts w:ascii="Arial" w:cs="Arial" w:eastAsia="Arial" w:hAnsi="Arial"/>
                <w:sz w:val="18"/>
                <w:szCs w:val="18"/>
                <w:color w:val="auto"/>
              </w:rPr>
              <w:t>Common stock of foreign public company</w:t>
            </w:r>
          </w:p>
        </w:tc>
        <w:tc>
          <w:tcPr>
            <w:tcW w:w="2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781</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952</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r>
      <w:tr>
        <w:trPr>
          <w:trHeight w:val="185"/>
        </w:trPr>
        <w:tc>
          <w:tcPr>
            <w:tcW w:w="4540" w:type="dxa"/>
            <w:vAlign w:val="bottom"/>
          </w:tcPr>
          <w:p>
            <w:pPr>
              <w:ind w:left="300"/>
              <w:spacing w:after="0" w:line="185" w:lineRule="exact"/>
              <w:rPr>
                <w:sz w:val="20"/>
                <w:szCs w:val="20"/>
                <w:color w:val="auto"/>
              </w:rPr>
            </w:pPr>
            <w:r>
              <w:rPr>
                <w:rFonts w:ascii="Arial" w:cs="Arial" w:eastAsia="Arial" w:hAnsi="Arial"/>
                <w:sz w:val="18"/>
                <w:szCs w:val="18"/>
                <w:color w:val="auto"/>
              </w:rPr>
              <w:t>Interest rate swap</w:t>
            </w:r>
          </w:p>
        </w:tc>
        <w:tc>
          <w:tcPr>
            <w:tcW w:w="2280" w:type="dxa"/>
            <w:vAlign w:val="bottom"/>
          </w:tcPr>
          <w:p>
            <w:pPr>
              <w:jc w:val="right"/>
              <w:ind w:right="250"/>
              <w:spacing w:after="0" w:line="18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line="185" w:lineRule="exact"/>
              <w:rPr>
                <w:sz w:val="20"/>
                <w:szCs w:val="20"/>
                <w:color w:val="auto"/>
              </w:rPr>
            </w:pPr>
            <w:r>
              <w:rPr>
                <w:rFonts w:ascii="Arial" w:cs="Arial" w:eastAsia="Arial" w:hAnsi="Arial"/>
                <w:sz w:val="18"/>
                <w:szCs w:val="18"/>
                <w:color w:val="auto"/>
              </w:rPr>
              <w:t>830</w:t>
            </w:r>
          </w:p>
        </w:tc>
        <w:tc>
          <w:tcPr>
            <w:tcW w:w="400" w:type="dxa"/>
            <w:vAlign w:val="bottom"/>
          </w:tcPr>
          <w:p>
            <w:pPr>
              <w:ind w:left="60"/>
              <w:spacing w:after="0"/>
              <w:rPr>
                <w:sz w:val="20"/>
                <w:szCs w:val="20"/>
                <w:color w:val="auto"/>
              </w:rPr>
            </w:pPr>
            <w:r>
              <w:rPr>
                <w:rFonts w:ascii="Arial" w:cs="Arial" w:eastAsia="Arial" w:hAnsi="Arial"/>
                <w:sz w:val="15"/>
                <w:szCs w:val="15"/>
                <w:color w:val="auto"/>
              </w:rPr>
              <w:t>(a)</w:t>
            </w:r>
          </w:p>
        </w:tc>
        <w:tc>
          <w:tcPr>
            <w:tcW w:w="1460" w:type="dxa"/>
            <w:vAlign w:val="bottom"/>
          </w:tcPr>
          <w:p>
            <w:pPr>
              <w:jc w:val="right"/>
              <w:ind w:right="230"/>
              <w:spacing w:after="0" w:line="18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185" w:lineRule="exact"/>
              <w:rPr>
                <w:sz w:val="20"/>
                <w:szCs w:val="20"/>
                <w:color w:val="auto"/>
              </w:rPr>
            </w:pPr>
            <w:r>
              <w:rPr>
                <w:rFonts w:ascii="Arial" w:cs="Arial" w:eastAsia="Arial" w:hAnsi="Arial"/>
                <w:sz w:val="18"/>
                <w:szCs w:val="18"/>
                <w:color w:val="auto"/>
              </w:rPr>
              <w:t>1,517</w:t>
            </w:r>
          </w:p>
        </w:tc>
        <w:tc>
          <w:tcPr>
            <w:tcW w:w="420" w:type="dxa"/>
            <w:vAlign w:val="bottom"/>
          </w:tcPr>
          <w:p>
            <w:pPr>
              <w:ind w:left="80"/>
              <w:spacing w:after="0"/>
              <w:rPr>
                <w:sz w:val="20"/>
                <w:szCs w:val="20"/>
                <w:color w:val="auto"/>
              </w:rPr>
            </w:pPr>
            <w:r>
              <w:rPr>
                <w:rFonts w:ascii="Arial" w:cs="Arial" w:eastAsia="Arial" w:hAnsi="Arial"/>
                <w:sz w:val="15"/>
                <w:szCs w:val="15"/>
                <w:color w:val="auto"/>
              </w:rPr>
              <w:t>(c)</w:t>
            </w:r>
          </w:p>
        </w:tc>
      </w:tr>
      <w:tr>
        <w:trPr>
          <w:trHeight w:val="221"/>
        </w:trPr>
        <w:tc>
          <w:tcPr>
            <w:tcW w:w="45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3"/>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Other noncurrent liabilities:</w:t>
            </w:r>
          </w:p>
        </w:tc>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540" w:type="dxa"/>
            <w:vAlign w:val="bottom"/>
            <w:tcBorders>
              <w:bottom w:val="single" w:sz="8" w:color="auto"/>
            </w:tcBorders>
          </w:tcPr>
          <w:p>
            <w:pPr>
              <w:ind w:left="300"/>
              <w:spacing w:after="0" w:line="203" w:lineRule="exact"/>
              <w:rPr>
                <w:sz w:val="20"/>
                <w:szCs w:val="20"/>
                <w:color w:val="auto"/>
              </w:rPr>
            </w:pPr>
            <w:r>
              <w:rPr>
                <w:rFonts w:ascii="Arial" w:cs="Arial" w:eastAsia="Arial" w:hAnsi="Arial"/>
                <w:sz w:val="18"/>
                <w:szCs w:val="18"/>
                <w:color w:val="auto"/>
              </w:rPr>
              <w:t>Interest rate swap</w:t>
            </w:r>
          </w:p>
        </w:tc>
        <w:tc>
          <w:tcPr>
            <w:tcW w:w="22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(1,869)</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(b)</w:t>
            </w:r>
          </w:p>
        </w:tc>
        <w:tc>
          <w:tcPr>
            <w:tcW w:w="14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(3,119)</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w:t>
            </w:r>
          </w:p>
        </w:tc>
      </w:tr>
    </w:tbl>
    <w:p>
      <w:pPr>
        <w:spacing w:after="0" w:line="22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$4.9 million receivable floating leg and $4.1 million liability fixed leg</w:t>
      </w:r>
    </w:p>
    <w:p>
      <w:pPr>
        <w:spacing w:after="0" w:line="1" w:lineRule="exact"/>
        <w:rPr>
          <w:rFonts w:ascii="Arial" w:cs="Arial" w:eastAsia="Arial" w:hAnsi="Arial"/>
          <w:sz w:val="14"/>
          <w:szCs w:val="14"/>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$0.3 million receivable floating leg and $2.2 million liability fixed leg</w:t>
      </w:r>
    </w:p>
    <w:p>
      <w:pPr>
        <w:spacing w:after="0" w:line="1" w:lineRule="exact"/>
        <w:rPr>
          <w:rFonts w:ascii="Arial" w:cs="Arial" w:eastAsia="Arial" w:hAnsi="Arial"/>
          <w:sz w:val="14"/>
          <w:szCs w:val="14"/>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$5.6 million receivable floating leg and $4.1 million liability fixed leg</w:t>
      </w:r>
    </w:p>
    <w:p>
      <w:pPr>
        <w:spacing w:after="0" w:line="1" w:lineRule="exact"/>
        <w:rPr>
          <w:rFonts w:ascii="Arial" w:cs="Arial" w:eastAsia="Arial" w:hAnsi="Arial"/>
          <w:sz w:val="14"/>
          <w:szCs w:val="14"/>
          <w:color w:val="auto"/>
        </w:rPr>
      </w:pPr>
    </w:p>
    <w:p>
      <w:pPr>
        <w:ind w:left="1300" w:hanging="320"/>
        <w:spacing w:after="0"/>
        <w:tabs>
          <w:tab w:leader="none" w:pos="1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$0.7 million receivable floating leg and $3.8 million liability fixed leg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September 30, 2014, there were no transfers between levels 1, 2, and 3.</w:t>
      </w:r>
    </w:p>
    <w:p>
      <w:pPr>
        <w:spacing w:after="0" w:line="21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3"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0" w:name="page21"/>
    <w:bookmarkEnd w:id="20"/>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will flow through the caption Derivative valuation adjustment in the Shareholders’ equity section of the Consolidated Balance Sheets, to the extent that the hedges are highly effective. As of September 30, 2014, these interest rate swaps were determined to be 100% effective hedges of interest rate cash flow risk.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$1.4 million each of the nine month periods ended September 30, 2014 and 2013.</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Statements of Income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2"/>
          </w:tcPr>
          <w:p>
            <w:pPr>
              <w:jc w:val="center"/>
              <w:ind w:left="790"/>
              <w:spacing w:after="0"/>
              <w:rPr>
                <w:sz w:val="20"/>
                <w:szCs w:val="20"/>
                <w:color w:val="auto"/>
              </w:rPr>
            </w:pPr>
            <w:r>
              <w:rPr>
                <w:rFonts w:ascii="Arial" w:cs="Arial" w:eastAsia="Arial" w:hAnsi="Arial"/>
                <w:sz w:val="18"/>
                <w:szCs w:val="18"/>
                <w:color w:val="auto"/>
                <w:w w:val="99"/>
              </w:rPr>
              <w:t>Three months ended</w:t>
            </w:r>
          </w:p>
        </w:tc>
        <w:tc>
          <w:tcPr>
            <w:tcW w:w="2480" w:type="dxa"/>
            <w:vAlign w:val="bottom"/>
            <w:tcBorders>
              <w:top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40" w:type="dxa"/>
            <w:vAlign w:val="bottom"/>
          </w:tcPr>
          <w:p>
            <w:pPr>
              <w:spacing w:after="0"/>
              <w:rPr>
                <w:sz w:val="15"/>
                <w:szCs w:val="15"/>
                <w:color w:val="auto"/>
              </w:rPr>
            </w:pPr>
          </w:p>
        </w:tc>
        <w:tc>
          <w:tcPr>
            <w:tcW w:w="4100" w:type="dxa"/>
            <w:vAlign w:val="bottom"/>
            <w:gridSpan w:val="2"/>
          </w:tcPr>
          <w:p>
            <w:pPr>
              <w:jc w:val="center"/>
              <w:ind w:left="790"/>
              <w:spacing w:after="0" w:line="181" w:lineRule="exact"/>
              <w:rPr>
                <w:sz w:val="20"/>
                <w:szCs w:val="20"/>
                <w:color w:val="auto"/>
              </w:rPr>
            </w:pPr>
            <w:r>
              <w:rPr>
                <w:rFonts w:ascii="Arial" w:cs="Arial" w:eastAsia="Arial" w:hAnsi="Arial"/>
                <w:sz w:val="18"/>
                <w:szCs w:val="18"/>
                <w:color w:val="auto"/>
                <w:w w:val="99"/>
              </w:rPr>
              <w:t>September 30,</w:t>
            </w:r>
          </w:p>
        </w:tc>
        <w:tc>
          <w:tcPr>
            <w:tcW w:w="2500" w:type="dxa"/>
            <w:vAlign w:val="bottom"/>
            <w:gridSpan w:val="3"/>
          </w:tcPr>
          <w:p>
            <w:pPr>
              <w:jc w:val="center"/>
              <w:ind w:right="280"/>
              <w:spacing w:after="0" w:line="181" w:lineRule="exact"/>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2013</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8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($142)</w:t>
            </w:r>
          </w:p>
        </w:tc>
        <w:tc>
          <w:tcPr>
            <w:tcW w:w="1380" w:type="dxa"/>
            <w:vAlign w:val="bottom"/>
          </w:tcPr>
          <w:p>
            <w:pPr>
              <w:spacing w:after="0"/>
              <w:rPr>
                <w:sz w:val="24"/>
                <w:szCs w:val="24"/>
                <w:color w:val="auto"/>
              </w:rPr>
            </w:pPr>
          </w:p>
        </w:tc>
        <w:tc>
          <w:tcPr>
            <w:tcW w:w="1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60"/>
              <w:spacing w:after="0" w:line="203" w:lineRule="exact"/>
              <w:rPr>
                <w:sz w:val="20"/>
                <w:szCs w:val="20"/>
                <w:color w:val="auto"/>
              </w:rPr>
            </w:pPr>
            <w:r>
              <w:rPr>
                <w:rFonts w:ascii="Arial" w:cs="Arial" w:eastAsia="Arial" w:hAnsi="Arial"/>
                <w:sz w:val="18"/>
                <w:szCs w:val="18"/>
                <w:color w:val="auto"/>
              </w:rPr>
              <w:t>Forward currency options</w:t>
            </w:r>
          </w:p>
        </w:tc>
        <w:tc>
          <w:tcPr>
            <w:tcW w:w="2720" w:type="dxa"/>
            <w:vAlign w:val="bottom"/>
            <w:vMerge w:val="continue"/>
          </w:tcPr>
          <w:p>
            <w:pPr>
              <w:spacing w:after="0"/>
              <w:rPr>
                <w:sz w:val="17"/>
                <w:szCs w:val="17"/>
                <w:color w:val="auto"/>
              </w:rPr>
            </w:pPr>
          </w:p>
        </w:tc>
        <w:tc>
          <w:tcPr>
            <w:tcW w:w="13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$108</w:t>
            </w:r>
          </w:p>
        </w:tc>
        <w:tc>
          <w:tcPr>
            <w:tcW w:w="1360" w:type="dxa"/>
            <w:vAlign w:val="bottom"/>
            <w:vMerge w:val="continue"/>
          </w:tcPr>
          <w:p>
            <w:pPr>
              <w:spacing w:after="0"/>
              <w:rPr>
                <w:sz w:val="17"/>
                <w:szCs w:val="17"/>
                <w:color w:val="auto"/>
              </w:rPr>
            </w:pPr>
          </w:p>
        </w:tc>
        <w:tc>
          <w:tcPr>
            <w:tcW w:w="1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60"/>
        </w:trPr>
        <w:tc>
          <w:tcPr>
            <w:tcW w:w="4840" w:type="dxa"/>
            <w:vAlign w:val="bottom"/>
            <w:tcBorders>
              <w:top w:val="single" w:sz="8" w:color="auto"/>
              <w:bottom w:val="single" w:sz="8" w:color="auto"/>
            </w:tcBorders>
          </w:tcPr>
          <w:p>
            <w:pPr>
              <w:spacing w:after="0"/>
              <w:rPr>
                <w:sz w:val="24"/>
                <w:szCs w:val="24"/>
                <w:color w:val="auto"/>
              </w:rPr>
            </w:pPr>
          </w:p>
        </w:tc>
        <w:tc>
          <w:tcPr>
            <w:tcW w:w="2720" w:type="dxa"/>
            <w:vAlign w:val="bottom"/>
            <w:tcBorders>
              <w:top w:val="single" w:sz="8" w:color="auto"/>
              <w:bottom w:val="single" w:sz="8" w:color="auto"/>
            </w:tcBorders>
          </w:tcPr>
          <w:p>
            <w:pPr>
              <w:jc w:val="right"/>
              <w:ind w:right="1670"/>
              <w:spacing w:after="0"/>
              <w:rPr>
                <w:sz w:val="20"/>
                <w:szCs w:val="20"/>
                <w:color w:val="auto"/>
              </w:rPr>
            </w:pPr>
            <w:r>
              <w:rPr>
                <w:rFonts w:ascii="Arial" w:cs="Arial" w:eastAsia="Arial" w:hAnsi="Arial"/>
                <w:sz w:val="18"/>
                <w:szCs w:val="18"/>
                <w:color w:val="auto"/>
              </w:rPr>
              <w:t>21</w:t>
            </w:r>
          </w:p>
        </w:tc>
        <w:tc>
          <w:tcPr>
            <w:tcW w:w="138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3,925 claims as of September 30, 2014.</w:t>
      </w:r>
    </w:p>
    <w:p>
      <w:pPr>
        <w:spacing w:after="0" w:line="185"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660" w:type="dxa"/>
            <w:vAlign w:val="bottom"/>
            <w:tcBorders>
              <w:top w:val="single" w:sz="8" w:color="auto"/>
              <w:left w:val="single" w:sz="8" w:color="auto"/>
              <w:right w:val="single" w:sz="8" w:color="auto"/>
            </w:tcBorders>
          </w:tcPr>
          <w:p>
            <w:pPr>
              <w:ind w:left="240"/>
              <w:spacing w:after="0" w:line="194" w:lineRule="exact"/>
              <w:rPr>
                <w:sz w:val="20"/>
                <w:szCs w:val="20"/>
                <w:color w:val="auto"/>
              </w:rPr>
            </w:pPr>
            <w:r>
              <w:rPr>
                <w:rFonts w:ascii="Arial" w:cs="Arial" w:eastAsia="Arial" w:hAnsi="Arial"/>
                <w:sz w:val="18"/>
                <w:szCs w:val="18"/>
                <w:b w:val="1"/>
                <w:bCs w:val="1"/>
                <w:color w:val="auto"/>
              </w:rPr>
              <w:t>Year ended December 31,</w:t>
            </w:r>
          </w:p>
        </w:tc>
        <w:tc>
          <w:tcPr>
            <w:tcW w:w="172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8"/>
              </w:rPr>
              <w:t>Opening Number of</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19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Amounts Paid</w:t>
            </w:r>
          </w:p>
        </w:tc>
      </w:tr>
      <w:tr>
        <w:trPr>
          <w:trHeight w:val="203"/>
        </w:trPr>
        <w:tc>
          <w:tcPr>
            <w:tcW w:w="26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Dismissed,Settled,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 Settle</w:t>
            </w:r>
          </w:p>
        </w:tc>
      </w:tr>
      <w:tr>
        <w:trPr>
          <w:trHeight w:val="225"/>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 Resolve</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29,411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24,451</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19,416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18,798</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8,945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5,170</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4,446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4,463</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4,315</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9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4,315</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3,925</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r>
    </w:tbl>
    <w:p>
      <w:pPr>
        <w:spacing w:after="0" w:line="21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September 30, 2014 we had resolved, by means of settlement or dismissal, 37,069 claims. The total cost of resolving all claims was $9.2 million. Of this amount, almost 100% was paid by our insurance carrier. The Company’s insurer has confirmed that although the coverage limits under two (of approximately 23) primary insurance policies have been exhausted, there still remains approximately $3 million in coverage limits under other applicable primary policies, and $140 million in coverage under excess umbrella coverage policies that should be available with respect to current and future asbestos claims.</w:t>
      </w:r>
    </w:p>
    <w:p>
      <w:pPr>
        <w:spacing w:after="0" w:line="176"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7,731 claims as of September 30, 2014.</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193"/>
        </w:trPr>
        <w:tc>
          <w:tcPr>
            <w:tcW w:w="2660" w:type="dxa"/>
            <w:vAlign w:val="bottom"/>
            <w:tcBorders>
              <w:top w:val="single" w:sz="8" w:color="auto"/>
              <w:left w:val="single" w:sz="8" w:color="auto"/>
              <w:right w:val="single" w:sz="8" w:color="auto"/>
            </w:tcBorders>
          </w:tcPr>
          <w:p>
            <w:pPr>
              <w:ind w:left="240"/>
              <w:spacing w:after="0" w:line="194" w:lineRule="exact"/>
              <w:rPr>
                <w:sz w:val="20"/>
                <w:szCs w:val="20"/>
                <w:color w:val="auto"/>
              </w:rPr>
            </w:pPr>
            <w:r>
              <w:rPr>
                <w:rFonts w:ascii="Arial" w:cs="Arial" w:eastAsia="Arial" w:hAnsi="Arial"/>
                <w:sz w:val="18"/>
                <w:szCs w:val="18"/>
                <w:b w:val="1"/>
                <w:bCs w:val="1"/>
                <w:color w:val="auto"/>
              </w:rPr>
              <w:t>Year ended December 31,</w:t>
            </w:r>
          </w:p>
        </w:tc>
        <w:tc>
          <w:tcPr>
            <w:tcW w:w="172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98"/>
              </w:rPr>
              <w:t>Opening Number of</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19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Amounts Paid</w:t>
            </w:r>
          </w:p>
        </w:tc>
      </w:tr>
      <w:tr>
        <w:trPr>
          <w:trHeight w:val="203"/>
        </w:trPr>
        <w:tc>
          <w:tcPr>
            <w:tcW w:w="26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Dismissed,Settled,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Claims</w:t>
            </w:r>
          </w:p>
        </w:tc>
        <w:tc>
          <w:tcPr>
            <w:tcW w:w="1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 Settle</w:t>
            </w:r>
          </w:p>
        </w:tc>
      </w:tr>
      <w:tr>
        <w:trPr>
          <w:trHeight w:val="225"/>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 Resolve</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9,985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9,566</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9,566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9,114</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9,114</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8,740</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8,740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8,664</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8,664</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7,907</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7,907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7,869</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7,869</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7,877</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7,877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7,867</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7,815</w:t>
            </w:r>
          </w:p>
        </w:tc>
        <w:tc>
          <w:tcPr>
            <w:tcW w:w="19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7,815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86</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7,731</w:t>
            </w:r>
          </w:p>
        </w:tc>
        <w:tc>
          <w:tcPr>
            <w:tcW w:w="19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21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September 30, 2014, Brandon has resolved, by means of settlement or dismissal, 9,874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3" w:name="page24"/>
    <w:bookmarkEnd w:id="23"/>
    <w:p>
      <w:pPr>
        <w:ind w:right="300"/>
        <w:spacing w:after="0" w:line="246" w:lineRule="auto"/>
        <w:rPr>
          <w:sz w:val="20"/>
          <w:szCs w:val="20"/>
          <w:color w:val="auto"/>
        </w:rPr>
      </w:pPr>
      <w:r>
        <w:rPr>
          <w:rFonts w:ascii="Arial" w:cs="Arial" w:eastAsia="Arial" w:hAnsi="Arial"/>
          <w:sz w:val="18"/>
          <w:szCs w:val="18"/>
          <w:color w:val="auto"/>
        </w:rPr>
        <w:t>we currently do not anticipate any material liability relating to the resolution of the aforementioned pending proceedings in excess of existing insurance limits.</w:t>
      </w:r>
    </w:p>
    <w:p>
      <w:pPr>
        <w:spacing w:after="0" w:line="15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vMerge w:val="restart"/>
          </w:tcPr>
          <w:p>
            <w:pPr>
              <w:jc w:val="center"/>
              <w:ind w:left="650"/>
              <w:spacing w:after="0"/>
              <w:rPr>
                <w:sz w:val="20"/>
                <w:szCs w:val="20"/>
                <w:color w:val="auto"/>
              </w:rPr>
            </w:pPr>
            <w:r>
              <w:rPr>
                <w:rFonts w:ascii="Arial" w:cs="Arial" w:eastAsia="Arial" w:hAnsi="Arial"/>
                <w:sz w:val="18"/>
                <w:szCs w:val="18"/>
                <w:color w:val="auto"/>
                <w:w w:val="99"/>
              </w:rPr>
              <w:t>Class A</w:t>
            </w: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Class B</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Additional</w:t>
            </w:r>
          </w:p>
        </w:tc>
        <w:tc>
          <w:tcPr>
            <w:tcW w:w="8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Accumulated</w:t>
            </w:r>
          </w:p>
        </w:tc>
        <w:tc>
          <w:tcPr>
            <w:tcW w:w="9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Total</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Retained</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rPr>
              <w:t>items of other</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8"/>
              </w:rPr>
              <w:t>Treasury</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Noncontrolling</w:t>
            </w:r>
          </w:p>
        </w:tc>
        <w:tc>
          <w:tcPr>
            <w:tcW w:w="11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460" w:type="dxa"/>
            <w:vAlign w:val="bottom"/>
            <w:gridSpan w:val="2"/>
          </w:tcPr>
          <w:p>
            <w:pPr>
              <w:spacing w:after="0" w:line="163" w:lineRule="exact"/>
              <w:rPr>
                <w:sz w:val="20"/>
                <w:szCs w:val="20"/>
                <w:color w:val="auto"/>
              </w:rPr>
            </w:pPr>
            <w:r>
              <w:rPr>
                <w:rFonts w:ascii="Arial" w:cs="Arial" w:eastAsia="Arial" w:hAnsi="Arial"/>
                <w:sz w:val="18"/>
                <w:szCs w:val="18"/>
                <w:color w:val="auto"/>
              </w:rPr>
              <w:t>(in thousands)</w:t>
            </w:r>
          </w:p>
        </w:tc>
        <w:tc>
          <w:tcPr>
            <w:tcW w:w="1640" w:type="dxa"/>
            <w:vAlign w:val="bottom"/>
          </w:tcPr>
          <w:p>
            <w:pPr>
              <w:jc w:val="center"/>
              <w:ind w:left="650"/>
              <w:spacing w:after="0" w:line="163" w:lineRule="exact"/>
              <w:rPr>
                <w:sz w:val="20"/>
                <w:szCs w:val="20"/>
                <w:color w:val="auto"/>
              </w:rPr>
            </w:pPr>
            <w:r>
              <w:rPr>
                <w:rFonts w:ascii="Arial" w:cs="Arial" w:eastAsia="Arial" w:hAnsi="Arial"/>
                <w:sz w:val="18"/>
                <w:szCs w:val="18"/>
                <w:color w:val="auto"/>
              </w:rPr>
              <w:t>Common</w:t>
            </w:r>
          </w:p>
        </w:tc>
        <w:tc>
          <w:tcPr>
            <w:tcW w:w="860" w:type="dxa"/>
            <w:vAlign w:val="bottom"/>
          </w:tcPr>
          <w:p>
            <w:pPr>
              <w:jc w:val="center"/>
              <w:spacing w:after="0" w:line="163" w:lineRule="exact"/>
              <w:rPr>
                <w:sz w:val="20"/>
                <w:szCs w:val="20"/>
                <w:color w:val="auto"/>
              </w:rPr>
            </w:pPr>
            <w:r>
              <w:rPr>
                <w:rFonts w:ascii="Arial" w:cs="Arial" w:eastAsia="Arial" w:hAnsi="Arial"/>
                <w:sz w:val="18"/>
                <w:szCs w:val="18"/>
                <w:color w:val="auto"/>
                <w:w w:val="98"/>
              </w:rPr>
              <w:t>Common</w:t>
            </w:r>
          </w:p>
        </w:tc>
        <w:tc>
          <w:tcPr>
            <w:tcW w:w="900" w:type="dxa"/>
            <w:vAlign w:val="bottom"/>
          </w:tcPr>
          <w:p>
            <w:pPr>
              <w:jc w:val="center"/>
              <w:spacing w:after="0" w:line="163" w:lineRule="exact"/>
              <w:rPr>
                <w:sz w:val="20"/>
                <w:szCs w:val="20"/>
                <w:color w:val="auto"/>
              </w:rPr>
            </w:pPr>
            <w:r>
              <w:rPr>
                <w:rFonts w:ascii="Arial" w:cs="Arial" w:eastAsia="Arial" w:hAnsi="Arial"/>
                <w:sz w:val="18"/>
                <w:szCs w:val="18"/>
                <w:color w:val="auto"/>
                <w:w w:val="97"/>
              </w:rPr>
              <w:t>paid in</w:t>
            </w:r>
          </w:p>
        </w:tc>
        <w:tc>
          <w:tcPr>
            <w:tcW w:w="8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60" w:type="dxa"/>
            <w:vAlign w:val="bottom"/>
            <w:gridSpan w:val="2"/>
          </w:tcPr>
          <w:p>
            <w:pPr>
              <w:jc w:val="center"/>
              <w:spacing w:after="0" w:line="163" w:lineRule="exact"/>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40" w:type="dxa"/>
            <w:vAlign w:val="bottom"/>
            <w:vMerge w:val="restart"/>
          </w:tcPr>
          <w:p>
            <w:pPr>
              <w:jc w:val="center"/>
              <w:ind w:left="650"/>
              <w:spacing w:after="0"/>
              <w:rPr>
                <w:sz w:val="20"/>
                <w:szCs w:val="20"/>
                <w:color w:val="auto"/>
              </w:rPr>
            </w:pPr>
            <w:r>
              <w:rPr>
                <w:rFonts w:ascii="Arial" w:cs="Arial" w:eastAsia="Arial" w:hAnsi="Arial"/>
                <w:sz w:val="18"/>
                <w:szCs w:val="18"/>
                <w:color w:val="auto"/>
              </w:rPr>
              <w:t>Stock</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7"/>
              </w:rPr>
              <w:t>Stock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capital</w:t>
            </w:r>
          </w:p>
        </w:tc>
        <w:tc>
          <w:tcPr>
            <w:tcW w:w="840" w:type="dxa"/>
            <w:vAlign w:val="bottom"/>
          </w:tcPr>
          <w:p>
            <w:pPr>
              <w:ind w:left="40"/>
              <w:spacing w:after="0" w:line="148" w:lineRule="exact"/>
              <w:rPr>
                <w:sz w:val="20"/>
                <w:szCs w:val="20"/>
                <w:color w:val="auto"/>
              </w:rPr>
            </w:pPr>
            <w:r>
              <w:rPr>
                <w:rFonts w:ascii="Arial" w:cs="Arial" w:eastAsia="Arial" w:hAnsi="Arial"/>
                <w:sz w:val="17"/>
                <w:szCs w:val="17"/>
                <w:color w:val="auto"/>
              </w:rPr>
              <w:t>earnings</w:t>
            </w:r>
          </w:p>
        </w:tc>
        <w:tc>
          <w:tcPr>
            <w:tcW w:w="1340" w:type="dxa"/>
            <w:vAlign w:val="bottom"/>
          </w:tcPr>
          <w:p>
            <w:pPr>
              <w:jc w:val="center"/>
              <w:spacing w:after="0" w:line="148" w:lineRule="exact"/>
              <w:rPr>
                <w:sz w:val="20"/>
                <w:szCs w:val="20"/>
                <w:color w:val="auto"/>
              </w:rPr>
            </w:pPr>
            <w:r>
              <w:rPr>
                <w:rFonts w:ascii="Arial" w:cs="Arial" w:eastAsia="Arial" w:hAnsi="Arial"/>
                <w:sz w:val="17"/>
                <w:szCs w:val="17"/>
                <w:color w:val="auto"/>
              </w:rPr>
              <w:t>comprehensive</w:t>
            </w:r>
          </w:p>
        </w:tc>
        <w:tc>
          <w:tcPr>
            <w:tcW w:w="960" w:type="dxa"/>
            <w:vAlign w:val="bottom"/>
          </w:tcPr>
          <w:p>
            <w:pPr>
              <w:jc w:val="center"/>
              <w:spacing w:after="0" w:line="148" w:lineRule="exact"/>
              <w:rPr>
                <w:sz w:val="20"/>
                <w:szCs w:val="20"/>
                <w:color w:val="auto"/>
              </w:rPr>
            </w:pPr>
            <w:r>
              <w:rPr>
                <w:rFonts w:ascii="Arial" w:cs="Arial" w:eastAsia="Arial" w:hAnsi="Arial"/>
                <w:sz w:val="17"/>
                <w:szCs w:val="17"/>
                <w:color w:val="auto"/>
              </w:rPr>
              <w:t>stock</w:t>
            </w:r>
          </w:p>
        </w:tc>
        <w:tc>
          <w:tcPr>
            <w:tcW w:w="1280" w:type="dxa"/>
            <w:vAlign w:val="bottom"/>
          </w:tcPr>
          <w:p>
            <w:pPr>
              <w:jc w:val="center"/>
              <w:spacing w:after="0" w:line="148" w:lineRule="exact"/>
              <w:rPr>
                <w:sz w:val="20"/>
                <w:szCs w:val="20"/>
                <w:color w:val="auto"/>
              </w:rPr>
            </w:pPr>
            <w:r>
              <w:rPr>
                <w:rFonts w:ascii="Arial" w:cs="Arial" w:eastAsia="Arial" w:hAnsi="Arial"/>
                <w:sz w:val="17"/>
                <w:szCs w:val="17"/>
                <w:color w:val="auto"/>
              </w:rPr>
              <w:t>Interest</w:t>
            </w: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income</w:t>
            </w:r>
          </w:p>
        </w:tc>
        <w:tc>
          <w:tcPr>
            <w:tcW w:w="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$416,728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$434,598</w:t>
            </w: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($49,498) ($257,571)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$547,779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234" w:lineRule="auto"/>
        <w:rPr>
          <w:sz w:val="20"/>
          <w:szCs w:val="20"/>
          <w:color w:val="auto"/>
        </w:rPr>
      </w:pPr>
      <w:r>
        <w:rPr>
          <w:rFonts w:ascii="Arial" w:cs="Arial" w:eastAsia="Arial" w:hAnsi="Arial"/>
          <w:sz w:val="18"/>
          <w:szCs w:val="18"/>
          <w:color w:val="auto"/>
        </w:rPr>
        <w:t>Net income</w:t>
      </w:r>
    </w:p>
    <w:p>
      <w:pPr>
        <w:spacing w:after="0" w:line="235" w:lineRule="auto"/>
        <w:rPr>
          <w:sz w:val="20"/>
          <w:szCs w:val="20"/>
          <w:color w:val="auto"/>
        </w:rPr>
      </w:pPr>
      <w:r>
        <w:rPr>
          <w:rFonts w:ascii="Arial" w:cs="Arial" w:eastAsia="Arial" w:hAnsi="Arial"/>
          <w:sz w:val="18"/>
          <w:szCs w:val="18"/>
          <w:color w:val="auto"/>
        </w:rPr>
        <w:t>Dividends declared</w:t>
      </w:r>
    </w:p>
    <w:p>
      <w:pPr>
        <w:spacing w:after="0" w:line="235" w:lineRule="auto"/>
        <w:rPr>
          <w:sz w:val="20"/>
          <w:szCs w:val="20"/>
          <w:color w:val="auto"/>
        </w:rPr>
      </w:pPr>
      <w:r>
        <w:rPr>
          <w:rFonts w:ascii="Arial" w:cs="Arial" w:eastAsia="Arial" w:hAnsi="Arial"/>
          <w:sz w:val="18"/>
          <w:szCs w:val="18"/>
          <w:color w:val="auto"/>
        </w:rPr>
        <w:t>Changes in equity related to</w:t>
      </w:r>
    </w:p>
    <w:p>
      <w:pPr>
        <w:spacing w:after="0" w:line="235" w:lineRule="auto"/>
        <w:rPr>
          <w:sz w:val="20"/>
          <w:szCs w:val="20"/>
          <w:color w:val="auto"/>
        </w:rPr>
      </w:pPr>
      <w:r>
        <w:rPr>
          <w:rFonts w:ascii="Arial" w:cs="Arial" w:eastAsia="Arial" w:hAnsi="Arial"/>
          <w:sz w:val="18"/>
          <w:szCs w:val="18"/>
          <w:color w:val="auto"/>
        </w:rPr>
        <w:t>noncontrolling interest in ASC</w:t>
      </w:r>
    </w:p>
    <w:p>
      <w:pPr>
        <w:spacing w:after="0" w:line="235" w:lineRule="auto"/>
        <w:rPr>
          <w:sz w:val="20"/>
          <w:szCs w:val="20"/>
          <w:color w:val="auto"/>
        </w:rPr>
      </w:pPr>
      <w:r>
        <w:rPr>
          <w:rFonts w:ascii="Arial" w:cs="Arial" w:eastAsia="Arial" w:hAnsi="Arial"/>
          <w:sz w:val="18"/>
          <w:szCs w:val="18"/>
          <w:color w:val="auto"/>
        </w:rPr>
        <w:t>Compensation and benefits paid or</w:t>
      </w:r>
    </w:p>
    <w:p>
      <w:pPr>
        <w:spacing w:after="0" w:line="235" w:lineRule="auto"/>
        <w:rPr>
          <w:sz w:val="20"/>
          <w:szCs w:val="20"/>
          <w:color w:val="auto"/>
        </w:rPr>
      </w:pPr>
      <w:r>
        <w:rPr>
          <w:rFonts w:ascii="Arial" w:cs="Arial" w:eastAsia="Arial" w:hAnsi="Arial"/>
          <w:sz w:val="18"/>
          <w:szCs w:val="18"/>
          <w:color w:val="auto"/>
        </w:rPr>
        <w:t>payable in Class A Common Stock</w:t>
      </w:r>
    </w:p>
    <w:p>
      <w:pPr>
        <w:spacing w:after="0" w:line="235" w:lineRule="auto"/>
        <w:rPr>
          <w:sz w:val="20"/>
          <w:szCs w:val="20"/>
          <w:color w:val="auto"/>
        </w:rPr>
      </w:pPr>
      <w:r>
        <w:rPr>
          <w:rFonts w:ascii="Arial" w:cs="Arial" w:eastAsia="Arial" w:hAnsi="Arial"/>
          <w:sz w:val="18"/>
          <w:szCs w:val="18"/>
          <w:color w:val="auto"/>
        </w:rPr>
        <w:t>Options exercised</w:t>
      </w:r>
    </w:p>
    <w:p>
      <w:pPr>
        <w:ind w:right="260"/>
        <w:spacing w:after="0" w:line="235" w:lineRule="auto"/>
        <w:rPr>
          <w:sz w:val="20"/>
          <w:szCs w:val="20"/>
          <w:color w:val="auto"/>
        </w:rPr>
      </w:pPr>
      <w:r>
        <w:rPr>
          <w:rFonts w:ascii="Arial" w:cs="Arial" w:eastAsia="Arial" w:hAnsi="Arial"/>
          <w:sz w:val="18"/>
          <w:szCs w:val="18"/>
          <w:color w:val="auto"/>
        </w:rPr>
        <w:t>Shares issued to Directors' Cumulative translation adjustment Change in pension liability adjustment Change in derivative valuation adjustment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33,652</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33,644</w:t>
            </w:r>
          </w:p>
        </w:tc>
      </w:tr>
      <w:tr>
        <w:trPr>
          <w:trHeight w:val="217"/>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(14,964)</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(14,964)</w:t>
            </w:r>
          </w:p>
        </w:tc>
      </w:tr>
      <w:tr>
        <w:trPr>
          <w:trHeight w:val="297"/>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05"/>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96"/>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03"/>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10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90</w:t>
            </w:r>
          </w:p>
        </w:tc>
        <w:tc>
          <w:tcPr>
            <w:tcW w:w="1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03"/>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(30,703)</w:t>
            </w:r>
          </w:p>
        </w:tc>
        <w:tc>
          <w:tcPr>
            <w:tcW w:w="11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(30,696)</w:t>
            </w:r>
          </w:p>
        </w:tc>
      </w:tr>
      <w:tr>
        <w:trPr>
          <w:trHeight w:val="217"/>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1,419</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97"/>
        </w:trPr>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343</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r>
    </w:tbl>
    <w:p>
      <w:pPr>
        <w:spacing w:after="0" w:line="95" w:lineRule="exact"/>
        <w:rPr>
          <w:sz w:val="20"/>
          <w:szCs w:val="20"/>
          <w:color w:val="auto"/>
        </w:rPr>
      </w:pPr>
    </w:p>
    <w:p>
      <w:pPr>
        <w:sectPr>
          <w:pgSz w:w="11900" w:h="16838" w:orient="portrait"/>
          <w:cols w:equalWidth="0" w:num="2">
            <w:col w:w="3300" w:space="720"/>
            <w:col w:w="7400"/>
          </w:cols>
          <w:pgMar w:left="24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7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September 30, 2014</w:t>
            </w:r>
          </w:p>
        </w:tc>
        <w:tc>
          <w:tcPr>
            <w:tcW w:w="16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$37</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$418,546</w:t>
            </w:r>
          </w:p>
        </w:tc>
        <w:tc>
          <w:tcPr>
            <w:tcW w:w="10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$453,286</w:t>
            </w:r>
          </w:p>
        </w:tc>
        <w:tc>
          <w:tcPr>
            <w:tcW w:w="24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($78,439) ($257,481)</w:t>
            </w:r>
          </w:p>
        </w:tc>
        <w:tc>
          <w:tcPr>
            <w:tcW w:w="11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$3,519</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$539,471</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00" w:lineRule="exact"/>
        <w:rPr>
          <w:sz w:val="20"/>
          <w:szCs w:val="20"/>
          <w:color w:val="auto"/>
        </w:rPr>
      </w:pPr>
    </w:p>
    <w:p>
      <w:pPr>
        <w:spacing w:after="0" w:line="22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In March 2013, an accounting update was issued that addressed the accounting for the cumulative translation adjustment upon derecognition of subsidiaries. Upon the sale of part of a foreign entity, or if the parent no longer holds a controlling financial interest in a subsidiary or group of assets, the parent company must transfer the cumulative translation adjustment to net income. We adopted this update January 1, 2014, and it had no effect on our financial statements.</w:t>
      </w:r>
    </w:p>
    <w:p>
      <w:pPr>
        <w:spacing w:after="0" w:line="17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a tax credit carryforward exists. This guidance was adopted in the first quarter of 2014 and had the effect of reducing noncurrent deferred tax assets and noncurrent deferred tax liabilities by $7.1 million.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24" w:name="page25"/>
    <w:bookmarkEnd w:id="24"/>
    <w:p>
      <w:pPr>
        <w:ind w:firstLine="648"/>
        <w:spacing w:after="0" w:line="239" w:lineRule="auto"/>
        <w:rPr>
          <w:sz w:val="20"/>
          <w:szCs w:val="20"/>
          <w:color w:val="auto"/>
        </w:rPr>
      </w:pPr>
      <w:r>
        <w:rPr>
          <w:rFonts w:ascii="Arial" w:cs="Arial" w:eastAsia="Arial" w:hAnsi="Arial"/>
          <w:sz w:val="18"/>
          <w:szCs w:val="18"/>
          <w:color w:val="auto"/>
        </w:rPr>
        <w:t>In April 2014, an accounting update was issued regarding which disposals qualify for reporting as discontinued operations. Additionally, new disclosures will apply for discontinued operations. This accounting update is to be applied prospectively to new disposals and new classifications of disposal groups as held for sale beginning in periods after December 15, 2014. We do not expect the adoption of this update to have a significant effect on our financial statements.</w:t>
      </w:r>
    </w:p>
    <w:p>
      <w:pPr>
        <w:spacing w:after="0" w:line="188"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June 2014, an accounting update was issued that replaces the existing revenue recognition framework regarding contracts with customers. This accounting update is effective for reporting periods beginning after December 15, 2016. We have not determined the impact of this update on our financial statements.</w:t>
      </w:r>
    </w:p>
    <w:p>
      <w:pPr>
        <w:spacing w:after="0" w:line="189"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June 2014, an accounting update was issued relating to accounting for share-based payments with a performance target that could be achieved after the requisite service period. The adoption of this accounting guidance will be effective for reporting periods beginning after December 15, 2015. We do not expect the adoption of this update to have a significant effect on our financial statements.</w:t>
      </w:r>
    </w:p>
    <w:p>
      <w:pPr>
        <w:spacing w:after="0" w:line="189" w:lineRule="exact"/>
        <w:rPr>
          <w:sz w:val="20"/>
          <w:szCs w:val="20"/>
          <w:color w:val="auto"/>
        </w:rPr>
      </w:pPr>
    </w:p>
    <w:p>
      <w:pPr>
        <w:ind w:right="320" w:firstLine="648"/>
        <w:spacing w:after="0"/>
        <w:rPr>
          <w:sz w:val="20"/>
          <w:szCs w:val="20"/>
          <w:color w:val="auto"/>
        </w:rPr>
      </w:pPr>
      <w:r>
        <w:rPr>
          <w:rFonts w:ascii="Arial" w:cs="Arial" w:eastAsia="Arial" w:hAnsi="Arial"/>
          <w:sz w:val="18"/>
          <w:szCs w:val="18"/>
          <w:color w:val="auto"/>
        </w:rPr>
        <w:t>In August 2014, an accounting update was issued relating to how management assesses conditions and events that could raise substantial doubt about an entity’s ability to continue as a going concern. This accounting update is effective for reporting periods beginning after December 15, 2016. We do not expect the adoption of this update to have a significant effect on our financial statements.</w:t>
      </w:r>
    </w:p>
    <w:p>
      <w:pPr>
        <w:spacing w:after="0" w:line="370" w:lineRule="exact"/>
        <w:rPr>
          <w:sz w:val="20"/>
          <w:szCs w:val="20"/>
          <w:color w:val="auto"/>
        </w:rPr>
      </w:pPr>
    </w:p>
    <w:p>
      <w:pPr>
        <w:ind w:right="1460"/>
        <w:spacing w:after="0" w:line="45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4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163"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300" w:right="60" w:hanging="320"/>
        <w:spacing w:after="0" w:line="246"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56"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remain competitive in the industries in which our Machine Clothing segment competes;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have, achieve, or maintain anticipated profitable growth in our Albany Engineered Composites segment; and</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293"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5" w:name="page26"/>
    <w:bookmarkEnd w:id="25"/>
    <w:p>
      <w:pPr>
        <w:ind w:right="300"/>
        <w:spacing w:after="0" w:line="237" w:lineRule="auto"/>
        <w:rPr>
          <w:sz w:val="20"/>
          <w:szCs w:val="20"/>
          <w:color w:val="auto"/>
        </w:rPr>
      </w:pPr>
      <w:r>
        <w:rPr>
          <w:rFonts w:ascii="Arial" w:cs="Arial" w:eastAsia="Arial" w:hAnsi="Arial"/>
          <w:sz w:val="18"/>
          <w:szCs w:val="18"/>
          <w:color w:val="auto"/>
        </w:rPr>
        <w:t>“Trends,” “Liquidity,”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6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76"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See Note 3, “Reportable Segments”, under Item 1, Financial Statements, for a discussion of recasting Research and Unallocated expenses to reportable segments.</w:t>
      </w:r>
    </w:p>
    <w:p>
      <w:pPr>
        <w:spacing w:after="0" w:line="18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(including Albany Safran Composites, LLC (“ASC”), in which our customer SAFRAN Group owns a 10%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developing other new and potentially significant composite products for aerospace (engine and airframe) applications.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12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Nine months ended</w:t>
            </w: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3680" w:type="dxa"/>
            <w:vAlign w:val="bottom"/>
          </w:tcPr>
          <w:p>
            <w:pPr>
              <w:spacing w:after="0"/>
              <w:rPr>
                <w:sz w:val="15"/>
                <w:szCs w:val="15"/>
                <w:color w:val="auto"/>
              </w:rPr>
            </w:pPr>
          </w:p>
        </w:tc>
        <w:tc>
          <w:tcPr>
            <w:tcW w:w="3040" w:type="dxa"/>
            <w:vAlign w:val="bottom"/>
            <w:gridSpan w:val="2"/>
          </w:tcPr>
          <w:p>
            <w:pPr>
              <w:jc w:val="right"/>
              <w:ind w:right="650"/>
              <w:spacing w:after="0" w:line="181" w:lineRule="exact"/>
              <w:rPr>
                <w:sz w:val="20"/>
                <w:szCs w:val="20"/>
                <w:color w:val="auto"/>
              </w:rPr>
            </w:pPr>
            <w:r>
              <w:rPr>
                <w:rFonts w:ascii="Arial" w:cs="Arial" w:eastAsia="Arial" w:hAnsi="Arial"/>
                <w:sz w:val="18"/>
                <w:szCs w:val="18"/>
                <w:color w:val="auto"/>
              </w:rPr>
              <w:t>September 30,</w:t>
            </w:r>
          </w:p>
        </w:tc>
        <w:tc>
          <w:tcPr>
            <w:tcW w:w="1280" w:type="dxa"/>
            <w:vAlign w:val="bottom"/>
          </w:tcPr>
          <w:p>
            <w:pPr>
              <w:spacing w:after="0"/>
              <w:rPr>
                <w:sz w:val="15"/>
                <w:szCs w:val="15"/>
                <w:color w:val="auto"/>
              </w:rPr>
            </w:pPr>
          </w:p>
        </w:tc>
        <w:tc>
          <w:tcPr>
            <w:tcW w:w="2360" w:type="dxa"/>
            <w:vAlign w:val="bottom"/>
            <w:gridSpan w:val="2"/>
          </w:tcPr>
          <w:p>
            <w:pPr>
              <w:jc w:val="right"/>
              <w:ind w:right="650"/>
              <w:spacing w:after="0" w:line="181" w:lineRule="exact"/>
              <w:rPr>
                <w:sz w:val="20"/>
                <w:szCs w:val="20"/>
                <w:color w:val="auto"/>
              </w:rPr>
            </w:pPr>
            <w:r>
              <w:rPr>
                <w:rFonts w:ascii="Arial" w:cs="Arial" w:eastAsia="Arial" w:hAnsi="Arial"/>
                <w:sz w:val="18"/>
                <w:szCs w:val="18"/>
                <w:color w:val="auto"/>
              </w:rPr>
              <w:t>September 30,</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68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19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 Change</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 Change</w:t>
            </w:r>
          </w:p>
        </w:tc>
      </w:tr>
      <w:tr>
        <w:trPr>
          <w:trHeight w:val="173"/>
        </w:trPr>
        <w:tc>
          <w:tcPr>
            <w:tcW w:w="36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192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$157,891</w:t>
            </w:r>
          </w:p>
        </w:tc>
        <w:tc>
          <w:tcPr>
            <w:tcW w:w="11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$162,864</w:t>
            </w:r>
          </w:p>
        </w:tc>
        <w:tc>
          <w:tcPr>
            <w:tcW w:w="128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-3.1%</w:t>
            </w:r>
          </w:p>
        </w:tc>
        <w:tc>
          <w:tcPr>
            <w:tcW w:w="126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$494,788</w:t>
            </w:r>
          </w:p>
        </w:tc>
        <w:tc>
          <w:tcPr>
            <w:tcW w:w="1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$507,809</w:t>
            </w:r>
          </w:p>
        </w:tc>
        <w:tc>
          <w:tcPr>
            <w:tcW w:w="10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r>
      <w:tr>
        <w:trPr>
          <w:trHeight w:val="225"/>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21,970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58,898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59,966</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196"/>
        </w:trPr>
        <w:tc>
          <w:tcPr>
            <w:tcW w:w="3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$179,861</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$183,147</w:t>
            </w:r>
          </w:p>
        </w:tc>
        <w:tc>
          <w:tcPr>
            <w:tcW w:w="12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-1.8%</w:t>
            </w:r>
          </w:p>
        </w:tc>
        <w:tc>
          <w:tcPr>
            <w:tcW w:w="12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$553,686</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$567,775</w:t>
            </w:r>
          </w:p>
        </w:tc>
        <w:tc>
          <w:tcPr>
            <w:tcW w:w="10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left="1300" w:right="140" w:hanging="320"/>
        <w:spacing w:after="0" w:line="23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$0.9 million during the third quarter of 2014 as compared to 2013.</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year-over-year decline in third-quarter MC sales was primarily attributable to lower sales in the Americas.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AEC sales increased due to growth in the LEAP and JSF LiftFan® programs.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Company Net sales decreased 1.3% compared to the same period in 2013</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decreased 2.5%</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AEC increased 8.3%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$1.4 million during 2014 as compared to 2013.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year-over-year decline in the first nine months MC sales was attributable to lower sales in the Americas.</w:t>
      </w:r>
    </w:p>
    <w:p>
      <w:pPr>
        <w:spacing w:after="0" w:line="9" w:lineRule="exact"/>
        <w:rPr>
          <w:rFonts w:ascii="Arial" w:cs="Arial" w:eastAsia="Arial" w:hAnsi="Arial"/>
          <w:sz w:val="18"/>
          <w:szCs w:val="18"/>
          <w:color w:val="auto"/>
        </w:rPr>
      </w:pPr>
    </w:p>
    <w:p>
      <w:pPr>
        <w:ind w:left="1300" w:right="460" w:hanging="320"/>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decrease in AEC sales was principally due to the shift during the first quarter to larger scale LEAP part production, together with the related change in invoicing terms, resulting in a build-up of inventory and an associated temporary lag in sales in the first quarter of 2014.</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Company Net sales decreased 2.7% compared to the same period in 2013</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MC decreased 2.8%</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sales in AEC decreased 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181"/>
        </w:trPr>
        <w:tc>
          <w:tcPr>
            <w:tcW w:w="4060" w:type="dxa"/>
            <w:vAlign w:val="bottom"/>
          </w:tcPr>
          <w:p>
            <w:pPr>
              <w:spacing w:after="0"/>
              <w:rPr>
                <w:sz w:val="15"/>
                <w:szCs w:val="15"/>
                <w:color w:val="auto"/>
              </w:rPr>
            </w:pPr>
          </w:p>
        </w:tc>
        <w:tc>
          <w:tcPr>
            <w:tcW w:w="29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15"/>
                <w:szCs w:val="15"/>
                <w:color w:val="auto"/>
              </w:rPr>
            </w:pP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9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173"/>
        </w:trPr>
        <w:tc>
          <w:tcPr>
            <w:tcW w:w="40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9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$66,117</w:t>
            </w:r>
          </w:p>
        </w:tc>
        <w:tc>
          <w:tcPr>
            <w:tcW w:w="13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$67,773</w:t>
            </w:r>
          </w:p>
        </w:tc>
        <w:tc>
          <w:tcPr>
            <w:tcW w:w="21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$213,326</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$219,559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2940" w:type="dxa"/>
            <w:vAlign w:val="bottom"/>
          </w:tcPr>
          <w:p>
            <w:pPr>
              <w:jc w:val="right"/>
              <w:ind w:right="870"/>
              <w:spacing w:after="0"/>
              <w:rPr>
                <w:sz w:val="20"/>
                <w:szCs w:val="20"/>
                <w:color w:val="auto"/>
              </w:rPr>
            </w:pPr>
            <w:r>
              <w:rPr>
                <w:rFonts w:ascii="Arial" w:cs="Arial" w:eastAsia="Arial" w:hAnsi="Arial"/>
                <w:sz w:val="18"/>
                <w:szCs w:val="18"/>
                <w:b w:val="1"/>
                <w:bCs w:val="1"/>
                <w:color w:val="auto"/>
              </w:rPr>
              <w:t>2,855</w:t>
            </w: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1,061</w:t>
            </w:r>
          </w:p>
        </w:tc>
        <w:tc>
          <w:tcPr>
            <w:tcW w:w="2140" w:type="dxa"/>
            <w:vAlign w:val="bottom"/>
          </w:tcPr>
          <w:p>
            <w:pPr>
              <w:jc w:val="right"/>
              <w:ind w:right="870"/>
              <w:spacing w:after="0"/>
              <w:rPr>
                <w:sz w:val="20"/>
                <w:szCs w:val="20"/>
                <w:color w:val="auto"/>
              </w:rPr>
            </w:pPr>
            <w:r>
              <w:rPr>
                <w:rFonts w:ascii="Arial" w:cs="Arial" w:eastAsia="Arial" w:hAnsi="Arial"/>
                <w:sz w:val="18"/>
                <w:szCs w:val="18"/>
                <w:b w:val="1"/>
                <w:bCs w:val="1"/>
                <w:color w:val="auto"/>
              </w:rPr>
              <w:t>6,506</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1,542</w:t>
            </w: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9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(353)</w:t>
            </w: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(833)</w:t>
            </w:r>
          </w:p>
        </w:tc>
        <w:tc>
          <w:tcPr>
            <w:tcW w:w="21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(1,061)</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w:t>
            </w:r>
          </w:p>
        </w:tc>
      </w:tr>
      <w:tr>
        <w:trPr>
          <w:trHeight w:val="21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$68,619</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$68,001</w:t>
            </w:r>
          </w:p>
        </w:tc>
        <w:tc>
          <w:tcPr>
            <w:tcW w:w="21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$218,771</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$218,203</w:t>
            </w:r>
          </w:p>
        </w:tc>
      </w:tr>
      <w:tr>
        <w:trPr>
          <w:trHeight w:val="21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of Net sales</w:t>
            </w:r>
          </w:p>
        </w:tc>
        <w:tc>
          <w:tcPr>
            <w:tcW w:w="2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38.2%</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37.1%</w:t>
            </w: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39.5%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compared to the same period in 2013, was principally due to the net effect of the following:</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margins in MC increased from 41.6 percent to 41.9 percent principally due to the effect of restructuring in France.</w:t>
      </w:r>
    </w:p>
    <w:p>
      <w:pPr>
        <w:spacing w:after="0" w:line="9" w:lineRule="exact"/>
        <w:rPr>
          <w:rFonts w:ascii="Arial" w:cs="Arial" w:eastAsia="Arial" w:hAnsi="Arial"/>
          <w:sz w:val="18"/>
          <w:szCs w:val="18"/>
          <w:color w:val="auto"/>
        </w:rPr>
      </w:pPr>
    </w:p>
    <w:p>
      <w:pPr>
        <w:ind w:left="1300" w:right="960" w:hanging="320"/>
        <w:spacing w:after="0" w:line="24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 gross margin for the third quarter of 2014 was 13.0 percent compared to 5.2 percent in 2013 principally due to improvements in profitability at the Company’s Boerne, Texas operation.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during 2014 was principally due to the net effect of the following:</w:t>
      </w: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$5.6 million decrease due to lower sales in MC.</w:t>
      </w:r>
    </w:p>
    <w:p>
      <w:pPr>
        <w:spacing w:after="0" w:line="9" w:lineRule="exact"/>
        <w:rPr>
          <w:rFonts w:ascii="Arial" w:cs="Arial" w:eastAsia="Arial" w:hAnsi="Arial"/>
          <w:sz w:val="18"/>
          <w:szCs w:val="18"/>
          <w:color w:val="auto"/>
        </w:rPr>
      </w:pPr>
    </w:p>
    <w:p>
      <w:pPr>
        <w:ind w:left="1300" w:right="100" w:hanging="320"/>
        <w:spacing w:after="0" w:line="23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$5.1 million increase due to higher gross profit margin in AEC due to improvements in profitability at the Company’s Boerne, Texas operation.</w:t>
      </w:r>
    </w:p>
    <w:p>
      <w:pPr>
        <w:spacing w:after="0" w:line="1" w:lineRule="exact"/>
        <w:rPr>
          <w:rFonts w:ascii="Arial" w:cs="Arial" w:eastAsia="Arial" w:hAnsi="Arial"/>
          <w:sz w:val="18"/>
          <w:szCs w:val="18"/>
          <w:color w:val="auto"/>
        </w:rPr>
      </w:pPr>
    </w:p>
    <w:p>
      <w:pPr>
        <w:ind w:left="1300" w:right="100" w:hanging="320"/>
        <w:spacing w:after="0" w:line="23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charge of $1.6 million in the second quarter of 2014 to correct an error in the value of Machine Clothing inventories reported in prior periods.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$1.8 million reduction in cost associated with the Company’s U.S. postretirement plan, resulting from plan changes in 2013.</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181"/>
        </w:trPr>
        <w:tc>
          <w:tcPr>
            <w:tcW w:w="3920" w:type="dxa"/>
            <w:vAlign w:val="bottom"/>
          </w:tcPr>
          <w:p>
            <w:pPr>
              <w:spacing w:after="0"/>
              <w:rPr>
                <w:sz w:val="15"/>
                <w:szCs w:val="15"/>
                <w:color w:val="auto"/>
              </w:rPr>
            </w:pPr>
          </w:p>
        </w:tc>
        <w:tc>
          <w:tcPr>
            <w:tcW w:w="308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15"/>
                <w:szCs w:val="15"/>
                <w:color w:val="auto"/>
              </w:rPr>
            </w:pPr>
          </w:p>
        </w:tc>
      </w:tr>
      <w:tr>
        <w:trPr>
          <w:trHeight w:val="225"/>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8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173"/>
        </w:trPr>
        <w:tc>
          <w:tcPr>
            <w:tcW w:w="39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8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$31,843</w:t>
            </w:r>
          </w:p>
        </w:tc>
        <w:tc>
          <w:tcPr>
            <w:tcW w:w="13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$37,613</w:t>
            </w:r>
          </w:p>
        </w:tc>
        <w:tc>
          <w:tcPr>
            <w:tcW w:w="21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$106,870</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$112,599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3080" w:type="dxa"/>
            <w:vAlign w:val="bottom"/>
          </w:tcPr>
          <w:p>
            <w:pPr>
              <w:jc w:val="right"/>
              <w:ind w:right="870"/>
              <w:spacing w:after="0"/>
              <w:rPr>
                <w:sz w:val="20"/>
                <w:szCs w:val="20"/>
                <w:color w:val="auto"/>
              </w:rPr>
            </w:pPr>
            <w:r>
              <w:rPr>
                <w:rFonts w:ascii="Arial" w:cs="Arial" w:eastAsia="Arial" w:hAnsi="Arial"/>
                <w:sz w:val="18"/>
                <w:szCs w:val="18"/>
                <w:b w:val="1"/>
                <w:bCs w:val="1"/>
                <w:color w:val="auto"/>
              </w:rPr>
              <w:t>5,668</w:t>
            </w: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5,006</w:t>
            </w:r>
          </w:p>
        </w:tc>
        <w:tc>
          <w:tcPr>
            <w:tcW w:w="2140" w:type="dxa"/>
            <w:vAlign w:val="bottom"/>
          </w:tcPr>
          <w:p>
            <w:pPr>
              <w:jc w:val="right"/>
              <w:ind w:right="870"/>
              <w:spacing w:after="0"/>
              <w:rPr>
                <w:sz w:val="20"/>
                <w:szCs w:val="20"/>
                <w:color w:val="auto"/>
              </w:rPr>
            </w:pPr>
            <w:r>
              <w:rPr>
                <w:rFonts w:ascii="Arial" w:cs="Arial" w:eastAsia="Arial" w:hAnsi="Arial"/>
                <w:sz w:val="18"/>
                <w:szCs w:val="18"/>
                <w:b w:val="1"/>
                <w:bCs w:val="1"/>
                <w:color w:val="auto"/>
              </w:rPr>
              <w:t>15,361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14,034</w:t>
            </w:r>
          </w:p>
        </w:tc>
      </w:tr>
      <w:tr>
        <w:trPr>
          <w:trHeight w:val="225"/>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11,031</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9,871</w:t>
            </w:r>
          </w:p>
        </w:tc>
        <w:tc>
          <w:tcPr>
            <w:tcW w:w="21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33,746</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32,097</w:t>
            </w:r>
          </w:p>
        </w:tc>
      </w:tr>
      <w:tr>
        <w:trPr>
          <w:trHeight w:val="21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$48,542</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$52,490</w:t>
            </w:r>
          </w:p>
        </w:tc>
        <w:tc>
          <w:tcPr>
            <w:tcW w:w="21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$155,977</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$158,730</w:t>
            </w:r>
          </w:p>
        </w:tc>
      </w:tr>
      <w:tr>
        <w:trPr>
          <w:trHeight w:val="21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of Net sales</w:t>
            </w:r>
          </w:p>
        </w:tc>
        <w:tc>
          <w:tcPr>
            <w:tcW w:w="30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27.0%</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28.7%</w:t>
            </w:r>
          </w:p>
        </w:tc>
        <w:tc>
          <w:tcPr>
            <w:tcW w:w="2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28.2%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$3.9 million, compared to the same period in 2013, principally due to the net effect of the following:</w:t>
      </w:r>
    </w:p>
    <w:p>
      <w:pPr>
        <w:spacing w:after="0" w:line="198" w:lineRule="exact"/>
        <w:rPr>
          <w:sz w:val="20"/>
          <w:szCs w:val="20"/>
          <w:color w:val="auto"/>
        </w:rPr>
      </w:pPr>
    </w:p>
    <w:p>
      <w:pPr>
        <w:ind w:left="1300" w:right="60" w:hanging="320"/>
        <w:spacing w:after="0" w:line="23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$2.2 million during the third quarter of 2014 and losses of $1.3 million in the comparable quarter of 2013.</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decreased 2014 STG&amp;R expenses by $0.5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$2.8 million, compared to the same period in 2013, principally due to the net effect of the following:</w:t>
      </w:r>
    </w:p>
    <w:p>
      <w:pPr>
        <w:spacing w:after="0" w:line="198" w:lineRule="exact"/>
        <w:rPr>
          <w:sz w:val="20"/>
          <w:szCs w:val="20"/>
          <w:color w:val="auto"/>
        </w:rPr>
      </w:pPr>
    </w:p>
    <w:p>
      <w:pPr>
        <w:ind w:left="1300" w:right="60" w:hanging="320"/>
        <w:spacing w:after="0" w:line="23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$1.6 million during the first nine months of 2014 and losses of $0.1 million in comparable period of 2013.</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reduced 2013 expenses by $3.8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Compared to the first nine months of 2013, bad debt expense was $1.6 million lower.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Compared to the first nine months of 2013, corporate professional fee expenses were reduced by $1.0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translation decreased STG&amp;R expense by $0.7 million.</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Plan</w:t>
      </w:r>
    </w:p>
    <w:p>
      <w:pPr>
        <w:spacing w:after="0" w:line="22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September 2014, certain participants of the U.S. pension plan were notified of a limited-time opportunity whereby they could elect to receive the value of their pension benefit in a lump -sum payment. All lump-sum payments will be funded from pension plan assets and are expected to be made before the end of 2014. As a result of this initiative, and depending on the number of participants that elect the lump-sum payment, the Company expects to record a non-cash settlement charge of approximately $5 to $10 million in 2014. The payments are not expected to have a significant impact on the plan’s funded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Three months ended</w:t>
            </w:r>
          </w:p>
        </w:tc>
        <w:tc>
          <w:tcPr>
            <w:tcW w:w="8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4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20" w:type="dxa"/>
            <w:vAlign w:val="bottom"/>
          </w:tcPr>
          <w:p>
            <w:pPr>
              <w:jc w:val="right"/>
              <w:ind w:right="350"/>
              <w:spacing w:after="0" w:line="181" w:lineRule="exact"/>
              <w:rPr>
                <w:sz w:val="20"/>
                <w:szCs w:val="20"/>
                <w:color w:val="auto"/>
              </w:rPr>
            </w:pPr>
            <w:r>
              <w:rPr>
                <w:rFonts w:ascii="Arial" w:cs="Arial" w:eastAsia="Arial" w:hAnsi="Arial"/>
                <w:sz w:val="18"/>
                <w:szCs w:val="18"/>
                <w:color w:val="auto"/>
                <w:w w:val="98"/>
              </w:rPr>
              <w:t>September 30,</w:t>
            </w:r>
          </w:p>
        </w:tc>
        <w:tc>
          <w:tcPr>
            <w:tcW w:w="880" w:type="dxa"/>
            <w:vAlign w:val="bottom"/>
          </w:tcPr>
          <w:p>
            <w:pPr>
              <w:spacing w:after="0"/>
              <w:rPr>
                <w:sz w:val="15"/>
                <w:szCs w:val="15"/>
                <w:color w:val="auto"/>
              </w:rPr>
            </w:pPr>
          </w:p>
        </w:tc>
        <w:tc>
          <w:tcPr>
            <w:tcW w:w="188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8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4"/>
              </w:rPr>
              <w:t>2013</w:t>
            </w:r>
          </w:p>
        </w:tc>
        <w:tc>
          <w:tcPr>
            <w:tcW w:w="20" w:type="dxa"/>
            <w:vAlign w:val="bottom"/>
          </w:tcPr>
          <w:p>
            <w:pPr>
              <w:spacing w:after="0"/>
              <w:rPr>
                <w:sz w:val="19"/>
                <w:szCs w:val="19"/>
                <w:color w:val="auto"/>
              </w:rPr>
            </w:pP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960" w:type="dxa"/>
            <w:vAlign w:val="bottom"/>
          </w:tcPr>
          <w:p>
            <w:pPr>
              <w:spacing w:after="0"/>
              <w:rPr>
                <w:sz w:val="15"/>
                <w:szCs w:val="15"/>
                <w:color w:val="auto"/>
              </w:rPr>
            </w:pPr>
          </w:p>
        </w:tc>
        <w:tc>
          <w:tcPr>
            <w:tcW w:w="1620" w:type="dxa"/>
            <w:vAlign w:val="bottom"/>
          </w:tcPr>
          <w:p>
            <w:pPr>
              <w:jc w:val="right"/>
              <w:ind w:right="930"/>
              <w:spacing w:after="0" w:line="173" w:lineRule="exact"/>
              <w:rPr>
                <w:sz w:val="20"/>
                <w:szCs w:val="20"/>
                <w:color w:val="auto"/>
              </w:rPr>
            </w:pPr>
            <w:r>
              <w:rPr>
                <w:rFonts w:ascii="Arial" w:cs="Arial" w:eastAsia="Arial" w:hAnsi="Arial"/>
                <w:sz w:val="18"/>
                <w:szCs w:val="18"/>
                <w:b w:val="1"/>
                <w:bCs w:val="1"/>
                <w:color w:val="auto"/>
              </w:rPr>
              <w:t>$4,510</w:t>
            </w:r>
          </w:p>
        </w:tc>
        <w:tc>
          <w:tcPr>
            <w:tcW w:w="88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$4,142</w:t>
            </w:r>
          </w:p>
        </w:tc>
        <w:tc>
          <w:tcPr>
            <w:tcW w:w="188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$14,532</w:t>
            </w:r>
          </w:p>
        </w:tc>
        <w:tc>
          <w:tcPr>
            <w:tcW w:w="1000" w:type="dxa"/>
            <w:vAlign w:val="bottom"/>
          </w:tcPr>
          <w:p>
            <w:pPr>
              <w:jc w:val="right"/>
              <w:spacing w:after="0" w:line="173" w:lineRule="exact"/>
              <w:rPr>
                <w:sz w:val="20"/>
                <w:szCs w:val="20"/>
                <w:color w:val="auto"/>
              </w:rPr>
            </w:pPr>
            <w:r>
              <w:rPr>
                <w:rFonts w:ascii="Arial" w:cs="Arial" w:eastAsia="Arial" w:hAnsi="Arial"/>
                <w:sz w:val="18"/>
                <w:szCs w:val="18"/>
                <w:color w:val="auto"/>
              </w:rPr>
              <w:t>$13,343</w:t>
            </w:r>
          </w:p>
        </w:tc>
        <w:tc>
          <w:tcPr>
            <w:tcW w:w="20" w:type="dxa"/>
            <w:vAlign w:val="bottom"/>
          </w:tcPr>
          <w:p>
            <w:pPr>
              <w:spacing w:after="0"/>
              <w:rPr>
                <w:sz w:val="15"/>
                <w:szCs w:val="15"/>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960" w:type="dxa"/>
            <w:vAlign w:val="bottom"/>
          </w:tcPr>
          <w:p>
            <w:pPr>
              <w:spacing w:after="0"/>
              <w:rPr>
                <w:sz w:val="17"/>
                <w:szCs w:val="17"/>
                <w:color w:val="auto"/>
              </w:rPr>
            </w:pPr>
          </w:p>
        </w:tc>
        <w:tc>
          <w:tcPr>
            <w:tcW w:w="162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3,593</w:t>
            </w:r>
          </w:p>
        </w:tc>
        <w:tc>
          <w:tcPr>
            <w:tcW w:w="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2,874</w:t>
            </w:r>
          </w:p>
        </w:tc>
        <w:tc>
          <w:tcPr>
            <w:tcW w:w="18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8,179</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7,321</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19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159</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402</w:t>
            </w: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550</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1,418</w:t>
            </w: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b w:val="1"/>
                <w:bCs w:val="1"/>
                <w:color w:val="auto"/>
              </w:rPr>
              <w:t>$8,262</w:t>
            </w:r>
          </w:p>
        </w:tc>
        <w:tc>
          <w:tcPr>
            <w:tcW w:w="8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$7,418</w:t>
            </w:r>
          </w:p>
        </w:tc>
        <w:tc>
          <w:tcPr>
            <w:tcW w:w="18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$23,261</w:t>
            </w:r>
          </w:p>
        </w:tc>
        <w:tc>
          <w:tcPr>
            <w:tcW w:w="10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$22,082</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$0.9 million in the third quarter of 2014 and $2.3 million in the third quarter of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r>
      <w:tr>
        <w:trPr>
          <w:trHeight w:val="181"/>
        </w:trPr>
        <w:tc>
          <w:tcPr>
            <w:tcW w:w="3880" w:type="dxa"/>
            <w:vAlign w:val="bottom"/>
          </w:tcPr>
          <w:p>
            <w:pPr>
              <w:spacing w:after="0"/>
              <w:rPr>
                <w:sz w:val="15"/>
                <w:szCs w:val="15"/>
                <w:color w:val="auto"/>
              </w:rPr>
            </w:pPr>
          </w:p>
        </w:tc>
        <w:tc>
          <w:tcPr>
            <w:tcW w:w="30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420" w:type="dxa"/>
            <w:vAlign w:val="bottom"/>
          </w:tcPr>
          <w:p>
            <w:pPr>
              <w:spacing w:after="0"/>
              <w:rPr>
                <w:sz w:val="15"/>
                <w:szCs w:val="15"/>
                <w:color w:val="auto"/>
              </w:rPr>
            </w:pPr>
          </w:p>
        </w:tc>
        <w:tc>
          <w:tcPr>
            <w:tcW w:w="20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2013</w:t>
            </w:r>
          </w:p>
        </w:tc>
        <w:tc>
          <w:tcPr>
            <w:tcW w:w="20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19"/>
                <w:szCs w:val="19"/>
                <w:color w:val="auto"/>
              </w:rPr>
            </w:pPr>
          </w:p>
        </w:tc>
      </w:tr>
      <w:tr>
        <w:trPr>
          <w:trHeight w:val="173"/>
        </w:trPr>
        <w:tc>
          <w:tcPr>
            <w:tcW w:w="38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$968</w:t>
            </w:r>
          </w:p>
        </w:tc>
        <w:tc>
          <w:tcPr>
            <w:tcW w:w="142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$2,250</w:t>
            </w:r>
          </w:p>
        </w:tc>
        <w:tc>
          <w:tcPr>
            <w:tcW w:w="2000" w:type="dxa"/>
            <w:vAlign w:val="bottom"/>
          </w:tcPr>
          <w:p>
            <w:pPr>
              <w:jc w:val="right"/>
              <w:ind w:right="530"/>
              <w:spacing w:after="0" w:line="173" w:lineRule="exact"/>
              <w:rPr>
                <w:sz w:val="20"/>
                <w:szCs w:val="20"/>
                <w:color w:val="auto"/>
              </w:rPr>
            </w:pPr>
            <w:r>
              <w:rPr>
                <w:rFonts w:ascii="Arial" w:cs="Arial" w:eastAsia="Arial" w:hAnsi="Arial"/>
                <w:sz w:val="18"/>
                <w:szCs w:val="18"/>
                <w:b w:val="1"/>
                <w:bCs w:val="1"/>
                <w:color w:val="auto"/>
              </w:rPr>
              <w:t>$3,127</w:t>
            </w:r>
          </w:p>
        </w:tc>
        <w:tc>
          <w:tcPr>
            <w:tcW w:w="1080" w:type="dxa"/>
            <w:vAlign w:val="bottom"/>
          </w:tcPr>
          <w:p>
            <w:pPr>
              <w:jc w:val="right"/>
              <w:spacing w:after="0" w:line="173" w:lineRule="exact"/>
              <w:rPr>
                <w:sz w:val="20"/>
                <w:szCs w:val="20"/>
                <w:color w:val="auto"/>
              </w:rPr>
            </w:pPr>
            <w:r>
              <w:rPr>
                <w:rFonts w:ascii="Arial" w:cs="Arial" w:eastAsia="Arial" w:hAnsi="Arial"/>
                <w:sz w:val="18"/>
                <w:szCs w:val="18"/>
                <w:color w:val="auto"/>
              </w:rPr>
              <w:t>$26,673</w:t>
            </w:r>
          </w:p>
        </w:tc>
        <w:tc>
          <w:tcPr>
            <w:tcW w:w="20" w:type="dxa"/>
            <w:vAlign w:val="bottom"/>
          </w:tcPr>
          <w:p>
            <w:pPr>
              <w:spacing w:after="0"/>
              <w:rPr>
                <w:sz w:val="15"/>
                <w:szCs w:val="15"/>
                <w:color w:val="auto"/>
              </w:rPr>
            </w:pPr>
          </w:p>
        </w:tc>
      </w:tr>
      <w:tr>
        <w:trPr>
          <w:trHeight w:val="225"/>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(49)</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2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931</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540</w:t>
            </w:r>
          </w:p>
        </w:tc>
      </w:tr>
      <w:tr>
        <w:trPr>
          <w:trHeight w:val="196"/>
        </w:trPr>
        <w:tc>
          <w:tcPr>
            <w:tcW w:w="38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$919</w:t>
            </w:r>
          </w:p>
        </w:tc>
        <w:tc>
          <w:tcPr>
            <w:tcW w:w="14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$2,256</w:t>
            </w:r>
          </w:p>
        </w:tc>
        <w:tc>
          <w:tcPr>
            <w:tcW w:w="200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$4,058</w:t>
            </w:r>
          </w:p>
        </w:tc>
        <w:tc>
          <w:tcPr>
            <w:tcW w:w="11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$27,213</w:t>
            </w:r>
          </w:p>
        </w:tc>
      </w:tr>
      <w:tr>
        <w:trPr>
          <w:trHeight w:val="770"/>
        </w:trPr>
        <w:tc>
          <w:tcPr>
            <w:tcW w:w="3880" w:type="dxa"/>
            <w:vAlign w:val="bottom"/>
            <w:tcBorders>
              <w:top w:val="single" w:sz="8" w:color="auto"/>
              <w:bottom w:val="single" w:sz="8" w:color="auto"/>
            </w:tcBorders>
          </w:tcPr>
          <w:p>
            <w:pPr>
              <w:spacing w:after="0"/>
              <w:rPr>
                <w:sz w:val="24"/>
                <w:szCs w:val="24"/>
                <w:color w:val="auto"/>
              </w:rPr>
            </w:pPr>
          </w:p>
        </w:tc>
        <w:tc>
          <w:tcPr>
            <w:tcW w:w="30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rPr>
              <w:t>29</w:t>
            </w:r>
          </w:p>
        </w:tc>
        <w:tc>
          <w:tcPr>
            <w:tcW w:w="142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9" w:name="page30"/>
    <w:bookmarkEnd w:id="29"/>
    <w:p>
      <w:pPr>
        <w:ind w:right="420" w:firstLine="648"/>
        <w:spacing w:after="0"/>
        <w:rPr>
          <w:sz w:val="20"/>
          <w:szCs w:val="20"/>
          <w:color w:val="auto"/>
        </w:rPr>
      </w:pPr>
      <w:r>
        <w:rPr>
          <w:rFonts w:ascii="Arial" w:cs="Arial" w:eastAsia="Arial" w:hAnsi="Arial"/>
          <w:sz w:val="18"/>
          <w:szCs w:val="18"/>
          <w:color w:val="auto"/>
        </w:rPr>
        <w:t>Machine Clothing restructuring expense was principally related to the reduction in manufacturing capacity at production facilities in France. Restructuring expenses in the Albany Engineered Composites operations were principally related to organizational changes and exiting certain aerospace programs.</w:t>
      </w:r>
    </w:p>
    <w:p>
      <w:pPr>
        <w:spacing w:after="0" w:line="16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September 30, 2014, approximately 190 positions had been eliminated. Accordingly, the Company is now realizing substantially all of the expected $10 million of annual cost savings, which principally impacts the Cost of goods sold line in the Statements of Income.</w:t>
      </w:r>
    </w:p>
    <w:p>
      <w:pPr>
        <w:spacing w:after="0" w:line="17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The Company recorded a curtailment gain of $0.7 million for the first nine months of 2014 related to the elimination of pension accruals, which reduced net restructuring expense as reflected in the table above. Such curtailment gains are recorded as employees terminate employment and, accordingly, we expect to record additional gains during 2014. Remaining costs for this program are expected to be between $1 and $2 million, and we expect these costs to occur over the next several quarters.</w:t>
      </w:r>
    </w:p>
    <w:p>
      <w:pPr>
        <w:spacing w:after="0" w:line="162"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9"/>
              </w:rPr>
              <w:t>Three months ended</w:t>
            </w:r>
          </w:p>
        </w:tc>
        <w:tc>
          <w:tcPr>
            <w:tcW w:w="3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Nine months ended</w:t>
            </w:r>
          </w:p>
        </w:tc>
      </w:tr>
      <w:tr>
        <w:trPr>
          <w:trHeight w:val="181"/>
        </w:trPr>
        <w:tc>
          <w:tcPr>
            <w:tcW w:w="4660" w:type="dxa"/>
            <w:vAlign w:val="bottom"/>
          </w:tcPr>
          <w:p>
            <w:pPr>
              <w:spacing w:after="0"/>
              <w:rPr>
                <w:sz w:val="15"/>
                <w:szCs w:val="15"/>
                <w:color w:val="auto"/>
              </w:rPr>
            </w:pPr>
          </w:p>
        </w:tc>
        <w:tc>
          <w:tcPr>
            <w:tcW w:w="2460" w:type="dxa"/>
            <w:vAlign w:val="bottom"/>
          </w:tcPr>
          <w:p>
            <w:pPr>
              <w:jc w:val="center"/>
              <w:ind w:left="1110"/>
              <w:spacing w:after="0" w:line="181" w:lineRule="exact"/>
              <w:rPr>
                <w:sz w:val="20"/>
                <w:szCs w:val="20"/>
                <w:color w:val="auto"/>
              </w:rPr>
            </w:pPr>
            <w:r>
              <w:rPr>
                <w:rFonts w:ascii="Arial" w:cs="Arial" w:eastAsia="Arial" w:hAnsi="Arial"/>
                <w:sz w:val="18"/>
                <w:szCs w:val="18"/>
                <w:color w:val="auto"/>
                <w:w w:val="99"/>
              </w:rPr>
              <w:t>September 30,</w:t>
            </w:r>
          </w:p>
        </w:tc>
        <w:tc>
          <w:tcPr>
            <w:tcW w:w="1300" w:type="dxa"/>
            <w:vAlign w:val="bottom"/>
          </w:tcPr>
          <w:p>
            <w:pPr>
              <w:spacing w:after="0"/>
              <w:rPr>
                <w:sz w:val="15"/>
                <w:szCs w:val="15"/>
                <w:color w:val="auto"/>
              </w:rPr>
            </w:pPr>
          </w:p>
        </w:tc>
        <w:tc>
          <w:tcPr>
            <w:tcW w:w="2100" w:type="dxa"/>
            <w:vAlign w:val="bottom"/>
          </w:tcPr>
          <w:p>
            <w:pPr>
              <w:jc w:val="center"/>
              <w:ind w:left="790"/>
              <w:spacing w:after="0" w:line="181" w:lineRule="exact"/>
              <w:rPr>
                <w:sz w:val="20"/>
                <w:szCs w:val="20"/>
                <w:color w:val="auto"/>
              </w:rPr>
            </w:pPr>
            <w:r>
              <w:rPr>
                <w:rFonts w:ascii="Arial" w:cs="Arial" w:eastAsia="Arial" w:hAnsi="Arial"/>
                <w:sz w:val="18"/>
                <w:szCs w:val="18"/>
                <w:color w:val="auto"/>
                <w:w w:val="99"/>
              </w:rPr>
              <w:t>September 30,</w:t>
            </w:r>
          </w:p>
        </w:tc>
        <w:tc>
          <w:tcPr>
            <w:tcW w:w="900" w:type="dxa"/>
            <w:vAlign w:val="bottom"/>
          </w:tcPr>
          <w:p>
            <w:pPr>
              <w:spacing w:after="0"/>
              <w:rPr>
                <w:sz w:val="15"/>
                <w:szCs w:val="15"/>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4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r>
      <w:tr>
        <w:trPr>
          <w:trHeight w:val="173"/>
        </w:trPr>
        <w:tc>
          <w:tcPr>
            <w:tcW w:w="46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46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$33,308</w:t>
            </w:r>
          </w:p>
        </w:tc>
        <w:tc>
          <w:tcPr>
            <w:tcW w:w="130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$27,910</w:t>
            </w:r>
          </w:p>
        </w:tc>
        <w:tc>
          <w:tcPr>
            <w:tcW w:w="2100" w:type="dxa"/>
            <w:vAlign w:val="bottom"/>
          </w:tcPr>
          <w:p>
            <w:pPr>
              <w:jc w:val="right"/>
              <w:ind w:right="810"/>
              <w:spacing w:after="0" w:line="173" w:lineRule="exact"/>
              <w:rPr>
                <w:sz w:val="20"/>
                <w:szCs w:val="20"/>
                <w:color w:val="auto"/>
              </w:rPr>
            </w:pPr>
            <w:r>
              <w:rPr>
                <w:rFonts w:ascii="Arial" w:cs="Arial" w:eastAsia="Arial" w:hAnsi="Arial"/>
                <w:sz w:val="18"/>
                <w:szCs w:val="18"/>
                <w:b w:val="1"/>
                <w:bCs w:val="1"/>
                <w:color w:val="auto"/>
              </w:rPr>
              <w:t>$103,329</w:t>
            </w:r>
          </w:p>
        </w:tc>
        <w:tc>
          <w:tcPr>
            <w:tcW w:w="9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$80,287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2460" w:type="dxa"/>
            <w:vAlign w:val="bottom"/>
          </w:tcPr>
          <w:p>
            <w:pPr>
              <w:jc w:val="right"/>
              <w:ind w:right="770"/>
              <w:spacing w:after="0"/>
              <w:rPr>
                <w:sz w:val="20"/>
                <w:szCs w:val="20"/>
                <w:color w:val="auto"/>
              </w:rPr>
            </w:pPr>
            <w:r>
              <w:rPr>
                <w:rFonts w:ascii="Arial" w:cs="Arial" w:eastAsia="Arial" w:hAnsi="Arial"/>
                <w:sz w:val="18"/>
                <w:szCs w:val="18"/>
                <w:b w:val="1"/>
                <w:bCs w:val="1"/>
                <w:color w:val="auto"/>
              </w:rPr>
              <w:t>(2,765)</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(3,951)</w:t>
            </w:r>
          </w:p>
        </w:tc>
        <w:tc>
          <w:tcPr>
            <w:tcW w:w="2100" w:type="dxa"/>
            <w:vAlign w:val="bottom"/>
          </w:tcPr>
          <w:p>
            <w:pPr>
              <w:jc w:val="right"/>
              <w:ind w:right="750"/>
              <w:spacing w:after="0"/>
              <w:rPr>
                <w:sz w:val="20"/>
                <w:szCs w:val="20"/>
                <w:color w:val="auto"/>
              </w:rPr>
            </w:pPr>
            <w:r>
              <w:rPr>
                <w:rFonts w:ascii="Arial" w:cs="Arial" w:eastAsia="Arial" w:hAnsi="Arial"/>
                <w:sz w:val="18"/>
                <w:szCs w:val="18"/>
                <w:b w:val="1"/>
                <w:bCs w:val="1"/>
                <w:color w:val="auto"/>
              </w:rPr>
              <w:t>(9,785)</w:t>
            </w:r>
          </w:p>
        </w:tc>
        <w:tc>
          <w:tcPr>
            <w:tcW w:w="900" w:type="dxa"/>
            <w:vAlign w:val="bottom"/>
          </w:tcPr>
          <w:p>
            <w:pPr>
              <w:jc w:val="right"/>
              <w:spacing w:after="0"/>
              <w:rPr>
                <w:sz w:val="20"/>
                <w:szCs w:val="20"/>
                <w:color w:val="auto"/>
              </w:rPr>
            </w:pPr>
            <w:r>
              <w:rPr>
                <w:rFonts w:ascii="Arial" w:cs="Arial" w:eastAsia="Arial" w:hAnsi="Arial"/>
                <w:sz w:val="18"/>
                <w:szCs w:val="18"/>
                <w:color w:val="auto"/>
              </w:rPr>
              <w:t>(13,032)</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4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(11,385)</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(10,704)</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(34,808)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w:t>
            </w:r>
          </w:p>
        </w:tc>
      </w:tr>
      <w:tr>
        <w:trPr>
          <w:trHeight w:val="21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$19,158</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$13,255</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$58,736</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$32,260</w:t>
            </w:r>
          </w:p>
        </w:tc>
      </w:tr>
      <w:tr>
        <w:trPr>
          <w:trHeight w:val="426"/>
        </w:trPr>
        <w:tc>
          <w:tcPr>
            <w:tcW w:w="466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6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gridSpan w:val="2"/>
          </w:tcPr>
          <w:p>
            <w:pPr>
              <w:spacing w:after="0"/>
              <w:rPr>
                <w:sz w:val="24"/>
                <w:szCs w:val="24"/>
                <w:color w:val="auto"/>
              </w:rPr>
            </w:pPr>
          </w:p>
        </w:tc>
      </w:tr>
      <w:tr>
        <w:trPr>
          <w:trHeight w:val="195"/>
        </w:trPr>
        <w:tc>
          <w:tcPr>
            <w:tcW w:w="4660" w:type="dxa"/>
            <w:vAlign w:val="bottom"/>
          </w:tcPr>
          <w:p>
            <w:pPr>
              <w:spacing w:after="0"/>
              <w:rPr>
                <w:sz w:val="16"/>
                <w:szCs w:val="16"/>
                <w:color w:val="auto"/>
              </w:rPr>
            </w:pPr>
          </w:p>
        </w:tc>
        <w:tc>
          <w:tcPr>
            <w:tcW w:w="3760" w:type="dxa"/>
            <w:vAlign w:val="bottom"/>
            <w:gridSpan w:val="2"/>
          </w:tcPr>
          <w:p>
            <w:pPr>
              <w:jc w:val="center"/>
              <w:ind w:right="10"/>
              <w:spacing w:after="0" w:line="195" w:lineRule="exact"/>
              <w:rPr>
                <w:sz w:val="20"/>
                <w:szCs w:val="20"/>
                <w:color w:val="auto"/>
              </w:rPr>
            </w:pPr>
            <w:r>
              <w:rPr>
                <w:rFonts w:ascii="Arial" w:cs="Arial" w:eastAsia="Arial" w:hAnsi="Arial"/>
                <w:sz w:val="18"/>
                <w:szCs w:val="18"/>
                <w:color w:val="auto"/>
                <w:w w:val="99"/>
              </w:rPr>
              <w:t>Three months ended</w:t>
            </w:r>
          </w:p>
        </w:tc>
        <w:tc>
          <w:tcPr>
            <w:tcW w:w="30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9"/>
              </w:rPr>
              <w:t>Nine months ended</w:t>
            </w:r>
          </w:p>
        </w:tc>
      </w:tr>
      <w:tr>
        <w:trPr>
          <w:trHeight w:val="181"/>
        </w:trPr>
        <w:tc>
          <w:tcPr>
            <w:tcW w:w="4660" w:type="dxa"/>
            <w:vAlign w:val="bottom"/>
          </w:tcPr>
          <w:p>
            <w:pPr>
              <w:spacing w:after="0"/>
              <w:rPr>
                <w:sz w:val="15"/>
                <w:szCs w:val="15"/>
                <w:color w:val="auto"/>
              </w:rPr>
            </w:pPr>
          </w:p>
        </w:tc>
        <w:tc>
          <w:tcPr>
            <w:tcW w:w="2460" w:type="dxa"/>
            <w:vAlign w:val="bottom"/>
          </w:tcPr>
          <w:p>
            <w:pPr>
              <w:jc w:val="center"/>
              <w:ind w:left="1110"/>
              <w:spacing w:after="0" w:line="181" w:lineRule="exact"/>
              <w:rPr>
                <w:sz w:val="20"/>
                <w:szCs w:val="20"/>
                <w:color w:val="auto"/>
              </w:rPr>
            </w:pPr>
            <w:r>
              <w:rPr>
                <w:rFonts w:ascii="Arial" w:cs="Arial" w:eastAsia="Arial" w:hAnsi="Arial"/>
                <w:sz w:val="18"/>
                <w:szCs w:val="18"/>
                <w:color w:val="auto"/>
                <w:w w:val="99"/>
              </w:rPr>
              <w:t>September 30,</w:t>
            </w:r>
          </w:p>
        </w:tc>
        <w:tc>
          <w:tcPr>
            <w:tcW w:w="1300" w:type="dxa"/>
            <w:vAlign w:val="bottom"/>
          </w:tcPr>
          <w:p>
            <w:pPr>
              <w:spacing w:after="0"/>
              <w:rPr>
                <w:sz w:val="15"/>
                <w:szCs w:val="15"/>
                <w:color w:val="auto"/>
              </w:rPr>
            </w:pPr>
          </w:p>
        </w:tc>
        <w:tc>
          <w:tcPr>
            <w:tcW w:w="2100" w:type="dxa"/>
            <w:vAlign w:val="bottom"/>
          </w:tcPr>
          <w:p>
            <w:pPr>
              <w:jc w:val="center"/>
              <w:ind w:left="790"/>
              <w:spacing w:after="0" w:line="181" w:lineRule="exact"/>
              <w:rPr>
                <w:sz w:val="20"/>
                <w:szCs w:val="20"/>
                <w:color w:val="auto"/>
              </w:rPr>
            </w:pPr>
            <w:r>
              <w:rPr>
                <w:rFonts w:ascii="Arial" w:cs="Arial" w:eastAsia="Arial" w:hAnsi="Arial"/>
                <w:sz w:val="18"/>
                <w:szCs w:val="18"/>
                <w:color w:val="auto"/>
                <w:w w:val="99"/>
              </w:rPr>
              <w:t>September 30,</w:t>
            </w:r>
          </w:p>
        </w:tc>
        <w:tc>
          <w:tcPr>
            <w:tcW w:w="900" w:type="dxa"/>
            <w:vAlign w:val="bottom"/>
          </w:tcPr>
          <w:p>
            <w:pPr>
              <w:spacing w:after="0"/>
              <w:rPr>
                <w:sz w:val="15"/>
                <w:szCs w:val="15"/>
                <w:color w:val="auto"/>
              </w:rPr>
            </w:pP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4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r>
      <w:tr>
        <w:trPr>
          <w:trHeight w:val="173"/>
        </w:trPr>
        <w:tc>
          <w:tcPr>
            <w:tcW w:w="466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$2,486</w:t>
            </w:r>
          </w:p>
        </w:tc>
        <w:tc>
          <w:tcPr>
            <w:tcW w:w="130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$3,484</w:t>
            </w:r>
          </w:p>
        </w:tc>
        <w:tc>
          <w:tcPr>
            <w:tcW w:w="2100" w:type="dxa"/>
            <w:vAlign w:val="bottom"/>
          </w:tcPr>
          <w:p>
            <w:pPr>
              <w:jc w:val="right"/>
              <w:ind w:right="810"/>
              <w:spacing w:after="0" w:line="173" w:lineRule="exact"/>
              <w:rPr>
                <w:sz w:val="20"/>
                <w:szCs w:val="20"/>
                <w:color w:val="auto"/>
              </w:rPr>
            </w:pPr>
            <w:r>
              <w:rPr>
                <w:rFonts w:ascii="Arial" w:cs="Arial" w:eastAsia="Arial" w:hAnsi="Arial"/>
                <w:sz w:val="18"/>
                <w:szCs w:val="18"/>
                <w:b w:val="1"/>
                <w:bCs w:val="1"/>
                <w:color w:val="auto"/>
              </w:rPr>
              <w:t>$8,121</w:t>
            </w:r>
          </w:p>
        </w:tc>
        <w:tc>
          <w:tcPr>
            <w:tcW w:w="9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$11,056</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(income)/expenses, net</w:t>
            </w:r>
          </w:p>
        </w:tc>
        <w:tc>
          <w:tcPr>
            <w:tcW w:w="246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(1,864)</w:t>
            </w:r>
          </w:p>
        </w:tc>
        <w:tc>
          <w:tcPr>
            <w:tcW w:w="1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2,692</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(4,464)</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5,637</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Income tax expense/(benefit)</w:t>
            </w:r>
          </w:p>
        </w:tc>
        <w:tc>
          <w:tcPr>
            <w:tcW w:w="246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6,762</w:t>
            </w:r>
          </w:p>
        </w:tc>
        <w:tc>
          <w:tcPr>
            <w:tcW w:w="1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2,381</w:t>
            </w:r>
          </w:p>
        </w:tc>
        <w:tc>
          <w:tcPr>
            <w:tcW w:w="210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21,435</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6,386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460" w:type="dxa"/>
            <w:vAlign w:val="bottom"/>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the noncontrolling interest</w:t>
            </w:r>
          </w:p>
        </w:tc>
        <w:tc>
          <w:tcPr>
            <w:tcW w:w="24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(38)</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jc w:val="both"/>
        <w:ind w:right="200" w:firstLine="648"/>
        <w:spacing w:after="0"/>
        <w:rPr>
          <w:sz w:val="20"/>
          <w:szCs w:val="20"/>
          <w:color w:val="auto"/>
        </w:rPr>
      </w:pPr>
      <w:r>
        <w:rPr>
          <w:rFonts w:ascii="Arial" w:cs="Arial" w:eastAsia="Arial" w:hAnsi="Arial"/>
          <w:sz w:val="18"/>
          <w:szCs w:val="18"/>
          <w:color w:val="auto"/>
        </w:rPr>
        <w:t>Third quarter Interest expense, net, decreased $1.0 million principally due to lower average interest rates that resulted from using the revolving credit facility for the first $50 million payment in October 2013 under the Prudential Agreement. For more information on borrowings and interest rates, see Note 13 to the Consolidated Financial Statements in Item 1, which is incorporated herein by reference.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Other (Income)/Expenses,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(income)/expenses, net included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left="1300" w:right="200" w:hanging="320"/>
        <w:spacing w:after="0" w:line="23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$1.9 million during the third quarter of 2014 and losses of $2.0 million in the third quarter 2013.</w:t>
      </w:r>
    </w:p>
    <w:p>
      <w:pPr>
        <w:spacing w:after="0" w:line="1" w:lineRule="exact"/>
        <w:rPr>
          <w:rFonts w:ascii="Arial" w:cs="Arial" w:eastAsia="Arial" w:hAnsi="Arial"/>
          <w:sz w:val="18"/>
          <w:szCs w:val="18"/>
          <w:color w:val="auto"/>
        </w:rPr>
      </w:pPr>
    </w:p>
    <w:p>
      <w:pPr>
        <w:ind w:left="1300" w:right="300" w:hanging="320"/>
        <w:spacing w:after="0" w:line="24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2013, the Company’s MC manufacturing facility in Germany was damaged by severe weather. In the third quarter of 2014, we recorded a gain of $0.2 million, related to the finalization of the insurance claim.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1300" w:hanging="320"/>
        <w:spacing w:after="0" w:line="23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$3.8 million for the first nine months of 2014 and a $3.9 million loss for the comparable period of 2013.</w:t>
      </w:r>
    </w:p>
    <w:p>
      <w:pPr>
        <w:spacing w:after="0" w:line="1" w:lineRule="exact"/>
        <w:rPr>
          <w:rFonts w:ascii="Arial" w:cs="Arial" w:eastAsia="Arial" w:hAnsi="Arial"/>
          <w:sz w:val="18"/>
          <w:szCs w:val="18"/>
          <w:color w:val="auto"/>
        </w:rPr>
      </w:pPr>
    </w:p>
    <w:p>
      <w:pPr>
        <w:ind w:left="1300" w:right="280" w:hanging="320"/>
        <w:spacing w:after="0" w:line="23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$0.9 million in the first nine months of 2014 and $1.2 million for the comparable period of 2013.</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insurance recovery gain described above resulted in income of $1.1 million for the first nine months of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Company’s effective tax rates for the third quarters of 2014 and 2013 were 36.5% and 33.6%,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6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Significant items that impacted the tax rates in the third quarter of 2014 included the following (percentages reflect the effect of each item as a percentage of Income before income taxes):</w:t>
      </w:r>
    </w:p>
    <w:p>
      <w:pPr>
        <w:spacing w:after="0" w:line="170" w:lineRule="exact"/>
        <w:rPr>
          <w:sz w:val="20"/>
          <w:szCs w:val="20"/>
          <w:color w:val="auto"/>
        </w:rPr>
      </w:pPr>
    </w:p>
    <w:p>
      <w:pPr>
        <w:ind w:left="1620" w:hanging="315"/>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34.9%.</w:t>
      </w:r>
    </w:p>
    <w:p>
      <w:pPr>
        <w:spacing w:after="0" w:line="9" w:lineRule="exact"/>
        <w:rPr>
          <w:rFonts w:ascii="Arial" w:cs="Arial" w:eastAsia="Arial" w:hAnsi="Arial"/>
          <w:sz w:val="18"/>
          <w:szCs w:val="18"/>
          <w:color w:val="auto"/>
        </w:rPr>
      </w:pPr>
    </w:p>
    <w:p>
      <w:pPr>
        <w:ind w:left="1620" w:right="620" w:hanging="315"/>
        <w:spacing w:after="0" w:line="234"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charge of $7.1 million (38.3%), primarily related to a recent unfavorable outcome in the tax court pertaining to another taxpayer with similar facts to the Company.</w:t>
      </w:r>
    </w:p>
    <w:p>
      <w:pPr>
        <w:spacing w:after="0" w:line="1" w:lineRule="exact"/>
        <w:rPr>
          <w:rFonts w:ascii="Arial" w:cs="Arial" w:eastAsia="Arial" w:hAnsi="Arial"/>
          <w:sz w:val="18"/>
          <w:szCs w:val="18"/>
          <w:color w:val="auto"/>
        </w:rPr>
      </w:pPr>
    </w:p>
    <w:p>
      <w:pPr>
        <w:ind w:left="1620" w:hanging="315"/>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benefit was recognized in the amount of $6.8 million (-36.5%) primarily due to the lapse of a tax statute.</w:t>
      </w:r>
    </w:p>
    <w:p>
      <w:pPr>
        <w:spacing w:after="0" w:line="9" w:lineRule="exact"/>
        <w:rPr>
          <w:rFonts w:ascii="Arial" w:cs="Arial" w:eastAsia="Arial" w:hAnsi="Arial"/>
          <w:sz w:val="18"/>
          <w:szCs w:val="18"/>
          <w:color w:val="auto"/>
        </w:rPr>
      </w:pPr>
    </w:p>
    <w:p>
      <w:pPr>
        <w:ind w:left="1620" w:right="140" w:hanging="315"/>
        <w:spacing w:after="0" w:line="246"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$0.2 million (1.1%) net expense related to adjustments to prior year estimated tax liabilities and $0.2 million (-1.3%) tax benefit for the effect of a change in the estimated tax rate for the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third-quarter 2013 tax rate included the following:</w:t>
      </w:r>
    </w:p>
    <w:p>
      <w:pPr>
        <w:spacing w:after="0" w:line="171" w:lineRule="exact"/>
        <w:rPr>
          <w:sz w:val="20"/>
          <w:szCs w:val="20"/>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41.0%.</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$0.5 million (7.4%) net benefit related to discrete items and the effect of a change in the estimated tax rate for the year.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rates for the first nine-month periods of 2014 and 2013 were 38.9% and 41.0%, respectively.</w:t>
      </w:r>
    </w:p>
    <w:p>
      <w:pPr>
        <w:spacing w:after="0" w:line="17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Significant items that impacted the 2014 tax rate included the following (percentages reflect the effect of each item as a percentage of Income before income taxes):</w:t>
      </w:r>
    </w:p>
    <w:p>
      <w:pPr>
        <w:spacing w:after="0" w:line="170" w:lineRule="exact"/>
        <w:rPr>
          <w:sz w:val="20"/>
          <w:szCs w:val="20"/>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34.9%.</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charge of $1.3 million (2.4%) for the resolution of and provision for income tax controversies.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(0.8%) net charge for adjustments to estimated prior year tax liabilities.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charge of $0.4 million (0.8%) for a change to the beginning of year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that impacted the 2013 tax rate included the following:</w:t>
      </w:r>
    </w:p>
    <w:p>
      <w:pPr>
        <w:spacing w:after="0" w:line="171" w:lineRule="exact"/>
        <w:rPr>
          <w:sz w:val="20"/>
          <w:szCs w:val="20"/>
          <w:color w:val="auto"/>
        </w:rPr>
      </w:pPr>
    </w:p>
    <w:p>
      <w:pPr>
        <w:ind w:left="1620" w:hanging="315"/>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41.0%.</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 is our primary business segment and accounted for nearly 90% of our consolidated revenues during the first nine months of 2014.</w:t>
      </w:r>
    </w:p>
    <w:p>
      <w:pPr>
        <w:spacing w:after="0"/>
        <w:rPr>
          <w:sz w:val="20"/>
          <w:szCs w:val="20"/>
          <w:color w:val="auto"/>
        </w:rPr>
      </w:pPr>
      <w:r>
        <w:rPr>
          <w:rFonts w:ascii="Arial" w:cs="Arial" w:eastAsia="Arial" w:hAnsi="Arial"/>
          <w:sz w:val="18"/>
          <w:szCs w:val="18"/>
          <w:color w:val="auto"/>
        </w:rPr>
        <w:t>Machine clothing is purchased primarily by manufacturers of paper and paperboard.</w:t>
      </w:r>
    </w:p>
    <w:p>
      <w:pPr>
        <w:spacing w:after="0" w:line="198"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89"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19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8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Review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tcBorders>
          </w:tcPr>
          <w:p>
            <w:pPr>
              <w:spacing w:after="0"/>
              <w:rPr>
                <w:sz w:val="18"/>
                <w:szCs w:val="18"/>
                <w:color w:val="auto"/>
              </w:rPr>
            </w:pPr>
          </w:p>
        </w:tc>
        <w:tc>
          <w:tcPr>
            <w:tcW w:w="4280" w:type="dxa"/>
            <w:vAlign w:val="bottom"/>
            <w:tcBorders>
              <w:top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Three months ended</w:t>
            </w:r>
          </w:p>
        </w:tc>
        <w:tc>
          <w:tcPr>
            <w:tcW w:w="308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181"/>
        </w:trPr>
        <w:tc>
          <w:tcPr>
            <w:tcW w:w="4060" w:type="dxa"/>
            <w:vAlign w:val="bottom"/>
          </w:tcPr>
          <w:p>
            <w:pPr>
              <w:spacing w:after="0"/>
              <w:rPr>
                <w:sz w:val="15"/>
                <w:szCs w:val="15"/>
                <w:color w:val="auto"/>
              </w:rPr>
            </w:pPr>
          </w:p>
        </w:tc>
        <w:tc>
          <w:tcPr>
            <w:tcW w:w="29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40" w:type="dxa"/>
            <w:vAlign w:val="bottom"/>
          </w:tcPr>
          <w:p>
            <w:pPr>
              <w:spacing w:after="0"/>
              <w:rPr>
                <w:sz w:val="15"/>
                <w:szCs w:val="15"/>
                <w:color w:val="auto"/>
              </w:rPr>
            </w:pPr>
          </w:p>
        </w:tc>
        <w:tc>
          <w:tcPr>
            <w:tcW w:w="21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15"/>
                <w:szCs w:val="15"/>
                <w:color w:val="auto"/>
              </w:rPr>
            </w:pP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9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21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173"/>
        </w:trPr>
        <w:tc>
          <w:tcPr>
            <w:tcW w:w="40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9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$157,891</w:t>
            </w:r>
          </w:p>
        </w:tc>
        <w:tc>
          <w:tcPr>
            <w:tcW w:w="134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$162,864</w:t>
            </w:r>
          </w:p>
        </w:tc>
        <w:tc>
          <w:tcPr>
            <w:tcW w:w="21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$494,788</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$507,809</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9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66,117</w:t>
            </w:r>
          </w:p>
        </w:tc>
        <w:tc>
          <w:tcPr>
            <w:tcW w:w="1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67,773</w:t>
            </w:r>
          </w:p>
        </w:tc>
        <w:tc>
          <w:tcPr>
            <w:tcW w:w="21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213,326</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219,559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 of net sales</w:t>
            </w:r>
          </w:p>
        </w:tc>
        <w:tc>
          <w:tcPr>
            <w:tcW w:w="2940" w:type="dxa"/>
            <w:vAlign w:val="bottom"/>
          </w:tcPr>
          <w:p>
            <w:pPr>
              <w:jc w:val="right"/>
              <w:ind w:right="710"/>
              <w:spacing w:after="0"/>
              <w:rPr>
                <w:sz w:val="20"/>
                <w:szCs w:val="20"/>
                <w:color w:val="auto"/>
              </w:rPr>
            </w:pPr>
            <w:r>
              <w:rPr>
                <w:rFonts w:ascii="Arial" w:cs="Arial" w:eastAsia="Arial" w:hAnsi="Arial"/>
                <w:sz w:val="18"/>
                <w:szCs w:val="18"/>
                <w:b w:val="1"/>
                <w:bCs w:val="1"/>
                <w:color w:val="auto"/>
              </w:rPr>
              <w:t>41.9%</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41.6%</w:t>
            </w:r>
          </w:p>
        </w:tc>
        <w:tc>
          <w:tcPr>
            <w:tcW w:w="2140" w:type="dxa"/>
            <w:vAlign w:val="bottom"/>
          </w:tcPr>
          <w:p>
            <w:pPr>
              <w:jc w:val="right"/>
              <w:ind w:right="710"/>
              <w:spacing w:after="0"/>
              <w:rPr>
                <w:sz w:val="20"/>
                <w:szCs w:val="20"/>
                <w:color w:val="auto"/>
              </w:rPr>
            </w:pPr>
            <w:r>
              <w:rPr>
                <w:rFonts w:ascii="Arial" w:cs="Arial" w:eastAsia="Arial" w:hAnsi="Arial"/>
                <w:sz w:val="18"/>
                <w:szCs w:val="18"/>
                <w:b w:val="1"/>
                <w:bCs w:val="1"/>
                <w:color w:val="auto"/>
              </w:rPr>
              <w:t>43.1%</w:t>
            </w: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9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33,308</w:t>
            </w: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27,910</w:t>
            </w:r>
          </w:p>
        </w:tc>
        <w:tc>
          <w:tcPr>
            <w:tcW w:w="21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103,329</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80,287</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2014 sales by $0.9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2.5% compared to the same period in 2013.</w:t>
      </w:r>
    </w:p>
    <w:p>
      <w:pPr>
        <w:spacing w:after="0" w:line="6"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20"/>
          <w:szCs w:val="20"/>
          <w:color w:val="auto"/>
        </w:rPr>
        <w:t>The year-over-year decline in third-quarter MC sales was primarily attributable to lower sales in the Americas.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2014 sales by $1.4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year-over-year decline in the first nine months MC sales was attributable to lower sales in the Americas.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2.8% compared to the same period in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lower sales as described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$5.6 million decrease due to lower sales.</w:t>
      </w:r>
    </w:p>
    <w:p>
      <w:pPr>
        <w:spacing w:after="0" w:line="9" w:lineRule="exact"/>
        <w:rPr>
          <w:rFonts w:ascii="Arial" w:cs="Arial" w:eastAsia="Arial" w:hAnsi="Arial"/>
          <w:sz w:val="18"/>
          <w:szCs w:val="18"/>
          <w:color w:val="auto"/>
        </w:rPr>
      </w:pPr>
    </w:p>
    <w:p>
      <w:pPr>
        <w:ind w:left="1300" w:right="20" w:hanging="320"/>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$0.6 million decrease due to lower gross margin, including the charge for the inventory valuation error reported in the second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was principally due to the net effect of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234" w:lineRule="exact"/>
        <w:rPr>
          <w:sz w:val="20"/>
          <w:szCs w:val="20"/>
          <w:color w:val="auto"/>
        </w:rPr>
      </w:pPr>
    </w:p>
    <w:p>
      <w:pPr>
        <w:ind w:left="5620" w:right="2480" w:hanging="4640"/>
        <w:spacing w:after="0" w:line="669" w:lineRule="auto"/>
        <w:tabs>
          <w:tab w:leader="none" w:pos="13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charges of $1.0 million in the third quarter 2014, compared to $2.3 million in 2013.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ind w:left="1300" w:right="160" w:hanging="320"/>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 quarter gains of $2.3 million in 2014, compared to losses of $1.3 million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comparison</w:t>
      </w:r>
    </w:p>
    <w:p>
      <w:pPr>
        <w:spacing w:after="0" w:line="234"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charges of $3.1 million in the first nine months of 2014, compared to $26.7 million in 2013.</w:t>
      </w:r>
    </w:p>
    <w:p>
      <w:pPr>
        <w:spacing w:after="0" w:line="9" w:lineRule="exact"/>
        <w:rPr>
          <w:rFonts w:ascii="Arial" w:cs="Arial" w:eastAsia="Arial" w:hAnsi="Arial"/>
          <w:sz w:val="18"/>
          <w:szCs w:val="18"/>
          <w:color w:val="auto"/>
        </w:rPr>
      </w:pPr>
    </w:p>
    <w:p>
      <w:pPr>
        <w:ind w:left="1300" w:right="300" w:hanging="320"/>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$1.8 million for the first nine months of 2014, compared to $0.1 million of losses in 2013.</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custom-designed advanced composite structures based on proprietary technology to customers in the aerospace and defense industries. AEC’s largest current development program relates to the LEAP engine being developed by CFM International. Under this program, AEC, through ASC, is developing a family of composite parts, including fan blades, to be incorporated into the LEAP engine. In 2013, approximately 10 percent of this segment’s sales were related to U.S. government contracts or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gridSpan w:val="2"/>
          </w:tcPr>
          <w:p>
            <w:pPr>
              <w:jc w:val="right"/>
              <w:ind w:right="1070"/>
              <w:spacing w:after="0"/>
              <w:rPr>
                <w:sz w:val="20"/>
                <w:szCs w:val="20"/>
                <w:color w:val="auto"/>
              </w:rPr>
            </w:pPr>
            <w:r>
              <w:rPr>
                <w:rFonts w:ascii="Arial" w:cs="Arial" w:eastAsia="Arial" w:hAnsi="Arial"/>
                <w:sz w:val="18"/>
                <w:szCs w:val="18"/>
                <w:color w:val="auto"/>
              </w:rPr>
              <w:t>Three months ended</w:t>
            </w:r>
          </w:p>
        </w:tc>
        <w:tc>
          <w:tcPr>
            <w:tcW w:w="306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181"/>
        </w:trPr>
        <w:tc>
          <w:tcPr>
            <w:tcW w:w="4060" w:type="dxa"/>
            <w:vAlign w:val="bottom"/>
          </w:tcPr>
          <w:p>
            <w:pPr>
              <w:spacing w:after="0"/>
              <w:rPr>
                <w:sz w:val="15"/>
                <w:szCs w:val="15"/>
                <w:color w:val="auto"/>
              </w:rPr>
            </w:pPr>
          </w:p>
        </w:tc>
        <w:tc>
          <w:tcPr>
            <w:tcW w:w="294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60" w:type="dxa"/>
            <w:vAlign w:val="bottom"/>
          </w:tcPr>
          <w:p>
            <w:pPr>
              <w:spacing w:after="0"/>
              <w:rPr>
                <w:sz w:val="15"/>
                <w:szCs w:val="15"/>
                <w:color w:val="auto"/>
              </w:rPr>
            </w:pPr>
          </w:p>
        </w:tc>
        <w:tc>
          <w:tcPr>
            <w:tcW w:w="212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15"/>
                <w:szCs w:val="15"/>
                <w:color w:val="auto"/>
              </w:rPr>
            </w:pP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29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2013</w:t>
            </w:r>
          </w:p>
        </w:tc>
        <w:tc>
          <w:tcPr>
            <w:tcW w:w="21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173"/>
        </w:trPr>
        <w:tc>
          <w:tcPr>
            <w:tcW w:w="40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94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$21,970</w:t>
            </w:r>
          </w:p>
        </w:tc>
        <w:tc>
          <w:tcPr>
            <w:tcW w:w="1360" w:type="dxa"/>
            <w:vAlign w:val="bottom"/>
          </w:tcPr>
          <w:p>
            <w:pPr>
              <w:jc w:val="right"/>
              <w:ind w:right="490"/>
              <w:spacing w:after="0" w:line="173" w:lineRule="exact"/>
              <w:rPr>
                <w:sz w:val="20"/>
                <w:szCs w:val="20"/>
                <w:color w:val="auto"/>
              </w:rPr>
            </w:pPr>
            <w:r>
              <w:rPr>
                <w:rFonts w:ascii="Arial" w:cs="Arial" w:eastAsia="Arial" w:hAnsi="Arial"/>
                <w:sz w:val="18"/>
                <w:szCs w:val="18"/>
                <w:color w:val="auto"/>
              </w:rPr>
              <w:t>$20,283</w:t>
            </w:r>
          </w:p>
        </w:tc>
        <w:tc>
          <w:tcPr>
            <w:tcW w:w="2120" w:type="dxa"/>
            <w:vAlign w:val="bottom"/>
          </w:tcPr>
          <w:p>
            <w:pPr>
              <w:jc w:val="right"/>
              <w:ind w:right="870"/>
              <w:spacing w:after="0" w:line="173" w:lineRule="exact"/>
              <w:rPr>
                <w:sz w:val="20"/>
                <w:szCs w:val="20"/>
                <w:color w:val="auto"/>
              </w:rPr>
            </w:pPr>
            <w:r>
              <w:rPr>
                <w:rFonts w:ascii="Arial" w:cs="Arial" w:eastAsia="Arial" w:hAnsi="Arial"/>
                <w:sz w:val="18"/>
                <w:szCs w:val="18"/>
                <w:b w:val="1"/>
                <w:bCs w:val="1"/>
                <w:color w:val="auto"/>
              </w:rPr>
              <w:t>$58,898</w:t>
            </w:r>
          </w:p>
        </w:tc>
        <w:tc>
          <w:tcPr>
            <w:tcW w:w="940" w:type="dxa"/>
            <w:vAlign w:val="bottom"/>
          </w:tcPr>
          <w:p>
            <w:pPr>
              <w:jc w:val="right"/>
              <w:ind w:right="70"/>
              <w:spacing w:after="0" w:line="173" w:lineRule="exact"/>
              <w:rPr>
                <w:sz w:val="20"/>
                <w:szCs w:val="20"/>
                <w:color w:val="auto"/>
              </w:rPr>
            </w:pPr>
            <w:r>
              <w:rPr>
                <w:rFonts w:ascii="Arial" w:cs="Arial" w:eastAsia="Arial" w:hAnsi="Arial"/>
                <w:sz w:val="18"/>
                <w:szCs w:val="18"/>
                <w:color w:val="auto"/>
              </w:rPr>
              <w:t>$59,966</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94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2,855</w:t>
            </w:r>
          </w:p>
        </w:tc>
        <w:tc>
          <w:tcPr>
            <w:tcW w:w="13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1,061</w:t>
            </w:r>
          </w:p>
        </w:tc>
        <w:tc>
          <w:tcPr>
            <w:tcW w:w="212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6,506</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1,542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 of net sales</w:t>
            </w:r>
          </w:p>
        </w:tc>
        <w:tc>
          <w:tcPr>
            <w:tcW w:w="2940" w:type="dxa"/>
            <w:vAlign w:val="bottom"/>
          </w:tcPr>
          <w:p>
            <w:pPr>
              <w:jc w:val="right"/>
              <w:ind w:right="710"/>
              <w:spacing w:after="0"/>
              <w:rPr>
                <w:sz w:val="20"/>
                <w:szCs w:val="20"/>
                <w:color w:val="auto"/>
              </w:rPr>
            </w:pPr>
            <w:r>
              <w:rPr>
                <w:rFonts w:ascii="Arial" w:cs="Arial" w:eastAsia="Arial" w:hAnsi="Arial"/>
                <w:sz w:val="18"/>
                <w:szCs w:val="18"/>
                <w:b w:val="1"/>
                <w:bCs w:val="1"/>
                <w:color w:val="auto"/>
              </w:rPr>
              <w:t>13.0%</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5.2%</w:t>
            </w:r>
          </w:p>
        </w:tc>
        <w:tc>
          <w:tcPr>
            <w:tcW w:w="2120" w:type="dxa"/>
            <w:vAlign w:val="bottom"/>
          </w:tcPr>
          <w:p>
            <w:pPr>
              <w:jc w:val="right"/>
              <w:ind w:right="710"/>
              <w:spacing w:after="0"/>
              <w:rPr>
                <w:sz w:val="20"/>
                <w:szCs w:val="20"/>
                <w:color w:val="auto"/>
              </w:rPr>
            </w:pPr>
            <w:r>
              <w:rPr>
                <w:rFonts w:ascii="Arial" w:cs="Arial" w:eastAsia="Arial" w:hAnsi="Arial"/>
                <w:sz w:val="18"/>
                <w:szCs w:val="18"/>
                <w:b w:val="1"/>
                <w:bCs w:val="1"/>
                <w:color w:val="auto"/>
              </w:rPr>
              <w:t>11.0%</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29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(2,765)</w:t>
            </w: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(3,951)</w:t>
            </w:r>
          </w:p>
        </w:tc>
        <w:tc>
          <w:tcPr>
            <w:tcW w:w="2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(9,785)</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(13,032)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comparisons</w:t>
      </w:r>
    </w:p>
    <w:p>
      <w:pPr>
        <w:spacing w:after="0" w:line="234"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quarter sales increased in 2014 due to growth in the LEAP and JSF LiftFan® programs.</w:t>
      </w:r>
    </w:p>
    <w:p>
      <w:pPr>
        <w:spacing w:after="0" w:line="9" w:lineRule="exact"/>
        <w:rPr>
          <w:rFonts w:ascii="Arial" w:cs="Arial" w:eastAsia="Arial" w:hAnsi="Arial"/>
          <w:sz w:val="18"/>
          <w:szCs w:val="18"/>
          <w:color w:val="auto"/>
        </w:rPr>
      </w:pPr>
    </w:p>
    <w:p>
      <w:pPr>
        <w:ind w:left="1300" w:right="44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for the first nine months of 2014 were lower than 2013 due to the shift during the first quarter of 2014 to larger scale LEAP part production, together with the related change in invoicing terms, resulting in a build-up of inventory and an associated temporary lag in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included the following:</w:t>
      </w:r>
    </w:p>
    <w:p>
      <w:pPr>
        <w:ind w:left="1300" w:right="760" w:hanging="320"/>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AEC gross margin was higher in 2014 principally due to improvements in profitability at the Company’s Boerne, Texas operation.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520" w:firstLine="648"/>
        <w:spacing w:after="0"/>
        <w:rPr>
          <w:sz w:val="20"/>
          <w:szCs w:val="20"/>
          <w:color w:val="auto"/>
        </w:rPr>
      </w:pPr>
      <w:r>
        <w:rPr>
          <w:rFonts w:ascii="Arial" w:cs="Arial" w:eastAsia="Arial" w:hAnsi="Arial"/>
          <w:sz w:val="18"/>
          <w:szCs w:val="18"/>
          <w:color w:val="auto"/>
        </w:rPr>
        <w:t>In the accounting for long-term fixed price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4" w:name="page35"/>
    <w:bookmarkEnd w:id="34"/>
    <w:p>
      <w:pPr>
        <w:ind w:right="60"/>
        <w:spacing w:after="0" w:line="246" w:lineRule="auto"/>
        <w:rPr>
          <w:sz w:val="20"/>
          <w:szCs w:val="20"/>
          <w:color w:val="auto"/>
        </w:rPr>
      </w:pPr>
      <w:r>
        <w:rPr>
          <w:rFonts w:ascii="Arial" w:cs="Arial" w:eastAsia="Arial" w:hAnsi="Arial"/>
          <w:sz w:val="18"/>
          <w:szCs w:val="18"/>
          <w:color w:val="auto"/>
        </w:rPr>
        <w:t>or unfavorable effect on revenue and gross profit in any reporting period. The table below provides a summary of long-term contracts that were in process at the end of each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6"/>
                <w:szCs w:val="16"/>
                <w:color w:val="auto"/>
              </w:rPr>
            </w:pPr>
          </w:p>
        </w:tc>
      </w:tr>
      <w:tr>
        <w:trPr>
          <w:trHeight w:val="22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5260" w:type="dxa"/>
            <w:vAlign w:val="bottom"/>
          </w:tcPr>
          <w:p>
            <w:pPr>
              <w:spacing w:after="0" w:line="173" w:lineRule="exact"/>
              <w:rPr>
                <w:sz w:val="20"/>
                <w:szCs w:val="20"/>
                <w:color w:val="auto"/>
              </w:rPr>
            </w:pPr>
            <w:r>
              <w:rPr>
                <w:rFonts w:ascii="Arial" w:cs="Arial" w:eastAsia="Arial" w:hAnsi="Arial"/>
                <w:sz w:val="18"/>
                <w:szCs w:val="18"/>
                <w:color w:val="auto"/>
              </w:rPr>
              <w:t>Total value of contracts in process</w:t>
            </w:r>
          </w:p>
        </w:tc>
        <w:tc>
          <w:tcPr>
            <w:tcW w:w="28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$21,475</w:t>
            </w:r>
          </w:p>
        </w:tc>
        <w:tc>
          <w:tcPr>
            <w:tcW w:w="1060" w:type="dxa"/>
            <w:vAlign w:val="bottom"/>
          </w:tcPr>
          <w:p>
            <w:pPr>
              <w:jc w:val="right"/>
              <w:spacing w:after="0" w:line="173" w:lineRule="exact"/>
              <w:rPr>
                <w:sz w:val="20"/>
                <w:szCs w:val="20"/>
                <w:color w:val="auto"/>
              </w:rPr>
            </w:pPr>
            <w:r>
              <w:rPr>
                <w:rFonts w:ascii="Arial" w:cs="Arial" w:eastAsia="Arial" w:hAnsi="Arial"/>
                <w:sz w:val="18"/>
                <w:szCs w:val="18"/>
                <w:color w:val="auto"/>
              </w:rPr>
              <w:t>$24,686</w:t>
            </w:r>
          </w:p>
        </w:tc>
        <w:tc>
          <w:tcPr>
            <w:tcW w:w="20" w:type="dxa"/>
            <w:vAlign w:val="bottom"/>
          </w:tcPr>
          <w:p>
            <w:pPr>
              <w:spacing w:after="0"/>
              <w:rPr>
                <w:sz w:val="15"/>
                <w:szCs w:val="15"/>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28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12,017</w:t>
            </w: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20,230</w:t>
            </w:r>
          </w:p>
        </w:tc>
      </w:tr>
      <w:tr>
        <w:trPr>
          <w:trHeight w:val="22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2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9,458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 comparisons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improved in 2014 principally due to the increase in gross profit as described above.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gridSpan w:val="2"/>
          </w:tcPr>
          <w:p>
            <w:pPr>
              <w:jc w:val="right"/>
              <w:ind w:right="590"/>
              <w:spacing w:after="0" w:line="195" w:lineRule="exact"/>
              <w:rPr>
                <w:sz w:val="20"/>
                <w:szCs w:val="20"/>
                <w:color w:val="auto"/>
              </w:rPr>
            </w:pPr>
            <w:r>
              <w:rPr>
                <w:rFonts w:ascii="Arial" w:cs="Arial" w:eastAsia="Arial" w:hAnsi="Arial"/>
                <w:sz w:val="18"/>
                <w:szCs w:val="18"/>
                <w:color w:val="auto"/>
              </w:rPr>
              <w:t>Nine months ended</w:t>
            </w:r>
          </w:p>
        </w:tc>
      </w:tr>
      <w:tr>
        <w:trPr>
          <w:trHeight w:val="181"/>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35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860" w:type="dxa"/>
            <w:vAlign w:val="bottom"/>
          </w:tcPr>
          <w:p>
            <w:pPr>
              <w:spacing w:after="0"/>
              <w:rPr>
                <w:sz w:val="15"/>
                <w:szCs w:val="15"/>
                <w:color w:val="auto"/>
              </w:rPr>
            </w:pPr>
          </w:p>
        </w:tc>
      </w:tr>
      <w:tr>
        <w:trPr>
          <w:trHeight w:val="225"/>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35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r>
      <w:tr>
        <w:trPr>
          <w:trHeight w:val="173"/>
        </w:trPr>
        <w:tc>
          <w:tcPr>
            <w:tcW w:w="706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500" w:type="dxa"/>
            <w:vAlign w:val="bottom"/>
          </w:tcPr>
          <w:p>
            <w:pPr>
              <w:jc w:val="right"/>
              <w:ind w:right="850"/>
              <w:spacing w:after="0" w:line="173" w:lineRule="exact"/>
              <w:rPr>
                <w:sz w:val="20"/>
                <w:szCs w:val="20"/>
                <w:color w:val="auto"/>
              </w:rPr>
            </w:pPr>
            <w:r>
              <w:rPr>
                <w:rFonts w:ascii="Arial" w:cs="Arial" w:eastAsia="Arial" w:hAnsi="Arial"/>
                <w:sz w:val="18"/>
                <w:szCs w:val="18"/>
                <w:b w:val="1"/>
                <w:bCs w:val="1"/>
                <w:color w:val="auto"/>
              </w:rPr>
              <w:t>$33,644</w:t>
            </w:r>
          </w:p>
        </w:tc>
        <w:tc>
          <w:tcPr>
            <w:tcW w:w="8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$8,830</w:t>
            </w:r>
          </w:p>
        </w:tc>
      </w:tr>
      <w:tr>
        <w:trPr>
          <w:trHeight w:val="203"/>
        </w:trPr>
        <w:tc>
          <w:tcPr>
            <w:tcW w:w="20" w:type="dxa"/>
            <w:vAlign w:val="bottom"/>
          </w:tcPr>
          <w:p>
            <w:pPr>
              <w:spacing w:after="0"/>
              <w:rPr>
                <w:sz w:val="17"/>
                <w:szCs w:val="17"/>
                <w:color w:val="auto"/>
              </w:rPr>
            </w:pPr>
          </w:p>
        </w:tc>
        <w:tc>
          <w:tcPr>
            <w:tcW w:w="70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50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47,741</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47,752</w:t>
            </w:r>
          </w:p>
        </w:tc>
      </w:tr>
      <w:tr>
        <w:trPr>
          <w:trHeight w:val="203"/>
        </w:trPr>
        <w:tc>
          <w:tcPr>
            <w:tcW w:w="20" w:type="dxa"/>
            <w:vAlign w:val="bottom"/>
          </w:tcPr>
          <w:p>
            <w:pPr>
              <w:spacing w:after="0"/>
              <w:rPr>
                <w:sz w:val="17"/>
                <w:szCs w:val="17"/>
                <w:color w:val="auto"/>
              </w:rPr>
            </w:pPr>
          </w:p>
        </w:tc>
        <w:tc>
          <w:tcPr>
            <w:tcW w:w="704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350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(18,804)</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16,011</w:t>
            </w:r>
          </w:p>
        </w:tc>
      </w:tr>
      <w:tr>
        <w:trPr>
          <w:trHeight w:val="203"/>
        </w:trPr>
        <w:tc>
          <w:tcPr>
            <w:tcW w:w="20" w:type="dxa"/>
            <w:vAlign w:val="bottom"/>
          </w:tcPr>
          <w:p>
            <w:pPr>
              <w:spacing w:after="0"/>
              <w:rPr>
                <w:sz w:val="17"/>
                <w:szCs w:val="17"/>
                <w:color w:val="auto"/>
              </w:rPr>
            </w:pPr>
          </w:p>
        </w:tc>
        <w:tc>
          <w:tcPr>
            <w:tcW w:w="7040" w:type="dxa"/>
            <w:vAlign w:val="bottom"/>
          </w:tcPr>
          <w:p>
            <w:pPr>
              <w:ind w:left="140"/>
              <w:spacing w:after="0" w:line="202" w:lineRule="exact"/>
              <w:rPr>
                <w:sz w:val="20"/>
                <w:szCs w:val="20"/>
                <w:color w:val="auto"/>
              </w:rPr>
            </w:pPr>
            <w:r>
              <w:rPr>
                <w:rFonts w:ascii="Arial" w:cs="Arial" w:eastAsia="Arial" w:hAnsi="Arial"/>
                <w:sz w:val="18"/>
                <w:szCs w:val="18"/>
                <w:color w:val="auto"/>
              </w:rPr>
              <w:t>Gain on involuntary conversion or disposition of assets</w:t>
            </w:r>
          </w:p>
        </w:tc>
        <w:tc>
          <w:tcPr>
            <w:tcW w:w="350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(961)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r>
      <w:tr>
        <w:trPr>
          <w:trHeight w:val="216"/>
        </w:trPr>
        <w:tc>
          <w:tcPr>
            <w:tcW w:w="20" w:type="dxa"/>
            <w:vAlign w:val="bottom"/>
          </w:tcPr>
          <w:p>
            <w:pPr>
              <w:spacing w:after="0"/>
              <w:rPr>
                <w:sz w:val="18"/>
                <w:szCs w:val="18"/>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Changes in long-term liabilities, deferred taxes and other credits</w:t>
            </w:r>
          </w:p>
        </w:tc>
        <w:tc>
          <w:tcPr>
            <w:tcW w:w="3500" w:type="dxa"/>
            <w:vAlign w:val="bottom"/>
          </w:tcPr>
          <w:p>
            <w:pPr>
              <w:jc w:val="right"/>
              <w:ind w:right="850"/>
              <w:spacing w:after="0"/>
              <w:rPr>
                <w:sz w:val="20"/>
                <w:szCs w:val="20"/>
                <w:color w:val="auto"/>
              </w:rPr>
            </w:pPr>
            <w:r>
              <w:rPr>
                <w:rFonts w:ascii="Arial" w:cs="Arial" w:eastAsia="Arial" w:hAnsi="Arial"/>
                <w:sz w:val="18"/>
                <w:szCs w:val="18"/>
                <w:b w:val="1"/>
                <w:bCs w:val="1"/>
                <w:color w:val="auto"/>
              </w:rPr>
              <w:t>95</w:t>
            </w:r>
          </w:p>
        </w:tc>
        <w:tc>
          <w:tcPr>
            <w:tcW w:w="860" w:type="dxa"/>
            <w:vAlign w:val="bottom"/>
          </w:tcPr>
          <w:p>
            <w:pPr>
              <w:jc w:val="right"/>
              <w:spacing w:after="0"/>
              <w:rPr>
                <w:sz w:val="20"/>
                <w:szCs w:val="20"/>
                <w:color w:val="auto"/>
              </w:rPr>
            </w:pPr>
            <w:r>
              <w:rPr>
                <w:rFonts w:ascii="Arial" w:cs="Arial" w:eastAsia="Arial" w:hAnsi="Arial"/>
                <w:sz w:val="18"/>
                <w:szCs w:val="18"/>
                <w:color w:val="auto"/>
              </w:rPr>
              <w:t>(4,274)</w:t>
            </w:r>
          </w:p>
        </w:tc>
      </w:tr>
      <w:tr>
        <w:trPr>
          <w:trHeight w:val="225"/>
        </w:trPr>
        <w:tc>
          <w:tcPr>
            <w:tcW w:w="20" w:type="dxa"/>
            <w:vAlign w:val="bottom"/>
          </w:tcPr>
          <w:p>
            <w:pPr>
              <w:spacing w:after="0"/>
              <w:rPr>
                <w:sz w:val="19"/>
                <w:szCs w:val="19"/>
                <w:color w:val="auto"/>
              </w:rPr>
            </w:pPr>
          </w:p>
        </w:tc>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items</w:t>
            </w:r>
          </w:p>
        </w:tc>
        <w:tc>
          <w:tcPr>
            <w:tcW w:w="35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2,285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173"/>
        </w:trPr>
        <w:tc>
          <w:tcPr>
            <w:tcW w:w="20" w:type="dxa"/>
            <w:vAlign w:val="bottom"/>
          </w:tcPr>
          <w:p>
            <w:pPr>
              <w:spacing w:after="0"/>
              <w:rPr>
                <w:sz w:val="15"/>
                <w:szCs w:val="15"/>
                <w:color w:val="auto"/>
              </w:rPr>
            </w:pPr>
          </w:p>
        </w:tc>
        <w:tc>
          <w:tcPr>
            <w:tcW w:w="7040" w:type="dxa"/>
            <w:vAlign w:val="bottom"/>
          </w:tcPr>
          <w:p>
            <w:pPr>
              <w:spacing w:after="0" w:line="173" w:lineRule="exact"/>
              <w:rPr>
                <w:sz w:val="20"/>
                <w:szCs w:val="20"/>
                <w:color w:val="auto"/>
              </w:rPr>
            </w:pPr>
            <w:r>
              <w:rPr>
                <w:rFonts w:ascii="Arial" w:cs="Arial" w:eastAsia="Arial" w:hAnsi="Arial"/>
                <w:sz w:val="18"/>
                <w:szCs w:val="18"/>
                <w:color w:val="auto"/>
              </w:rPr>
              <w:t>Net cash provided by/(used in) operating activities</w:t>
            </w:r>
          </w:p>
        </w:tc>
        <w:tc>
          <w:tcPr>
            <w:tcW w:w="3500" w:type="dxa"/>
            <w:vAlign w:val="bottom"/>
          </w:tcPr>
          <w:p>
            <w:pPr>
              <w:jc w:val="right"/>
              <w:ind w:right="850"/>
              <w:spacing w:after="0" w:line="173" w:lineRule="exact"/>
              <w:rPr>
                <w:sz w:val="20"/>
                <w:szCs w:val="20"/>
                <w:color w:val="auto"/>
              </w:rPr>
            </w:pPr>
            <w:r>
              <w:rPr>
                <w:rFonts w:ascii="Arial" w:cs="Arial" w:eastAsia="Arial" w:hAnsi="Arial"/>
                <w:sz w:val="18"/>
                <w:szCs w:val="18"/>
                <w:b w:val="1"/>
                <w:bCs w:val="1"/>
                <w:color w:val="auto"/>
              </w:rPr>
              <w:t>64,000</w:t>
            </w:r>
          </w:p>
        </w:tc>
        <w:tc>
          <w:tcPr>
            <w:tcW w:w="8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63,054</w:t>
            </w:r>
          </w:p>
        </w:tc>
      </w:tr>
      <w:tr>
        <w:trPr>
          <w:trHeight w:val="203"/>
        </w:trPr>
        <w:tc>
          <w:tcPr>
            <w:tcW w:w="70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50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(45,649)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(28,294)</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3500" w:type="dxa"/>
            <w:vAlign w:val="bottom"/>
          </w:tcPr>
          <w:p>
            <w:pPr>
              <w:jc w:val="right"/>
              <w:ind w:right="790"/>
              <w:spacing w:after="0"/>
              <w:rPr>
                <w:sz w:val="20"/>
                <w:szCs w:val="20"/>
                <w:color w:val="auto"/>
              </w:rPr>
            </w:pPr>
            <w:r>
              <w:rPr>
                <w:rFonts w:ascii="Arial" w:cs="Arial" w:eastAsia="Arial" w:hAnsi="Arial"/>
                <w:sz w:val="18"/>
                <w:szCs w:val="18"/>
                <w:b w:val="1"/>
                <w:bCs w:val="1"/>
                <w:color w:val="auto"/>
              </w:rPr>
              <w:t>(34,696)</w:t>
            </w:r>
          </w:p>
        </w:tc>
        <w:tc>
          <w:tcPr>
            <w:tcW w:w="860" w:type="dxa"/>
            <w:vAlign w:val="bottom"/>
          </w:tcPr>
          <w:p>
            <w:pPr>
              <w:jc w:val="right"/>
              <w:spacing w:after="0"/>
              <w:rPr>
                <w:sz w:val="20"/>
                <w:szCs w:val="20"/>
                <w:color w:val="auto"/>
              </w:rPr>
            </w:pPr>
            <w:r>
              <w:rPr>
                <w:rFonts w:ascii="Arial" w:cs="Arial" w:eastAsia="Arial" w:hAnsi="Arial"/>
                <w:sz w:val="18"/>
                <w:szCs w:val="18"/>
                <w:color w:val="auto"/>
              </w:rPr>
              <w:t>(17,281)</w:t>
            </w:r>
          </w:p>
        </w:tc>
      </w:tr>
      <w:tr>
        <w:trPr>
          <w:trHeight w:val="225"/>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(10,860)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4,612</w:t>
            </w:r>
          </w:p>
        </w:tc>
      </w:tr>
      <w:tr>
        <w:trPr>
          <w:trHeight w:val="187"/>
        </w:trPr>
        <w:tc>
          <w:tcPr>
            <w:tcW w:w="7060" w:type="dxa"/>
            <w:vAlign w:val="bottom"/>
            <w:gridSpan w:val="2"/>
          </w:tcPr>
          <w:p>
            <w:pPr>
              <w:spacing w:after="0" w:line="187" w:lineRule="exact"/>
              <w:rPr>
                <w:sz w:val="20"/>
                <w:szCs w:val="20"/>
                <w:color w:val="auto"/>
              </w:rPr>
            </w:pPr>
            <w:r>
              <w:rPr>
                <w:rFonts w:ascii="Arial" w:cs="Arial" w:eastAsia="Arial" w:hAnsi="Arial"/>
                <w:sz w:val="18"/>
                <w:szCs w:val="18"/>
                <w:color w:val="auto"/>
              </w:rPr>
              <w:t>(Decrease)/increase in cash and cash equivalents</w:t>
            </w:r>
          </w:p>
        </w:tc>
        <w:tc>
          <w:tcPr>
            <w:tcW w:w="3500" w:type="dxa"/>
            <w:vAlign w:val="bottom"/>
          </w:tcPr>
          <w:p>
            <w:pPr>
              <w:jc w:val="right"/>
              <w:ind w:right="790"/>
              <w:spacing w:after="0" w:line="187" w:lineRule="exact"/>
              <w:rPr>
                <w:sz w:val="20"/>
                <w:szCs w:val="20"/>
                <w:color w:val="auto"/>
              </w:rPr>
            </w:pPr>
            <w:r>
              <w:rPr>
                <w:rFonts w:ascii="Arial" w:cs="Arial" w:eastAsia="Arial" w:hAnsi="Arial"/>
                <w:sz w:val="18"/>
                <w:szCs w:val="18"/>
                <w:b w:val="1"/>
                <w:bCs w:val="1"/>
                <w:color w:val="auto"/>
              </w:rPr>
              <w:t>(27,205)</w:t>
            </w:r>
          </w:p>
        </w:tc>
        <w:tc>
          <w:tcPr>
            <w:tcW w:w="860" w:type="dxa"/>
            <w:vAlign w:val="bottom"/>
          </w:tcPr>
          <w:p>
            <w:pPr>
              <w:jc w:val="right"/>
              <w:ind w:right="10"/>
              <w:spacing w:after="0" w:line="187" w:lineRule="exact"/>
              <w:rPr>
                <w:sz w:val="20"/>
                <w:szCs w:val="20"/>
                <w:color w:val="auto"/>
              </w:rPr>
            </w:pPr>
            <w:r>
              <w:rPr>
                <w:rFonts w:ascii="Arial" w:cs="Arial" w:eastAsia="Arial" w:hAnsi="Arial"/>
                <w:sz w:val="18"/>
                <w:szCs w:val="18"/>
                <w:color w:val="auto"/>
              </w:rPr>
              <w:t>22,091</w:t>
            </w:r>
          </w:p>
        </w:tc>
      </w:tr>
      <w:tr>
        <w:trPr>
          <w:trHeight w:val="225"/>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5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222,666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r>
      <w:tr>
        <w:trPr>
          <w:trHeight w:val="210"/>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5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$195,461</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$212,809</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Cash provided by operating activities was $64.0 million for the first nine months of 2014, compared to $63.1 million in the same period last year. Significant changes in working capital include a $2.9 million decrease in Accounts payable in the first nine months of 2014 resulting from timing of payments, compared to a $3.9 million increase in Accounts payable for the first nine months of 2013. Cash paid for income taxes was $14.4 million and $21.2 million for the first nine months of 2014 and 2013, respectively. Compared to the first nine months of 2013, cash flows from Accounts receivable provided $10.4 million of cash flow, while the cash flows from Inventories had a net cash use of $12.0 million. Cash paid for restructuring was $10.9 million and $5.5 million for the first nine months of 2014 and 2013, respectively.</w:t>
      </w:r>
    </w:p>
    <w:p>
      <w:pPr>
        <w:spacing w:after="0" w:line="192"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At September 30, 2014, we had $195 million of cash and cash equivalents, of which $173 million was held by subsidiaries outside of the United States. As disclosed in Note 7 contained in Item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5" w:name="page36"/>
    <w:bookmarkEnd w:id="35"/>
    <w:p>
      <w:pPr>
        <w:ind w:right="100"/>
        <w:spacing w:after="0" w:line="237" w:lineRule="auto"/>
        <w:rPr>
          <w:sz w:val="20"/>
          <w:szCs w:val="20"/>
          <w:color w:val="auto"/>
        </w:rPr>
      </w:pPr>
      <w:r>
        <w:rPr>
          <w:rFonts w:ascii="Arial" w:cs="Arial" w:eastAsia="Arial" w:hAnsi="Arial"/>
          <w:sz w:val="18"/>
          <w:szCs w:val="18"/>
          <w:color w:val="auto"/>
        </w:rPr>
        <w:t>1, “Notes to Consolidated Financial Statements”, we determined that all but $3.6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Capital spending for equipment and software was $46.6 million for the first nine months of 2014, including $24.1 million for AEC. The Company expects full-year capital expenditure spending of $60 to $70 million. During the first quarter of 2013, the Company completed the sale of its production facility in Gosford, Australia, resulting in net proceeds of about $6.3 million.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2014 was held by non-U.S. subsidiaries. Based on cash on hand and credit facilities, we anticipate that the Company has sufficient capital resources to operate for the foreseeable future. We were in compliance with all debt covenants as of September 30, 2014.</w:t>
      </w:r>
    </w:p>
    <w:p>
      <w:pPr>
        <w:spacing w:after="0" w:line="17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$183 million of borrowings were outstanding as of September 30, 2014. The applicable interest rate for borrowings under the Credit Agreement is LIBOR plus a spread, based on our leverage ratio at the time of borrowing. At the time of the last borrowing on September 22, 2014, the spread was 1.375%. The spread is based on a pricing grid, which ranges from 1.25% to 1.875%, based on our leverage ratio.</w:t>
      </w:r>
    </w:p>
    <w:p>
      <w:pPr>
        <w:spacing w:after="0" w:line="20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July 16, 2014</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6" w:name="page37"/>
    <w:bookmarkEnd w:id="36"/>
    <w:p>
      <w:pPr>
        <w:ind w:right="220"/>
        <w:spacing w:after="0" w:line="246" w:lineRule="auto"/>
        <w:rPr>
          <w:sz w:val="20"/>
          <w:szCs w:val="20"/>
          <w:color w:val="auto"/>
        </w:rPr>
      </w:pPr>
      <w:r>
        <w:rPr>
          <w:rFonts w:ascii="Arial" w:cs="Arial" w:eastAsia="Arial" w:hAnsi="Arial"/>
          <w:sz w:val="18"/>
          <w:szCs w:val="18"/>
          <w:color w:val="auto"/>
        </w:rPr>
        <w:t>was 0.24%. The net effect is to fix the effective interest rate on $105 million of indebtedness at 2.04%, plus the applicable spread, until these swap agreements expire. On September 30, 2014, the all-in rate on the $105 million of debt was 3.415%.</w:t>
      </w:r>
    </w:p>
    <w:p>
      <w:pPr>
        <w:spacing w:after="0" w:line="18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September 30, 2014 was 0.1525%. The net effect is to fix the effective interest rate on $110 million of indebtedness at 1.414%, plus the applicable spread, during the swap period.</w:t>
      </w:r>
    </w:p>
    <w:p>
      <w:pPr>
        <w:spacing w:after="0" w:line="192"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As of September 30, 2014, our leverage ratio was 1.46 to 1.00 and our interest coverage ratio was 12.10 to 1.00. We may purchase our Common Stock or pay dividends to the extent our leverage ratio remains at or below 3.5 to 1.00, and may make acquisitions with cash provided our leverage ratio would not exceed 3.50 to 1.00 after giving pro forma effect to the acquisition.</w:t>
      </w:r>
    </w:p>
    <w:p>
      <w:pPr>
        <w:spacing w:after="0" w:line="18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These interest rate swaps are accounted for as hedges of future cash flows. For more information on our interest rate swaps, see Note 13 to the Consolidated Financial Statements in Item 1, which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right="720" w:firstLine="648"/>
        <w:spacing w:after="0" w:line="246" w:lineRule="auto"/>
        <w:rPr>
          <w:sz w:val="20"/>
          <w:szCs w:val="20"/>
          <w:color w:val="auto"/>
        </w:rPr>
      </w:pPr>
      <w:r>
        <w:rPr>
          <w:rFonts w:ascii="Arial" w:cs="Arial" w:eastAsia="Arial" w:hAnsi="Arial"/>
          <w:sz w:val="18"/>
          <w:szCs w:val="18"/>
          <w:color w:val="auto"/>
        </w:rPr>
        <w:t>As of September 30, 2014, we have no off-balance sheet arrangements required to be disclosed pursuant to Item 303(a)(4) of Regulation S-K.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performance, especially when compared to periods in which such items had a greater or lesser effect, or no effect. All non-GAAP financial measures in this report relate to the Company’s continuing operations.</w:t>
      </w:r>
    </w:p>
    <w:p>
      <w:pPr>
        <w:spacing w:after="0" w:line="207"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37" w:name="page38"/>
    <w:bookmarkEnd w:id="37"/>
    <w:p>
      <w:pPr>
        <w:ind w:right="40"/>
        <w:spacing w:after="0" w:line="235" w:lineRule="auto"/>
        <w:rPr>
          <w:sz w:val="20"/>
          <w:szCs w:val="20"/>
          <w:color w:val="auto"/>
        </w:rPr>
      </w:pPr>
      <w:r>
        <w:rPr>
          <w:rFonts w:ascii="Arial" w:cs="Arial" w:eastAsia="Arial" w:hAnsi="Arial"/>
          <w:sz w:val="18"/>
          <w:szCs w:val="18"/>
          <w:color w:val="auto"/>
        </w:rPr>
        <w:t>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Depreciation and amortization, and Income or loss from Discontinued Operations. Adjusted EBITDA is calculated by adding to EBITDA, costs associated with restructuring and pension settlement charges, adding or subtracting revaluation losses or gains, subtracting building sale and insurance-recovery gains, and subtracting Income attributable to the noncontrolling interest in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and insurance-recovery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tbl>
      <w:tblPr>
        <w:tblLayout w:type="fixed"/>
        <w:tblInd w:w="0" w:type="dxa"/>
        <w:tblCellMar>
          <w:top w:w="0" w:type="dxa"/>
          <w:left w:w="0" w:type="dxa"/>
          <w:bottom w:w="0" w:type="dxa"/>
          <w:right w:w="0" w:type="dxa"/>
        </w:tblCellMar>
      </w:tblPr>
      <w:tr>
        <w:trPr>
          <w:trHeight w:val="217"/>
        </w:trPr>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September 30, 2014</w:t>
            </w:r>
          </w:p>
        </w:tc>
        <w:tc>
          <w:tcPr>
            <w:tcW w:w="18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Corporate</w:t>
            </w: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820" w:type="dxa"/>
            <w:vAlign w:val="bottom"/>
          </w:tcPr>
          <w:p>
            <w:pPr>
              <w:ind w:left="640"/>
              <w:spacing w:after="0" w:line="202" w:lineRule="exact"/>
              <w:rPr>
                <w:sz w:val="20"/>
                <w:szCs w:val="20"/>
                <w:color w:val="auto"/>
              </w:rPr>
            </w:pPr>
            <w:r>
              <w:rPr>
                <w:rFonts w:ascii="Arial" w:cs="Arial" w:eastAsia="Arial" w:hAnsi="Arial"/>
                <w:sz w:val="18"/>
                <w:szCs w:val="18"/>
                <w:color w:val="auto"/>
              </w:rPr>
              <w:t>Machine</w:t>
            </w:r>
          </w:p>
        </w:tc>
        <w:tc>
          <w:tcPr>
            <w:tcW w:w="1480" w:type="dxa"/>
            <w:vAlign w:val="bottom"/>
          </w:tcPr>
          <w:p>
            <w:pPr>
              <w:spacing w:after="0"/>
              <w:rPr>
                <w:sz w:val="17"/>
                <w:szCs w:val="17"/>
                <w:color w:val="auto"/>
              </w:rPr>
            </w:pP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expenses and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820" w:type="dxa"/>
            <w:vAlign w:val="bottom"/>
            <w:tcBorders>
              <w:bottom w:val="single" w:sz="8" w:color="auto"/>
            </w:tcBorders>
          </w:tcPr>
          <w:p>
            <w:pPr>
              <w:ind w:left="660"/>
              <w:spacing w:after="0" w:line="203" w:lineRule="exact"/>
              <w:rPr>
                <w:sz w:val="20"/>
                <w:szCs w:val="20"/>
                <w:color w:val="auto"/>
              </w:rPr>
            </w:pPr>
            <w:r>
              <w:rPr>
                <w:rFonts w:ascii="Arial" w:cs="Arial" w:eastAsia="Arial" w:hAnsi="Arial"/>
                <w:sz w:val="18"/>
                <w:szCs w:val="18"/>
                <w:color w:val="auto"/>
              </w:rPr>
              <w:t>Clothing</w:t>
            </w:r>
          </w:p>
        </w:tc>
        <w:tc>
          <w:tcPr>
            <w:tcW w:w="14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AEC</w:t>
            </w:r>
          </w:p>
        </w:tc>
        <w:tc>
          <w:tcPr>
            <w:tcW w:w="16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8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$33,308</w:t>
            </w:r>
          </w:p>
        </w:tc>
        <w:tc>
          <w:tcPr>
            <w:tcW w:w="14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($2,765)</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($18,769)</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2,486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6,762</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11,060</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2,607</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2,069</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195"/>
        </w:trPr>
        <w:tc>
          <w:tcPr>
            <w:tcW w:w="5000" w:type="dxa"/>
            <w:vAlign w:val="bottom"/>
          </w:tcPr>
          <w:p>
            <w:pPr>
              <w:spacing w:after="0" w:line="195" w:lineRule="exact"/>
              <w:rPr>
                <w:sz w:val="20"/>
                <w:szCs w:val="20"/>
                <w:color w:val="auto"/>
              </w:rPr>
            </w:pPr>
            <w:r>
              <w:rPr>
                <w:rFonts w:ascii="Arial" w:cs="Arial" w:eastAsia="Arial" w:hAnsi="Arial"/>
                <w:sz w:val="18"/>
                <w:szCs w:val="18"/>
                <w:color w:val="auto"/>
              </w:rPr>
              <w:t>EBITDA</w:t>
            </w:r>
          </w:p>
        </w:tc>
        <w:tc>
          <w:tcPr>
            <w:tcW w:w="18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44,368</w:t>
            </w:r>
          </w:p>
        </w:tc>
        <w:tc>
          <w:tcPr>
            <w:tcW w:w="14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(158)</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(7,452)</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36,758</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968</w:t>
            </w:r>
          </w:p>
        </w:tc>
        <w:tc>
          <w:tcPr>
            <w:tcW w:w="14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(49)</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1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(2,308)</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135</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(1,915)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18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Pretax loss attributable to noncontrolling interest in ASC</w:t>
            </w:r>
          </w:p>
        </w:tc>
        <w:tc>
          <w:tcPr>
            <w:tcW w:w="1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77</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$43,028</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($9,532)</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$33,501</w:t>
            </w:r>
          </w:p>
        </w:tc>
        <w:tc>
          <w:tcPr>
            <w:tcW w:w="0" w:type="dxa"/>
            <w:vAlign w:val="bottom"/>
          </w:tcPr>
          <w:p>
            <w:pPr>
              <w:spacing w:after="0"/>
              <w:rPr>
                <w:sz w:val="1"/>
                <w:szCs w:val="1"/>
                <w:color w:val="auto"/>
              </w:rPr>
            </w:pPr>
          </w:p>
        </w:tc>
      </w:tr>
      <w:tr>
        <w:trPr>
          <w:trHeight w:val="811"/>
        </w:trPr>
        <w:tc>
          <w:tcPr>
            <w:tcW w:w="5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38</w:t>
            </w: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Nine months ended September 30, 2014</w:t>
            </w:r>
          </w:p>
        </w:tc>
        <w:tc>
          <w:tcPr>
            <w:tcW w:w="1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Corporate</w:t>
            </w: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Machine</w:t>
            </w:r>
          </w:p>
        </w:tc>
        <w:tc>
          <w:tcPr>
            <w:tcW w:w="1540" w:type="dxa"/>
            <w:vAlign w:val="bottom"/>
          </w:tcPr>
          <w:p>
            <w:pPr>
              <w:spacing w:after="0"/>
              <w:rPr>
                <w:sz w:val="17"/>
                <w:szCs w:val="17"/>
                <w:color w:val="auto"/>
              </w:rPr>
            </w:pP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expenses and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8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Clothing</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AEC</w:t>
            </w:r>
          </w:p>
        </w:tc>
        <w:tc>
          <w:tcPr>
            <w:tcW w:w="16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$103,329</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($9,785)</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($59,900)</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$33,644</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8,121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21,435</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34,069</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7,382</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6,290</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47,741</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137,398</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(2,403)</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(24,054)</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110,941</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3,127</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931</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18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(1,806)</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234</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(3,815)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(1,126)</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loss attributable to noncontrolling interest in ASC</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63</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Adjusted EBITDA</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$138,719</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($1,175)</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($28,995)</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$108,549</w:t>
            </w:r>
          </w:p>
        </w:tc>
        <w:tc>
          <w:tcPr>
            <w:tcW w:w="0" w:type="dxa"/>
            <w:vAlign w:val="bottom"/>
          </w:tcPr>
          <w:p>
            <w:pPr>
              <w:spacing w:after="0"/>
              <w:rPr>
                <w:sz w:val="1"/>
                <w:szCs w:val="1"/>
                <w:color w:val="auto"/>
              </w:rPr>
            </w:pPr>
          </w:p>
        </w:tc>
      </w:tr>
      <w:tr>
        <w:trPr>
          <w:trHeight w:val="871"/>
        </w:trPr>
        <w:tc>
          <w:tcPr>
            <w:tcW w:w="496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September 30, 2013</w:t>
            </w:r>
          </w:p>
        </w:tc>
        <w:tc>
          <w:tcPr>
            <w:tcW w:w="18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Corporate</w:t>
            </w: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Machine</w:t>
            </w:r>
          </w:p>
        </w:tc>
        <w:tc>
          <w:tcPr>
            <w:tcW w:w="1540" w:type="dxa"/>
            <w:vAlign w:val="bottom"/>
          </w:tcPr>
          <w:p>
            <w:pPr>
              <w:spacing w:after="0"/>
              <w:rPr>
                <w:sz w:val="17"/>
                <w:szCs w:val="17"/>
                <w:color w:val="auto"/>
              </w:rPr>
            </w:pP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expenses and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8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Clothing</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AEC</w:t>
            </w:r>
          </w:p>
        </w:tc>
        <w:tc>
          <w:tcPr>
            <w:tcW w:w="16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$27,910</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($3,951)</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($19,261)</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3,484</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2,381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11,404</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2,299</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2,094</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39,314</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(1,652)</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(11,302)</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26,360</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2,250</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Foreign currency revaluation losses/(gains)</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1,328</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1,975</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Adjusted EBITDA</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$42,892</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($1,646)</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($9,327)</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$31,919</w:t>
            </w:r>
          </w:p>
        </w:tc>
        <w:tc>
          <w:tcPr>
            <w:tcW w:w="0" w:type="dxa"/>
            <w:vAlign w:val="bottom"/>
          </w:tcPr>
          <w:p>
            <w:pPr>
              <w:spacing w:after="0"/>
              <w:rPr>
                <w:sz w:val="1"/>
                <w:szCs w:val="1"/>
                <w:color w:val="auto"/>
              </w:rPr>
            </w:pPr>
          </w:p>
        </w:tc>
      </w:tr>
      <w:tr>
        <w:trPr>
          <w:trHeight w:val="669"/>
        </w:trPr>
        <w:tc>
          <w:tcPr>
            <w:tcW w:w="496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Nine months ended September 30, 2013</w:t>
            </w:r>
          </w:p>
        </w:tc>
        <w:tc>
          <w:tcPr>
            <w:tcW w:w="18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Corporate</w:t>
            </w: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8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Machine</w:t>
            </w:r>
          </w:p>
        </w:tc>
        <w:tc>
          <w:tcPr>
            <w:tcW w:w="1540" w:type="dxa"/>
            <w:vAlign w:val="bottom"/>
          </w:tcPr>
          <w:p>
            <w:pPr>
              <w:spacing w:after="0"/>
              <w:rPr>
                <w:sz w:val="17"/>
                <w:szCs w:val="17"/>
                <w:color w:val="auto"/>
              </w:rPr>
            </w:pPr>
          </w:p>
        </w:tc>
        <w:tc>
          <w:tcPr>
            <w:tcW w:w="16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expenses and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8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Clothing</w:t>
            </w:r>
          </w:p>
        </w:tc>
        <w:tc>
          <w:tcPr>
            <w:tcW w:w="15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AEC</w:t>
            </w:r>
          </w:p>
        </w:tc>
        <w:tc>
          <w:tcPr>
            <w:tcW w:w="16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Total Company</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$80,287</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($13,032)</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($58,425)</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Loss/(income) from discontinued operations</w:t>
            </w:r>
          </w:p>
        </w:tc>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$351</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11,056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6,386</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35,083</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6,094</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6,575</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47,752</w:t>
            </w:r>
          </w:p>
        </w:tc>
        <w:tc>
          <w:tcPr>
            <w:tcW w:w="0" w:type="dxa"/>
            <w:vAlign w:val="bottom"/>
          </w:tcPr>
          <w:p>
            <w:pPr>
              <w:spacing w:after="0"/>
              <w:rPr>
                <w:sz w:val="1"/>
                <w:szCs w:val="1"/>
                <w:color w:val="auto"/>
              </w:rPr>
            </w:pPr>
          </w:p>
        </w:tc>
      </w:tr>
      <w:tr>
        <w:trPr>
          <w:trHeight w:val="195"/>
        </w:trPr>
        <w:tc>
          <w:tcPr>
            <w:tcW w:w="496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18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115,370</w:t>
            </w:r>
          </w:p>
        </w:tc>
        <w:tc>
          <w:tcPr>
            <w:tcW w:w="15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(6,938)</w:t>
            </w:r>
          </w:p>
        </w:tc>
        <w:tc>
          <w:tcPr>
            <w:tcW w:w="16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(34,057)</w:t>
            </w:r>
          </w:p>
        </w:tc>
        <w:tc>
          <w:tcPr>
            <w:tcW w:w="14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74,375</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26,673</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540</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27,213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133</w:t>
            </w:r>
          </w:p>
        </w:tc>
        <w:tc>
          <w:tcPr>
            <w:tcW w:w="1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3,882</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7"/>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sale of former manufacturing facility</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(3,763)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Adjusted EBITDA</w:t>
            </w:r>
          </w:p>
        </w:tc>
        <w:tc>
          <w:tcPr>
            <w:tcW w:w="18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$142,176</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($6,398)</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($33,938)</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per-share amount for items included in continuing operations by using the effective tax rate utilized in that reporting period and the weighted average number of shares outstanding for each period.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September 30, 2014</w:t>
            </w:r>
          </w:p>
        </w:tc>
        <w:tc>
          <w:tcPr>
            <w:tcW w:w="2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Pre tax</w:t>
            </w:r>
          </w:p>
        </w:tc>
        <w:tc>
          <w:tcPr>
            <w:tcW w:w="12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Tax</w:t>
            </w:r>
          </w:p>
        </w:tc>
        <w:tc>
          <w:tcPr>
            <w:tcW w:w="10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After tax</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82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Amounts</w:t>
            </w:r>
          </w:p>
        </w:tc>
        <w:tc>
          <w:tcPr>
            <w:tcW w:w="122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Effect</w:t>
            </w:r>
          </w:p>
        </w:tc>
        <w:tc>
          <w:tcPr>
            <w:tcW w:w="108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Effect</w:t>
            </w:r>
          </w:p>
        </w:tc>
        <w:tc>
          <w:tcPr>
            <w:tcW w:w="124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8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$919</w:t>
            </w:r>
          </w:p>
        </w:tc>
        <w:tc>
          <w:tcPr>
            <w:tcW w:w="1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$321</w:t>
            </w:r>
          </w:p>
        </w:tc>
        <w:tc>
          <w:tcPr>
            <w:tcW w:w="108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$598</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6"/>
                <w:szCs w:val="16"/>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4,088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1,427</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2,661</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165</w:t>
            </w: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165</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charges</w:t>
            </w:r>
          </w:p>
        </w:tc>
        <w:tc>
          <w:tcPr>
            <w:tcW w:w="28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536</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Favorable effect of change in income tax rate</w:t>
            </w:r>
          </w:p>
        </w:tc>
        <w:tc>
          <w:tcPr>
            <w:tcW w:w="28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243</w:t>
            </w: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243</w:t>
            </w: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Nine months ended September 30, 2014</w:t>
            </w:r>
          </w:p>
        </w:tc>
        <w:tc>
          <w:tcPr>
            <w:tcW w:w="29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Pre tax</w:t>
            </w:r>
          </w:p>
        </w:tc>
        <w:tc>
          <w:tcPr>
            <w:tcW w:w="12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Tax</w:t>
            </w: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After tax</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4880" w:type="dxa"/>
            <w:vAlign w:val="bottom"/>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90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Amounts</w:t>
            </w:r>
          </w:p>
        </w:tc>
        <w:tc>
          <w:tcPr>
            <w:tcW w:w="126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Effect</w:t>
            </w:r>
          </w:p>
        </w:tc>
        <w:tc>
          <w:tcPr>
            <w:tcW w:w="116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Effect</w:t>
            </w:r>
          </w:p>
        </w:tc>
        <w:tc>
          <w:tcPr>
            <w:tcW w:w="124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9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$4,058</w:t>
            </w:r>
          </w:p>
        </w:tc>
        <w:tc>
          <w:tcPr>
            <w:tcW w:w="1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$1,455</w:t>
            </w:r>
          </w:p>
        </w:tc>
        <w:tc>
          <w:tcPr>
            <w:tcW w:w="1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$2,603</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16"/>
                <w:szCs w:val="16"/>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5,387</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$1,024</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$4,363</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0.14</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1,126</w:t>
            </w: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1,126</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48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charges</w:t>
            </w:r>
          </w:p>
        </w:tc>
        <w:tc>
          <w:tcPr>
            <w:tcW w:w="2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2,209</w:t>
            </w:r>
          </w:p>
        </w:tc>
        <w:tc>
          <w:tcPr>
            <w:tcW w:w="11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2,209</w:t>
            </w: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September 30, 2013</w:t>
            </w:r>
          </w:p>
        </w:tc>
        <w:tc>
          <w:tcPr>
            <w:tcW w:w="2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Pre tax</w:t>
            </w:r>
          </w:p>
        </w:tc>
        <w:tc>
          <w:tcPr>
            <w:tcW w:w="12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Tax</w:t>
            </w:r>
          </w:p>
        </w:tc>
        <w:tc>
          <w:tcPr>
            <w:tcW w:w="1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After tax</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5220" w:type="dxa"/>
            <w:vAlign w:val="bottom"/>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78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Amounts</w:t>
            </w:r>
          </w:p>
        </w:tc>
        <w:tc>
          <w:tcPr>
            <w:tcW w:w="124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Effect</w:t>
            </w:r>
          </w:p>
        </w:tc>
        <w:tc>
          <w:tcPr>
            <w:tcW w:w="10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Effect</w:t>
            </w:r>
          </w:p>
        </w:tc>
        <w:tc>
          <w:tcPr>
            <w:tcW w:w="116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78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$2,256</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$925</w:t>
            </w:r>
          </w:p>
        </w:tc>
        <w:tc>
          <w:tcPr>
            <w:tcW w:w="10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$1,331</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$0.04</w:t>
            </w:r>
          </w:p>
        </w:tc>
        <w:tc>
          <w:tcPr>
            <w:tcW w:w="20" w:type="dxa"/>
            <w:vAlign w:val="bottom"/>
          </w:tcPr>
          <w:p>
            <w:pPr>
              <w:spacing w:after="0"/>
              <w:rPr>
                <w:sz w:val="16"/>
                <w:szCs w:val="16"/>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7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3,303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1,354</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1,949</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Unfavorable effect of change in income tax rate</w:t>
            </w:r>
          </w:p>
        </w:tc>
        <w:tc>
          <w:tcPr>
            <w:tcW w:w="27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27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691</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691</w:t>
            </w:r>
          </w:p>
        </w:tc>
        <w:tc>
          <w:tcPr>
            <w:tcW w:w="11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Nine months ended September 30, 2013</w:t>
            </w:r>
          </w:p>
        </w:tc>
        <w:tc>
          <w:tcPr>
            <w:tcW w:w="29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Pre tax</w:t>
            </w:r>
          </w:p>
        </w:tc>
        <w:tc>
          <w:tcPr>
            <w:tcW w:w="12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Tax</w:t>
            </w:r>
          </w:p>
        </w:tc>
        <w:tc>
          <w:tcPr>
            <w:tcW w:w="1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After tax</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5100" w:type="dxa"/>
            <w:vAlign w:val="bottom"/>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900" w:type="dxa"/>
            <w:vAlign w:val="bottom"/>
          </w:tcPr>
          <w:p>
            <w:pPr>
              <w:jc w:val="right"/>
              <w:ind w:right="530"/>
              <w:spacing w:after="0" w:line="203" w:lineRule="exact"/>
              <w:rPr>
                <w:sz w:val="20"/>
                <w:szCs w:val="20"/>
                <w:color w:val="auto"/>
              </w:rPr>
            </w:pPr>
            <w:r>
              <w:rPr>
                <w:rFonts w:ascii="Arial" w:cs="Arial" w:eastAsia="Arial" w:hAnsi="Arial"/>
                <w:sz w:val="18"/>
                <w:szCs w:val="18"/>
                <w:color w:val="auto"/>
              </w:rPr>
              <w:t>Amounts</w:t>
            </w:r>
          </w:p>
        </w:tc>
        <w:tc>
          <w:tcPr>
            <w:tcW w:w="124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Effect</w:t>
            </w:r>
          </w:p>
        </w:tc>
        <w:tc>
          <w:tcPr>
            <w:tcW w:w="10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Effect</w:t>
            </w:r>
          </w:p>
        </w:tc>
        <w:tc>
          <w:tcPr>
            <w:tcW w:w="116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9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$27,213</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$10,626</w:t>
            </w:r>
          </w:p>
        </w:tc>
        <w:tc>
          <w:tcPr>
            <w:tcW w:w="10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$16,587</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$0.52</w:t>
            </w:r>
          </w:p>
        </w:tc>
        <w:tc>
          <w:tcPr>
            <w:tcW w:w="20" w:type="dxa"/>
            <w:vAlign w:val="bottom"/>
          </w:tcPr>
          <w:p>
            <w:pPr>
              <w:spacing w:after="0"/>
              <w:rPr>
                <w:sz w:val="16"/>
                <w:szCs w:val="16"/>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4,015</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1,668</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2,347</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3,763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2,484</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5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charges</w:t>
            </w:r>
          </w:p>
        </w:tc>
        <w:tc>
          <w:tcPr>
            <w:tcW w:w="29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w:t>
            </w:r>
          </w:p>
        </w:tc>
        <w:tc>
          <w:tcPr>
            <w:tcW w:w="11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tbl>
      <w:tblPr>
        <w:tblLayout w:type="fixed"/>
        <w:tblInd w:w="0" w:type="dxa"/>
        <w:tblCellMar>
          <w:top w:w="0" w:type="dxa"/>
          <w:left w:w="0" w:type="dxa"/>
          <w:bottom w:w="0" w:type="dxa"/>
          <w:right w:w="0" w:type="dxa"/>
        </w:tblCellMar>
      </w:tblPr>
      <w:tr>
        <w:trPr>
          <w:trHeight w:val="195"/>
        </w:trPr>
        <w:tc>
          <w:tcPr>
            <w:tcW w:w="494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2"/>
          </w:tcPr>
          <w:p>
            <w:pPr>
              <w:jc w:val="right"/>
              <w:ind w:right="1010"/>
              <w:spacing w:after="0" w:line="195" w:lineRule="exact"/>
              <w:rPr>
                <w:sz w:val="20"/>
                <w:szCs w:val="20"/>
                <w:color w:val="auto"/>
              </w:rPr>
            </w:pPr>
            <w:r>
              <w:rPr>
                <w:rFonts w:ascii="Arial" w:cs="Arial" w:eastAsia="Arial" w:hAnsi="Arial"/>
                <w:sz w:val="18"/>
                <w:szCs w:val="18"/>
                <w:color w:val="auto"/>
              </w:rPr>
              <w:t>Three months ended</w:t>
            </w:r>
          </w:p>
        </w:tc>
        <w:tc>
          <w:tcPr>
            <w:tcW w:w="3000" w:type="dxa"/>
            <w:vAlign w:val="bottom"/>
            <w:tcBorders>
              <w:top w:val="single" w:sz="8" w:color="auto"/>
            </w:tcBorders>
            <w:gridSpan w:val="2"/>
          </w:tcPr>
          <w:p>
            <w:pPr>
              <w:jc w:val="right"/>
              <w:ind w:right="650"/>
              <w:spacing w:after="0" w:line="195" w:lineRule="exact"/>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81"/>
        </w:trPr>
        <w:tc>
          <w:tcPr>
            <w:tcW w:w="4940" w:type="dxa"/>
            <w:vAlign w:val="bottom"/>
          </w:tcPr>
          <w:p>
            <w:pPr>
              <w:spacing w:after="0"/>
              <w:rPr>
                <w:sz w:val="15"/>
                <w:szCs w:val="15"/>
                <w:color w:val="auto"/>
              </w:rPr>
            </w:pPr>
          </w:p>
        </w:tc>
        <w:tc>
          <w:tcPr>
            <w:tcW w:w="218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1300" w:type="dxa"/>
            <w:vAlign w:val="bottom"/>
          </w:tcPr>
          <w:p>
            <w:pPr>
              <w:spacing w:after="0"/>
              <w:rPr>
                <w:sz w:val="15"/>
                <w:szCs w:val="15"/>
                <w:color w:val="auto"/>
              </w:rPr>
            </w:pPr>
          </w:p>
        </w:tc>
        <w:tc>
          <w:tcPr>
            <w:tcW w:w="2100" w:type="dxa"/>
            <w:vAlign w:val="bottom"/>
          </w:tcPr>
          <w:p>
            <w:pPr>
              <w:jc w:val="right"/>
              <w:spacing w:after="0" w:line="181" w:lineRule="exact"/>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share amounts (Basic)</w:t>
            </w:r>
          </w:p>
        </w:tc>
        <w:tc>
          <w:tcPr>
            <w:tcW w:w="218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21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95"/>
        </w:trPr>
        <w:tc>
          <w:tcPr>
            <w:tcW w:w="494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2180" w:type="dxa"/>
            <w:vAlign w:val="bottom"/>
          </w:tcPr>
          <w:p>
            <w:pPr>
              <w:jc w:val="right"/>
              <w:ind w:right="830"/>
              <w:spacing w:after="0" w:line="195" w:lineRule="exact"/>
              <w:rPr>
                <w:sz w:val="20"/>
                <w:szCs w:val="20"/>
                <w:color w:val="auto"/>
              </w:rPr>
            </w:pPr>
            <w:r>
              <w:rPr>
                <w:rFonts w:ascii="Arial" w:cs="Arial" w:eastAsia="Arial" w:hAnsi="Arial"/>
                <w:sz w:val="18"/>
                <w:szCs w:val="18"/>
                <w:b w:val="1"/>
                <w:bCs w:val="1"/>
                <w:color w:val="auto"/>
              </w:rPr>
              <w:t>$0.37</w:t>
            </w:r>
          </w:p>
        </w:tc>
        <w:tc>
          <w:tcPr>
            <w:tcW w:w="13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$0.15</w:t>
            </w:r>
          </w:p>
        </w:tc>
        <w:tc>
          <w:tcPr>
            <w:tcW w:w="2100" w:type="dxa"/>
            <w:vAlign w:val="bottom"/>
          </w:tcPr>
          <w:p>
            <w:pPr>
              <w:jc w:val="right"/>
              <w:ind w:right="810"/>
              <w:spacing w:after="0" w:line="195" w:lineRule="exact"/>
              <w:rPr>
                <w:sz w:val="20"/>
                <w:szCs w:val="20"/>
                <w:color w:val="auto"/>
              </w:rPr>
            </w:pPr>
            <w:r>
              <w:rPr>
                <w:rFonts w:ascii="Arial" w:cs="Arial" w:eastAsia="Arial" w:hAnsi="Arial"/>
                <w:sz w:val="18"/>
                <w:szCs w:val="18"/>
                <w:b w:val="1"/>
                <w:bCs w:val="1"/>
                <w:color w:val="auto"/>
              </w:rPr>
              <w:t>$1.06</w:t>
            </w: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1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40" w:type="dxa"/>
            <w:vAlign w:val="bottom"/>
          </w:tcPr>
          <w:p>
            <w:pPr>
              <w:spacing w:after="0" w:line="181" w:lineRule="exact"/>
              <w:rPr>
                <w:sz w:val="20"/>
                <w:szCs w:val="20"/>
                <w:color w:val="auto"/>
              </w:rPr>
            </w:pPr>
            <w:r>
              <w:rPr>
                <w:rFonts w:ascii="Arial" w:cs="Arial" w:eastAsia="Arial" w:hAnsi="Arial"/>
                <w:sz w:val="18"/>
                <w:szCs w:val="18"/>
                <w:color w:val="auto"/>
              </w:rPr>
              <w:t>Loss on discontinued operations</w:t>
            </w:r>
          </w:p>
        </w:tc>
        <w:tc>
          <w:tcPr>
            <w:tcW w:w="2180" w:type="dxa"/>
            <w:vAlign w:val="bottom"/>
            <w:vMerge w:val="continue"/>
          </w:tcPr>
          <w:p>
            <w:pPr>
              <w:spacing w:after="0"/>
              <w:rPr>
                <w:sz w:val="15"/>
                <w:szCs w:val="15"/>
                <w:color w:val="auto"/>
              </w:rPr>
            </w:pPr>
          </w:p>
        </w:tc>
        <w:tc>
          <w:tcPr>
            <w:tcW w:w="130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810"/>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5"/>
        </w:trPr>
        <w:tc>
          <w:tcPr>
            <w:tcW w:w="4940" w:type="dxa"/>
            <w:vAlign w:val="bottom"/>
          </w:tcPr>
          <w:p>
            <w:pPr>
              <w:spacing w:after="0"/>
              <w:rPr>
                <w:sz w:val="20"/>
                <w:szCs w:val="20"/>
                <w:color w:val="auto"/>
              </w:rPr>
            </w:pPr>
            <w:r>
              <w:rPr>
                <w:rFonts w:ascii="Arial" w:cs="Arial" w:eastAsia="Arial" w:hAnsi="Arial"/>
                <w:sz w:val="18"/>
                <w:szCs w:val="18"/>
                <w:color w:val="auto"/>
              </w:rPr>
              <w:t>Restructuring and other, net</w:t>
            </w:r>
          </w:p>
        </w:tc>
        <w:tc>
          <w:tcPr>
            <w:tcW w:w="2180" w:type="dxa"/>
            <w:vAlign w:val="bottom"/>
          </w:tcPr>
          <w:p>
            <w:pPr>
              <w:jc w:val="right"/>
              <w:ind w:right="830"/>
              <w:spacing w:after="0"/>
              <w:rPr>
                <w:sz w:val="20"/>
                <w:szCs w:val="20"/>
                <w:color w:val="auto"/>
              </w:rPr>
            </w:pPr>
            <w:r>
              <w:rPr>
                <w:rFonts w:ascii="Arial" w:cs="Arial" w:eastAsia="Arial" w:hAnsi="Arial"/>
                <w:sz w:val="18"/>
                <w:szCs w:val="18"/>
                <w:b w:val="1"/>
                <w:bCs w:val="1"/>
                <w:color w:val="auto"/>
              </w:rPr>
              <w:t>0.02</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0.04</w:t>
            </w:r>
          </w:p>
        </w:tc>
        <w:tc>
          <w:tcPr>
            <w:tcW w:w="2100" w:type="dxa"/>
            <w:vAlign w:val="bottom"/>
          </w:tcPr>
          <w:p>
            <w:pPr>
              <w:jc w:val="right"/>
              <w:ind w:right="810"/>
              <w:spacing w:after="0"/>
              <w:rPr>
                <w:sz w:val="20"/>
                <w:szCs w:val="20"/>
                <w:color w:val="auto"/>
              </w:rPr>
            </w:pPr>
            <w:r>
              <w:rPr>
                <w:rFonts w:ascii="Arial" w:cs="Arial" w:eastAsia="Arial" w:hAnsi="Arial"/>
                <w:sz w:val="18"/>
                <w:szCs w:val="18"/>
                <w:b w:val="1"/>
                <w:bCs w:val="1"/>
                <w:color w:val="auto"/>
              </w:rPr>
              <w:t>0.08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Discrete tax charges and effect of change in income tax</w:t>
            </w:r>
          </w:p>
        </w:tc>
        <w:tc>
          <w:tcPr>
            <w:tcW w:w="21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0.01</w:t>
            </w:r>
          </w:p>
        </w:tc>
        <w:tc>
          <w:tcPr>
            <w:tcW w:w="1300" w:type="dxa"/>
            <w:vAlign w:val="bottom"/>
          </w:tcPr>
          <w:p>
            <w:pPr>
              <w:spacing w:after="0"/>
              <w:rPr>
                <w:sz w:val="17"/>
                <w:szCs w:val="17"/>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0.07</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40" w:type="dxa"/>
            <w:vAlign w:val="bottom"/>
          </w:tcPr>
          <w:p>
            <w:pPr>
              <w:spacing w:after="0" w:line="181" w:lineRule="exact"/>
              <w:rPr>
                <w:sz w:val="20"/>
                <w:szCs w:val="20"/>
                <w:color w:val="auto"/>
              </w:rPr>
            </w:pPr>
            <w:r>
              <w:rPr>
                <w:rFonts w:ascii="Arial" w:cs="Arial" w:eastAsia="Arial" w:hAnsi="Arial"/>
                <w:sz w:val="18"/>
                <w:szCs w:val="18"/>
                <w:color w:val="auto"/>
              </w:rPr>
              <w:t>rate</w:t>
            </w:r>
          </w:p>
        </w:tc>
        <w:tc>
          <w:tcPr>
            <w:tcW w:w="2180" w:type="dxa"/>
            <w:vAlign w:val="bottom"/>
            <w:vMerge w:val="continue"/>
          </w:tcPr>
          <w:p>
            <w:pPr>
              <w:spacing w:after="0"/>
              <w:rPr>
                <w:sz w:val="15"/>
                <w:szCs w:val="15"/>
                <w:color w:val="auto"/>
              </w:rPr>
            </w:pPr>
          </w:p>
        </w:tc>
        <w:tc>
          <w:tcPr>
            <w:tcW w:w="130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(0.01)</w:t>
            </w:r>
          </w:p>
        </w:tc>
        <w:tc>
          <w:tcPr>
            <w:tcW w:w="2100" w:type="dxa"/>
            <w:vAlign w:val="bottom"/>
            <w:vMerge w:val="continue"/>
          </w:tcPr>
          <w:p>
            <w:pPr>
              <w:spacing w:after="0"/>
              <w:rPr>
                <w:sz w:val="15"/>
                <w:szCs w:val="15"/>
                <w:color w:val="auto"/>
              </w:rPr>
            </w:pPr>
          </w:p>
        </w:tc>
        <w:tc>
          <w:tcPr>
            <w:tcW w:w="9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1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(0.08)</w:t>
            </w:r>
          </w:p>
        </w:tc>
        <w:tc>
          <w:tcPr>
            <w:tcW w:w="13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0.06</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(0.11)</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Gain on insurance recovery</w:t>
            </w:r>
          </w:p>
        </w:tc>
        <w:tc>
          <w:tcPr>
            <w:tcW w:w="2180" w:type="dxa"/>
            <w:vAlign w:val="bottom"/>
          </w:tcPr>
          <w:p>
            <w:pPr>
              <w:jc w:val="right"/>
              <w:ind w:right="770"/>
              <w:spacing w:after="0"/>
              <w:rPr>
                <w:sz w:val="20"/>
                <w:szCs w:val="20"/>
                <w:color w:val="auto"/>
              </w:rPr>
            </w:pPr>
            <w:r>
              <w:rPr>
                <w:rFonts w:ascii="Arial" w:cs="Arial" w:eastAsia="Arial" w:hAnsi="Arial"/>
                <w:sz w:val="18"/>
                <w:szCs w:val="18"/>
                <w:b w:val="1"/>
                <w:bCs w:val="1"/>
                <w:color w:val="auto"/>
              </w:rPr>
              <w:t>(0.01)</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750"/>
              <w:spacing w:after="0"/>
              <w:rPr>
                <w:sz w:val="20"/>
                <w:szCs w:val="20"/>
                <w:color w:val="auto"/>
              </w:rPr>
            </w:pPr>
            <w:r>
              <w:rPr>
                <w:rFonts w:ascii="Arial" w:cs="Arial" w:eastAsia="Arial" w:hAnsi="Arial"/>
                <w:sz w:val="18"/>
                <w:szCs w:val="18"/>
                <w:b w:val="1"/>
                <w:bCs w:val="1"/>
                <w:color w:val="auto"/>
              </w:rPr>
              <w:t>(0.04)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former manufacturing facility</w:t>
            </w:r>
          </w:p>
        </w:tc>
        <w:tc>
          <w:tcPr>
            <w:tcW w:w="21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5"/>
        </w:trPr>
        <w:tc>
          <w:tcPr>
            <w:tcW w:w="494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excluding</w:t>
            </w:r>
          </w:p>
        </w:tc>
        <w:tc>
          <w:tcPr>
            <w:tcW w:w="21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$0.31</w:t>
            </w:r>
          </w:p>
        </w:tc>
        <w:tc>
          <w:tcPr>
            <w:tcW w:w="1300" w:type="dxa"/>
            <w:vAlign w:val="bottom"/>
          </w:tcPr>
          <w:p>
            <w:pPr>
              <w:spacing w:after="0"/>
              <w:rPr>
                <w:sz w:val="16"/>
                <w:szCs w:val="16"/>
                <w:color w:val="auto"/>
              </w:rPr>
            </w:pPr>
          </w:p>
        </w:tc>
        <w:tc>
          <w:tcPr>
            <w:tcW w:w="210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$1.06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21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$0.24</w:t>
            </w:r>
          </w:p>
        </w:tc>
        <w:tc>
          <w:tcPr>
            <w:tcW w:w="21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460"/>
        </w:trPr>
        <w:tc>
          <w:tcPr>
            <w:tcW w:w="49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40</w:t>
            </w:r>
          </w:p>
        </w:tc>
        <w:tc>
          <w:tcPr>
            <w:tcW w:w="1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6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(in thousands)</w:t>
            </w:r>
          </w:p>
        </w:tc>
        <w:tc>
          <w:tcPr>
            <w:tcW w:w="170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September 30,</w:t>
            </w:r>
          </w:p>
        </w:tc>
        <w:tc>
          <w:tcPr>
            <w:tcW w:w="170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color w:val="auto"/>
              </w:rPr>
              <w:t>June 30,</w:t>
            </w:r>
          </w:p>
        </w:tc>
        <w:tc>
          <w:tcPr>
            <w:tcW w:w="170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March 31,</w:t>
            </w:r>
          </w:p>
        </w:tc>
        <w:tc>
          <w:tcPr>
            <w:tcW w:w="170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09"/>
        </w:trPr>
        <w:tc>
          <w:tcPr>
            <w:tcW w:w="4620" w:type="dxa"/>
            <w:vAlign w:val="bottom"/>
            <w:tcBorders>
              <w:left w:val="single" w:sz="8" w:color="auto"/>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right"/>
              <w:ind w:right="550"/>
              <w:spacing w:after="0" w:line="203" w:lineRule="exact"/>
              <w:rPr>
                <w:sz w:val="20"/>
                <w:szCs w:val="20"/>
                <w:color w:val="auto"/>
              </w:rPr>
            </w:pPr>
            <w:r>
              <w:rPr>
                <w:rFonts w:ascii="Arial" w:cs="Arial" w:eastAsia="Arial" w:hAnsi="Arial"/>
                <w:sz w:val="18"/>
                <w:szCs w:val="18"/>
                <w:color w:val="auto"/>
              </w:rPr>
              <w:t>2014</w:t>
            </w:r>
          </w:p>
        </w:tc>
        <w:tc>
          <w:tcPr>
            <w:tcW w:w="1700" w:type="dxa"/>
            <w:vAlign w:val="bottom"/>
            <w:tcBorders>
              <w:right w:val="single" w:sz="8" w:color="auto"/>
            </w:tcBorders>
            <w:vMerge w:val="restart"/>
          </w:tcPr>
          <w:p>
            <w:pPr>
              <w:jc w:val="right"/>
              <w:ind w:right="550"/>
              <w:spacing w:after="0" w:line="203" w:lineRule="exact"/>
              <w:rPr>
                <w:sz w:val="20"/>
                <w:szCs w:val="20"/>
                <w:color w:val="auto"/>
              </w:rPr>
            </w:pPr>
            <w:r>
              <w:rPr>
                <w:rFonts w:ascii="Arial" w:cs="Arial" w:eastAsia="Arial" w:hAnsi="Arial"/>
                <w:sz w:val="18"/>
                <w:szCs w:val="18"/>
                <w:color w:val="auto"/>
              </w:rPr>
              <w:t>2014</w:t>
            </w:r>
          </w:p>
        </w:tc>
        <w:tc>
          <w:tcPr>
            <w:tcW w:w="1700" w:type="dxa"/>
            <w:vAlign w:val="bottom"/>
            <w:tcBorders>
              <w:right w:val="single" w:sz="8" w:color="auto"/>
            </w:tcBorders>
            <w:vMerge w:val="restart"/>
          </w:tcPr>
          <w:p>
            <w:pPr>
              <w:jc w:val="right"/>
              <w:ind w:right="550"/>
              <w:spacing w:after="0" w:line="203" w:lineRule="exact"/>
              <w:rPr>
                <w:sz w:val="20"/>
                <w:szCs w:val="20"/>
                <w:color w:val="auto"/>
              </w:rPr>
            </w:pPr>
            <w:r>
              <w:rPr>
                <w:rFonts w:ascii="Arial" w:cs="Arial" w:eastAsia="Arial" w:hAnsi="Arial"/>
                <w:sz w:val="18"/>
                <w:szCs w:val="18"/>
                <w:color w:val="auto"/>
              </w:rPr>
              <w:t>2014</w:t>
            </w:r>
          </w:p>
        </w:tc>
        <w:tc>
          <w:tcPr>
            <w:tcW w:w="1700" w:type="dxa"/>
            <w:vAlign w:val="bottom"/>
            <w:tcBorders>
              <w:right w:val="single" w:sz="8" w:color="auto"/>
            </w:tcBorders>
            <w:vMerge w:val="restart"/>
          </w:tcPr>
          <w:p>
            <w:pPr>
              <w:jc w:val="right"/>
              <w:ind w:right="57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95"/>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$692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283,100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283,104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299,108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283,666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285,061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302,419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304,500</w:t>
            </w: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195,461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206,836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208,379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196"/>
        </w:trPr>
        <w:tc>
          <w:tcPr>
            <w:tcW w:w="46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$88,205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$78,225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$94,040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$81,834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left="660" w:right="120"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30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ind w:left="660" w:right="320" w:firstLine="648"/>
        <w:spacing w:after="0" w:line="275"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600" w:firstLine="648"/>
        <w:spacing w:after="0" w:line="246" w:lineRule="auto"/>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1" w:name="page42"/>
    <w:bookmarkEnd w:id="41"/>
    <w:p>
      <w:pPr>
        <w:spacing w:after="0" w:line="188" w:lineRule="auto"/>
        <w:framePr w:w="440" w:h="163" w:wrap="auto" w:vAnchor="page" w:hAnchor="page" w:x="200" w:y="6541"/>
        <w:rPr>
          <w:rFonts w:ascii="Arial" w:cs="Arial" w:eastAsia="Arial" w:hAnsi="Arial"/>
          <w:sz w:val="18"/>
          <w:szCs w:val="18"/>
          <w:color w:val="auto"/>
        </w:rPr>
      </w:pPr>
      <w:r>
        <w:rPr>
          <w:rFonts w:ascii="Arial" w:cs="Arial" w:eastAsia="Arial" w:hAnsi="Arial"/>
          <w:sz w:val="18"/>
          <w:szCs w:val="18"/>
          <w:color w:val="auto"/>
        </w:rPr>
        <w:t>31.1</w:t>
      </w:r>
    </w:p>
    <w:p>
      <w:pPr>
        <w:spacing w:after="0" w:line="188" w:lineRule="auto"/>
        <w:framePr w:w="8160" w:h="163" w:wrap="auto" w:vAnchor="page" w:hAnchor="page" w:x="1500" w:y="6541"/>
        <w:rPr>
          <w:rFonts w:ascii="Arial" w:cs="Arial" w:eastAsia="Arial" w:hAnsi="Arial"/>
          <w:sz w:val="18"/>
          <w:szCs w:val="18"/>
          <w:color w:val="auto"/>
        </w:rPr>
      </w:pPr>
      <w:r>
        <w:rPr>
          <w:rFonts w:ascii="Arial" w:cs="Arial" w:eastAsia="Arial" w:hAnsi="Arial"/>
          <w:sz w:val="18"/>
          <w:szCs w:val="18"/>
          <w:color w:val="auto"/>
        </w:rPr>
        <w:t>Certification of the Chief Executive Officer pursuant to Rule 13a-14(a)/15d-14(a) of the Exchange Act.</w:t>
      </w:r>
    </w:p>
    <w:p>
      <w:pPr>
        <w:spacing w:after="0" w:line="188" w:lineRule="auto"/>
        <w:framePr w:w="440" w:h="163" w:wrap="auto" w:vAnchor="page" w:hAnchor="page" w:x="200" w:y="6959"/>
        <w:rPr>
          <w:rFonts w:ascii="Arial" w:cs="Arial" w:eastAsia="Arial" w:hAnsi="Arial"/>
          <w:sz w:val="18"/>
          <w:szCs w:val="18"/>
          <w:color w:val="auto"/>
        </w:rPr>
      </w:pPr>
      <w:r>
        <w:rPr>
          <w:rFonts w:ascii="Arial" w:cs="Arial" w:eastAsia="Arial" w:hAnsi="Arial"/>
          <w:sz w:val="18"/>
          <w:szCs w:val="18"/>
          <w:color w:val="auto"/>
        </w:rPr>
        <w:t>31.2</w:t>
      </w:r>
    </w:p>
    <w:p>
      <w:pPr>
        <w:spacing w:after="0" w:line="188" w:lineRule="auto"/>
        <w:framePr w:w="8100" w:h="163" w:wrap="auto" w:vAnchor="page" w:hAnchor="page" w:x="1500" w:y="6959"/>
        <w:rPr>
          <w:rFonts w:ascii="Arial" w:cs="Arial" w:eastAsia="Arial" w:hAnsi="Arial"/>
          <w:sz w:val="18"/>
          <w:szCs w:val="18"/>
          <w:color w:val="auto"/>
        </w:rPr>
      </w:pPr>
      <w:r>
        <w:rPr>
          <w:rFonts w:ascii="Arial" w:cs="Arial" w:eastAsia="Arial" w:hAnsi="Arial"/>
          <w:sz w:val="18"/>
          <w:szCs w:val="18"/>
          <w:color w:val="auto"/>
        </w:rPr>
        <w:t>Certification of the Chief Financial Officer pursuant to Rule 13a-14(a)/15d-14(a) of the Exchange Act.</w:t>
      </w:r>
    </w:p>
    <w:p>
      <w:pPr>
        <w:spacing w:after="0" w:line="211" w:lineRule="auto"/>
        <w:framePr w:w="440" w:h="163" w:wrap="auto" w:vAnchor="page" w:hAnchor="page" w:x="200" w:y="7378"/>
        <w:rPr>
          <w:rFonts w:ascii="Arial" w:cs="Arial" w:eastAsia="Arial" w:hAnsi="Arial"/>
          <w:sz w:val="18"/>
          <w:szCs w:val="18"/>
          <w:color w:val="auto"/>
        </w:rPr>
      </w:pPr>
      <w:r>
        <w:rPr>
          <w:rFonts w:ascii="Arial" w:cs="Arial" w:eastAsia="Arial" w:hAnsi="Arial"/>
          <w:sz w:val="18"/>
          <w:szCs w:val="18"/>
          <w:color w:val="auto"/>
        </w:rPr>
        <w:t>32.1</w:t>
      </w:r>
    </w:p>
    <w:p>
      <w:pPr>
        <w:spacing w:after="0" w:line="211" w:lineRule="auto"/>
        <w:framePr w:w="7960" w:h="366" w:wrap="auto" w:vAnchor="page" w:hAnchor="page" w:x="1500" w:y="7378"/>
        <w:rPr>
          <w:rFonts w:ascii="Arial" w:cs="Arial" w:eastAsia="Arial" w:hAnsi="Arial"/>
          <w:sz w:val="18"/>
          <w:szCs w:val="18"/>
          <w:color w:val="auto"/>
        </w:rPr>
      </w:pPr>
      <w:r>
        <w:rPr>
          <w:rFonts w:ascii="Arial" w:cs="Arial" w:eastAsia="Arial" w:hAnsi="Arial"/>
          <w:sz w:val="18"/>
          <w:szCs w:val="18"/>
          <w:color w:val="auto"/>
        </w:rPr>
        <w:t>Certification pursuant to Section 906 of the Sarbanes-Oxley Act of 2002 (Subsections (a) and (b) of Section 1350, Chapter 63 of Title 18, United States Code).</w:t>
      </w:r>
    </w:p>
    <w:p>
      <w:pPr>
        <w:spacing w:after="0" w:line="188" w:lineRule="auto"/>
        <w:framePr w:w="440" w:h="163" w:wrap="auto" w:vAnchor="page" w:hAnchor="page" w:x="200" w:y="7999"/>
        <w:rPr>
          <w:rFonts w:ascii="Arial" w:cs="Arial" w:eastAsia="Arial" w:hAnsi="Arial"/>
          <w:sz w:val="18"/>
          <w:szCs w:val="18"/>
          <w:color w:val="auto"/>
        </w:rPr>
      </w:pPr>
      <w:r>
        <w:rPr>
          <w:rFonts w:ascii="Arial" w:cs="Arial" w:eastAsia="Arial" w:hAnsi="Arial"/>
          <w:sz w:val="18"/>
          <w:szCs w:val="18"/>
          <w:color w:val="auto"/>
        </w:rPr>
        <w:t>99.1</w:t>
      </w:r>
    </w:p>
    <w:p>
      <w:pPr>
        <w:spacing w:after="0" w:line="188" w:lineRule="auto"/>
        <w:framePr w:w="7620" w:h="163" w:wrap="auto" w:vAnchor="page" w:hAnchor="page" w:x="1500" w:y="7999"/>
        <w:rPr>
          <w:rFonts w:ascii="Arial" w:cs="Arial" w:eastAsia="Arial" w:hAnsi="Arial"/>
          <w:sz w:val="18"/>
          <w:szCs w:val="18"/>
          <w:color w:val="auto"/>
        </w:rPr>
      </w:pPr>
      <w:r>
        <w:rPr>
          <w:rFonts w:ascii="Arial" w:cs="Arial" w:eastAsia="Arial" w:hAnsi="Arial"/>
          <w:sz w:val="18"/>
          <w:szCs w:val="18"/>
          <w:color w:val="auto"/>
        </w:rPr>
        <w:t>Quantitative and qualitative disclosures about market risks as reported at September 30, 2014.</w:t>
      </w:r>
    </w:p>
    <w:p>
      <w:pPr>
        <w:spacing w:after="0" w:line="211" w:lineRule="auto"/>
        <w:framePr w:w="380" w:h="163" w:wrap="auto" w:vAnchor="page" w:hAnchor="page" w:x="200" w:y="8418"/>
        <w:rPr>
          <w:rFonts w:ascii="Arial" w:cs="Arial" w:eastAsia="Arial" w:hAnsi="Arial"/>
          <w:sz w:val="18"/>
          <w:szCs w:val="18"/>
          <w:color w:val="auto"/>
        </w:rPr>
      </w:pPr>
      <w:r>
        <w:rPr>
          <w:rFonts w:ascii="Arial" w:cs="Arial" w:eastAsia="Arial" w:hAnsi="Arial"/>
          <w:sz w:val="18"/>
          <w:szCs w:val="18"/>
          <w:color w:val="auto"/>
        </w:rPr>
        <w:t>101</w:t>
      </w:r>
    </w:p>
    <w:p>
      <w:pPr>
        <w:spacing w:after="0" w:line="211" w:lineRule="auto"/>
        <w:framePr w:w="10020" w:h="366" w:wrap="auto" w:vAnchor="page" w:hAnchor="page" w:x="1500" w:y="8418"/>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2014, formatted in eXtensible Business Reporting Language (XBRL), filed herewith:</w:t>
      </w:r>
    </w:p>
    <w:p>
      <w:pPr>
        <w:spacing w:after="0" w:line="188" w:lineRule="auto"/>
        <w:framePr w:w="8740" w:h="163" w:wrap="auto" w:vAnchor="page" w:hAnchor="page" w:x="1500" w:y="9039"/>
        <w:rPr>
          <w:rFonts w:ascii="Arial" w:cs="Arial" w:eastAsia="Arial" w:hAnsi="Arial"/>
          <w:sz w:val="18"/>
          <w:szCs w:val="18"/>
          <w:color w:val="auto"/>
        </w:rPr>
      </w:pPr>
      <w:r>
        <w:rPr>
          <w:rFonts w:ascii="Arial" w:cs="Arial" w:eastAsia="Arial" w:hAnsi="Arial"/>
          <w:sz w:val="18"/>
          <w:szCs w:val="18"/>
          <w:color w:val="auto"/>
        </w:rPr>
        <w:t>(i)  Consolidated Statements of Income for the three and nine months ended September 30, 2014 and 2013.</w:t>
      </w:r>
    </w:p>
    <w:p>
      <w:pPr>
        <w:spacing w:after="0" w:line="321" w:lineRule="auto"/>
        <w:framePr w:w="10060" w:h="555" w:wrap="auto" w:vAnchor="page" w:hAnchor="page" w:x="1500" w:y="9728"/>
        <w:rPr>
          <w:rFonts w:ascii="Arial" w:cs="Arial" w:eastAsia="Arial" w:hAnsi="Arial"/>
          <w:sz w:val="18"/>
          <w:szCs w:val="18"/>
          <w:color w:val="auto"/>
        </w:rPr>
      </w:pPr>
      <w:r>
        <w:rPr>
          <w:rFonts w:ascii="Arial" w:cs="Arial" w:eastAsia="Arial" w:hAnsi="Arial"/>
          <w:sz w:val="18"/>
          <w:szCs w:val="18"/>
          <w:color w:val="auto"/>
        </w:rPr>
        <w:t>(ii) Consolidated Statements of Comprehensive Income for the three and nine months ended September 30, 2014 and 2013. (iii) Consolidated Balance Sheets at September 30, 2014 and December 31, 2013.</w:t>
      </w:r>
    </w:p>
    <w:p>
      <w:pPr>
        <w:spacing w:after="0" w:line="188" w:lineRule="auto"/>
        <w:framePr w:w="9100" w:h="163" w:wrap="auto" w:vAnchor="page" w:hAnchor="page" w:x="1500" w:y="10498"/>
        <w:rPr>
          <w:rFonts w:ascii="Arial" w:cs="Arial" w:eastAsia="Arial" w:hAnsi="Arial"/>
          <w:sz w:val="18"/>
          <w:szCs w:val="18"/>
          <w:color w:val="auto"/>
        </w:rPr>
      </w:pPr>
      <w:r>
        <w:rPr>
          <w:rFonts w:ascii="Arial" w:cs="Arial" w:eastAsia="Arial" w:hAnsi="Arial"/>
          <w:sz w:val="18"/>
          <w:szCs w:val="18"/>
          <w:color w:val="auto"/>
        </w:rPr>
        <w:t>(iv) Consolidated Statements of Cash Flows for the three and nine months ended September 30, 2014 and 2013.</w:t>
      </w:r>
    </w:p>
    <w:p>
      <w:pPr>
        <w:spacing w:after="0" w:line="188" w:lineRule="auto"/>
        <w:framePr w:w="3960" w:h="163" w:wrap="auto" w:vAnchor="page" w:hAnchor="page" w:x="1500" w:y="10876"/>
        <w:rPr>
          <w:rFonts w:ascii="Arial" w:cs="Arial" w:eastAsia="Arial" w:hAnsi="Arial"/>
          <w:sz w:val="18"/>
          <w:szCs w:val="18"/>
          <w:color w:val="auto"/>
        </w:rPr>
      </w:pPr>
      <w:r>
        <w:rPr>
          <w:rFonts w:ascii="Arial" w:cs="Arial" w:eastAsia="Arial" w:hAnsi="Arial"/>
          <w:sz w:val="18"/>
          <w:szCs w:val="18"/>
          <w:color w:val="auto"/>
        </w:rPr>
        <w:t>(v) Notes to Consolidated Financial Statements.</w:t>
      </w:r>
    </w:p>
    <w:p>
      <w:pPr>
        <w:spacing w:after="0" w:line="224" w:lineRule="auto"/>
        <w:framePr w:w="9860" w:h="366" w:wrap="auto" w:vAnchor="page" w:hAnchor="page" w:x="1800" w:y="11186"/>
        <w:rPr>
          <w:rFonts w:ascii="Arial" w:cs="Arial" w:eastAsia="Arial" w:hAnsi="Arial"/>
          <w:sz w:val="17"/>
          <w:szCs w:val="17"/>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9" w:lineRule="auto"/>
        <w:framePr w:w="260" w:h="160" w:wrap="auto" w:vAnchor="page" w:hAnchor="page" w:x="5820" w:y="12121"/>
        <w:rPr>
          <w:rFonts w:ascii="Arial" w:cs="Arial" w:eastAsia="Arial" w:hAnsi="Arial"/>
          <w:sz w:val="16"/>
          <w:szCs w:val="16"/>
          <w:color w:val="auto"/>
        </w:rPr>
      </w:pPr>
      <w:r>
        <w:rPr>
          <w:rFonts w:ascii="Arial" w:cs="Arial" w:eastAsia="Arial" w:hAnsi="Arial"/>
          <w:sz w:val="16"/>
          <w:szCs w:val="16"/>
          <w:color w:val="auto"/>
        </w:rPr>
        <w:t>42</w:t>
      </w:r>
    </w:p>
    <w:p>
      <w:pPr>
        <w:spacing w:after="0" w:line="200" w:lineRule="auto"/>
        <w:framePr w:w="980" w:h="163" w:wrap="auto" w:vAnchor="page" w:hAnchor="page" w:x="1500" w:y="6230"/>
        <w:rPr>
          <w:rFonts w:ascii="Arial" w:cs="Arial" w:eastAsia="Arial" w:hAnsi="Arial"/>
          <w:sz w:val="17"/>
          <w:szCs w:val="17"/>
          <w:color w:val="auto"/>
        </w:rPr>
      </w:pPr>
      <w:r>
        <w:rPr>
          <w:rFonts w:ascii="Arial" w:cs="Arial" w:eastAsia="Arial" w:hAnsi="Arial"/>
          <w:sz w:val="17"/>
          <w:szCs w:val="17"/>
          <w:color w:val="auto"/>
        </w:rPr>
        <w:t>Description</w:t>
      </w:r>
    </w:p>
    <w:p>
      <w:pPr>
        <w:spacing w:after="0" w:line="188" w:lineRule="auto"/>
        <w:framePr w:w="960" w:h="163" w:wrap="auto" w:vAnchor="page" w:hAnchor="page" w:x="200" w:y="6122"/>
        <w:rPr>
          <w:rFonts w:ascii="Arial" w:cs="Arial" w:eastAsia="Arial" w:hAnsi="Arial"/>
          <w:sz w:val="18"/>
          <w:szCs w:val="18"/>
          <w:color w:val="auto"/>
        </w:rPr>
      </w:pPr>
      <w:r>
        <w:rPr>
          <w:rFonts w:ascii="Arial" w:cs="Arial" w:eastAsia="Arial" w:hAnsi="Arial"/>
          <w:sz w:val="18"/>
          <w:szCs w:val="18"/>
          <w:color w:val="auto"/>
        </w:rPr>
        <w:t>Exhibit No.</w:t>
      </w:r>
    </w:p>
    <w:p>
      <w:pPr>
        <w:spacing w:after="0" w:line="188" w:lineRule="auto"/>
        <w:framePr w:w="2020" w:h="163" w:wrap="auto" w:vAnchor="page" w:hAnchor="page" w:x="200" w:y="706"/>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ind w:firstLine="648"/>
        <w:spacing w:after="0" w:line="211" w:lineRule="auto"/>
        <w:framePr w:w="11320" w:h="366" w:wrap="auto" w:vAnchor="page" w:hAnchor="page" w:x="200" w:y="1125"/>
        <w:rPr>
          <w:rFonts w:ascii="Arial" w:cs="Arial" w:eastAsia="Arial" w:hAnsi="Arial"/>
          <w:sz w:val="18"/>
          <w:szCs w:val="18"/>
          <w:b w:val="1"/>
          <w:bCs w:val="1"/>
          <w:color w:val="auto"/>
        </w:rPr>
      </w:pPr>
      <w:r>
        <w:rPr>
          <w:rFonts w:ascii="Arial" w:cs="Arial" w:eastAsia="Arial" w:hAnsi="Arial"/>
          <w:sz w:val="18"/>
          <w:szCs w:val="18"/>
          <w:b w:val="1"/>
          <w:bCs w:val="1"/>
          <w:color w:val="auto"/>
        </w:rPr>
        <w:t>There have been no material changes in risks since December 31, 2013. For discussion of risk factors, refer to Item 1A of our Annual Report on Form 10-K for the year ended December 31, 2013.</w:t>
      </w:r>
    </w:p>
    <w:p>
      <w:pPr>
        <w:ind w:firstLine="648"/>
        <w:spacing w:after="0" w:line="188" w:lineRule="auto"/>
        <w:framePr w:w="5900" w:h="163" w:wrap="auto" w:vAnchor="page" w:hAnchor="page" w:x="200" w:y="2165"/>
        <w:rPr>
          <w:rFonts w:ascii="Arial" w:cs="Arial" w:eastAsia="Arial" w:hAnsi="Arial"/>
          <w:sz w:val="18"/>
          <w:szCs w:val="18"/>
          <w:b w:val="1"/>
          <w:bCs w:val="1"/>
          <w:color w:val="auto"/>
        </w:rPr>
      </w:pPr>
      <w:r>
        <w:rPr>
          <w:rFonts w:ascii="Arial" w:cs="Arial" w:eastAsia="Arial" w:hAnsi="Arial"/>
          <w:sz w:val="18"/>
          <w:szCs w:val="18"/>
          <w:b w:val="1"/>
          <w:bCs w:val="1"/>
          <w:color w:val="auto"/>
        </w:rPr>
        <w:t>Item 2. Unregistered Sales of Equity Securities and Use of Proceeds</w:t>
      </w:r>
    </w:p>
    <w:p>
      <w:pPr>
        <w:ind w:firstLine="648"/>
        <w:spacing w:after="0" w:line="211" w:lineRule="auto"/>
        <w:framePr w:w="11140" w:h="366" w:wrap="auto" w:vAnchor="page" w:hAnchor="page" w:x="200" w:y="2584"/>
        <w:rPr>
          <w:rFonts w:ascii="Arial" w:cs="Arial" w:eastAsia="Arial" w:hAnsi="Arial"/>
          <w:sz w:val="18"/>
          <w:szCs w:val="18"/>
          <w:b w:val="1"/>
          <w:bCs w:val="1"/>
          <w:color w:val="auto"/>
        </w:rPr>
      </w:pPr>
      <w:r>
        <w:rPr>
          <w:rFonts w:ascii="Arial" w:cs="Arial" w:eastAsia="Arial" w:hAnsi="Arial"/>
          <w:sz w:val="18"/>
          <w:szCs w:val="18"/>
          <w:b w:val="1"/>
          <w:bCs w:val="1"/>
          <w:color w:val="auto"/>
        </w:rPr>
        <w:t>We made no share purchases during the third quarter of 2014. We remain authorized by the Board of Directors to purchase up to 2 million shares of our Class A Common Stock.</w:t>
      </w:r>
    </w:p>
    <w:p>
      <w:pPr>
        <w:ind w:firstLine="648"/>
        <w:spacing w:after="0" w:line="337" w:lineRule="auto"/>
        <w:framePr w:w="3440" w:h="582" w:wrap="auto" w:vAnchor="page" w:hAnchor="page" w:x="200" w:y="3205"/>
        <w:rPr>
          <w:rFonts w:ascii="Arial" w:cs="Arial" w:eastAsia="Arial" w:hAnsi="Arial"/>
          <w:sz w:val="18"/>
          <w:szCs w:val="18"/>
          <w:color w:val="auto"/>
        </w:rPr>
      </w:pPr>
      <w:r>
        <w:rPr>
          <w:rFonts w:ascii="Arial" w:cs="Arial" w:eastAsia="Arial" w:hAnsi="Arial"/>
          <w:sz w:val="18"/>
          <w:szCs w:val="18"/>
          <w:b w:val="1"/>
          <w:bCs w:val="1"/>
          <w:color w:val="auto"/>
        </w:rPr>
        <w:t xml:space="preserve">Item 3. Defaults Upon Senior Securities </w:t>
      </w:r>
      <w:r>
        <w:rPr>
          <w:rFonts w:ascii="Arial" w:cs="Arial" w:eastAsia="Arial" w:hAnsi="Arial"/>
          <w:sz w:val="18"/>
          <w:szCs w:val="18"/>
          <w:color w:val="auto"/>
        </w:rPr>
        <w:t>None.</w:t>
      </w:r>
    </w:p>
    <w:p>
      <w:pPr>
        <w:ind w:firstLine="648"/>
        <w:spacing w:after="0" w:line="188" w:lineRule="auto"/>
        <w:framePr w:w="2780" w:h="163" w:wrap="auto" w:vAnchor="page" w:hAnchor="page" w:x="200" w:y="4042"/>
        <w:rPr>
          <w:rFonts w:ascii="Arial" w:cs="Arial" w:eastAsia="Arial" w:hAnsi="Arial"/>
          <w:sz w:val="18"/>
          <w:szCs w:val="18"/>
          <w:b w:val="1"/>
          <w:bCs w:val="1"/>
          <w:color w:val="auto"/>
        </w:rPr>
      </w:pPr>
      <w:r>
        <w:rPr>
          <w:rFonts w:ascii="Arial" w:cs="Arial" w:eastAsia="Arial" w:hAnsi="Arial"/>
          <w:sz w:val="18"/>
          <w:szCs w:val="18"/>
          <w:b w:val="1"/>
          <w:bCs w:val="1"/>
          <w:color w:val="auto"/>
        </w:rPr>
        <w:t>Item 4. Mine Safety Disclosures</w:t>
      </w:r>
    </w:p>
    <w:p>
      <w:pPr>
        <w:ind w:firstLine="648"/>
        <w:spacing w:after="0" w:line="200" w:lineRule="auto"/>
        <w:framePr w:w="1280" w:h="163" w:wrap="auto" w:vAnchor="page" w:hAnchor="page" w:x="860" w:y="4461"/>
        <w:rPr>
          <w:rFonts w:ascii="Arial" w:cs="Arial" w:eastAsia="Arial" w:hAnsi="Arial"/>
          <w:sz w:val="17"/>
          <w:szCs w:val="17"/>
          <w:b w:val="1"/>
          <w:bCs w:val="1"/>
          <w:color w:val="auto"/>
        </w:rPr>
      </w:pPr>
      <w:r>
        <w:rPr>
          <w:rFonts w:ascii="Arial" w:cs="Arial" w:eastAsia="Arial" w:hAnsi="Arial"/>
          <w:sz w:val="17"/>
          <w:szCs w:val="17"/>
          <w:b w:val="1"/>
          <w:bCs w:val="1"/>
          <w:color w:val="auto"/>
        </w:rPr>
        <w:t>Not Applicable.</w:t>
      </w:r>
    </w:p>
    <w:p>
      <w:pPr>
        <w:ind w:firstLine="648"/>
        <w:spacing w:after="0" w:line="357" w:lineRule="auto"/>
        <w:framePr w:w="2220" w:h="582" w:wrap="auto" w:vAnchor="page" w:hAnchor="page" w:x="200" w:y="4879"/>
        <w:rPr>
          <w:rFonts w:ascii="Arial" w:cs="Arial" w:eastAsia="Arial" w:hAnsi="Arial"/>
          <w:sz w:val="17"/>
          <w:szCs w:val="17"/>
          <w:color w:val="auto"/>
        </w:rPr>
      </w:pPr>
      <w:r>
        <w:rPr>
          <w:rFonts w:ascii="Arial" w:cs="Arial" w:eastAsia="Arial" w:hAnsi="Arial"/>
          <w:sz w:val="17"/>
          <w:szCs w:val="17"/>
          <w:b w:val="1"/>
          <w:bCs w:val="1"/>
          <w:color w:val="auto"/>
        </w:rPr>
        <w:t xml:space="preserve">Item 5. Other Information </w:t>
      </w:r>
      <w:r>
        <w:rPr>
          <w:rFonts w:ascii="Arial" w:cs="Arial" w:eastAsia="Arial" w:hAnsi="Arial"/>
          <w:sz w:val="17"/>
          <w:szCs w:val="17"/>
          <w:color w:val="auto"/>
        </w:rPr>
        <w:t>None.</w:t>
      </w:r>
    </w:p>
    <w:p>
      <w:pPr>
        <w:ind w:firstLine="648"/>
        <w:spacing w:after="0" w:line="200" w:lineRule="auto"/>
        <w:framePr w:w="1400" w:h="163" w:wrap="auto" w:vAnchor="page" w:hAnchor="page" w:x="200" w:y="5717"/>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p>
      <w:pPr>
        <w:ind w:firstLine="648"/>
        <w:spacing w:after="0" w:line="200" w:lineRule="auto"/>
        <w:rPr>
          <w:rFonts w:ascii="Arial" w:cs="Arial" w:eastAsia="Arial" w:hAnsi="Arial"/>
          <w:sz w:val="17"/>
          <w:szCs w:val="17"/>
          <w:b w:val="1"/>
          <w:bCs w:val="1"/>
          <w:color w:val="auto"/>
        </w:rPr>
        <w:sectPr>
          <w:pgSz w:w="11900" w:h="16838" w:orient="portrait"/>
          <w:cols w:equalWidth="1" w:num="1" w:space="0"/>
          <w:pgMar w:left="1440" w:top="1440" w:right="1440" w:bottom="875" w:gutter="0" w:footer="0" w:header="0"/>
        </w:sect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7832725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bookmarkStart w:id="42" w:name="page43"/>
    <w:bookmarkEnd w:id="4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ind w:left="64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4, 2014</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John B. Cozzolino</w:t>
      </w:r>
    </w:p>
    <w:p>
      <w:pPr>
        <w:ind w:left="500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29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84" w:right="6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6080"/>
        <w:spacing w:after="0" w:line="234" w:lineRule="auto"/>
        <w:rPr>
          <w:sz w:val="20"/>
          <w:szCs w:val="20"/>
          <w:color w:val="auto"/>
        </w:rPr>
      </w:pPr>
      <w:r>
        <w:rPr>
          <w:rFonts w:ascii="Arial" w:cs="Arial" w:eastAsia="Arial" w:hAnsi="Arial"/>
          <w:sz w:val="18"/>
          <w:szCs w:val="18"/>
          <w:color w:val="auto"/>
        </w:rPr>
        <w:t>Joseph G. Morone</w:t>
      </w:r>
    </w:p>
    <w:p>
      <w:pPr>
        <w:ind w:left="608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080"/>
        <w:spacing w:after="0" w:line="234" w:lineRule="auto"/>
        <w:rPr>
          <w:sz w:val="20"/>
          <w:szCs w:val="20"/>
          <w:color w:val="auto"/>
        </w:rPr>
      </w:pPr>
      <w:r>
        <w:rPr>
          <w:rFonts w:ascii="Arial" w:cs="Arial" w:eastAsia="Arial" w:hAnsi="Arial"/>
          <w:sz w:val="18"/>
          <w:szCs w:val="18"/>
          <w:color w:val="auto"/>
        </w:rPr>
        <w:t>John B. Cozzolino</w:t>
      </w:r>
    </w:p>
    <w:p>
      <w:pPr>
        <w:ind w:left="608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left="60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2014,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2" w:lineRule="exact"/>
        <w:rPr>
          <w:sz w:val="20"/>
          <w:szCs w:val="20"/>
          <w:color w:val="auto"/>
        </w:rPr>
      </w:pPr>
    </w:p>
    <w:p>
      <w:pPr>
        <w:ind w:left="920" w:hanging="32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20" w:hanging="324"/>
        <w:spacing w:after="0" w:line="246"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2014</w:t>
      </w:r>
    </w:p>
    <w:p>
      <w:pPr>
        <w:ind w:left="5260"/>
        <w:spacing w:after="0" w:line="234" w:lineRule="auto"/>
        <w:rPr>
          <w:sz w:val="20"/>
          <w:szCs w:val="20"/>
          <w:color w:val="auto"/>
        </w:rPr>
      </w:pPr>
      <w:r>
        <w:rPr>
          <w:rFonts w:ascii="Arial" w:cs="Arial" w:eastAsia="Arial" w:hAnsi="Arial"/>
          <w:sz w:val="18"/>
          <w:szCs w:val="18"/>
          <w:u w:val="single" w:color="auto"/>
          <w:color w:val="auto"/>
        </w:rPr>
        <w:t>/s/ Joseph G. Morone</w:t>
      </w:r>
    </w:p>
    <w:p>
      <w:pPr>
        <w:ind w:left="5260"/>
        <w:spacing w:after="0" w:line="235" w:lineRule="auto"/>
        <w:rPr>
          <w:sz w:val="20"/>
          <w:szCs w:val="20"/>
          <w:color w:val="auto"/>
        </w:rPr>
      </w:pPr>
      <w:r>
        <w:rPr>
          <w:rFonts w:ascii="Arial" w:cs="Arial" w:eastAsia="Arial" w:hAnsi="Arial"/>
          <w:sz w:val="18"/>
          <w:szCs w:val="18"/>
          <w:color w:val="auto"/>
        </w:rPr>
        <w:t>Joseph G. Morone</w:t>
      </w:r>
    </w:p>
    <w:p>
      <w:pPr>
        <w:ind w:left="52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/s/ John B. Cozzolino</w:t>
      </w:r>
    </w:p>
    <w:p>
      <w:pPr>
        <w:ind w:left="5260"/>
        <w:spacing w:after="0" w:line="234" w:lineRule="auto"/>
        <w:rPr>
          <w:sz w:val="20"/>
          <w:szCs w:val="20"/>
          <w:color w:val="auto"/>
        </w:rPr>
      </w:pPr>
      <w:r>
        <w:rPr>
          <w:rFonts w:ascii="Arial" w:cs="Arial" w:eastAsia="Arial" w:hAnsi="Arial"/>
          <w:sz w:val="18"/>
          <w:szCs w:val="18"/>
          <w:color w:val="auto"/>
        </w:rPr>
        <w:t>John B. Cozzolino</w:t>
      </w:r>
    </w:p>
    <w:p>
      <w:pPr>
        <w:ind w:left="52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272415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sectPr>
      </w:pPr>
    </w:p>
    <w:bookmarkStart w:id="46" w:name="page47"/>
    <w:bookmarkEnd w:id="46"/>
    <w:p>
      <w:pPr>
        <w:jc w:val="center"/>
        <w:ind w:left="1300"/>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MARKET RISK SENSITIVITY – AS OF September 30, 2014</w:t>
      </w:r>
    </w:p>
    <w:p>
      <w:pPr>
        <w:spacing w:after="0" w:line="104"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$592.5 million. The potential loss in fair value resulting from a hypothetical 10% adverse change in quoted foreign currency exchange rates amounts to $59.3 million. Furthermore, related to foreign currency transactions, we have exposure to various nonfunctional currency balances totaling $133.5 million. This amount includes, on an absolute basis, exposures to assets and liabilities held in currencies other than our local entity’s functional currency. On a net basis, we had $56.1 million of foreign currency liabilities as of September 30, 2014. As currency rates change, these nonfunctional currency balances are revalued, and the corresponding adjustment is recorded in the income statement. A hypothetical change of 10% in currency rates could result in an adjustment to the income statement of approximately $5.6 million. Actual results may differ.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30, 2014,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135255</wp:posOffset>
            </wp:positionV>
            <wp:extent cx="4022090" cy="1697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2209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$0.8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309245</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700"/>
      </w:cols>
      <w:pgMar w:left="90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lvl w:ilvl="1">
      <w:lvlJc w:val="left"/>
      <w:lvlText w:val="·"/>
      <w:numFmt w:val="bullet"/>
      <w:start w:val="1"/>
    </w:lvl>
  </w:abstractNum>
  <w:abstractNum w:abstractNumId="6">
    <w:nsid w:val="3F2DBA31"/>
    <w:multiLevelType w:val="hybridMultilevel"/>
    <w:lvl w:ilvl="0">
      <w:lvlJc w:val="left"/>
      <w:lvlText w:val="·"/>
      <w:numFmt w:val="bullet"/>
      <w:start w:val="1"/>
    </w:lvl>
    <w:lvl w:ilvl="1">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2019-12-06T01:13:26Z</dcterms:created>
  <dcterms:modified xsi:type="dcterms:W3CDTF">2019-12-06T01:13:26Z</dcterms:modified>
</cp:coreProperties>
</file>