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06"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8" w:lineRule="exact"/>
        <w:rPr>
          <w:sz w:val="24"/>
          <w:szCs w:val="24"/>
          <w:color w:val="auto"/>
        </w:rPr>
      </w:pPr>
    </w:p>
    <w:p>
      <w:pPr>
        <w:ind w:left="380"/>
        <w:spacing w:after="0"/>
        <w:tabs>
          <w:tab w:leader="none" w:pos="34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June 30, 2023</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02" w:lineRule="exact"/>
        <w:rPr>
          <w:sz w:val="24"/>
          <w:szCs w:val="24"/>
          <w:color w:val="auto"/>
        </w:rPr>
      </w:pPr>
    </w:p>
    <w:p>
      <w:pPr>
        <w:ind w:left="380" w:hanging="354"/>
        <w:spacing w:after="0"/>
        <w:tabs>
          <w:tab w:leader="none" w:pos="380"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 w:lineRule="exact"/>
        <w:rPr>
          <w:sz w:val="24"/>
          <w:szCs w:val="24"/>
          <w:color w:val="auto"/>
        </w:rPr>
      </w:pPr>
    </w:p>
    <w:p>
      <w:pPr>
        <w:ind w:left="380"/>
        <w:spacing w:after="0"/>
        <w:rPr>
          <w:sz w:val="20"/>
          <w:szCs w:val="20"/>
          <w:color w:val="auto"/>
        </w:rPr>
      </w:pPr>
      <w:r>
        <w:rPr>
          <w:rFonts w:ascii="Arial" w:cs="Arial" w:eastAsia="Arial" w:hAnsi="Arial"/>
          <w:sz w:val="18"/>
          <w:szCs w:val="18"/>
          <w:color w:val="auto"/>
        </w:rPr>
        <w:t>For the transition period from __________ to 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930910</wp:posOffset>
            </wp:positionH>
            <wp:positionV relativeFrom="paragraph">
              <wp:posOffset>33020</wp:posOffset>
            </wp:positionV>
            <wp:extent cx="5280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350"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216 Airport Drive, Rochester, New Hampshire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6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14-0462060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03867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37465</wp:posOffset>
            </wp:positionV>
            <wp:extent cx="3531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37465</wp:posOffset>
            </wp:positionV>
            <wp:extent cx="3291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83"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AIN</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98" w:lineRule="exact"/>
        <w:rPr>
          <w:sz w:val="24"/>
          <w:szCs w:val="24"/>
          <w:color w:val="auto"/>
        </w:rPr>
      </w:pPr>
    </w:p>
    <w:p>
      <w:pPr>
        <w:jc w:val="both"/>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20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4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spacing w:after="0" w:line="222"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7"/>
          <w:szCs w:val="17"/>
          <w:color w:val="auto"/>
        </w:rPr>
        <w:t>.</w:t>
      </w:r>
      <w:r>
        <w:rPr>
          <w:rFonts w:ascii="Arial" w:cs="Arial" w:eastAsia="Arial" w:hAnsi="Arial"/>
          <w:sz w:val="16"/>
          <w:szCs w:val="16"/>
          <w:color w:val="auto"/>
        </w:rPr>
        <w:t xml:space="preserve"> </w:t>
      </w:r>
      <w:r>
        <w:rPr>
          <w:rFonts w:ascii="MS PGothic" w:cs="MS PGothic" w:eastAsia="MS PGothic" w:hAnsi="MS PGothic"/>
          <w:sz w:val="17"/>
          <w:szCs w:val="17"/>
          <w:color w:val="auto"/>
        </w:rPr>
        <w:t>☐</w:t>
      </w:r>
    </w:p>
    <w:p>
      <w:pPr>
        <w:ind w:right="220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registrant had 31.2 million shares of Class A Common Stock as of July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9"/>
              </w:rPr>
              <w:t>Page</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No.</w:t>
            </w:r>
          </w:p>
        </w:tc>
      </w:tr>
      <w:tr>
        <w:trPr>
          <w:trHeight w:val="240"/>
        </w:trPr>
        <w:tc>
          <w:tcPr>
            <w:tcW w:w="20" w:type="dxa"/>
            <w:vAlign w:val="bottom"/>
            <w:shd w:val="clear" w:color="auto" w:fill="B2B2B2"/>
          </w:tcPr>
          <w:p>
            <w:pPr>
              <w:spacing w:after="0"/>
              <w:rPr>
                <w:sz w:val="20"/>
                <w:szCs w:val="20"/>
                <w:color w:val="auto"/>
              </w:rPr>
            </w:pPr>
          </w:p>
        </w:tc>
        <w:tc>
          <w:tcPr>
            <w:tcW w:w="10560" w:type="dxa"/>
            <w:vAlign w:val="bottom"/>
            <w:gridSpan w:val="35"/>
            <w:shd w:val="clear" w:color="auto" w:fill="B2B2B2"/>
          </w:tcPr>
          <w:p>
            <w:pPr>
              <w:spacing w:after="0"/>
              <w:rPr>
                <w:sz w:val="20"/>
                <w:szCs w:val="20"/>
                <w:color w:val="auto"/>
              </w:rPr>
            </w:pPr>
            <w:r>
              <w:rPr>
                <w:rFonts w:ascii="Arial" w:cs="Arial" w:eastAsia="Arial" w:hAnsi="Arial"/>
                <w:sz w:val="16"/>
                <w:szCs w:val="16"/>
                <w:b w:val="1"/>
                <w:bCs w:val="1"/>
                <w:color w:val="0000FF"/>
              </w:rPr>
              <w:t>Part I Financial information</w:t>
            </w:r>
          </w:p>
        </w:tc>
        <w:tc>
          <w:tcPr>
            <w:tcW w:w="46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80" w:type="dxa"/>
            <w:vAlign w:val="bottom"/>
            <w:shd w:val="clear" w:color="auto" w:fill="B2B2B2"/>
          </w:tcPr>
          <w:p>
            <w:pPr>
              <w:spacing w:after="0"/>
              <w:rPr>
                <w:sz w:val="20"/>
                <w:szCs w:val="20"/>
                <w:color w:val="auto"/>
              </w:rPr>
            </w:pPr>
          </w:p>
        </w:tc>
        <w:tc>
          <w:tcPr>
            <w:tcW w:w="20" w:type="dxa"/>
            <w:vAlign w:val="bottom"/>
            <w:shd w:val="clear" w:color="auto" w:fill="B2B2B2"/>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1.</w:t>
            </w:r>
          </w:p>
        </w:tc>
        <w:tc>
          <w:tcPr>
            <w:tcW w:w="9960" w:type="dxa"/>
            <w:vAlign w:val="bottom"/>
            <w:gridSpan w:val="33"/>
          </w:tcPr>
          <w:p>
            <w:pPr>
              <w:ind w:left="280"/>
              <w:spacing w:after="0"/>
              <w:rPr>
                <w:sz w:val="20"/>
                <w:szCs w:val="20"/>
                <w:color w:val="auto"/>
              </w:rPr>
            </w:pPr>
            <w:r>
              <w:rPr>
                <w:rFonts w:ascii="Arial" w:cs="Arial" w:eastAsia="Arial" w:hAnsi="Arial"/>
                <w:sz w:val="16"/>
                <w:szCs w:val="16"/>
                <w:color w:val="0000FF"/>
              </w:rPr>
              <w:t>Financial Statements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9960" w:type="dxa"/>
            <w:vAlign w:val="bottom"/>
            <w:gridSpan w:val="33"/>
            <w:shd w:val="clear" w:color="auto" w:fill="B2B2B2"/>
          </w:tcPr>
          <w:p>
            <w:pPr>
              <w:ind w:left="280"/>
              <w:spacing w:after="0"/>
              <w:rPr>
                <w:sz w:val="20"/>
                <w:szCs w:val="20"/>
                <w:color w:val="auto"/>
              </w:rPr>
            </w:pPr>
            <w:r>
              <w:rPr>
                <w:rFonts w:ascii="Arial" w:cs="Arial" w:eastAsia="Arial" w:hAnsi="Arial"/>
                <w:sz w:val="16"/>
                <w:szCs w:val="16"/>
                <w:color w:val="0000FF"/>
              </w:rPr>
              <w:t xml:space="preserve">Consolidated statements of income – three and </w:t>
            </w:r>
            <w:r>
              <w:rPr>
                <w:rFonts w:ascii="Arial" w:cs="Arial" w:eastAsia="Arial" w:hAnsi="Arial"/>
                <w:sz w:val="16"/>
                <w:szCs w:val="16"/>
                <w:color w:val="000000"/>
              </w:rPr>
              <w:t>six</w:t>
            </w:r>
            <w:r>
              <w:rPr>
                <w:rFonts w:ascii="Arial" w:cs="Arial" w:eastAsia="Arial" w:hAnsi="Arial"/>
                <w:sz w:val="16"/>
                <w:szCs w:val="16"/>
                <w:color w:val="0000FF"/>
              </w:rPr>
              <w:t xml:space="preserve"> months ended </w:t>
            </w:r>
            <w:r>
              <w:rPr>
                <w:rFonts w:ascii="Arial" w:cs="Arial" w:eastAsia="Arial" w:hAnsi="Arial"/>
                <w:sz w:val="16"/>
                <w:szCs w:val="16"/>
                <w:color w:val="000000"/>
              </w:rPr>
              <w:t>June 30, 2023</w:t>
            </w:r>
            <w:r>
              <w:rPr>
                <w:rFonts w:ascii="Arial" w:cs="Arial" w:eastAsia="Arial" w:hAnsi="Arial"/>
                <w:sz w:val="16"/>
                <w:szCs w:val="16"/>
                <w:color w:val="0000FF"/>
              </w:rPr>
              <w:t xml:space="preserve"> and </w:t>
            </w:r>
            <w:r>
              <w:rPr>
                <w:rFonts w:ascii="Arial" w:cs="Arial" w:eastAsia="Arial" w:hAnsi="Arial"/>
                <w:sz w:val="16"/>
                <w:szCs w:val="16"/>
                <w:color w:val="000000"/>
              </w:rPr>
              <w:t>2022</w:t>
            </w:r>
          </w:p>
        </w:tc>
        <w:tc>
          <w:tcPr>
            <w:tcW w:w="64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1</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8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42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3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60" w:type="dxa"/>
            <w:vAlign w:val="bottom"/>
            <w:tcBorders>
              <w:top w:val="single" w:sz="8" w:color="0000FF"/>
            </w:tcBorders>
            <w:shd w:val="clear" w:color="auto" w:fill="B2B2B2"/>
          </w:tcPr>
          <w:p>
            <w:pPr>
              <w:spacing w:after="0"/>
              <w:rPr>
                <w:sz w:val="2"/>
                <w:szCs w:val="2"/>
                <w:color w:val="auto"/>
              </w:rPr>
            </w:pPr>
          </w:p>
        </w:tc>
        <w:tc>
          <w:tcPr>
            <w:tcW w:w="400" w:type="dxa"/>
            <w:vAlign w:val="bottom"/>
            <w:tcBorders>
              <w:top w:val="single" w:sz="8" w:color="0000FF"/>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96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gridSpan w:val="33"/>
          </w:tcPr>
          <w:p>
            <w:pPr>
              <w:ind w:left="280"/>
              <w:spacing w:after="0"/>
              <w:rPr>
                <w:sz w:val="20"/>
                <w:szCs w:val="20"/>
                <w:color w:val="auto"/>
              </w:rPr>
            </w:pPr>
            <w:r>
              <w:rPr>
                <w:rFonts w:ascii="Arial" w:cs="Arial" w:eastAsia="Arial" w:hAnsi="Arial"/>
                <w:sz w:val="16"/>
                <w:szCs w:val="16"/>
                <w:color w:val="0000FF"/>
              </w:rPr>
              <w:t xml:space="preserve">Consolidated statements of comprehensive income/(loss) – </w:t>
            </w:r>
            <w:r>
              <w:rPr>
                <w:rFonts w:ascii="Arial" w:cs="Arial" w:eastAsia="Arial" w:hAnsi="Arial"/>
                <w:sz w:val="16"/>
                <w:szCs w:val="16"/>
                <w:color w:val="000000"/>
              </w:rPr>
              <w:t>three and six</w:t>
            </w:r>
            <w:r>
              <w:rPr>
                <w:rFonts w:ascii="Arial" w:cs="Arial" w:eastAsia="Arial" w:hAnsi="Arial"/>
                <w:sz w:val="16"/>
                <w:szCs w:val="16"/>
                <w:color w:val="0000FF"/>
              </w:rPr>
              <w:t xml:space="preserve"> months ended </w:t>
            </w:r>
            <w:r>
              <w:rPr>
                <w:rFonts w:ascii="Arial" w:cs="Arial" w:eastAsia="Arial" w:hAnsi="Arial"/>
                <w:sz w:val="16"/>
                <w:szCs w:val="16"/>
                <w:color w:val="000000"/>
              </w:rPr>
              <w:t>June 30, 2023</w:t>
            </w:r>
            <w:r>
              <w:rPr>
                <w:rFonts w:ascii="Arial" w:cs="Arial" w:eastAsia="Arial" w:hAnsi="Arial"/>
                <w:sz w:val="16"/>
                <w:szCs w:val="16"/>
                <w:color w:val="0000FF"/>
              </w:rPr>
              <w:t xml:space="preserve"> and </w:t>
            </w:r>
            <w:r>
              <w:rPr>
                <w:rFonts w:ascii="Arial" w:cs="Arial" w:eastAsia="Arial" w:hAnsi="Arial"/>
                <w:sz w:val="16"/>
                <w:szCs w:val="16"/>
                <w:color w:val="000000"/>
              </w:rPr>
              <w:t>2022</w:t>
            </w:r>
          </w:p>
        </w:tc>
        <w:tc>
          <w:tcPr>
            <w:tcW w:w="640" w:type="dxa"/>
            <w:vAlign w:val="bottom"/>
            <w:gridSpan w:val="3"/>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9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9960" w:type="dxa"/>
            <w:vAlign w:val="bottom"/>
            <w:gridSpan w:val="33"/>
            <w:shd w:val="clear" w:color="auto" w:fill="B2B2B2"/>
          </w:tcPr>
          <w:p>
            <w:pPr>
              <w:ind w:left="280"/>
              <w:spacing w:after="0"/>
              <w:rPr>
                <w:sz w:val="20"/>
                <w:szCs w:val="20"/>
                <w:color w:val="auto"/>
              </w:rPr>
            </w:pPr>
            <w:r>
              <w:rPr>
                <w:rFonts w:ascii="Arial" w:cs="Arial" w:eastAsia="Arial" w:hAnsi="Arial"/>
                <w:sz w:val="16"/>
                <w:szCs w:val="16"/>
                <w:color w:val="0000FF"/>
              </w:rPr>
              <w:t xml:space="preserve">Consolidated balance sheets as of </w:t>
            </w:r>
            <w:r>
              <w:rPr>
                <w:rFonts w:ascii="Arial" w:cs="Arial" w:eastAsia="Arial" w:hAnsi="Arial"/>
                <w:sz w:val="16"/>
                <w:szCs w:val="16"/>
                <w:color w:val="000000"/>
              </w:rPr>
              <w:t>June 30, 2023</w:t>
            </w:r>
            <w:r>
              <w:rPr>
                <w:rFonts w:ascii="Arial" w:cs="Arial" w:eastAsia="Arial" w:hAnsi="Arial"/>
                <w:sz w:val="16"/>
                <w:szCs w:val="16"/>
                <w:color w:val="0000FF"/>
              </w:rPr>
              <w:t xml:space="preserve"> and </w:t>
            </w:r>
            <w:r>
              <w:rPr>
                <w:rFonts w:ascii="Arial" w:cs="Arial" w:eastAsia="Arial" w:hAnsi="Arial"/>
                <w:sz w:val="16"/>
                <w:szCs w:val="16"/>
                <w:color w:val="000000"/>
              </w:rPr>
              <w:t>December 31, 2022</w:t>
            </w:r>
          </w:p>
        </w:tc>
        <w:tc>
          <w:tcPr>
            <w:tcW w:w="64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8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3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0000FF"/>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96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gridSpan w:val="33"/>
          </w:tcPr>
          <w:p>
            <w:pPr>
              <w:ind w:left="280"/>
              <w:spacing w:after="0"/>
              <w:rPr>
                <w:sz w:val="20"/>
                <w:szCs w:val="20"/>
                <w:color w:val="auto"/>
              </w:rPr>
            </w:pPr>
            <w:r>
              <w:rPr>
                <w:rFonts w:ascii="Arial" w:cs="Arial" w:eastAsia="Arial" w:hAnsi="Arial"/>
                <w:sz w:val="16"/>
                <w:szCs w:val="16"/>
                <w:color w:val="0000FF"/>
              </w:rPr>
              <w:t xml:space="preserve">Consolidated statements of cash flows – </w:t>
            </w:r>
            <w:r>
              <w:rPr>
                <w:rFonts w:ascii="Arial" w:cs="Arial" w:eastAsia="Arial" w:hAnsi="Arial"/>
                <w:sz w:val="16"/>
                <w:szCs w:val="16"/>
                <w:color w:val="000000"/>
              </w:rPr>
              <w:t>six</w:t>
            </w:r>
            <w:r>
              <w:rPr>
                <w:rFonts w:ascii="Arial" w:cs="Arial" w:eastAsia="Arial" w:hAnsi="Arial"/>
                <w:sz w:val="16"/>
                <w:szCs w:val="16"/>
                <w:color w:val="0000FF"/>
              </w:rPr>
              <w:t xml:space="preserve"> months ended </w:t>
            </w:r>
            <w:r>
              <w:rPr>
                <w:rFonts w:ascii="Arial" w:cs="Arial" w:eastAsia="Arial" w:hAnsi="Arial"/>
                <w:sz w:val="16"/>
                <w:szCs w:val="16"/>
                <w:color w:val="000000"/>
              </w:rPr>
              <w:t>June 30, 2023</w:t>
            </w:r>
            <w:r>
              <w:rPr>
                <w:rFonts w:ascii="Arial" w:cs="Arial" w:eastAsia="Arial" w:hAnsi="Arial"/>
                <w:sz w:val="16"/>
                <w:szCs w:val="16"/>
                <w:color w:val="0000FF"/>
              </w:rPr>
              <w:t xml:space="preserve"> and </w:t>
            </w:r>
            <w:r>
              <w:rPr>
                <w:rFonts w:ascii="Arial" w:cs="Arial" w:eastAsia="Arial" w:hAnsi="Arial"/>
                <w:sz w:val="16"/>
                <w:szCs w:val="16"/>
                <w:color w:val="000000"/>
              </w:rPr>
              <w:t>2022</w:t>
            </w:r>
          </w:p>
        </w:tc>
        <w:tc>
          <w:tcPr>
            <w:tcW w:w="64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9960" w:type="dxa"/>
            <w:vAlign w:val="bottom"/>
            <w:gridSpan w:val="33"/>
            <w:shd w:val="clear" w:color="auto" w:fill="B2B2B2"/>
          </w:tcPr>
          <w:p>
            <w:pPr>
              <w:ind w:left="280"/>
              <w:spacing w:after="0"/>
              <w:rPr>
                <w:sz w:val="20"/>
                <w:szCs w:val="20"/>
                <w:color w:val="auto"/>
              </w:rPr>
            </w:pPr>
            <w:r>
              <w:rPr>
                <w:rFonts w:ascii="Arial" w:cs="Arial" w:eastAsia="Arial" w:hAnsi="Arial"/>
                <w:sz w:val="16"/>
                <w:szCs w:val="16"/>
                <w:color w:val="0000FF"/>
              </w:rPr>
              <w:t>Notes to consolidated financial statements</w:t>
            </w:r>
          </w:p>
        </w:tc>
        <w:tc>
          <w:tcPr>
            <w:tcW w:w="64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5</w:t>
            </w:r>
          </w:p>
        </w:tc>
        <w:tc>
          <w:tcPr>
            <w:tcW w:w="20" w:type="dxa"/>
            <w:vAlign w:val="bottom"/>
            <w:shd w:val="clear" w:color="auto" w:fill="B2B2B2"/>
          </w:tcPr>
          <w:p>
            <w:pPr>
              <w:spacing w:after="0"/>
              <w:rPr>
                <w:sz w:val="16"/>
                <w:szCs w:val="16"/>
                <w:color w:val="auto"/>
              </w:rPr>
            </w:pPr>
          </w:p>
        </w:tc>
      </w:tr>
      <w:tr>
        <w:trPr>
          <w:trHeight w:val="48"/>
        </w:trPr>
        <w:tc>
          <w:tcPr>
            <w:tcW w:w="20" w:type="dxa"/>
            <w:vAlign w:val="bottom"/>
            <w:tcBorders>
              <w:top w:val="single" w:sz="8" w:color="B2B2B2"/>
            </w:tcBorders>
            <w:shd w:val="clear" w:color="auto" w:fill="B2B2B2"/>
          </w:tcPr>
          <w:p>
            <w:pPr>
              <w:spacing w:after="0"/>
              <w:rPr>
                <w:sz w:val="4"/>
                <w:szCs w:val="4"/>
                <w:color w:val="auto"/>
              </w:rPr>
            </w:pPr>
          </w:p>
        </w:tc>
        <w:tc>
          <w:tcPr>
            <w:tcW w:w="500" w:type="dxa"/>
            <w:vAlign w:val="bottom"/>
            <w:tcBorders>
              <w:top w:val="single" w:sz="8" w:color="B2B2B2"/>
            </w:tcBorders>
            <w:shd w:val="clear" w:color="auto" w:fill="B2B2B2"/>
          </w:tcPr>
          <w:p>
            <w:pPr>
              <w:spacing w:after="0"/>
              <w:rPr>
                <w:sz w:val="4"/>
                <w:szCs w:val="4"/>
                <w:color w:val="auto"/>
              </w:rPr>
            </w:pPr>
          </w:p>
        </w:tc>
        <w:tc>
          <w:tcPr>
            <w:tcW w:w="100" w:type="dxa"/>
            <w:vAlign w:val="bottom"/>
            <w:tcBorders>
              <w:top w:val="single" w:sz="8" w:color="B2B2B2"/>
            </w:tcBorders>
            <w:shd w:val="clear" w:color="auto" w:fill="B2B2B2"/>
          </w:tcPr>
          <w:p>
            <w:pPr>
              <w:spacing w:after="0"/>
              <w:rPr>
                <w:sz w:val="4"/>
                <w:szCs w:val="4"/>
                <w:color w:val="auto"/>
              </w:rPr>
            </w:pPr>
          </w:p>
        </w:tc>
        <w:tc>
          <w:tcPr>
            <w:tcW w:w="280" w:type="dxa"/>
            <w:vAlign w:val="bottom"/>
            <w:tcBorders>
              <w:top w:val="single" w:sz="8" w:color="B2B2B2"/>
            </w:tcBorders>
            <w:shd w:val="clear" w:color="auto" w:fill="B2B2B2"/>
          </w:tcPr>
          <w:p>
            <w:pPr>
              <w:spacing w:after="0"/>
              <w:rPr>
                <w:sz w:val="4"/>
                <w:szCs w:val="4"/>
                <w:color w:val="auto"/>
              </w:rPr>
            </w:pPr>
          </w:p>
        </w:tc>
        <w:tc>
          <w:tcPr>
            <w:tcW w:w="560" w:type="dxa"/>
            <w:vAlign w:val="bottom"/>
            <w:tcBorders>
              <w:top w:val="single" w:sz="8" w:color="0000FF"/>
            </w:tcBorders>
            <w:shd w:val="clear" w:color="auto" w:fill="B2B2B2"/>
          </w:tcPr>
          <w:p>
            <w:pPr>
              <w:spacing w:after="0"/>
              <w:rPr>
                <w:sz w:val="4"/>
                <w:szCs w:val="4"/>
                <w:color w:val="auto"/>
              </w:rPr>
            </w:pPr>
          </w:p>
        </w:tc>
        <w:tc>
          <w:tcPr>
            <w:tcW w:w="340" w:type="dxa"/>
            <w:vAlign w:val="bottom"/>
            <w:tcBorders>
              <w:top w:val="single" w:sz="8" w:color="0000FF"/>
            </w:tcBorders>
            <w:shd w:val="clear" w:color="auto" w:fill="B2B2B2"/>
          </w:tcPr>
          <w:p>
            <w:pPr>
              <w:spacing w:after="0"/>
              <w:rPr>
                <w:sz w:val="4"/>
                <w:szCs w:val="4"/>
                <w:color w:val="auto"/>
              </w:rPr>
            </w:pPr>
          </w:p>
        </w:tc>
        <w:tc>
          <w:tcPr>
            <w:tcW w:w="360" w:type="dxa"/>
            <w:vAlign w:val="bottom"/>
            <w:tcBorders>
              <w:top w:val="single" w:sz="8" w:color="0000FF"/>
            </w:tcBorders>
            <w:shd w:val="clear" w:color="auto" w:fill="B2B2B2"/>
          </w:tcPr>
          <w:p>
            <w:pPr>
              <w:spacing w:after="0"/>
              <w:rPr>
                <w:sz w:val="4"/>
                <w:szCs w:val="4"/>
                <w:color w:val="auto"/>
              </w:rPr>
            </w:pPr>
          </w:p>
        </w:tc>
        <w:tc>
          <w:tcPr>
            <w:tcW w:w="80" w:type="dxa"/>
            <w:vAlign w:val="bottom"/>
            <w:tcBorders>
              <w:top w:val="single" w:sz="8" w:color="0000FF"/>
            </w:tcBorders>
            <w:shd w:val="clear" w:color="auto" w:fill="B2B2B2"/>
          </w:tcPr>
          <w:p>
            <w:pPr>
              <w:spacing w:after="0"/>
              <w:rPr>
                <w:sz w:val="4"/>
                <w:szCs w:val="4"/>
                <w:color w:val="auto"/>
              </w:rPr>
            </w:pPr>
          </w:p>
        </w:tc>
        <w:tc>
          <w:tcPr>
            <w:tcW w:w="160" w:type="dxa"/>
            <w:vAlign w:val="bottom"/>
            <w:tcBorders>
              <w:top w:val="single" w:sz="8" w:color="0000FF"/>
            </w:tcBorders>
            <w:shd w:val="clear" w:color="auto" w:fill="B2B2B2"/>
          </w:tcPr>
          <w:p>
            <w:pPr>
              <w:spacing w:after="0"/>
              <w:rPr>
                <w:sz w:val="4"/>
                <w:szCs w:val="4"/>
                <w:color w:val="auto"/>
              </w:rPr>
            </w:pPr>
          </w:p>
        </w:tc>
        <w:tc>
          <w:tcPr>
            <w:tcW w:w="240" w:type="dxa"/>
            <w:vAlign w:val="bottom"/>
            <w:tcBorders>
              <w:top w:val="single" w:sz="8" w:color="0000FF"/>
            </w:tcBorders>
            <w:shd w:val="clear" w:color="auto" w:fill="B2B2B2"/>
          </w:tcPr>
          <w:p>
            <w:pPr>
              <w:spacing w:after="0"/>
              <w:rPr>
                <w:sz w:val="4"/>
                <w:szCs w:val="4"/>
                <w:color w:val="auto"/>
              </w:rPr>
            </w:pPr>
          </w:p>
        </w:tc>
        <w:tc>
          <w:tcPr>
            <w:tcW w:w="40" w:type="dxa"/>
            <w:vAlign w:val="bottom"/>
            <w:tcBorders>
              <w:top w:val="single" w:sz="8" w:color="0000FF"/>
            </w:tcBorders>
            <w:shd w:val="clear" w:color="auto" w:fill="B2B2B2"/>
          </w:tcPr>
          <w:p>
            <w:pPr>
              <w:spacing w:after="0"/>
              <w:rPr>
                <w:sz w:val="4"/>
                <w:szCs w:val="4"/>
                <w:color w:val="auto"/>
              </w:rPr>
            </w:pPr>
          </w:p>
        </w:tc>
        <w:tc>
          <w:tcPr>
            <w:tcW w:w="220" w:type="dxa"/>
            <w:vAlign w:val="bottom"/>
            <w:tcBorders>
              <w:top w:val="single" w:sz="8" w:color="0000FF"/>
            </w:tcBorders>
            <w:shd w:val="clear" w:color="auto" w:fill="B2B2B2"/>
          </w:tcPr>
          <w:p>
            <w:pPr>
              <w:spacing w:after="0"/>
              <w:rPr>
                <w:sz w:val="4"/>
                <w:szCs w:val="4"/>
                <w:color w:val="auto"/>
              </w:rPr>
            </w:pPr>
          </w:p>
        </w:tc>
        <w:tc>
          <w:tcPr>
            <w:tcW w:w="260" w:type="dxa"/>
            <w:vAlign w:val="bottom"/>
            <w:tcBorders>
              <w:top w:val="single" w:sz="8" w:color="0000FF"/>
            </w:tcBorders>
            <w:shd w:val="clear" w:color="auto" w:fill="B2B2B2"/>
          </w:tcPr>
          <w:p>
            <w:pPr>
              <w:spacing w:after="0"/>
              <w:rPr>
                <w:sz w:val="4"/>
                <w:szCs w:val="4"/>
                <w:color w:val="auto"/>
              </w:rPr>
            </w:pPr>
          </w:p>
        </w:tc>
        <w:tc>
          <w:tcPr>
            <w:tcW w:w="260" w:type="dxa"/>
            <w:vAlign w:val="bottom"/>
            <w:tcBorders>
              <w:top w:val="single" w:sz="8" w:color="0000FF"/>
            </w:tcBorders>
            <w:shd w:val="clear" w:color="auto" w:fill="B2B2B2"/>
          </w:tcPr>
          <w:p>
            <w:pPr>
              <w:spacing w:after="0"/>
              <w:rPr>
                <w:sz w:val="4"/>
                <w:szCs w:val="4"/>
                <w:color w:val="auto"/>
              </w:rPr>
            </w:pPr>
          </w:p>
        </w:tc>
        <w:tc>
          <w:tcPr>
            <w:tcW w:w="420" w:type="dxa"/>
            <w:vAlign w:val="bottom"/>
            <w:tcBorders>
              <w:top w:val="single" w:sz="8" w:color="0000FF"/>
            </w:tcBorders>
            <w:shd w:val="clear" w:color="auto" w:fill="B2B2B2"/>
          </w:tcPr>
          <w:p>
            <w:pPr>
              <w:spacing w:after="0"/>
              <w:rPr>
                <w:sz w:val="4"/>
                <w:szCs w:val="4"/>
                <w:color w:val="auto"/>
              </w:rPr>
            </w:pPr>
          </w:p>
        </w:tc>
        <w:tc>
          <w:tcPr>
            <w:tcW w:w="100" w:type="dxa"/>
            <w:vAlign w:val="bottom"/>
            <w:tcBorders>
              <w:top w:val="single" w:sz="8" w:color="0000FF"/>
            </w:tcBorders>
            <w:shd w:val="clear" w:color="auto" w:fill="B2B2B2"/>
          </w:tcPr>
          <w:p>
            <w:pPr>
              <w:spacing w:after="0"/>
              <w:rPr>
                <w:sz w:val="4"/>
                <w:szCs w:val="4"/>
                <w:color w:val="auto"/>
              </w:rPr>
            </w:pPr>
          </w:p>
        </w:tc>
        <w:tc>
          <w:tcPr>
            <w:tcW w:w="100" w:type="dxa"/>
            <w:vAlign w:val="bottom"/>
            <w:tcBorders>
              <w:top w:val="single" w:sz="8" w:color="B2B2B2"/>
            </w:tcBorders>
            <w:shd w:val="clear" w:color="auto" w:fill="B2B2B2"/>
          </w:tcPr>
          <w:p>
            <w:pPr>
              <w:spacing w:after="0"/>
              <w:rPr>
                <w:sz w:val="4"/>
                <w:szCs w:val="4"/>
                <w:color w:val="auto"/>
              </w:rPr>
            </w:pPr>
          </w:p>
        </w:tc>
        <w:tc>
          <w:tcPr>
            <w:tcW w:w="300" w:type="dxa"/>
            <w:vAlign w:val="bottom"/>
            <w:tcBorders>
              <w:top w:val="single" w:sz="8" w:color="B2B2B2"/>
            </w:tcBorders>
            <w:shd w:val="clear" w:color="auto" w:fill="B2B2B2"/>
          </w:tcPr>
          <w:p>
            <w:pPr>
              <w:spacing w:after="0"/>
              <w:rPr>
                <w:sz w:val="4"/>
                <w:szCs w:val="4"/>
                <w:color w:val="auto"/>
              </w:rPr>
            </w:pPr>
          </w:p>
        </w:tc>
        <w:tc>
          <w:tcPr>
            <w:tcW w:w="100" w:type="dxa"/>
            <w:vAlign w:val="bottom"/>
            <w:tcBorders>
              <w:top w:val="single" w:sz="8" w:color="B2B2B2"/>
            </w:tcBorders>
            <w:shd w:val="clear" w:color="auto" w:fill="B2B2B2"/>
          </w:tcPr>
          <w:p>
            <w:pPr>
              <w:spacing w:after="0"/>
              <w:rPr>
                <w:sz w:val="4"/>
                <w:szCs w:val="4"/>
                <w:color w:val="auto"/>
              </w:rPr>
            </w:pPr>
          </w:p>
        </w:tc>
        <w:tc>
          <w:tcPr>
            <w:tcW w:w="100" w:type="dxa"/>
            <w:vAlign w:val="bottom"/>
            <w:tcBorders>
              <w:top w:val="single" w:sz="8" w:color="B2B2B2"/>
            </w:tcBorders>
            <w:shd w:val="clear" w:color="auto" w:fill="B2B2B2"/>
          </w:tcPr>
          <w:p>
            <w:pPr>
              <w:spacing w:after="0"/>
              <w:rPr>
                <w:sz w:val="4"/>
                <w:szCs w:val="4"/>
                <w:color w:val="auto"/>
              </w:rPr>
            </w:pPr>
          </w:p>
        </w:tc>
        <w:tc>
          <w:tcPr>
            <w:tcW w:w="260" w:type="dxa"/>
            <w:vAlign w:val="bottom"/>
            <w:tcBorders>
              <w:top w:val="single" w:sz="8" w:color="B2B2B2"/>
            </w:tcBorders>
            <w:shd w:val="clear" w:color="auto" w:fill="B2B2B2"/>
          </w:tcPr>
          <w:p>
            <w:pPr>
              <w:spacing w:after="0"/>
              <w:rPr>
                <w:sz w:val="4"/>
                <w:szCs w:val="4"/>
                <w:color w:val="auto"/>
              </w:rPr>
            </w:pPr>
          </w:p>
        </w:tc>
        <w:tc>
          <w:tcPr>
            <w:tcW w:w="320" w:type="dxa"/>
            <w:vAlign w:val="bottom"/>
            <w:tcBorders>
              <w:top w:val="single" w:sz="8" w:color="B2B2B2"/>
            </w:tcBorders>
            <w:shd w:val="clear" w:color="auto" w:fill="B2B2B2"/>
          </w:tcPr>
          <w:p>
            <w:pPr>
              <w:spacing w:after="0"/>
              <w:rPr>
                <w:sz w:val="4"/>
                <w:szCs w:val="4"/>
                <w:color w:val="auto"/>
              </w:rPr>
            </w:pPr>
          </w:p>
        </w:tc>
        <w:tc>
          <w:tcPr>
            <w:tcW w:w="40" w:type="dxa"/>
            <w:vAlign w:val="bottom"/>
            <w:tcBorders>
              <w:top w:val="single" w:sz="8" w:color="B2B2B2"/>
            </w:tcBorders>
            <w:shd w:val="clear" w:color="auto" w:fill="B2B2B2"/>
          </w:tcPr>
          <w:p>
            <w:pPr>
              <w:spacing w:after="0"/>
              <w:rPr>
                <w:sz w:val="4"/>
                <w:szCs w:val="4"/>
                <w:color w:val="auto"/>
              </w:rPr>
            </w:pPr>
          </w:p>
        </w:tc>
        <w:tc>
          <w:tcPr>
            <w:tcW w:w="40" w:type="dxa"/>
            <w:vAlign w:val="bottom"/>
            <w:tcBorders>
              <w:top w:val="single" w:sz="8" w:color="B2B2B2"/>
            </w:tcBorders>
            <w:shd w:val="clear" w:color="auto" w:fill="B2B2B2"/>
          </w:tcPr>
          <w:p>
            <w:pPr>
              <w:spacing w:after="0"/>
              <w:rPr>
                <w:sz w:val="4"/>
                <w:szCs w:val="4"/>
                <w:color w:val="auto"/>
              </w:rPr>
            </w:pPr>
          </w:p>
        </w:tc>
        <w:tc>
          <w:tcPr>
            <w:tcW w:w="60" w:type="dxa"/>
            <w:vAlign w:val="bottom"/>
            <w:tcBorders>
              <w:top w:val="single" w:sz="8" w:color="B2B2B2"/>
            </w:tcBorders>
            <w:shd w:val="clear" w:color="auto" w:fill="B2B2B2"/>
          </w:tcPr>
          <w:p>
            <w:pPr>
              <w:spacing w:after="0"/>
              <w:rPr>
                <w:sz w:val="4"/>
                <w:szCs w:val="4"/>
                <w:color w:val="auto"/>
              </w:rPr>
            </w:pPr>
          </w:p>
        </w:tc>
        <w:tc>
          <w:tcPr>
            <w:tcW w:w="400" w:type="dxa"/>
            <w:vAlign w:val="bottom"/>
            <w:tcBorders>
              <w:top w:val="single" w:sz="8" w:color="B2B2B2"/>
            </w:tcBorders>
            <w:shd w:val="clear" w:color="auto" w:fill="B2B2B2"/>
          </w:tcPr>
          <w:p>
            <w:pPr>
              <w:spacing w:after="0"/>
              <w:rPr>
                <w:sz w:val="4"/>
                <w:szCs w:val="4"/>
                <w:color w:val="auto"/>
              </w:rPr>
            </w:pPr>
          </w:p>
        </w:tc>
        <w:tc>
          <w:tcPr>
            <w:tcW w:w="460" w:type="dxa"/>
            <w:vAlign w:val="bottom"/>
            <w:tcBorders>
              <w:top w:val="single" w:sz="8" w:color="B2B2B2"/>
            </w:tcBorders>
            <w:shd w:val="clear" w:color="auto" w:fill="B2B2B2"/>
          </w:tcPr>
          <w:p>
            <w:pPr>
              <w:spacing w:after="0"/>
              <w:rPr>
                <w:sz w:val="4"/>
                <w:szCs w:val="4"/>
                <w:color w:val="auto"/>
              </w:rPr>
            </w:pPr>
          </w:p>
        </w:tc>
        <w:tc>
          <w:tcPr>
            <w:tcW w:w="60" w:type="dxa"/>
            <w:vAlign w:val="bottom"/>
            <w:tcBorders>
              <w:top w:val="single" w:sz="8" w:color="B2B2B2"/>
            </w:tcBorders>
            <w:shd w:val="clear" w:color="auto" w:fill="B2B2B2"/>
          </w:tcPr>
          <w:p>
            <w:pPr>
              <w:spacing w:after="0"/>
              <w:rPr>
                <w:sz w:val="4"/>
                <w:szCs w:val="4"/>
                <w:color w:val="auto"/>
              </w:rPr>
            </w:pPr>
          </w:p>
        </w:tc>
        <w:tc>
          <w:tcPr>
            <w:tcW w:w="360" w:type="dxa"/>
            <w:vAlign w:val="bottom"/>
            <w:tcBorders>
              <w:top w:val="single" w:sz="8" w:color="B2B2B2"/>
            </w:tcBorders>
            <w:shd w:val="clear" w:color="auto" w:fill="B2B2B2"/>
          </w:tcPr>
          <w:p>
            <w:pPr>
              <w:spacing w:after="0"/>
              <w:rPr>
                <w:sz w:val="4"/>
                <w:szCs w:val="4"/>
                <w:color w:val="auto"/>
              </w:rPr>
            </w:pPr>
          </w:p>
        </w:tc>
        <w:tc>
          <w:tcPr>
            <w:tcW w:w="140" w:type="dxa"/>
            <w:vAlign w:val="bottom"/>
            <w:tcBorders>
              <w:top w:val="single" w:sz="8" w:color="B2B2B2"/>
            </w:tcBorders>
            <w:shd w:val="clear" w:color="auto" w:fill="B2B2B2"/>
          </w:tcPr>
          <w:p>
            <w:pPr>
              <w:spacing w:after="0"/>
              <w:rPr>
                <w:sz w:val="4"/>
                <w:szCs w:val="4"/>
                <w:color w:val="auto"/>
              </w:rPr>
            </w:pPr>
          </w:p>
        </w:tc>
        <w:tc>
          <w:tcPr>
            <w:tcW w:w="360" w:type="dxa"/>
            <w:vAlign w:val="bottom"/>
            <w:tcBorders>
              <w:top w:val="single" w:sz="8" w:color="B2B2B2"/>
            </w:tcBorders>
            <w:shd w:val="clear" w:color="auto" w:fill="B2B2B2"/>
          </w:tcPr>
          <w:p>
            <w:pPr>
              <w:spacing w:after="0"/>
              <w:rPr>
                <w:sz w:val="4"/>
                <w:szCs w:val="4"/>
                <w:color w:val="auto"/>
              </w:rPr>
            </w:pPr>
          </w:p>
        </w:tc>
        <w:tc>
          <w:tcPr>
            <w:tcW w:w="200" w:type="dxa"/>
            <w:vAlign w:val="bottom"/>
            <w:tcBorders>
              <w:top w:val="single" w:sz="8" w:color="B2B2B2"/>
            </w:tcBorders>
            <w:shd w:val="clear" w:color="auto" w:fill="B2B2B2"/>
          </w:tcPr>
          <w:p>
            <w:pPr>
              <w:spacing w:after="0"/>
              <w:rPr>
                <w:sz w:val="4"/>
                <w:szCs w:val="4"/>
                <w:color w:val="auto"/>
              </w:rPr>
            </w:pPr>
          </w:p>
        </w:tc>
        <w:tc>
          <w:tcPr>
            <w:tcW w:w="20" w:type="dxa"/>
            <w:vAlign w:val="bottom"/>
            <w:tcBorders>
              <w:top w:val="single" w:sz="8" w:color="B2B2B2"/>
            </w:tcBorders>
            <w:shd w:val="clear" w:color="auto" w:fill="B2B2B2"/>
          </w:tcPr>
          <w:p>
            <w:pPr>
              <w:spacing w:after="0"/>
              <w:rPr>
                <w:sz w:val="4"/>
                <w:szCs w:val="4"/>
                <w:color w:val="auto"/>
              </w:rPr>
            </w:pPr>
          </w:p>
        </w:tc>
        <w:tc>
          <w:tcPr>
            <w:tcW w:w="1000" w:type="dxa"/>
            <w:vAlign w:val="bottom"/>
            <w:tcBorders>
              <w:top w:val="single" w:sz="8" w:color="B2B2B2"/>
            </w:tcBorders>
            <w:shd w:val="clear" w:color="auto" w:fill="B2B2B2"/>
          </w:tcPr>
          <w:p>
            <w:pPr>
              <w:spacing w:after="0"/>
              <w:rPr>
                <w:sz w:val="4"/>
                <w:szCs w:val="4"/>
                <w:color w:val="auto"/>
              </w:rPr>
            </w:pPr>
          </w:p>
        </w:tc>
        <w:tc>
          <w:tcPr>
            <w:tcW w:w="360" w:type="dxa"/>
            <w:vAlign w:val="bottom"/>
            <w:tcBorders>
              <w:top w:val="single" w:sz="8" w:color="B2B2B2"/>
            </w:tcBorders>
            <w:shd w:val="clear" w:color="auto" w:fill="B2B2B2"/>
          </w:tcPr>
          <w:p>
            <w:pPr>
              <w:spacing w:after="0"/>
              <w:rPr>
                <w:sz w:val="4"/>
                <w:szCs w:val="4"/>
                <w:color w:val="auto"/>
              </w:rPr>
            </w:pPr>
          </w:p>
        </w:tc>
        <w:tc>
          <w:tcPr>
            <w:tcW w:w="1960" w:type="dxa"/>
            <w:vAlign w:val="bottom"/>
            <w:tcBorders>
              <w:top w:val="single" w:sz="8" w:color="B2B2B2"/>
            </w:tcBorders>
            <w:shd w:val="clear" w:color="auto" w:fill="B2B2B2"/>
          </w:tcPr>
          <w:p>
            <w:pPr>
              <w:spacing w:after="0"/>
              <w:rPr>
                <w:sz w:val="4"/>
                <w:szCs w:val="4"/>
                <w:color w:val="auto"/>
              </w:rPr>
            </w:pPr>
          </w:p>
        </w:tc>
        <w:tc>
          <w:tcPr>
            <w:tcW w:w="460" w:type="dxa"/>
            <w:vAlign w:val="bottom"/>
            <w:tcBorders>
              <w:top w:val="single" w:sz="8" w:color="B2B2B2"/>
            </w:tcBorders>
            <w:shd w:val="clear" w:color="auto" w:fill="B2B2B2"/>
          </w:tcPr>
          <w:p>
            <w:pPr>
              <w:spacing w:after="0"/>
              <w:rPr>
                <w:sz w:val="4"/>
                <w:szCs w:val="4"/>
                <w:color w:val="auto"/>
              </w:rPr>
            </w:pPr>
          </w:p>
        </w:tc>
        <w:tc>
          <w:tcPr>
            <w:tcW w:w="100" w:type="dxa"/>
            <w:vAlign w:val="bottom"/>
            <w:tcBorders>
              <w:top w:val="single" w:sz="8" w:color="B2B2B2"/>
            </w:tcBorders>
            <w:shd w:val="clear" w:color="auto" w:fill="B2B2B2"/>
          </w:tcPr>
          <w:p>
            <w:pPr>
              <w:spacing w:after="0"/>
              <w:rPr>
                <w:sz w:val="4"/>
                <w:szCs w:val="4"/>
                <w:color w:val="auto"/>
              </w:rPr>
            </w:pPr>
          </w:p>
        </w:tc>
        <w:tc>
          <w:tcPr>
            <w:tcW w:w="80" w:type="dxa"/>
            <w:vAlign w:val="bottom"/>
            <w:tcBorders>
              <w:top w:val="single" w:sz="8" w:color="0000FF"/>
            </w:tcBorders>
            <w:shd w:val="clear" w:color="auto" w:fill="B2B2B2"/>
          </w:tcPr>
          <w:p>
            <w:pPr>
              <w:spacing w:after="0"/>
              <w:rPr>
                <w:sz w:val="4"/>
                <w:szCs w:val="4"/>
                <w:color w:val="auto"/>
              </w:rPr>
            </w:pPr>
          </w:p>
        </w:tc>
        <w:tc>
          <w:tcPr>
            <w:tcW w:w="20" w:type="dxa"/>
            <w:vAlign w:val="bottom"/>
            <w:tcBorders>
              <w:top w:val="single" w:sz="8" w:color="B2B2B2"/>
            </w:tcBorders>
            <w:shd w:val="clear" w:color="auto" w:fill="B2B2B2"/>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9960" w:type="dxa"/>
            <w:vAlign w:val="bottom"/>
            <w:gridSpan w:val="33"/>
          </w:tcPr>
          <w:p>
            <w:pPr>
              <w:ind w:left="28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Arial" w:cs="Arial" w:eastAsia="Arial" w:hAnsi="Arial"/>
                <w:sz w:val="16"/>
                <w:szCs w:val="16"/>
                <w:color w:val="0000FF"/>
              </w:rPr>
              <w:t>20</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5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9960" w:type="dxa"/>
            <w:vAlign w:val="bottom"/>
            <w:gridSpan w:val="33"/>
            <w:shd w:val="clear" w:color="auto" w:fill="B2B2B2"/>
          </w:tcPr>
          <w:p>
            <w:pPr>
              <w:ind w:left="280"/>
              <w:spacing w:after="0"/>
              <w:rPr>
                <w:sz w:val="20"/>
                <w:szCs w:val="20"/>
                <w:color w:val="auto"/>
              </w:rPr>
            </w:pPr>
            <w:r>
              <w:rPr>
                <w:rFonts w:ascii="Arial" w:cs="Arial" w:eastAsia="Arial" w:hAnsi="Arial"/>
                <w:sz w:val="16"/>
                <w:szCs w:val="16"/>
                <w:color w:val="0000FF"/>
              </w:rPr>
              <w:t>Forward-looking statements</w:t>
            </w:r>
          </w:p>
        </w:tc>
        <w:tc>
          <w:tcPr>
            <w:tcW w:w="64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20</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8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0000FF"/>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3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96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3.</w:t>
            </w:r>
          </w:p>
        </w:tc>
        <w:tc>
          <w:tcPr>
            <w:tcW w:w="9960" w:type="dxa"/>
            <w:vAlign w:val="bottom"/>
            <w:gridSpan w:val="33"/>
          </w:tcPr>
          <w:p>
            <w:pPr>
              <w:ind w:left="280"/>
              <w:spacing w:after="0"/>
              <w:rPr>
                <w:sz w:val="20"/>
                <w:szCs w:val="20"/>
                <w:color w:val="auto"/>
              </w:rPr>
            </w:pPr>
            <w:r>
              <w:rPr>
                <w:rFonts w:ascii="Arial" w:cs="Arial" w:eastAsia="Arial" w:hAnsi="Arial"/>
                <w:sz w:val="16"/>
                <w:szCs w:val="16"/>
                <w:color w:val="0000FF"/>
              </w:rPr>
              <w:t>Quantitative and Qualitative Disclosures about Market Risk</w:t>
            </w:r>
          </w:p>
        </w:tc>
        <w:tc>
          <w:tcPr>
            <w:tcW w:w="640" w:type="dxa"/>
            <w:vAlign w:val="bottom"/>
            <w:gridSpan w:val="3"/>
          </w:tcPr>
          <w:p>
            <w:pPr>
              <w:jc w:val="right"/>
              <w:spacing w:after="0"/>
              <w:rPr>
                <w:sz w:val="20"/>
                <w:szCs w:val="20"/>
                <w:color w:val="auto"/>
              </w:rPr>
            </w:pPr>
            <w:r>
              <w:rPr>
                <w:rFonts w:ascii="Arial" w:cs="Arial" w:eastAsia="Arial" w:hAnsi="Arial"/>
                <w:sz w:val="16"/>
                <w:szCs w:val="16"/>
                <w:color w:val="0000FF"/>
              </w:rPr>
              <w:t>32</w:t>
            </w:r>
          </w:p>
        </w:tc>
        <w:tc>
          <w:tcPr>
            <w:tcW w:w="2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20" w:type="dxa"/>
            <w:vAlign w:val="bottom"/>
            <w:shd w:val="clear" w:color="auto" w:fill="B2B2B2"/>
          </w:tcPr>
          <w:p>
            <w:pPr>
              <w:spacing w:after="0"/>
              <w:rPr>
                <w:sz w:val="16"/>
                <w:szCs w:val="16"/>
                <w:color w:val="auto"/>
              </w:rPr>
            </w:pPr>
          </w:p>
        </w:tc>
        <w:tc>
          <w:tcPr>
            <w:tcW w:w="600" w:type="dxa"/>
            <w:vAlign w:val="bottom"/>
            <w:gridSpan w:val="2"/>
            <w:shd w:val="clear" w:color="auto" w:fill="B2B2B2"/>
          </w:tcPr>
          <w:p>
            <w:pPr>
              <w:spacing w:after="0"/>
              <w:rPr>
                <w:sz w:val="20"/>
                <w:szCs w:val="20"/>
                <w:color w:val="auto"/>
              </w:rPr>
            </w:pPr>
            <w:r>
              <w:rPr>
                <w:rFonts w:ascii="Arial" w:cs="Arial" w:eastAsia="Arial" w:hAnsi="Arial"/>
                <w:sz w:val="16"/>
                <w:szCs w:val="16"/>
                <w:color w:val="0000FF"/>
              </w:rPr>
              <w:t>Item 4.</w:t>
            </w:r>
          </w:p>
        </w:tc>
        <w:tc>
          <w:tcPr>
            <w:tcW w:w="9960" w:type="dxa"/>
            <w:vAlign w:val="bottom"/>
            <w:gridSpan w:val="33"/>
            <w:shd w:val="clear" w:color="auto" w:fill="B2B2B2"/>
          </w:tcPr>
          <w:p>
            <w:pPr>
              <w:ind w:left="280"/>
              <w:spacing w:after="0"/>
              <w:rPr>
                <w:sz w:val="20"/>
                <w:szCs w:val="20"/>
                <w:color w:val="auto"/>
              </w:rPr>
            </w:pPr>
            <w:r>
              <w:rPr>
                <w:rFonts w:ascii="Arial" w:cs="Arial" w:eastAsia="Arial" w:hAnsi="Arial"/>
                <w:sz w:val="16"/>
                <w:szCs w:val="16"/>
                <w:color w:val="0000FF"/>
              </w:rPr>
              <w:t>Controls and Procedures</w:t>
            </w:r>
          </w:p>
        </w:tc>
        <w:tc>
          <w:tcPr>
            <w:tcW w:w="64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32</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8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0000FF"/>
            </w:tcBorders>
            <w:shd w:val="clear" w:color="auto" w:fill="B2B2B2"/>
          </w:tcPr>
          <w:p>
            <w:pPr>
              <w:spacing w:after="0"/>
              <w:rPr>
                <w:sz w:val="2"/>
                <w:szCs w:val="2"/>
                <w:color w:val="auto"/>
              </w:rPr>
            </w:pPr>
          </w:p>
        </w:tc>
        <w:tc>
          <w:tcPr>
            <w:tcW w:w="240" w:type="dxa"/>
            <w:vAlign w:val="bottom"/>
            <w:tcBorders>
              <w:top w:val="single" w:sz="8" w:color="0000FF"/>
            </w:tcBorders>
            <w:shd w:val="clear" w:color="auto" w:fill="B2B2B2"/>
          </w:tcPr>
          <w:p>
            <w:pPr>
              <w:spacing w:after="0"/>
              <w:rPr>
                <w:sz w:val="2"/>
                <w:szCs w:val="2"/>
                <w:color w:val="auto"/>
              </w:rPr>
            </w:pPr>
          </w:p>
        </w:tc>
        <w:tc>
          <w:tcPr>
            <w:tcW w:w="40" w:type="dxa"/>
            <w:vAlign w:val="bottom"/>
            <w:tcBorders>
              <w:top w:val="single" w:sz="8" w:color="0000FF"/>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3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96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235"/>
        </w:trPr>
        <w:tc>
          <w:tcPr>
            <w:tcW w:w="20" w:type="dxa"/>
            <w:vAlign w:val="bottom"/>
          </w:tcPr>
          <w:p>
            <w:pPr>
              <w:spacing w:after="0"/>
              <w:rPr>
                <w:sz w:val="20"/>
                <w:szCs w:val="20"/>
                <w:color w:val="auto"/>
              </w:rPr>
            </w:pPr>
          </w:p>
        </w:tc>
        <w:tc>
          <w:tcPr>
            <w:tcW w:w="10560" w:type="dxa"/>
            <w:vAlign w:val="bottom"/>
            <w:gridSpan w:val="35"/>
          </w:tcPr>
          <w:p>
            <w:pPr>
              <w:spacing w:after="0"/>
              <w:rPr>
                <w:sz w:val="20"/>
                <w:szCs w:val="20"/>
                <w:color w:val="auto"/>
              </w:rPr>
            </w:pPr>
            <w:r>
              <w:rPr>
                <w:rFonts w:ascii="Arial" w:cs="Arial" w:eastAsia="Arial" w:hAnsi="Arial"/>
                <w:sz w:val="16"/>
                <w:szCs w:val="16"/>
                <w:b w:val="1"/>
                <w:bCs w:val="1"/>
                <w:color w:val="0000FF"/>
              </w:rPr>
              <w:t>Part II Other Information</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B2B2B2"/>
          </w:tcPr>
          <w:p>
            <w:pPr>
              <w:spacing w:after="0"/>
              <w:rPr>
                <w:sz w:val="16"/>
                <w:szCs w:val="16"/>
                <w:color w:val="auto"/>
              </w:rPr>
            </w:pPr>
          </w:p>
        </w:tc>
        <w:tc>
          <w:tcPr>
            <w:tcW w:w="600" w:type="dxa"/>
            <w:vAlign w:val="bottom"/>
            <w:gridSpan w:val="2"/>
            <w:shd w:val="clear" w:color="auto" w:fill="B2B2B2"/>
          </w:tcPr>
          <w:p>
            <w:pPr>
              <w:spacing w:after="0"/>
              <w:rPr>
                <w:sz w:val="20"/>
                <w:szCs w:val="20"/>
                <w:color w:val="auto"/>
              </w:rPr>
            </w:pPr>
            <w:r>
              <w:rPr>
                <w:rFonts w:ascii="Arial" w:cs="Arial" w:eastAsia="Arial" w:hAnsi="Arial"/>
                <w:sz w:val="16"/>
                <w:szCs w:val="16"/>
                <w:color w:val="0000FF"/>
              </w:rPr>
              <w:t>Item 1.</w:t>
            </w:r>
          </w:p>
        </w:tc>
        <w:tc>
          <w:tcPr>
            <w:tcW w:w="9960" w:type="dxa"/>
            <w:vAlign w:val="bottom"/>
            <w:gridSpan w:val="33"/>
            <w:shd w:val="clear" w:color="auto" w:fill="B2B2B2"/>
          </w:tcPr>
          <w:p>
            <w:pPr>
              <w:ind w:left="280"/>
              <w:spacing w:after="0"/>
              <w:rPr>
                <w:sz w:val="20"/>
                <w:szCs w:val="20"/>
                <w:color w:val="auto"/>
              </w:rPr>
            </w:pPr>
            <w:r>
              <w:rPr>
                <w:rFonts w:ascii="Arial" w:cs="Arial" w:eastAsia="Arial" w:hAnsi="Arial"/>
                <w:sz w:val="16"/>
                <w:szCs w:val="16"/>
                <w:color w:val="0000FF"/>
              </w:rPr>
              <w:t>Legal Proceedings</w:t>
            </w:r>
          </w:p>
        </w:tc>
        <w:tc>
          <w:tcPr>
            <w:tcW w:w="64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33</w:t>
            </w:r>
          </w:p>
        </w:tc>
        <w:tc>
          <w:tcPr>
            <w:tcW w:w="20" w:type="dxa"/>
            <w:vAlign w:val="bottom"/>
            <w:shd w:val="clear" w:color="auto" w:fill="B2B2B2"/>
          </w:tcPr>
          <w:p>
            <w:pPr>
              <w:spacing w:after="0"/>
              <w:rPr>
                <w:sz w:val="16"/>
                <w:szCs w:val="16"/>
                <w:color w:val="auto"/>
              </w:rPr>
            </w:pPr>
          </w:p>
        </w:tc>
      </w:tr>
      <w:tr>
        <w:trPr>
          <w:trHeight w:val="34"/>
        </w:trPr>
        <w:tc>
          <w:tcPr>
            <w:tcW w:w="20" w:type="dxa"/>
            <w:vAlign w:val="bottom"/>
            <w:tcBorders>
              <w:top w:val="single" w:sz="8" w:color="B2B2B2"/>
            </w:tcBorders>
            <w:shd w:val="clear" w:color="auto" w:fill="B2B2B2"/>
          </w:tcPr>
          <w:p>
            <w:pPr>
              <w:spacing w:after="0"/>
              <w:rPr>
                <w:sz w:val="2"/>
                <w:szCs w:val="2"/>
                <w:color w:val="auto"/>
              </w:rPr>
            </w:pPr>
          </w:p>
        </w:tc>
        <w:tc>
          <w:tcPr>
            <w:tcW w:w="500" w:type="dxa"/>
            <w:vAlign w:val="bottom"/>
            <w:tcBorders>
              <w:top w:val="single" w:sz="8" w:color="0000FF"/>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80" w:type="dxa"/>
            <w:vAlign w:val="bottom"/>
            <w:tcBorders>
              <w:top w:val="single" w:sz="8" w:color="B2B2B2"/>
            </w:tcBorders>
            <w:shd w:val="clear" w:color="auto" w:fill="B2B2B2"/>
          </w:tcPr>
          <w:p>
            <w:pPr>
              <w:spacing w:after="0"/>
              <w:rPr>
                <w:sz w:val="2"/>
                <w:szCs w:val="2"/>
                <w:color w:val="auto"/>
              </w:rPr>
            </w:pPr>
          </w:p>
        </w:tc>
        <w:tc>
          <w:tcPr>
            <w:tcW w:w="560" w:type="dxa"/>
            <w:vAlign w:val="bottom"/>
            <w:tcBorders>
              <w:top w:val="single" w:sz="8" w:color="0000FF"/>
            </w:tcBorders>
            <w:shd w:val="clear" w:color="auto" w:fill="B2B2B2"/>
          </w:tcPr>
          <w:p>
            <w:pPr>
              <w:spacing w:after="0"/>
              <w:rPr>
                <w:sz w:val="2"/>
                <w:szCs w:val="2"/>
                <w:color w:val="auto"/>
              </w:rPr>
            </w:pPr>
          </w:p>
        </w:tc>
        <w:tc>
          <w:tcPr>
            <w:tcW w:w="340" w:type="dxa"/>
            <w:vAlign w:val="bottom"/>
            <w:tcBorders>
              <w:top w:val="single" w:sz="8" w:color="0000FF"/>
            </w:tcBorders>
            <w:shd w:val="clear" w:color="auto" w:fill="B2B2B2"/>
          </w:tcPr>
          <w:p>
            <w:pPr>
              <w:spacing w:after="0"/>
              <w:rPr>
                <w:sz w:val="2"/>
                <w:szCs w:val="2"/>
                <w:color w:val="auto"/>
              </w:rPr>
            </w:pPr>
          </w:p>
        </w:tc>
        <w:tc>
          <w:tcPr>
            <w:tcW w:w="36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1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22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42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3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32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4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40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100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960" w:type="dxa"/>
            <w:vAlign w:val="bottom"/>
            <w:tcBorders>
              <w:top w:val="single" w:sz="8" w:color="B2B2B2"/>
            </w:tcBorders>
            <w:shd w:val="clear" w:color="auto" w:fill="B2B2B2"/>
          </w:tcPr>
          <w:p>
            <w:pPr>
              <w:spacing w:after="0"/>
              <w:rPr>
                <w:sz w:val="2"/>
                <w:szCs w:val="2"/>
                <w:color w:val="auto"/>
              </w:rPr>
            </w:pPr>
          </w:p>
        </w:tc>
        <w:tc>
          <w:tcPr>
            <w:tcW w:w="46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0000FF"/>
            </w:tcBorders>
            <w:shd w:val="clear" w:color="auto" w:fill="B2B2B2"/>
          </w:tcPr>
          <w:p>
            <w:pPr>
              <w:spacing w:after="0"/>
              <w:rPr>
                <w:sz w:val="2"/>
                <w:szCs w:val="2"/>
                <w:color w:val="auto"/>
              </w:rPr>
            </w:pPr>
          </w:p>
        </w:tc>
        <w:tc>
          <w:tcPr>
            <w:tcW w:w="80" w:type="dxa"/>
            <w:vAlign w:val="bottom"/>
            <w:tcBorders>
              <w:top w:val="single" w:sz="8" w:color="0000FF"/>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w w:val="97"/>
              </w:rPr>
              <w:t>Item 1A.</w:t>
            </w:r>
          </w:p>
        </w:tc>
        <w:tc>
          <w:tcPr>
            <w:tcW w:w="9960" w:type="dxa"/>
            <w:vAlign w:val="bottom"/>
            <w:gridSpan w:val="33"/>
          </w:tcPr>
          <w:p>
            <w:pPr>
              <w:ind w:left="280"/>
              <w:spacing w:after="0"/>
              <w:rPr>
                <w:sz w:val="20"/>
                <w:szCs w:val="20"/>
                <w:color w:val="auto"/>
              </w:rPr>
            </w:pPr>
            <w:r>
              <w:rPr>
                <w:rFonts w:ascii="Arial" w:cs="Arial" w:eastAsia="Arial" w:hAnsi="Arial"/>
                <w:sz w:val="16"/>
                <w:szCs w:val="16"/>
                <w:color w:val="0000FF"/>
              </w:rPr>
              <w:t>Risk Factors</w:t>
            </w:r>
          </w:p>
        </w:tc>
        <w:tc>
          <w:tcPr>
            <w:tcW w:w="640" w:type="dxa"/>
            <w:vAlign w:val="bottom"/>
            <w:gridSpan w:val="3"/>
          </w:tcPr>
          <w:p>
            <w:pPr>
              <w:jc w:val="right"/>
              <w:spacing w:after="0"/>
              <w:rPr>
                <w:sz w:val="20"/>
                <w:szCs w:val="20"/>
                <w:color w:val="auto"/>
              </w:rPr>
            </w:pPr>
            <w:r>
              <w:rPr>
                <w:rFonts w:ascii="Arial" w:cs="Arial" w:eastAsia="Arial" w:hAnsi="Arial"/>
                <w:sz w:val="16"/>
                <w:szCs w:val="16"/>
                <w:color w:val="0000FF"/>
              </w:rPr>
              <w:t>33</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600" w:type="dxa"/>
            <w:vAlign w:val="bottom"/>
            <w:gridSpan w:val="2"/>
            <w:shd w:val="clear" w:color="auto" w:fill="B2B2B2"/>
          </w:tcPr>
          <w:p>
            <w:pPr>
              <w:spacing w:after="0"/>
              <w:rPr>
                <w:sz w:val="20"/>
                <w:szCs w:val="20"/>
                <w:color w:val="auto"/>
              </w:rPr>
            </w:pPr>
            <w:r>
              <w:rPr>
                <w:rFonts w:ascii="Arial" w:cs="Arial" w:eastAsia="Arial" w:hAnsi="Arial"/>
                <w:sz w:val="16"/>
                <w:szCs w:val="16"/>
                <w:color w:val="0000FF"/>
              </w:rPr>
              <w:t>Item 2.</w:t>
            </w:r>
          </w:p>
        </w:tc>
        <w:tc>
          <w:tcPr>
            <w:tcW w:w="9960" w:type="dxa"/>
            <w:vAlign w:val="bottom"/>
            <w:gridSpan w:val="33"/>
            <w:shd w:val="clear" w:color="auto" w:fill="B2B2B2"/>
          </w:tcPr>
          <w:p>
            <w:pPr>
              <w:ind w:left="280"/>
              <w:spacing w:after="0"/>
              <w:rPr>
                <w:sz w:val="20"/>
                <w:szCs w:val="20"/>
                <w:color w:val="auto"/>
              </w:rPr>
            </w:pPr>
            <w:r>
              <w:rPr>
                <w:rFonts w:ascii="Arial" w:cs="Arial" w:eastAsia="Arial" w:hAnsi="Arial"/>
                <w:sz w:val="16"/>
                <w:szCs w:val="16"/>
                <w:color w:val="0000FF"/>
              </w:rPr>
              <w:t>Unregistered Sales of Equity Securities and Use of Proceeds</w:t>
            </w:r>
          </w:p>
        </w:tc>
        <w:tc>
          <w:tcPr>
            <w:tcW w:w="64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34</w:t>
            </w:r>
          </w:p>
        </w:tc>
        <w:tc>
          <w:tcPr>
            <w:tcW w:w="20" w:type="dxa"/>
            <w:vAlign w:val="bottom"/>
            <w:shd w:val="clear" w:color="auto" w:fill="B2B2B2"/>
          </w:tcPr>
          <w:p>
            <w:pPr>
              <w:spacing w:after="0"/>
              <w:rPr>
                <w:sz w:val="16"/>
                <w:szCs w:val="16"/>
                <w:color w:val="auto"/>
              </w:rPr>
            </w:pPr>
          </w:p>
        </w:tc>
      </w:tr>
      <w:tr>
        <w:trPr>
          <w:trHeight w:val="48"/>
        </w:trPr>
        <w:tc>
          <w:tcPr>
            <w:tcW w:w="20" w:type="dxa"/>
            <w:vAlign w:val="bottom"/>
            <w:tcBorders>
              <w:top w:val="single" w:sz="8" w:color="B2B2B2"/>
            </w:tcBorders>
            <w:shd w:val="clear" w:color="auto" w:fill="B2B2B2"/>
          </w:tcPr>
          <w:p>
            <w:pPr>
              <w:spacing w:after="0"/>
              <w:rPr>
                <w:sz w:val="4"/>
                <w:szCs w:val="4"/>
                <w:color w:val="auto"/>
              </w:rPr>
            </w:pPr>
          </w:p>
        </w:tc>
        <w:tc>
          <w:tcPr>
            <w:tcW w:w="500" w:type="dxa"/>
            <w:vAlign w:val="bottom"/>
            <w:tcBorders>
              <w:top w:val="single" w:sz="8" w:color="0000FF"/>
            </w:tcBorders>
            <w:shd w:val="clear" w:color="auto" w:fill="B2B2B2"/>
          </w:tcPr>
          <w:p>
            <w:pPr>
              <w:spacing w:after="0"/>
              <w:rPr>
                <w:sz w:val="4"/>
                <w:szCs w:val="4"/>
                <w:color w:val="auto"/>
              </w:rPr>
            </w:pPr>
          </w:p>
        </w:tc>
        <w:tc>
          <w:tcPr>
            <w:tcW w:w="100" w:type="dxa"/>
            <w:vAlign w:val="bottom"/>
            <w:tcBorders>
              <w:top w:val="single" w:sz="8" w:color="B2B2B2"/>
            </w:tcBorders>
            <w:shd w:val="clear" w:color="auto" w:fill="B2B2B2"/>
          </w:tcPr>
          <w:p>
            <w:pPr>
              <w:spacing w:after="0"/>
              <w:rPr>
                <w:sz w:val="4"/>
                <w:szCs w:val="4"/>
                <w:color w:val="auto"/>
              </w:rPr>
            </w:pPr>
          </w:p>
        </w:tc>
        <w:tc>
          <w:tcPr>
            <w:tcW w:w="280" w:type="dxa"/>
            <w:vAlign w:val="bottom"/>
            <w:tcBorders>
              <w:top w:val="single" w:sz="8" w:color="B2B2B2"/>
            </w:tcBorders>
            <w:shd w:val="clear" w:color="auto" w:fill="B2B2B2"/>
          </w:tcPr>
          <w:p>
            <w:pPr>
              <w:spacing w:after="0"/>
              <w:rPr>
                <w:sz w:val="4"/>
                <w:szCs w:val="4"/>
                <w:color w:val="auto"/>
              </w:rPr>
            </w:pPr>
          </w:p>
        </w:tc>
        <w:tc>
          <w:tcPr>
            <w:tcW w:w="560" w:type="dxa"/>
            <w:vAlign w:val="bottom"/>
            <w:tcBorders>
              <w:top w:val="single" w:sz="8" w:color="0000FF"/>
            </w:tcBorders>
            <w:shd w:val="clear" w:color="auto" w:fill="B2B2B2"/>
          </w:tcPr>
          <w:p>
            <w:pPr>
              <w:spacing w:after="0"/>
              <w:rPr>
                <w:sz w:val="4"/>
                <w:szCs w:val="4"/>
                <w:color w:val="auto"/>
              </w:rPr>
            </w:pPr>
          </w:p>
        </w:tc>
        <w:tc>
          <w:tcPr>
            <w:tcW w:w="340" w:type="dxa"/>
            <w:vAlign w:val="bottom"/>
            <w:tcBorders>
              <w:top w:val="single" w:sz="8" w:color="0000FF"/>
            </w:tcBorders>
            <w:shd w:val="clear" w:color="auto" w:fill="B2B2B2"/>
          </w:tcPr>
          <w:p>
            <w:pPr>
              <w:spacing w:after="0"/>
              <w:rPr>
                <w:sz w:val="4"/>
                <w:szCs w:val="4"/>
                <w:color w:val="auto"/>
              </w:rPr>
            </w:pPr>
          </w:p>
        </w:tc>
        <w:tc>
          <w:tcPr>
            <w:tcW w:w="360" w:type="dxa"/>
            <w:vAlign w:val="bottom"/>
            <w:tcBorders>
              <w:top w:val="single" w:sz="8" w:color="0000FF"/>
            </w:tcBorders>
            <w:shd w:val="clear" w:color="auto" w:fill="B2B2B2"/>
          </w:tcPr>
          <w:p>
            <w:pPr>
              <w:spacing w:after="0"/>
              <w:rPr>
                <w:sz w:val="4"/>
                <w:szCs w:val="4"/>
                <w:color w:val="auto"/>
              </w:rPr>
            </w:pPr>
          </w:p>
        </w:tc>
        <w:tc>
          <w:tcPr>
            <w:tcW w:w="80" w:type="dxa"/>
            <w:vAlign w:val="bottom"/>
            <w:tcBorders>
              <w:top w:val="single" w:sz="8" w:color="0000FF"/>
            </w:tcBorders>
            <w:shd w:val="clear" w:color="auto" w:fill="B2B2B2"/>
          </w:tcPr>
          <w:p>
            <w:pPr>
              <w:spacing w:after="0"/>
              <w:rPr>
                <w:sz w:val="4"/>
                <w:szCs w:val="4"/>
                <w:color w:val="auto"/>
              </w:rPr>
            </w:pPr>
          </w:p>
        </w:tc>
        <w:tc>
          <w:tcPr>
            <w:tcW w:w="160" w:type="dxa"/>
            <w:vAlign w:val="bottom"/>
            <w:tcBorders>
              <w:top w:val="single" w:sz="8" w:color="0000FF"/>
            </w:tcBorders>
            <w:shd w:val="clear" w:color="auto" w:fill="B2B2B2"/>
          </w:tcPr>
          <w:p>
            <w:pPr>
              <w:spacing w:after="0"/>
              <w:rPr>
                <w:sz w:val="4"/>
                <w:szCs w:val="4"/>
                <w:color w:val="auto"/>
              </w:rPr>
            </w:pPr>
          </w:p>
        </w:tc>
        <w:tc>
          <w:tcPr>
            <w:tcW w:w="240" w:type="dxa"/>
            <w:vAlign w:val="bottom"/>
            <w:tcBorders>
              <w:top w:val="single" w:sz="8" w:color="0000FF"/>
            </w:tcBorders>
            <w:shd w:val="clear" w:color="auto" w:fill="B2B2B2"/>
          </w:tcPr>
          <w:p>
            <w:pPr>
              <w:spacing w:after="0"/>
              <w:rPr>
                <w:sz w:val="4"/>
                <w:szCs w:val="4"/>
                <w:color w:val="auto"/>
              </w:rPr>
            </w:pPr>
          </w:p>
        </w:tc>
        <w:tc>
          <w:tcPr>
            <w:tcW w:w="40" w:type="dxa"/>
            <w:vAlign w:val="bottom"/>
            <w:tcBorders>
              <w:top w:val="single" w:sz="8" w:color="0000FF"/>
            </w:tcBorders>
            <w:shd w:val="clear" w:color="auto" w:fill="B2B2B2"/>
          </w:tcPr>
          <w:p>
            <w:pPr>
              <w:spacing w:after="0"/>
              <w:rPr>
                <w:sz w:val="4"/>
                <w:szCs w:val="4"/>
                <w:color w:val="auto"/>
              </w:rPr>
            </w:pPr>
          </w:p>
        </w:tc>
        <w:tc>
          <w:tcPr>
            <w:tcW w:w="220" w:type="dxa"/>
            <w:vAlign w:val="bottom"/>
            <w:tcBorders>
              <w:top w:val="single" w:sz="8" w:color="0000FF"/>
            </w:tcBorders>
            <w:shd w:val="clear" w:color="auto" w:fill="B2B2B2"/>
          </w:tcPr>
          <w:p>
            <w:pPr>
              <w:spacing w:after="0"/>
              <w:rPr>
                <w:sz w:val="4"/>
                <w:szCs w:val="4"/>
                <w:color w:val="auto"/>
              </w:rPr>
            </w:pPr>
          </w:p>
        </w:tc>
        <w:tc>
          <w:tcPr>
            <w:tcW w:w="260" w:type="dxa"/>
            <w:vAlign w:val="bottom"/>
            <w:tcBorders>
              <w:top w:val="single" w:sz="8" w:color="0000FF"/>
            </w:tcBorders>
            <w:shd w:val="clear" w:color="auto" w:fill="B2B2B2"/>
          </w:tcPr>
          <w:p>
            <w:pPr>
              <w:spacing w:after="0"/>
              <w:rPr>
                <w:sz w:val="4"/>
                <w:szCs w:val="4"/>
                <w:color w:val="auto"/>
              </w:rPr>
            </w:pPr>
          </w:p>
        </w:tc>
        <w:tc>
          <w:tcPr>
            <w:tcW w:w="260" w:type="dxa"/>
            <w:vAlign w:val="bottom"/>
            <w:tcBorders>
              <w:top w:val="single" w:sz="8" w:color="0000FF"/>
            </w:tcBorders>
            <w:shd w:val="clear" w:color="auto" w:fill="B2B2B2"/>
          </w:tcPr>
          <w:p>
            <w:pPr>
              <w:spacing w:after="0"/>
              <w:rPr>
                <w:sz w:val="4"/>
                <w:szCs w:val="4"/>
                <w:color w:val="auto"/>
              </w:rPr>
            </w:pPr>
          </w:p>
        </w:tc>
        <w:tc>
          <w:tcPr>
            <w:tcW w:w="420" w:type="dxa"/>
            <w:vAlign w:val="bottom"/>
            <w:tcBorders>
              <w:top w:val="single" w:sz="8" w:color="0000FF"/>
            </w:tcBorders>
            <w:shd w:val="clear" w:color="auto" w:fill="B2B2B2"/>
          </w:tcPr>
          <w:p>
            <w:pPr>
              <w:spacing w:after="0"/>
              <w:rPr>
                <w:sz w:val="4"/>
                <w:szCs w:val="4"/>
                <w:color w:val="auto"/>
              </w:rPr>
            </w:pPr>
          </w:p>
        </w:tc>
        <w:tc>
          <w:tcPr>
            <w:tcW w:w="100" w:type="dxa"/>
            <w:vAlign w:val="bottom"/>
            <w:tcBorders>
              <w:top w:val="single" w:sz="8" w:color="0000FF"/>
            </w:tcBorders>
            <w:shd w:val="clear" w:color="auto" w:fill="B2B2B2"/>
          </w:tcPr>
          <w:p>
            <w:pPr>
              <w:spacing w:after="0"/>
              <w:rPr>
                <w:sz w:val="4"/>
                <w:szCs w:val="4"/>
                <w:color w:val="auto"/>
              </w:rPr>
            </w:pPr>
          </w:p>
        </w:tc>
        <w:tc>
          <w:tcPr>
            <w:tcW w:w="100" w:type="dxa"/>
            <w:vAlign w:val="bottom"/>
            <w:tcBorders>
              <w:top w:val="single" w:sz="8" w:color="0000FF"/>
            </w:tcBorders>
            <w:shd w:val="clear" w:color="auto" w:fill="B2B2B2"/>
          </w:tcPr>
          <w:p>
            <w:pPr>
              <w:spacing w:after="0"/>
              <w:rPr>
                <w:sz w:val="4"/>
                <w:szCs w:val="4"/>
                <w:color w:val="auto"/>
              </w:rPr>
            </w:pPr>
          </w:p>
        </w:tc>
        <w:tc>
          <w:tcPr>
            <w:tcW w:w="300" w:type="dxa"/>
            <w:vAlign w:val="bottom"/>
            <w:tcBorders>
              <w:top w:val="single" w:sz="8" w:color="0000FF"/>
            </w:tcBorders>
            <w:shd w:val="clear" w:color="auto" w:fill="B2B2B2"/>
          </w:tcPr>
          <w:p>
            <w:pPr>
              <w:spacing w:after="0"/>
              <w:rPr>
                <w:sz w:val="4"/>
                <w:szCs w:val="4"/>
                <w:color w:val="auto"/>
              </w:rPr>
            </w:pPr>
          </w:p>
        </w:tc>
        <w:tc>
          <w:tcPr>
            <w:tcW w:w="100" w:type="dxa"/>
            <w:vAlign w:val="bottom"/>
            <w:tcBorders>
              <w:top w:val="single" w:sz="8" w:color="0000FF"/>
            </w:tcBorders>
            <w:shd w:val="clear" w:color="auto" w:fill="B2B2B2"/>
          </w:tcPr>
          <w:p>
            <w:pPr>
              <w:spacing w:after="0"/>
              <w:rPr>
                <w:sz w:val="4"/>
                <w:szCs w:val="4"/>
                <w:color w:val="auto"/>
              </w:rPr>
            </w:pPr>
          </w:p>
        </w:tc>
        <w:tc>
          <w:tcPr>
            <w:tcW w:w="100" w:type="dxa"/>
            <w:vAlign w:val="bottom"/>
            <w:tcBorders>
              <w:top w:val="single" w:sz="8" w:color="0000FF"/>
            </w:tcBorders>
            <w:shd w:val="clear" w:color="auto" w:fill="B2B2B2"/>
          </w:tcPr>
          <w:p>
            <w:pPr>
              <w:spacing w:after="0"/>
              <w:rPr>
                <w:sz w:val="4"/>
                <w:szCs w:val="4"/>
                <w:color w:val="auto"/>
              </w:rPr>
            </w:pPr>
          </w:p>
        </w:tc>
        <w:tc>
          <w:tcPr>
            <w:tcW w:w="260" w:type="dxa"/>
            <w:vAlign w:val="bottom"/>
            <w:tcBorders>
              <w:top w:val="single" w:sz="8" w:color="0000FF"/>
            </w:tcBorders>
            <w:shd w:val="clear" w:color="auto" w:fill="B2B2B2"/>
          </w:tcPr>
          <w:p>
            <w:pPr>
              <w:spacing w:after="0"/>
              <w:rPr>
                <w:sz w:val="4"/>
                <w:szCs w:val="4"/>
                <w:color w:val="auto"/>
              </w:rPr>
            </w:pPr>
          </w:p>
        </w:tc>
        <w:tc>
          <w:tcPr>
            <w:tcW w:w="320" w:type="dxa"/>
            <w:vAlign w:val="bottom"/>
            <w:tcBorders>
              <w:top w:val="single" w:sz="8" w:color="0000FF"/>
            </w:tcBorders>
            <w:shd w:val="clear" w:color="auto" w:fill="B2B2B2"/>
          </w:tcPr>
          <w:p>
            <w:pPr>
              <w:spacing w:after="0"/>
              <w:rPr>
                <w:sz w:val="4"/>
                <w:szCs w:val="4"/>
                <w:color w:val="auto"/>
              </w:rPr>
            </w:pPr>
          </w:p>
        </w:tc>
        <w:tc>
          <w:tcPr>
            <w:tcW w:w="40" w:type="dxa"/>
            <w:vAlign w:val="bottom"/>
            <w:tcBorders>
              <w:top w:val="single" w:sz="8" w:color="0000FF"/>
            </w:tcBorders>
            <w:shd w:val="clear" w:color="auto" w:fill="B2B2B2"/>
          </w:tcPr>
          <w:p>
            <w:pPr>
              <w:spacing w:after="0"/>
              <w:rPr>
                <w:sz w:val="4"/>
                <w:szCs w:val="4"/>
                <w:color w:val="auto"/>
              </w:rPr>
            </w:pPr>
          </w:p>
        </w:tc>
        <w:tc>
          <w:tcPr>
            <w:tcW w:w="40" w:type="dxa"/>
            <w:vAlign w:val="bottom"/>
            <w:tcBorders>
              <w:top w:val="single" w:sz="8" w:color="0000FF"/>
            </w:tcBorders>
            <w:shd w:val="clear" w:color="auto" w:fill="B2B2B2"/>
          </w:tcPr>
          <w:p>
            <w:pPr>
              <w:spacing w:after="0"/>
              <w:rPr>
                <w:sz w:val="4"/>
                <w:szCs w:val="4"/>
                <w:color w:val="auto"/>
              </w:rPr>
            </w:pPr>
          </w:p>
        </w:tc>
        <w:tc>
          <w:tcPr>
            <w:tcW w:w="60" w:type="dxa"/>
            <w:vAlign w:val="bottom"/>
            <w:tcBorders>
              <w:top w:val="single" w:sz="8" w:color="0000FF"/>
            </w:tcBorders>
            <w:shd w:val="clear" w:color="auto" w:fill="B2B2B2"/>
          </w:tcPr>
          <w:p>
            <w:pPr>
              <w:spacing w:after="0"/>
              <w:rPr>
                <w:sz w:val="4"/>
                <w:szCs w:val="4"/>
                <w:color w:val="auto"/>
              </w:rPr>
            </w:pPr>
          </w:p>
        </w:tc>
        <w:tc>
          <w:tcPr>
            <w:tcW w:w="400" w:type="dxa"/>
            <w:vAlign w:val="bottom"/>
            <w:tcBorders>
              <w:top w:val="single" w:sz="8" w:color="B2B2B2"/>
            </w:tcBorders>
            <w:shd w:val="clear" w:color="auto" w:fill="B2B2B2"/>
          </w:tcPr>
          <w:p>
            <w:pPr>
              <w:spacing w:after="0"/>
              <w:rPr>
                <w:sz w:val="4"/>
                <w:szCs w:val="4"/>
                <w:color w:val="auto"/>
              </w:rPr>
            </w:pPr>
          </w:p>
        </w:tc>
        <w:tc>
          <w:tcPr>
            <w:tcW w:w="460" w:type="dxa"/>
            <w:vAlign w:val="bottom"/>
            <w:tcBorders>
              <w:top w:val="single" w:sz="8" w:color="B2B2B2"/>
            </w:tcBorders>
            <w:shd w:val="clear" w:color="auto" w:fill="B2B2B2"/>
          </w:tcPr>
          <w:p>
            <w:pPr>
              <w:spacing w:after="0"/>
              <w:rPr>
                <w:sz w:val="4"/>
                <w:szCs w:val="4"/>
                <w:color w:val="auto"/>
              </w:rPr>
            </w:pPr>
          </w:p>
        </w:tc>
        <w:tc>
          <w:tcPr>
            <w:tcW w:w="60" w:type="dxa"/>
            <w:vAlign w:val="bottom"/>
            <w:tcBorders>
              <w:top w:val="single" w:sz="8" w:color="B2B2B2"/>
            </w:tcBorders>
            <w:shd w:val="clear" w:color="auto" w:fill="B2B2B2"/>
          </w:tcPr>
          <w:p>
            <w:pPr>
              <w:spacing w:after="0"/>
              <w:rPr>
                <w:sz w:val="4"/>
                <w:szCs w:val="4"/>
                <w:color w:val="auto"/>
              </w:rPr>
            </w:pPr>
          </w:p>
        </w:tc>
        <w:tc>
          <w:tcPr>
            <w:tcW w:w="360" w:type="dxa"/>
            <w:vAlign w:val="bottom"/>
            <w:tcBorders>
              <w:top w:val="single" w:sz="8" w:color="B2B2B2"/>
            </w:tcBorders>
            <w:shd w:val="clear" w:color="auto" w:fill="B2B2B2"/>
          </w:tcPr>
          <w:p>
            <w:pPr>
              <w:spacing w:after="0"/>
              <w:rPr>
                <w:sz w:val="4"/>
                <w:szCs w:val="4"/>
                <w:color w:val="auto"/>
              </w:rPr>
            </w:pPr>
          </w:p>
        </w:tc>
        <w:tc>
          <w:tcPr>
            <w:tcW w:w="140" w:type="dxa"/>
            <w:vAlign w:val="bottom"/>
            <w:tcBorders>
              <w:top w:val="single" w:sz="8" w:color="B2B2B2"/>
            </w:tcBorders>
            <w:shd w:val="clear" w:color="auto" w:fill="B2B2B2"/>
          </w:tcPr>
          <w:p>
            <w:pPr>
              <w:spacing w:after="0"/>
              <w:rPr>
                <w:sz w:val="4"/>
                <w:szCs w:val="4"/>
                <w:color w:val="auto"/>
              </w:rPr>
            </w:pPr>
          </w:p>
        </w:tc>
        <w:tc>
          <w:tcPr>
            <w:tcW w:w="360" w:type="dxa"/>
            <w:vAlign w:val="bottom"/>
            <w:tcBorders>
              <w:top w:val="single" w:sz="8" w:color="B2B2B2"/>
            </w:tcBorders>
            <w:shd w:val="clear" w:color="auto" w:fill="B2B2B2"/>
          </w:tcPr>
          <w:p>
            <w:pPr>
              <w:spacing w:after="0"/>
              <w:rPr>
                <w:sz w:val="4"/>
                <w:szCs w:val="4"/>
                <w:color w:val="auto"/>
              </w:rPr>
            </w:pPr>
          </w:p>
        </w:tc>
        <w:tc>
          <w:tcPr>
            <w:tcW w:w="200" w:type="dxa"/>
            <w:vAlign w:val="bottom"/>
            <w:tcBorders>
              <w:top w:val="single" w:sz="8" w:color="B2B2B2"/>
            </w:tcBorders>
            <w:shd w:val="clear" w:color="auto" w:fill="B2B2B2"/>
          </w:tcPr>
          <w:p>
            <w:pPr>
              <w:spacing w:after="0"/>
              <w:rPr>
                <w:sz w:val="4"/>
                <w:szCs w:val="4"/>
                <w:color w:val="auto"/>
              </w:rPr>
            </w:pPr>
          </w:p>
        </w:tc>
        <w:tc>
          <w:tcPr>
            <w:tcW w:w="20" w:type="dxa"/>
            <w:vAlign w:val="bottom"/>
            <w:tcBorders>
              <w:top w:val="single" w:sz="8" w:color="B2B2B2"/>
            </w:tcBorders>
            <w:shd w:val="clear" w:color="auto" w:fill="B2B2B2"/>
          </w:tcPr>
          <w:p>
            <w:pPr>
              <w:spacing w:after="0"/>
              <w:rPr>
                <w:sz w:val="4"/>
                <w:szCs w:val="4"/>
                <w:color w:val="auto"/>
              </w:rPr>
            </w:pPr>
          </w:p>
        </w:tc>
        <w:tc>
          <w:tcPr>
            <w:tcW w:w="1000" w:type="dxa"/>
            <w:vAlign w:val="bottom"/>
            <w:tcBorders>
              <w:top w:val="single" w:sz="8" w:color="B2B2B2"/>
            </w:tcBorders>
            <w:shd w:val="clear" w:color="auto" w:fill="B2B2B2"/>
          </w:tcPr>
          <w:p>
            <w:pPr>
              <w:spacing w:after="0"/>
              <w:rPr>
                <w:sz w:val="4"/>
                <w:szCs w:val="4"/>
                <w:color w:val="auto"/>
              </w:rPr>
            </w:pPr>
          </w:p>
        </w:tc>
        <w:tc>
          <w:tcPr>
            <w:tcW w:w="360" w:type="dxa"/>
            <w:vAlign w:val="bottom"/>
            <w:tcBorders>
              <w:top w:val="single" w:sz="8" w:color="B2B2B2"/>
            </w:tcBorders>
            <w:shd w:val="clear" w:color="auto" w:fill="B2B2B2"/>
          </w:tcPr>
          <w:p>
            <w:pPr>
              <w:spacing w:after="0"/>
              <w:rPr>
                <w:sz w:val="4"/>
                <w:szCs w:val="4"/>
                <w:color w:val="auto"/>
              </w:rPr>
            </w:pPr>
          </w:p>
        </w:tc>
        <w:tc>
          <w:tcPr>
            <w:tcW w:w="1960" w:type="dxa"/>
            <w:vAlign w:val="bottom"/>
            <w:tcBorders>
              <w:top w:val="single" w:sz="8" w:color="B2B2B2"/>
            </w:tcBorders>
            <w:shd w:val="clear" w:color="auto" w:fill="B2B2B2"/>
          </w:tcPr>
          <w:p>
            <w:pPr>
              <w:spacing w:after="0"/>
              <w:rPr>
                <w:sz w:val="4"/>
                <w:szCs w:val="4"/>
                <w:color w:val="auto"/>
              </w:rPr>
            </w:pPr>
          </w:p>
        </w:tc>
        <w:tc>
          <w:tcPr>
            <w:tcW w:w="460" w:type="dxa"/>
            <w:vAlign w:val="bottom"/>
            <w:tcBorders>
              <w:top w:val="single" w:sz="8" w:color="B2B2B2"/>
            </w:tcBorders>
            <w:shd w:val="clear" w:color="auto" w:fill="B2B2B2"/>
          </w:tcPr>
          <w:p>
            <w:pPr>
              <w:spacing w:after="0"/>
              <w:rPr>
                <w:sz w:val="4"/>
                <w:szCs w:val="4"/>
                <w:color w:val="auto"/>
              </w:rPr>
            </w:pPr>
          </w:p>
        </w:tc>
        <w:tc>
          <w:tcPr>
            <w:tcW w:w="100" w:type="dxa"/>
            <w:vAlign w:val="bottom"/>
            <w:tcBorders>
              <w:top w:val="single" w:sz="8" w:color="0000FF"/>
            </w:tcBorders>
            <w:shd w:val="clear" w:color="auto" w:fill="B2B2B2"/>
          </w:tcPr>
          <w:p>
            <w:pPr>
              <w:spacing w:after="0"/>
              <w:rPr>
                <w:sz w:val="4"/>
                <w:szCs w:val="4"/>
                <w:color w:val="auto"/>
              </w:rPr>
            </w:pPr>
          </w:p>
        </w:tc>
        <w:tc>
          <w:tcPr>
            <w:tcW w:w="80" w:type="dxa"/>
            <w:vAlign w:val="bottom"/>
            <w:tcBorders>
              <w:top w:val="single" w:sz="8" w:color="0000FF"/>
            </w:tcBorders>
            <w:shd w:val="clear" w:color="auto" w:fill="B2B2B2"/>
          </w:tcPr>
          <w:p>
            <w:pPr>
              <w:spacing w:after="0"/>
              <w:rPr>
                <w:sz w:val="4"/>
                <w:szCs w:val="4"/>
                <w:color w:val="auto"/>
              </w:rPr>
            </w:pPr>
          </w:p>
        </w:tc>
        <w:tc>
          <w:tcPr>
            <w:tcW w:w="20" w:type="dxa"/>
            <w:vAlign w:val="bottom"/>
            <w:tcBorders>
              <w:top w:val="single" w:sz="8" w:color="B2B2B2"/>
            </w:tcBorders>
            <w:shd w:val="clear" w:color="auto" w:fill="B2B2B2"/>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3.</w:t>
            </w:r>
          </w:p>
        </w:tc>
        <w:tc>
          <w:tcPr>
            <w:tcW w:w="9960" w:type="dxa"/>
            <w:vAlign w:val="bottom"/>
            <w:gridSpan w:val="33"/>
          </w:tcPr>
          <w:p>
            <w:pPr>
              <w:ind w:left="280"/>
              <w:spacing w:after="0"/>
              <w:rPr>
                <w:sz w:val="20"/>
                <w:szCs w:val="20"/>
                <w:color w:val="auto"/>
              </w:rPr>
            </w:pPr>
            <w:r>
              <w:rPr>
                <w:rFonts w:ascii="Arial" w:cs="Arial" w:eastAsia="Arial" w:hAnsi="Arial"/>
                <w:sz w:val="16"/>
                <w:szCs w:val="16"/>
                <w:color w:val="0000FF"/>
              </w:rPr>
              <w:t>Defaults upon Senior Securities</w:t>
            </w:r>
          </w:p>
        </w:tc>
        <w:tc>
          <w:tcPr>
            <w:tcW w:w="640" w:type="dxa"/>
            <w:vAlign w:val="bottom"/>
            <w:gridSpan w:val="3"/>
          </w:tcPr>
          <w:p>
            <w:pPr>
              <w:jc w:val="right"/>
              <w:spacing w:after="0"/>
              <w:rPr>
                <w:sz w:val="20"/>
                <w:szCs w:val="20"/>
                <w:color w:val="auto"/>
              </w:rPr>
            </w:pPr>
            <w:r>
              <w:rPr>
                <w:rFonts w:ascii="Arial" w:cs="Arial" w:eastAsia="Arial" w:hAnsi="Arial"/>
                <w:sz w:val="16"/>
                <w:szCs w:val="16"/>
                <w:color w:val="0000FF"/>
              </w:rPr>
              <w:t>34</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shd w:val="clear" w:color="auto" w:fill="B2B2B2"/>
          </w:tcPr>
          <w:p>
            <w:pPr>
              <w:spacing w:after="0"/>
              <w:rPr>
                <w:sz w:val="16"/>
                <w:szCs w:val="16"/>
                <w:color w:val="auto"/>
              </w:rPr>
            </w:pPr>
          </w:p>
        </w:tc>
        <w:tc>
          <w:tcPr>
            <w:tcW w:w="600" w:type="dxa"/>
            <w:vAlign w:val="bottom"/>
            <w:gridSpan w:val="2"/>
            <w:shd w:val="clear" w:color="auto" w:fill="B2B2B2"/>
          </w:tcPr>
          <w:p>
            <w:pPr>
              <w:spacing w:after="0"/>
              <w:rPr>
                <w:sz w:val="20"/>
                <w:szCs w:val="20"/>
                <w:color w:val="auto"/>
              </w:rPr>
            </w:pPr>
            <w:r>
              <w:rPr>
                <w:rFonts w:ascii="Arial" w:cs="Arial" w:eastAsia="Arial" w:hAnsi="Arial"/>
                <w:sz w:val="16"/>
                <w:szCs w:val="16"/>
                <w:color w:val="0000FF"/>
              </w:rPr>
              <w:t>Item 4.</w:t>
            </w:r>
          </w:p>
        </w:tc>
        <w:tc>
          <w:tcPr>
            <w:tcW w:w="9960" w:type="dxa"/>
            <w:vAlign w:val="bottom"/>
            <w:gridSpan w:val="33"/>
            <w:shd w:val="clear" w:color="auto" w:fill="B2B2B2"/>
          </w:tcPr>
          <w:p>
            <w:pPr>
              <w:ind w:left="280"/>
              <w:spacing w:after="0"/>
              <w:rPr>
                <w:sz w:val="20"/>
                <w:szCs w:val="20"/>
                <w:color w:val="auto"/>
              </w:rPr>
            </w:pPr>
            <w:r>
              <w:rPr>
                <w:rFonts w:ascii="Arial" w:cs="Arial" w:eastAsia="Arial" w:hAnsi="Arial"/>
                <w:sz w:val="16"/>
                <w:szCs w:val="16"/>
                <w:color w:val="0000FF"/>
              </w:rPr>
              <w:t>Mine Safety Disclosures</w:t>
            </w:r>
          </w:p>
        </w:tc>
        <w:tc>
          <w:tcPr>
            <w:tcW w:w="64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34</w:t>
            </w:r>
          </w:p>
        </w:tc>
        <w:tc>
          <w:tcPr>
            <w:tcW w:w="20" w:type="dxa"/>
            <w:vAlign w:val="bottom"/>
            <w:shd w:val="clear" w:color="auto" w:fill="B2B2B2"/>
          </w:tcPr>
          <w:p>
            <w:pPr>
              <w:spacing w:after="0"/>
              <w:rPr>
                <w:sz w:val="16"/>
                <w:szCs w:val="16"/>
                <w:color w:val="auto"/>
              </w:rPr>
            </w:pPr>
          </w:p>
        </w:tc>
      </w:tr>
      <w:tr>
        <w:trPr>
          <w:trHeight w:val="48"/>
        </w:trPr>
        <w:tc>
          <w:tcPr>
            <w:tcW w:w="20" w:type="dxa"/>
            <w:vAlign w:val="bottom"/>
            <w:tcBorders>
              <w:top w:val="single" w:sz="8" w:color="B2B2B2"/>
            </w:tcBorders>
            <w:shd w:val="clear" w:color="auto" w:fill="B2B2B2"/>
          </w:tcPr>
          <w:p>
            <w:pPr>
              <w:spacing w:after="0"/>
              <w:rPr>
                <w:sz w:val="4"/>
                <w:szCs w:val="4"/>
                <w:color w:val="auto"/>
              </w:rPr>
            </w:pPr>
          </w:p>
        </w:tc>
        <w:tc>
          <w:tcPr>
            <w:tcW w:w="500" w:type="dxa"/>
            <w:vAlign w:val="bottom"/>
            <w:tcBorders>
              <w:top w:val="single" w:sz="8" w:color="0000FF"/>
            </w:tcBorders>
            <w:shd w:val="clear" w:color="auto" w:fill="B2B2B2"/>
          </w:tcPr>
          <w:p>
            <w:pPr>
              <w:spacing w:after="0"/>
              <w:rPr>
                <w:sz w:val="4"/>
                <w:szCs w:val="4"/>
                <w:color w:val="auto"/>
              </w:rPr>
            </w:pPr>
          </w:p>
        </w:tc>
        <w:tc>
          <w:tcPr>
            <w:tcW w:w="100" w:type="dxa"/>
            <w:vAlign w:val="bottom"/>
            <w:tcBorders>
              <w:top w:val="single" w:sz="8" w:color="B2B2B2"/>
            </w:tcBorders>
            <w:shd w:val="clear" w:color="auto" w:fill="B2B2B2"/>
          </w:tcPr>
          <w:p>
            <w:pPr>
              <w:spacing w:after="0"/>
              <w:rPr>
                <w:sz w:val="4"/>
                <w:szCs w:val="4"/>
                <w:color w:val="auto"/>
              </w:rPr>
            </w:pPr>
          </w:p>
        </w:tc>
        <w:tc>
          <w:tcPr>
            <w:tcW w:w="280" w:type="dxa"/>
            <w:vAlign w:val="bottom"/>
            <w:tcBorders>
              <w:top w:val="single" w:sz="8" w:color="B2B2B2"/>
            </w:tcBorders>
            <w:shd w:val="clear" w:color="auto" w:fill="B2B2B2"/>
          </w:tcPr>
          <w:p>
            <w:pPr>
              <w:spacing w:after="0"/>
              <w:rPr>
                <w:sz w:val="4"/>
                <w:szCs w:val="4"/>
                <w:color w:val="auto"/>
              </w:rPr>
            </w:pPr>
          </w:p>
        </w:tc>
        <w:tc>
          <w:tcPr>
            <w:tcW w:w="560" w:type="dxa"/>
            <w:vAlign w:val="bottom"/>
            <w:tcBorders>
              <w:top w:val="single" w:sz="8" w:color="0000FF"/>
            </w:tcBorders>
            <w:shd w:val="clear" w:color="auto" w:fill="B2B2B2"/>
          </w:tcPr>
          <w:p>
            <w:pPr>
              <w:spacing w:after="0"/>
              <w:rPr>
                <w:sz w:val="4"/>
                <w:szCs w:val="4"/>
                <w:color w:val="auto"/>
              </w:rPr>
            </w:pPr>
          </w:p>
        </w:tc>
        <w:tc>
          <w:tcPr>
            <w:tcW w:w="340" w:type="dxa"/>
            <w:vAlign w:val="bottom"/>
            <w:tcBorders>
              <w:top w:val="single" w:sz="8" w:color="0000FF"/>
            </w:tcBorders>
            <w:shd w:val="clear" w:color="auto" w:fill="B2B2B2"/>
          </w:tcPr>
          <w:p>
            <w:pPr>
              <w:spacing w:after="0"/>
              <w:rPr>
                <w:sz w:val="4"/>
                <w:szCs w:val="4"/>
                <w:color w:val="auto"/>
              </w:rPr>
            </w:pPr>
          </w:p>
        </w:tc>
        <w:tc>
          <w:tcPr>
            <w:tcW w:w="360" w:type="dxa"/>
            <w:vAlign w:val="bottom"/>
            <w:tcBorders>
              <w:top w:val="single" w:sz="8" w:color="0000FF"/>
            </w:tcBorders>
            <w:shd w:val="clear" w:color="auto" w:fill="B2B2B2"/>
          </w:tcPr>
          <w:p>
            <w:pPr>
              <w:spacing w:after="0"/>
              <w:rPr>
                <w:sz w:val="4"/>
                <w:szCs w:val="4"/>
                <w:color w:val="auto"/>
              </w:rPr>
            </w:pPr>
          </w:p>
        </w:tc>
        <w:tc>
          <w:tcPr>
            <w:tcW w:w="80" w:type="dxa"/>
            <w:vAlign w:val="bottom"/>
            <w:tcBorders>
              <w:top w:val="single" w:sz="8" w:color="0000FF"/>
            </w:tcBorders>
            <w:shd w:val="clear" w:color="auto" w:fill="B2B2B2"/>
          </w:tcPr>
          <w:p>
            <w:pPr>
              <w:spacing w:after="0"/>
              <w:rPr>
                <w:sz w:val="4"/>
                <w:szCs w:val="4"/>
                <w:color w:val="auto"/>
              </w:rPr>
            </w:pPr>
          </w:p>
        </w:tc>
        <w:tc>
          <w:tcPr>
            <w:tcW w:w="160" w:type="dxa"/>
            <w:vAlign w:val="bottom"/>
            <w:tcBorders>
              <w:top w:val="single" w:sz="8" w:color="0000FF"/>
            </w:tcBorders>
            <w:shd w:val="clear" w:color="auto" w:fill="B2B2B2"/>
          </w:tcPr>
          <w:p>
            <w:pPr>
              <w:spacing w:after="0"/>
              <w:rPr>
                <w:sz w:val="4"/>
                <w:szCs w:val="4"/>
                <w:color w:val="auto"/>
              </w:rPr>
            </w:pPr>
          </w:p>
        </w:tc>
        <w:tc>
          <w:tcPr>
            <w:tcW w:w="240" w:type="dxa"/>
            <w:vAlign w:val="bottom"/>
            <w:tcBorders>
              <w:top w:val="single" w:sz="8" w:color="0000FF"/>
            </w:tcBorders>
            <w:shd w:val="clear" w:color="auto" w:fill="B2B2B2"/>
          </w:tcPr>
          <w:p>
            <w:pPr>
              <w:spacing w:after="0"/>
              <w:rPr>
                <w:sz w:val="4"/>
                <w:szCs w:val="4"/>
                <w:color w:val="auto"/>
              </w:rPr>
            </w:pPr>
          </w:p>
        </w:tc>
        <w:tc>
          <w:tcPr>
            <w:tcW w:w="40" w:type="dxa"/>
            <w:vAlign w:val="bottom"/>
            <w:tcBorders>
              <w:top w:val="single" w:sz="8" w:color="B2B2B2"/>
            </w:tcBorders>
            <w:shd w:val="clear" w:color="auto" w:fill="B2B2B2"/>
          </w:tcPr>
          <w:p>
            <w:pPr>
              <w:spacing w:after="0"/>
              <w:rPr>
                <w:sz w:val="4"/>
                <w:szCs w:val="4"/>
                <w:color w:val="auto"/>
              </w:rPr>
            </w:pPr>
          </w:p>
        </w:tc>
        <w:tc>
          <w:tcPr>
            <w:tcW w:w="220" w:type="dxa"/>
            <w:vAlign w:val="bottom"/>
            <w:tcBorders>
              <w:top w:val="single" w:sz="8" w:color="B2B2B2"/>
            </w:tcBorders>
            <w:shd w:val="clear" w:color="auto" w:fill="B2B2B2"/>
          </w:tcPr>
          <w:p>
            <w:pPr>
              <w:spacing w:after="0"/>
              <w:rPr>
                <w:sz w:val="4"/>
                <w:szCs w:val="4"/>
                <w:color w:val="auto"/>
              </w:rPr>
            </w:pPr>
          </w:p>
        </w:tc>
        <w:tc>
          <w:tcPr>
            <w:tcW w:w="260" w:type="dxa"/>
            <w:vAlign w:val="bottom"/>
            <w:tcBorders>
              <w:top w:val="single" w:sz="8" w:color="B2B2B2"/>
            </w:tcBorders>
            <w:shd w:val="clear" w:color="auto" w:fill="B2B2B2"/>
          </w:tcPr>
          <w:p>
            <w:pPr>
              <w:spacing w:after="0"/>
              <w:rPr>
                <w:sz w:val="4"/>
                <w:szCs w:val="4"/>
                <w:color w:val="auto"/>
              </w:rPr>
            </w:pPr>
          </w:p>
        </w:tc>
        <w:tc>
          <w:tcPr>
            <w:tcW w:w="260" w:type="dxa"/>
            <w:vAlign w:val="bottom"/>
            <w:tcBorders>
              <w:top w:val="single" w:sz="8" w:color="B2B2B2"/>
            </w:tcBorders>
            <w:shd w:val="clear" w:color="auto" w:fill="B2B2B2"/>
          </w:tcPr>
          <w:p>
            <w:pPr>
              <w:spacing w:after="0"/>
              <w:rPr>
                <w:sz w:val="4"/>
                <w:szCs w:val="4"/>
                <w:color w:val="auto"/>
              </w:rPr>
            </w:pPr>
          </w:p>
        </w:tc>
        <w:tc>
          <w:tcPr>
            <w:tcW w:w="420" w:type="dxa"/>
            <w:vAlign w:val="bottom"/>
            <w:tcBorders>
              <w:top w:val="single" w:sz="8" w:color="B2B2B2"/>
            </w:tcBorders>
            <w:shd w:val="clear" w:color="auto" w:fill="B2B2B2"/>
          </w:tcPr>
          <w:p>
            <w:pPr>
              <w:spacing w:after="0"/>
              <w:rPr>
                <w:sz w:val="4"/>
                <w:szCs w:val="4"/>
                <w:color w:val="auto"/>
              </w:rPr>
            </w:pPr>
          </w:p>
        </w:tc>
        <w:tc>
          <w:tcPr>
            <w:tcW w:w="100" w:type="dxa"/>
            <w:vAlign w:val="bottom"/>
            <w:tcBorders>
              <w:top w:val="single" w:sz="8" w:color="B2B2B2"/>
            </w:tcBorders>
            <w:shd w:val="clear" w:color="auto" w:fill="B2B2B2"/>
          </w:tcPr>
          <w:p>
            <w:pPr>
              <w:spacing w:after="0"/>
              <w:rPr>
                <w:sz w:val="4"/>
                <w:szCs w:val="4"/>
                <w:color w:val="auto"/>
              </w:rPr>
            </w:pPr>
          </w:p>
        </w:tc>
        <w:tc>
          <w:tcPr>
            <w:tcW w:w="100" w:type="dxa"/>
            <w:vAlign w:val="bottom"/>
            <w:tcBorders>
              <w:top w:val="single" w:sz="8" w:color="B2B2B2"/>
            </w:tcBorders>
            <w:shd w:val="clear" w:color="auto" w:fill="B2B2B2"/>
          </w:tcPr>
          <w:p>
            <w:pPr>
              <w:spacing w:after="0"/>
              <w:rPr>
                <w:sz w:val="4"/>
                <w:szCs w:val="4"/>
                <w:color w:val="auto"/>
              </w:rPr>
            </w:pPr>
          </w:p>
        </w:tc>
        <w:tc>
          <w:tcPr>
            <w:tcW w:w="300" w:type="dxa"/>
            <w:vAlign w:val="bottom"/>
            <w:tcBorders>
              <w:top w:val="single" w:sz="8" w:color="B2B2B2"/>
            </w:tcBorders>
            <w:shd w:val="clear" w:color="auto" w:fill="B2B2B2"/>
          </w:tcPr>
          <w:p>
            <w:pPr>
              <w:spacing w:after="0"/>
              <w:rPr>
                <w:sz w:val="4"/>
                <w:szCs w:val="4"/>
                <w:color w:val="auto"/>
              </w:rPr>
            </w:pPr>
          </w:p>
        </w:tc>
        <w:tc>
          <w:tcPr>
            <w:tcW w:w="100" w:type="dxa"/>
            <w:vAlign w:val="bottom"/>
            <w:tcBorders>
              <w:top w:val="single" w:sz="8" w:color="B2B2B2"/>
            </w:tcBorders>
            <w:shd w:val="clear" w:color="auto" w:fill="B2B2B2"/>
          </w:tcPr>
          <w:p>
            <w:pPr>
              <w:spacing w:after="0"/>
              <w:rPr>
                <w:sz w:val="4"/>
                <w:szCs w:val="4"/>
                <w:color w:val="auto"/>
              </w:rPr>
            </w:pPr>
          </w:p>
        </w:tc>
        <w:tc>
          <w:tcPr>
            <w:tcW w:w="100" w:type="dxa"/>
            <w:vAlign w:val="bottom"/>
            <w:tcBorders>
              <w:top w:val="single" w:sz="8" w:color="B2B2B2"/>
            </w:tcBorders>
            <w:shd w:val="clear" w:color="auto" w:fill="B2B2B2"/>
          </w:tcPr>
          <w:p>
            <w:pPr>
              <w:spacing w:after="0"/>
              <w:rPr>
                <w:sz w:val="4"/>
                <w:szCs w:val="4"/>
                <w:color w:val="auto"/>
              </w:rPr>
            </w:pPr>
          </w:p>
        </w:tc>
        <w:tc>
          <w:tcPr>
            <w:tcW w:w="260" w:type="dxa"/>
            <w:vAlign w:val="bottom"/>
            <w:tcBorders>
              <w:top w:val="single" w:sz="8" w:color="B2B2B2"/>
            </w:tcBorders>
            <w:shd w:val="clear" w:color="auto" w:fill="B2B2B2"/>
          </w:tcPr>
          <w:p>
            <w:pPr>
              <w:spacing w:after="0"/>
              <w:rPr>
                <w:sz w:val="4"/>
                <w:szCs w:val="4"/>
                <w:color w:val="auto"/>
              </w:rPr>
            </w:pPr>
          </w:p>
        </w:tc>
        <w:tc>
          <w:tcPr>
            <w:tcW w:w="320" w:type="dxa"/>
            <w:vAlign w:val="bottom"/>
            <w:tcBorders>
              <w:top w:val="single" w:sz="8" w:color="B2B2B2"/>
            </w:tcBorders>
            <w:shd w:val="clear" w:color="auto" w:fill="B2B2B2"/>
          </w:tcPr>
          <w:p>
            <w:pPr>
              <w:spacing w:after="0"/>
              <w:rPr>
                <w:sz w:val="4"/>
                <w:szCs w:val="4"/>
                <w:color w:val="auto"/>
              </w:rPr>
            </w:pPr>
          </w:p>
        </w:tc>
        <w:tc>
          <w:tcPr>
            <w:tcW w:w="40" w:type="dxa"/>
            <w:vAlign w:val="bottom"/>
            <w:tcBorders>
              <w:top w:val="single" w:sz="8" w:color="B2B2B2"/>
            </w:tcBorders>
            <w:shd w:val="clear" w:color="auto" w:fill="B2B2B2"/>
          </w:tcPr>
          <w:p>
            <w:pPr>
              <w:spacing w:after="0"/>
              <w:rPr>
                <w:sz w:val="4"/>
                <w:szCs w:val="4"/>
                <w:color w:val="auto"/>
              </w:rPr>
            </w:pPr>
          </w:p>
        </w:tc>
        <w:tc>
          <w:tcPr>
            <w:tcW w:w="40" w:type="dxa"/>
            <w:vAlign w:val="bottom"/>
            <w:tcBorders>
              <w:top w:val="single" w:sz="8" w:color="B2B2B2"/>
            </w:tcBorders>
            <w:shd w:val="clear" w:color="auto" w:fill="B2B2B2"/>
          </w:tcPr>
          <w:p>
            <w:pPr>
              <w:spacing w:after="0"/>
              <w:rPr>
                <w:sz w:val="4"/>
                <w:szCs w:val="4"/>
                <w:color w:val="auto"/>
              </w:rPr>
            </w:pPr>
          </w:p>
        </w:tc>
        <w:tc>
          <w:tcPr>
            <w:tcW w:w="60" w:type="dxa"/>
            <w:vAlign w:val="bottom"/>
            <w:tcBorders>
              <w:top w:val="single" w:sz="8" w:color="B2B2B2"/>
            </w:tcBorders>
            <w:shd w:val="clear" w:color="auto" w:fill="B2B2B2"/>
          </w:tcPr>
          <w:p>
            <w:pPr>
              <w:spacing w:after="0"/>
              <w:rPr>
                <w:sz w:val="4"/>
                <w:szCs w:val="4"/>
                <w:color w:val="auto"/>
              </w:rPr>
            </w:pPr>
          </w:p>
        </w:tc>
        <w:tc>
          <w:tcPr>
            <w:tcW w:w="400" w:type="dxa"/>
            <w:vAlign w:val="bottom"/>
            <w:tcBorders>
              <w:top w:val="single" w:sz="8" w:color="B2B2B2"/>
            </w:tcBorders>
            <w:shd w:val="clear" w:color="auto" w:fill="B2B2B2"/>
          </w:tcPr>
          <w:p>
            <w:pPr>
              <w:spacing w:after="0"/>
              <w:rPr>
                <w:sz w:val="4"/>
                <w:szCs w:val="4"/>
                <w:color w:val="auto"/>
              </w:rPr>
            </w:pPr>
          </w:p>
        </w:tc>
        <w:tc>
          <w:tcPr>
            <w:tcW w:w="460" w:type="dxa"/>
            <w:vAlign w:val="bottom"/>
            <w:tcBorders>
              <w:top w:val="single" w:sz="8" w:color="B2B2B2"/>
            </w:tcBorders>
            <w:shd w:val="clear" w:color="auto" w:fill="B2B2B2"/>
          </w:tcPr>
          <w:p>
            <w:pPr>
              <w:spacing w:after="0"/>
              <w:rPr>
                <w:sz w:val="4"/>
                <w:szCs w:val="4"/>
                <w:color w:val="auto"/>
              </w:rPr>
            </w:pPr>
          </w:p>
        </w:tc>
        <w:tc>
          <w:tcPr>
            <w:tcW w:w="60" w:type="dxa"/>
            <w:vAlign w:val="bottom"/>
            <w:tcBorders>
              <w:top w:val="single" w:sz="8" w:color="B2B2B2"/>
            </w:tcBorders>
            <w:shd w:val="clear" w:color="auto" w:fill="B2B2B2"/>
          </w:tcPr>
          <w:p>
            <w:pPr>
              <w:spacing w:after="0"/>
              <w:rPr>
                <w:sz w:val="4"/>
                <w:szCs w:val="4"/>
                <w:color w:val="auto"/>
              </w:rPr>
            </w:pPr>
          </w:p>
        </w:tc>
        <w:tc>
          <w:tcPr>
            <w:tcW w:w="360" w:type="dxa"/>
            <w:vAlign w:val="bottom"/>
            <w:tcBorders>
              <w:top w:val="single" w:sz="8" w:color="B2B2B2"/>
            </w:tcBorders>
            <w:shd w:val="clear" w:color="auto" w:fill="B2B2B2"/>
          </w:tcPr>
          <w:p>
            <w:pPr>
              <w:spacing w:after="0"/>
              <w:rPr>
                <w:sz w:val="4"/>
                <w:szCs w:val="4"/>
                <w:color w:val="auto"/>
              </w:rPr>
            </w:pPr>
          </w:p>
        </w:tc>
        <w:tc>
          <w:tcPr>
            <w:tcW w:w="140" w:type="dxa"/>
            <w:vAlign w:val="bottom"/>
            <w:tcBorders>
              <w:top w:val="single" w:sz="8" w:color="B2B2B2"/>
            </w:tcBorders>
            <w:shd w:val="clear" w:color="auto" w:fill="B2B2B2"/>
          </w:tcPr>
          <w:p>
            <w:pPr>
              <w:spacing w:after="0"/>
              <w:rPr>
                <w:sz w:val="4"/>
                <w:szCs w:val="4"/>
                <w:color w:val="auto"/>
              </w:rPr>
            </w:pPr>
          </w:p>
        </w:tc>
        <w:tc>
          <w:tcPr>
            <w:tcW w:w="360" w:type="dxa"/>
            <w:vAlign w:val="bottom"/>
            <w:tcBorders>
              <w:top w:val="single" w:sz="8" w:color="B2B2B2"/>
            </w:tcBorders>
            <w:shd w:val="clear" w:color="auto" w:fill="B2B2B2"/>
          </w:tcPr>
          <w:p>
            <w:pPr>
              <w:spacing w:after="0"/>
              <w:rPr>
                <w:sz w:val="4"/>
                <w:szCs w:val="4"/>
                <w:color w:val="auto"/>
              </w:rPr>
            </w:pPr>
          </w:p>
        </w:tc>
        <w:tc>
          <w:tcPr>
            <w:tcW w:w="200" w:type="dxa"/>
            <w:vAlign w:val="bottom"/>
            <w:tcBorders>
              <w:top w:val="single" w:sz="8" w:color="B2B2B2"/>
            </w:tcBorders>
            <w:shd w:val="clear" w:color="auto" w:fill="B2B2B2"/>
          </w:tcPr>
          <w:p>
            <w:pPr>
              <w:spacing w:after="0"/>
              <w:rPr>
                <w:sz w:val="4"/>
                <w:szCs w:val="4"/>
                <w:color w:val="auto"/>
              </w:rPr>
            </w:pPr>
          </w:p>
        </w:tc>
        <w:tc>
          <w:tcPr>
            <w:tcW w:w="20" w:type="dxa"/>
            <w:vAlign w:val="bottom"/>
            <w:tcBorders>
              <w:top w:val="single" w:sz="8" w:color="B2B2B2"/>
            </w:tcBorders>
            <w:shd w:val="clear" w:color="auto" w:fill="B2B2B2"/>
          </w:tcPr>
          <w:p>
            <w:pPr>
              <w:spacing w:after="0"/>
              <w:rPr>
                <w:sz w:val="4"/>
                <w:szCs w:val="4"/>
                <w:color w:val="auto"/>
              </w:rPr>
            </w:pPr>
          </w:p>
        </w:tc>
        <w:tc>
          <w:tcPr>
            <w:tcW w:w="1000" w:type="dxa"/>
            <w:vAlign w:val="bottom"/>
            <w:tcBorders>
              <w:top w:val="single" w:sz="8" w:color="B2B2B2"/>
            </w:tcBorders>
            <w:shd w:val="clear" w:color="auto" w:fill="B2B2B2"/>
          </w:tcPr>
          <w:p>
            <w:pPr>
              <w:spacing w:after="0"/>
              <w:rPr>
                <w:sz w:val="4"/>
                <w:szCs w:val="4"/>
                <w:color w:val="auto"/>
              </w:rPr>
            </w:pPr>
          </w:p>
        </w:tc>
        <w:tc>
          <w:tcPr>
            <w:tcW w:w="360" w:type="dxa"/>
            <w:vAlign w:val="bottom"/>
            <w:tcBorders>
              <w:top w:val="single" w:sz="8" w:color="B2B2B2"/>
            </w:tcBorders>
            <w:shd w:val="clear" w:color="auto" w:fill="B2B2B2"/>
          </w:tcPr>
          <w:p>
            <w:pPr>
              <w:spacing w:after="0"/>
              <w:rPr>
                <w:sz w:val="4"/>
                <w:szCs w:val="4"/>
                <w:color w:val="auto"/>
              </w:rPr>
            </w:pPr>
          </w:p>
        </w:tc>
        <w:tc>
          <w:tcPr>
            <w:tcW w:w="1960" w:type="dxa"/>
            <w:vAlign w:val="bottom"/>
            <w:tcBorders>
              <w:top w:val="single" w:sz="8" w:color="B2B2B2"/>
            </w:tcBorders>
            <w:shd w:val="clear" w:color="auto" w:fill="B2B2B2"/>
          </w:tcPr>
          <w:p>
            <w:pPr>
              <w:spacing w:after="0"/>
              <w:rPr>
                <w:sz w:val="4"/>
                <w:szCs w:val="4"/>
                <w:color w:val="auto"/>
              </w:rPr>
            </w:pPr>
          </w:p>
        </w:tc>
        <w:tc>
          <w:tcPr>
            <w:tcW w:w="460" w:type="dxa"/>
            <w:vAlign w:val="bottom"/>
            <w:tcBorders>
              <w:top w:val="single" w:sz="8" w:color="B2B2B2"/>
            </w:tcBorders>
            <w:shd w:val="clear" w:color="auto" w:fill="B2B2B2"/>
          </w:tcPr>
          <w:p>
            <w:pPr>
              <w:spacing w:after="0"/>
              <w:rPr>
                <w:sz w:val="4"/>
                <w:szCs w:val="4"/>
                <w:color w:val="auto"/>
              </w:rPr>
            </w:pPr>
          </w:p>
        </w:tc>
        <w:tc>
          <w:tcPr>
            <w:tcW w:w="100" w:type="dxa"/>
            <w:vAlign w:val="bottom"/>
            <w:tcBorders>
              <w:top w:val="single" w:sz="8" w:color="0000FF"/>
            </w:tcBorders>
            <w:shd w:val="clear" w:color="auto" w:fill="B2B2B2"/>
          </w:tcPr>
          <w:p>
            <w:pPr>
              <w:spacing w:after="0"/>
              <w:rPr>
                <w:sz w:val="4"/>
                <w:szCs w:val="4"/>
                <w:color w:val="auto"/>
              </w:rPr>
            </w:pPr>
          </w:p>
        </w:tc>
        <w:tc>
          <w:tcPr>
            <w:tcW w:w="80" w:type="dxa"/>
            <w:vAlign w:val="bottom"/>
            <w:tcBorders>
              <w:top w:val="single" w:sz="8" w:color="0000FF"/>
            </w:tcBorders>
            <w:shd w:val="clear" w:color="auto" w:fill="B2B2B2"/>
          </w:tcPr>
          <w:p>
            <w:pPr>
              <w:spacing w:after="0"/>
              <w:rPr>
                <w:sz w:val="4"/>
                <w:szCs w:val="4"/>
                <w:color w:val="auto"/>
              </w:rPr>
            </w:pPr>
          </w:p>
        </w:tc>
        <w:tc>
          <w:tcPr>
            <w:tcW w:w="20" w:type="dxa"/>
            <w:vAlign w:val="bottom"/>
            <w:tcBorders>
              <w:top w:val="single" w:sz="8" w:color="B2B2B2"/>
            </w:tcBorders>
            <w:shd w:val="clear" w:color="auto" w:fill="B2B2B2"/>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5.</w:t>
            </w:r>
          </w:p>
        </w:tc>
        <w:tc>
          <w:tcPr>
            <w:tcW w:w="9960" w:type="dxa"/>
            <w:vAlign w:val="bottom"/>
            <w:gridSpan w:val="33"/>
          </w:tcPr>
          <w:p>
            <w:pPr>
              <w:ind w:left="280"/>
              <w:spacing w:after="0"/>
              <w:rPr>
                <w:sz w:val="20"/>
                <w:szCs w:val="20"/>
                <w:color w:val="auto"/>
              </w:rPr>
            </w:pPr>
            <w:r>
              <w:rPr>
                <w:rFonts w:ascii="Arial" w:cs="Arial" w:eastAsia="Arial" w:hAnsi="Arial"/>
                <w:sz w:val="16"/>
                <w:szCs w:val="16"/>
                <w:color w:val="0000FF"/>
              </w:rPr>
              <w:t>Other Information</w:t>
            </w:r>
          </w:p>
        </w:tc>
        <w:tc>
          <w:tcPr>
            <w:tcW w:w="640" w:type="dxa"/>
            <w:vAlign w:val="bottom"/>
            <w:gridSpan w:val="3"/>
          </w:tcPr>
          <w:p>
            <w:pPr>
              <w:jc w:val="right"/>
              <w:spacing w:after="0"/>
              <w:rPr>
                <w:sz w:val="20"/>
                <w:szCs w:val="20"/>
                <w:color w:val="auto"/>
              </w:rPr>
            </w:pPr>
            <w:r>
              <w:rPr>
                <w:rFonts w:ascii="Arial" w:cs="Arial" w:eastAsia="Arial" w:hAnsi="Arial"/>
                <w:sz w:val="16"/>
                <w:szCs w:val="16"/>
                <w:color w:val="0000FF"/>
              </w:rPr>
              <w:t>34</w:t>
            </w:r>
          </w:p>
        </w:tc>
        <w:tc>
          <w:tcPr>
            <w:tcW w:w="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shd w:val="clear" w:color="auto" w:fill="B2B2B2"/>
          </w:tcPr>
          <w:p>
            <w:pPr>
              <w:spacing w:after="0"/>
              <w:rPr>
                <w:sz w:val="19"/>
                <w:szCs w:val="19"/>
                <w:color w:val="auto"/>
              </w:rPr>
            </w:pPr>
          </w:p>
        </w:tc>
        <w:tc>
          <w:tcPr>
            <w:tcW w:w="600" w:type="dxa"/>
            <w:vAlign w:val="bottom"/>
            <w:gridSpan w:val="2"/>
            <w:shd w:val="clear" w:color="auto" w:fill="B2B2B2"/>
          </w:tcPr>
          <w:p>
            <w:pPr>
              <w:spacing w:after="0"/>
              <w:rPr>
                <w:sz w:val="20"/>
                <w:szCs w:val="20"/>
                <w:color w:val="auto"/>
              </w:rPr>
            </w:pPr>
            <w:r>
              <w:rPr>
                <w:rFonts w:ascii="Arial" w:cs="Arial" w:eastAsia="Arial" w:hAnsi="Arial"/>
                <w:sz w:val="16"/>
                <w:szCs w:val="16"/>
                <w:color w:val="0000FF"/>
              </w:rPr>
              <w:t>Item 6.</w:t>
            </w:r>
          </w:p>
        </w:tc>
        <w:tc>
          <w:tcPr>
            <w:tcW w:w="9960" w:type="dxa"/>
            <w:vAlign w:val="bottom"/>
            <w:gridSpan w:val="33"/>
            <w:shd w:val="clear" w:color="auto" w:fill="B2B2B2"/>
          </w:tcPr>
          <w:p>
            <w:pPr>
              <w:ind w:left="280"/>
              <w:spacing w:after="0"/>
              <w:rPr>
                <w:sz w:val="20"/>
                <w:szCs w:val="20"/>
                <w:color w:val="auto"/>
              </w:rPr>
            </w:pPr>
            <w:r>
              <w:rPr>
                <w:rFonts w:ascii="Arial" w:cs="Arial" w:eastAsia="Arial" w:hAnsi="Arial"/>
                <w:sz w:val="16"/>
                <w:szCs w:val="16"/>
                <w:color w:val="0000FF"/>
              </w:rPr>
              <w:t>Exhibits</w:t>
            </w:r>
          </w:p>
        </w:tc>
        <w:tc>
          <w:tcPr>
            <w:tcW w:w="640" w:type="dxa"/>
            <w:vAlign w:val="bottom"/>
            <w:gridSpan w:val="3"/>
            <w:shd w:val="clear" w:color="auto" w:fill="B2B2B2"/>
          </w:tcPr>
          <w:p>
            <w:pPr>
              <w:jc w:val="right"/>
              <w:spacing w:after="0"/>
              <w:rPr>
                <w:sz w:val="20"/>
                <w:szCs w:val="20"/>
                <w:color w:val="auto"/>
              </w:rPr>
            </w:pPr>
            <w:r>
              <w:rPr>
                <w:rFonts w:ascii="Arial" w:cs="Arial" w:eastAsia="Arial" w:hAnsi="Arial"/>
                <w:sz w:val="16"/>
                <w:szCs w:val="16"/>
                <w:color w:val="0000FF"/>
              </w:rPr>
              <w:t>35</w:t>
            </w:r>
          </w:p>
        </w:tc>
        <w:tc>
          <w:tcPr>
            <w:tcW w:w="20" w:type="dxa"/>
            <w:vAlign w:val="bottom"/>
            <w:shd w:val="clear" w:color="auto" w:fill="B2B2B2"/>
          </w:tcPr>
          <w:p>
            <w:pPr>
              <w:spacing w:after="0"/>
              <w:rPr>
                <w:sz w:val="19"/>
                <w:szCs w:val="19"/>
                <w:color w:val="auto"/>
              </w:rPr>
            </w:pPr>
          </w:p>
        </w:tc>
      </w:tr>
      <w:tr>
        <w:trPr>
          <w:trHeight w:val="1020"/>
        </w:trPr>
        <w:tc>
          <w:tcPr>
            <w:tcW w:w="20" w:type="dxa"/>
            <w:vAlign w:val="bottom"/>
            <w:tcBorders>
              <w:top w:val="single" w:sz="8" w:color="B2B2B2"/>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280" w:type="dxa"/>
            <w:vAlign w:val="bottom"/>
            <w:tcBorders>
              <w:top w:val="single" w:sz="8" w:color="B2B2B2"/>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80" w:type="dxa"/>
            <w:vAlign w:val="bottom"/>
            <w:tcBorders>
              <w:top w:val="single" w:sz="8" w:color="B2B2B2"/>
              <w:bottom w:val="single" w:sz="8" w:color="9A9A9A"/>
            </w:tcBorders>
          </w:tcPr>
          <w:p>
            <w:pPr>
              <w:spacing w:after="0"/>
              <w:rPr>
                <w:sz w:val="24"/>
                <w:szCs w:val="24"/>
                <w:color w:val="auto"/>
              </w:rPr>
            </w:pPr>
          </w:p>
        </w:tc>
        <w:tc>
          <w:tcPr>
            <w:tcW w:w="160" w:type="dxa"/>
            <w:vAlign w:val="bottom"/>
            <w:tcBorders>
              <w:top w:val="single" w:sz="8" w:color="B2B2B2"/>
              <w:bottom w:val="single" w:sz="8" w:color="9A9A9A"/>
            </w:tcBorders>
          </w:tcPr>
          <w:p>
            <w:pPr>
              <w:spacing w:after="0"/>
              <w:rPr>
                <w:sz w:val="24"/>
                <w:szCs w:val="24"/>
                <w:color w:val="auto"/>
              </w:rPr>
            </w:pPr>
          </w:p>
        </w:tc>
        <w:tc>
          <w:tcPr>
            <w:tcW w:w="24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22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42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30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B2B2B2"/>
              <w:bottom w:val="single" w:sz="8" w:color="9A9A9A"/>
            </w:tcBorders>
          </w:tcPr>
          <w:p>
            <w:pPr>
              <w:spacing w:after="0"/>
              <w:rPr>
                <w:sz w:val="24"/>
                <w:szCs w:val="24"/>
                <w:color w:val="auto"/>
              </w:rPr>
            </w:pPr>
          </w:p>
        </w:tc>
        <w:tc>
          <w:tcPr>
            <w:tcW w:w="260" w:type="dxa"/>
            <w:vAlign w:val="bottom"/>
            <w:tcBorders>
              <w:top w:val="single" w:sz="8" w:color="B2B2B2"/>
              <w:bottom w:val="single" w:sz="8" w:color="9A9A9A"/>
            </w:tcBorders>
          </w:tcPr>
          <w:p>
            <w:pPr>
              <w:spacing w:after="0"/>
              <w:rPr>
                <w:sz w:val="24"/>
                <w:szCs w:val="24"/>
                <w:color w:val="auto"/>
              </w:rPr>
            </w:pPr>
          </w:p>
        </w:tc>
        <w:tc>
          <w:tcPr>
            <w:tcW w:w="32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40" w:type="dxa"/>
            <w:vAlign w:val="bottom"/>
            <w:tcBorders>
              <w:top w:val="single" w:sz="8" w:color="B2B2B2"/>
              <w:bottom w:val="single" w:sz="8" w:color="9A9A9A"/>
            </w:tcBorders>
          </w:tcPr>
          <w:p>
            <w:pPr>
              <w:spacing w:after="0"/>
              <w:rPr>
                <w:sz w:val="24"/>
                <w:szCs w:val="24"/>
                <w:color w:val="auto"/>
              </w:rPr>
            </w:pPr>
          </w:p>
        </w:tc>
        <w:tc>
          <w:tcPr>
            <w:tcW w:w="60" w:type="dxa"/>
            <w:vAlign w:val="bottom"/>
            <w:tcBorders>
              <w:top w:val="single" w:sz="8" w:color="B2B2B2"/>
              <w:bottom w:val="single" w:sz="8" w:color="9A9A9A"/>
            </w:tcBorders>
          </w:tcPr>
          <w:p>
            <w:pPr>
              <w:spacing w:after="0"/>
              <w:rPr>
                <w:sz w:val="24"/>
                <w:szCs w:val="24"/>
                <w:color w:val="auto"/>
              </w:rPr>
            </w:pPr>
          </w:p>
        </w:tc>
        <w:tc>
          <w:tcPr>
            <w:tcW w:w="400" w:type="dxa"/>
            <w:vAlign w:val="bottom"/>
            <w:tcBorders>
              <w:top w:val="single" w:sz="8" w:color="B2B2B2"/>
              <w:bottom w:val="single" w:sz="8" w:color="9A9A9A"/>
            </w:tcBorders>
          </w:tcPr>
          <w:p>
            <w:pPr>
              <w:spacing w:after="0"/>
              <w:rPr>
                <w:sz w:val="24"/>
                <w:szCs w:val="24"/>
                <w:color w:val="auto"/>
              </w:rPr>
            </w:pPr>
          </w:p>
        </w:tc>
        <w:tc>
          <w:tcPr>
            <w:tcW w:w="460" w:type="dxa"/>
            <w:vAlign w:val="bottom"/>
            <w:tcBorders>
              <w:top w:val="single" w:sz="8" w:color="B2B2B2"/>
              <w:bottom w:val="single" w:sz="8" w:color="9A9A9A"/>
            </w:tcBorders>
          </w:tcPr>
          <w:p>
            <w:pPr>
              <w:spacing w:after="0"/>
              <w:rPr>
                <w:sz w:val="24"/>
                <w:szCs w:val="24"/>
                <w:color w:val="auto"/>
              </w:rPr>
            </w:pPr>
          </w:p>
        </w:tc>
        <w:tc>
          <w:tcPr>
            <w:tcW w:w="6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14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200" w:type="dxa"/>
            <w:vAlign w:val="bottom"/>
            <w:tcBorders>
              <w:top w:val="single" w:sz="8" w:color="B2B2B2"/>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c>
          <w:tcPr>
            <w:tcW w:w="1000" w:type="dxa"/>
            <w:vAlign w:val="bottom"/>
            <w:tcBorders>
              <w:top w:val="single" w:sz="8" w:color="B2B2B2"/>
              <w:bottom w:val="single" w:sz="8" w:color="9A9A9A"/>
            </w:tcBorders>
          </w:tcPr>
          <w:p>
            <w:pPr>
              <w:spacing w:after="0"/>
              <w:rPr>
                <w:sz w:val="24"/>
                <w:szCs w:val="24"/>
                <w:color w:val="auto"/>
              </w:rPr>
            </w:pPr>
          </w:p>
        </w:tc>
        <w:tc>
          <w:tcPr>
            <w:tcW w:w="360" w:type="dxa"/>
            <w:vAlign w:val="bottom"/>
            <w:tcBorders>
              <w:top w:val="single" w:sz="8" w:color="B2B2B2"/>
              <w:bottom w:val="single" w:sz="8" w:color="9A9A9A"/>
            </w:tcBorders>
          </w:tcPr>
          <w:p>
            <w:pPr>
              <w:spacing w:after="0"/>
              <w:rPr>
                <w:sz w:val="24"/>
                <w:szCs w:val="24"/>
                <w:color w:val="auto"/>
              </w:rPr>
            </w:pPr>
          </w:p>
        </w:tc>
        <w:tc>
          <w:tcPr>
            <w:tcW w:w="1960" w:type="dxa"/>
            <w:vAlign w:val="bottom"/>
            <w:tcBorders>
              <w:top w:val="single" w:sz="8" w:color="B2B2B2"/>
              <w:bottom w:val="single" w:sz="8" w:color="9A9A9A"/>
            </w:tcBorders>
          </w:tcPr>
          <w:p>
            <w:pPr>
              <w:spacing w:after="0"/>
              <w:rPr>
                <w:sz w:val="24"/>
                <w:szCs w:val="24"/>
                <w:color w:val="auto"/>
              </w:rPr>
            </w:pPr>
          </w:p>
        </w:tc>
        <w:tc>
          <w:tcPr>
            <w:tcW w:w="460" w:type="dxa"/>
            <w:vAlign w:val="bottom"/>
            <w:tcBorders>
              <w:top w:val="single" w:sz="8" w:color="B2B2B2"/>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B2B2B2"/>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5"/>
        </w:trPr>
        <w:tc>
          <w:tcPr>
            <w:tcW w:w="6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r>
      <w:tr>
        <w:trPr>
          <w:trHeight w:val="211"/>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274,123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261,369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543,219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505,538</w:t>
            </w:r>
          </w:p>
        </w:tc>
      </w:tr>
      <w:tr>
        <w:trPr>
          <w:trHeight w:val="213"/>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160,776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341,197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313,341</w:t>
            </w:r>
          </w:p>
        </w:tc>
      </w:tr>
      <w:tr>
        <w:trPr>
          <w:trHeight w:val="239"/>
        </w:trPr>
        <w:tc>
          <w:tcPr>
            <w:tcW w:w="6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102,704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100,593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192,197</w:t>
            </w:r>
          </w:p>
        </w:tc>
      </w:tr>
      <w:tr>
        <w:trPr>
          <w:trHeight w:val="219"/>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82,452</w:t>
            </w: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Technical and research expenses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20,050</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39"/>
        </w:trPr>
        <w:tc>
          <w:tcPr>
            <w:tcW w:w="6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89,469</w:t>
            </w: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7,542</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(income)/expense, net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(10,973)</w:t>
            </w:r>
          </w:p>
        </w:tc>
      </w:tr>
      <w:tr>
        <w:trPr>
          <w:trHeight w:val="239"/>
        </w:trPr>
        <w:tc>
          <w:tcPr>
            <w:tcW w:w="6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92,900</w:t>
            </w:r>
          </w:p>
        </w:tc>
      </w:tr>
      <w:tr>
        <w:trPr>
          <w:trHeight w:val="216"/>
        </w:trPr>
        <w:tc>
          <w:tcPr>
            <w:tcW w:w="62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25,456</w:t>
            </w:r>
          </w:p>
        </w:tc>
      </w:tr>
      <w:tr>
        <w:trPr>
          <w:trHeight w:val="237"/>
        </w:trPr>
        <w:tc>
          <w:tcPr>
            <w:tcW w:w="6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39,369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53,912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67,444</w:t>
            </w:r>
          </w:p>
        </w:tc>
      </w:tr>
      <w:tr>
        <w:trPr>
          <w:trHeight w:val="219"/>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10"/>
        </w:trPr>
        <w:tc>
          <w:tcPr>
            <w:tcW w:w="6220" w:type="dxa"/>
            <w:vAlign w:val="bottom"/>
          </w:tcPr>
          <w:p>
            <w:pPr>
              <w:ind w:left="20"/>
              <w:spacing w:after="0"/>
              <w:rPr>
                <w:sz w:val="20"/>
                <w:szCs w:val="20"/>
                <w:color w:val="auto"/>
              </w:rPr>
            </w:pPr>
            <w:r>
              <w:rPr>
                <w:rFonts w:ascii="Arial" w:cs="Arial" w:eastAsia="Arial" w:hAnsi="Arial"/>
                <w:sz w:val="16"/>
                <w:szCs w:val="16"/>
                <w:color w:val="auto"/>
              </w:rPr>
              <w:t>Net income attributable to the Company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26,672</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39,201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53,561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66,938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Basic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0.86</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1.72</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60"/>
        </w:trPr>
        <w:tc>
          <w:tcPr>
            <w:tcW w:w="6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0.85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46"/>
        </w:trPr>
        <w:tc>
          <w:tcPr>
            <w:tcW w:w="6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13"/>
        </w:trPr>
        <w:tc>
          <w:tcPr>
            <w:tcW w:w="622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31,571</w:t>
            </w:r>
          </w:p>
        </w:tc>
      </w:tr>
      <w:tr>
        <w:trPr>
          <w:trHeight w:val="257"/>
        </w:trPr>
        <w:tc>
          <w:tcPr>
            <w:tcW w:w="6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31,668</w:t>
            </w:r>
          </w:p>
        </w:tc>
      </w:tr>
      <w:tr>
        <w:trPr>
          <w:trHeight w:val="256"/>
        </w:trPr>
        <w:tc>
          <w:tcPr>
            <w:tcW w:w="6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Class A share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5"/>
        </w:trPr>
        <w:tc>
          <w:tcPr>
            <w:tcW w:w="6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r>
      <w:tr>
        <w:trPr>
          <w:trHeight w:val="211"/>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39,369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53,912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67,444</w:t>
            </w:r>
          </w:p>
        </w:tc>
      </w:tr>
      <w:tr>
        <w:trPr>
          <w:trHeight w:val="243"/>
        </w:trPr>
        <w:tc>
          <w:tcPr>
            <w:tcW w:w="6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income/(loss), before tax:</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Foreign currency translation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(39,319)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10,622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(40,870)</w:t>
            </w: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pension liability adjustments: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6240" w:type="dxa"/>
            <w:vAlign w:val="bottom"/>
          </w:tcPr>
          <w:p>
            <w:pPr>
              <w:ind w:left="220"/>
              <w:spacing w:after="0"/>
              <w:rPr>
                <w:sz w:val="20"/>
                <w:szCs w:val="20"/>
                <w:color w:val="auto"/>
              </w:rPr>
            </w:pPr>
            <w:r>
              <w:rPr>
                <w:rFonts w:ascii="Arial" w:cs="Arial" w:eastAsia="Arial" w:hAnsi="Arial"/>
                <w:sz w:val="16"/>
                <w:szCs w:val="16"/>
                <w:color w:val="auto"/>
              </w:rPr>
              <w:t>Prior service credit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(2,245)</w:t>
            </w:r>
          </w:p>
        </w:tc>
      </w:tr>
      <w:tr>
        <w:trPr>
          <w:trHeight w:val="219"/>
        </w:trPr>
        <w:tc>
          <w:tcPr>
            <w:tcW w:w="6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actuarial loss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2,864</w:t>
            </w: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15,037</w:t>
            </w:r>
          </w:p>
        </w:tc>
      </w:tr>
      <w:tr>
        <w:trPr>
          <w:trHeight w:val="256"/>
        </w:trPr>
        <w:tc>
          <w:tcPr>
            <w:tcW w:w="6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related to items of other comprehensive income/(loss):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Amortization of prior service credit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687</w:t>
            </w: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1,746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246"/>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valuation adjustment</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(3,809)</w:t>
            </w:r>
          </w:p>
        </w:tc>
      </w:tr>
      <w:tr>
        <w:trPr>
          <w:trHeight w:val="206"/>
        </w:trPr>
        <w:tc>
          <w:tcPr>
            <w:tcW w:w="624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61,072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39,728</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the 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12"/>
        </w:trPr>
        <w:tc>
          <w:tcPr>
            <w:tcW w:w="6240" w:type="dxa"/>
            <w:vAlign w:val="bottom"/>
          </w:tcPr>
          <w:p>
            <w:pPr>
              <w:ind w:left="20"/>
              <w:spacing w:after="0"/>
              <w:rPr>
                <w:sz w:val="20"/>
                <w:szCs w:val="20"/>
                <w:color w:val="auto"/>
              </w:rPr>
            </w:pPr>
            <w:r>
              <w:rPr>
                <w:rFonts w:ascii="Arial" w:cs="Arial" w:eastAsia="Arial" w:hAnsi="Arial"/>
                <w:sz w:val="16"/>
                <w:szCs w:val="16"/>
                <w:color w:val="auto"/>
              </w:rPr>
              <w:t>Comprehensive income attributable to the Company</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23,590</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3,214</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60,304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39,257</w:t>
            </w:r>
          </w:p>
        </w:tc>
      </w:tr>
      <w:tr>
        <w:trPr>
          <w:trHeight w:val="21"/>
        </w:trPr>
        <w:tc>
          <w:tcPr>
            <w:tcW w:w="6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4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48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300,916</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291,776</w:t>
            </w:r>
          </w:p>
        </w:tc>
        <w:tc>
          <w:tcPr>
            <w:tcW w:w="0" w:type="dxa"/>
            <w:vAlign w:val="bottom"/>
          </w:tcPr>
          <w:p>
            <w:pPr>
              <w:spacing w:after="0"/>
              <w:rPr>
                <w:sz w:val="1"/>
                <w:szCs w:val="1"/>
                <w:color w:val="auto"/>
              </w:rPr>
            </w:pPr>
          </w:p>
        </w:tc>
      </w:tr>
      <w:tr>
        <w:trPr>
          <w:trHeight w:val="195"/>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242,189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200,018</w:t>
            </w:r>
          </w:p>
        </w:tc>
        <w:tc>
          <w:tcPr>
            <w:tcW w:w="0" w:type="dxa"/>
            <w:vAlign w:val="bottom"/>
          </w:tcPr>
          <w:p>
            <w:pPr>
              <w:spacing w:after="0"/>
              <w:rPr>
                <w:sz w:val="1"/>
                <w:szCs w:val="1"/>
                <w:color w:val="auto"/>
              </w:rPr>
            </w:pPr>
          </w:p>
        </w:tc>
      </w:tr>
      <w:tr>
        <w:trPr>
          <w:trHeight w:val="196"/>
        </w:trPr>
        <w:tc>
          <w:tcPr>
            <w:tcW w:w="848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145,324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148,695</w:t>
            </w: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139,050</w:t>
            </w:r>
          </w:p>
        </w:tc>
        <w:tc>
          <w:tcPr>
            <w:tcW w:w="0" w:type="dxa"/>
            <w:vAlign w:val="bottom"/>
          </w:tcPr>
          <w:p>
            <w:pPr>
              <w:spacing w:after="0"/>
              <w:rPr>
                <w:sz w:val="1"/>
                <w:szCs w:val="1"/>
                <w:color w:val="auto"/>
              </w:rPr>
            </w:pPr>
          </w:p>
        </w:tc>
      </w:tr>
      <w:tr>
        <w:trPr>
          <w:trHeight w:val="189"/>
        </w:trPr>
        <w:tc>
          <w:tcPr>
            <w:tcW w:w="848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8,473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7,938</w:t>
            </w: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55,538</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50,962</w:t>
            </w:r>
          </w:p>
        </w:tc>
        <w:tc>
          <w:tcPr>
            <w:tcW w:w="0" w:type="dxa"/>
            <w:vAlign w:val="bottom"/>
          </w:tcPr>
          <w:p>
            <w:pPr>
              <w:spacing w:after="0"/>
              <w:rPr>
                <w:sz w:val="1"/>
                <w:szCs w:val="1"/>
                <w:color w:val="auto"/>
              </w:rPr>
            </w:pPr>
          </w:p>
        </w:tc>
      </w:tr>
      <w:tr>
        <w:trPr>
          <w:trHeight w:val="190"/>
        </w:trPr>
        <w:tc>
          <w:tcPr>
            <w:tcW w:w="848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903,800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838,439</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48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451,986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445,658</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Intangibles,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31,842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33,811</w:t>
            </w:r>
          </w:p>
        </w:tc>
        <w:tc>
          <w:tcPr>
            <w:tcW w:w="0" w:type="dxa"/>
            <w:vAlign w:val="bottom"/>
          </w:tcPr>
          <w:p>
            <w:pPr>
              <w:spacing w:after="0"/>
              <w:rPr>
                <w:sz w:val="1"/>
                <w:szCs w:val="1"/>
                <w:color w:val="auto"/>
              </w:rPr>
            </w:pPr>
          </w:p>
        </w:tc>
      </w:tr>
      <w:tr>
        <w:trPr>
          <w:trHeight w:val="196"/>
        </w:trPr>
        <w:tc>
          <w:tcPr>
            <w:tcW w:w="848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179,257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178,217</w:t>
            </w:r>
          </w:p>
        </w:tc>
        <w:tc>
          <w:tcPr>
            <w:tcW w:w="0" w:type="dxa"/>
            <w:vAlign w:val="bottom"/>
          </w:tcPr>
          <w:p>
            <w:pPr>
              <w:spacing w:after="0"/>
              <w:rPr>
                <w:sz w:val="1"/>
                <w:szCs w:val="1"/>
                <w:color w:val="auto"/>
              </w:rPr>
            </w:pPr>
          </w:p>
        </w:tc>
      </w:tr>
      <w:tr>
        <w:trPr>
          <w:trHeight w:val="195"/>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15,196</w:t>
            </w:r>
          </w:p>
        </w:tc>
        <w:tc>
          <w:tcPr>
            <w:tcW w:w="0" w:type="dxa"/>
            <w:vAlign w:val="bottom"/>
          </w:tcPr>
          <w:p>
            <w:pPr>
              <w:spacing w:after="0"/>
              <w:rPr>
                <w:sz w:val="1"/>
                <w:szCs w:val="1"/>
                <w:color w:val="auto"/>
              </w:rPr>
            </w:pPr>
          </w:p>
        </w:tc>
      </w:tr>
      <w:tr>
        <w:trPr>
          <w:trHeight w:val="197"/>
        </w:trPr>
        <w:tc>
          <w:tcPr>
            <w:tcW w:w="8480" w:type="dxa"/>
            <w:vAlign w:val="bottom"/>
          </w:tcPr>
          <w:p>
            <w:pPr>
              <w:ind w:left="140"/>
              <w:spacing w:after="0"/>
              <w:rPr>
                <w:sz w:val="20"/>
                <w:szCs w:val="20"/>
                <w:color w:val="auto"/>
              </w:rPr>
            </w:pPr>
            <w:r>
              <w:rPr>
                <w:rFonts w:ascii="Arial" w:cs="Arial" w:eastAsia="Arial" w:hAnsi="Arial"/>
                <w:sz w:val="14"/>
                <w:szCs w:val="14"/>
                <w:color w:val="auto"/>
              </w:rPr>
              <w:t>Noncurrent receivables, net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26,568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27,913</w:t>
            </w:r>
          </w:p>
        </w:tc>
        <w:tc>
          <w:tcPr>
            <w:tcW w:w="0" w:type="dxa"/>
            <w:vAlign w:val="bottom"/>
          </w:tcPr>
          <w:p>
            <w:pPr>
              <w:spacing w:after="0"/>
              <w:rPr>
                <w:sz w:val="1"/>
                <w:szCs w:val="1"/>
                <w:color w:val="auto"/>
              </w:rPr>
            </w:pPr>
          </w:p>
        </w:tc>
      </w:tr>
      <w:tr>
        <w:trPr>
          <w:trHeight w:val="208"/>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99,204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103,021</w:t>
            </w:r>
          </w:p>
        </w:tc>
        <w:tc>
          <w:tcPr>
            <w:tcW w:w="0" w:type="dxa"/>
            <w:vAlign w:val="bottom"/>
          </w:tcPr>
          <w:p>
            <w:pPr>
              <w:spacing w:after="0"/>
              <w:rPr>
                <w:sz w:val="1"/>
                <w:szCs w:val="1"/>
                <w:color w:val="auto"/>
              </w:rPr>
            </w:pP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1,707,148</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1,642,255</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LIABILITIES AND SHAREHOLDERS' EQUITY</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69,707</w:t>
            </w:r>
          </w:p>
        </w:tc>
        <w:tc>
          <w:tcPr>
            <w:tcW w:w="0" w:type="dxa"/>
            <w:vAlign w:val="bottom"/>
          </w:tcPr>
          <w:p>
            <w:pPr>
              <w:spacing w:after="0"/>
              <w:rPr>
                <w:sz w:val="1"/>
                <w:szCs w:val="1"/>
                <w:color w:val="auto"/>
              </w:rPr>
            </w:pPr>
          </w:p>
        </w:tc>
      </w:tr>
      <w:tr>
        <w:trPr>
          <w:trHeight w:val="189"/>
        </w:trPr>
        <w:tc>
          <w:tcPr>
            <w:tcW w:w="848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104,398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126,385</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maturities of long-term debt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 payable</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10,905</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15,224</w:t>
            </w:r>
          </w:p>
        </w:tc>
        <w:tc>
          <w:tcPr>
            <w:tcW w:w="0" w:type="dxa"/>
            <w:vAlign w:val="bottom"/>
          </w:tcPr>
          <w:p>
            <w:pPr>
              <w:spacing w:after="0"/>
              <w:rPr>
                <w:sz w:val="1"/>
                <w:szCs w:val="1"/>
                <w:color w:val="auto"/>
              </w:rPr>
            </w:pPr>
          </w:p>
        </w:tc>
      </w:tr>
      <w:tr>
        <w:trPr>
          <w:trHeight w:val="18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181,115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211,316</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439,000</w:t>
            </w:r>
          </w:p>
        </w:tc>
        <w:tc>
          <w:tcPr>
            <w:tcW w:w="0" w:type="dxa"/>
            <w:vAlign w:val="bottom"/>
          </w:tcPr>
          <w:p>
            <w:pPr>
              <w:spacing w:after="0"/>
              <w:rPr>
                <w:sz w:val="1"/>
                <w:szCs w:val="1"/>
                <w:color w:val="auto"/>
              </w:rPr>
            </w:pPr>
          </w:p>
        </w:tc>
      </w:tr>
      <w:tr>
        <w:trPr>
          <w:trHeight w:val="197"/>
        </w:trPr>
        <w:tc>
          <w:tcPr>
            <w:tcW w:w="8480" w:type="dxa"/>
            <w:vAlign w:val="bottom"/>
          </w:tcPr>
          <w:p>
            <w:pPr>
              <w:ind w:left="140"/>
              <w:spacing w:after="0"/>
              <w:rPr>
                <w:sz w:val="20"/>
                <w:szCs w:val="20"/>
                <w:color w:val="auto"/>
              </w:rPr>
            </w:pPr>
            <w:r>
              <w:rPr>
                <w:rFonts w:ascii="Arial" w:cs="Arial" w:eastAsia="Arial" w:hAnsi="Arial"/>
                <w:sz w:val="14"/>
                <w:szCs w:val="14"/>
                <w:color w:val="auto"/>
              </w:rPr>
              <w:t>Other noncurrent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107,781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108,758</w:t>
            </w:r>
          </w:p>
        </w:tc>
        <w:tc>
          <w:tcPr>
            <w:tcW w:w="0" w:type="dxa"/>
            <w:vAlign w:val="bottom"/>
          </w:tcPr>
          <w:p>
            <w:pPr>
              <w:spacing w:after="0"/>
              <w:rPr>
                <w:sz w:val="1"/>
                <w:szCs w:val="1"/>
                <w:color w:val="auto"/>
              </w:rPr>
            </w:pPr>
          </w:p>
        </w:tc>
      </w:tr>
      <w:tr>
        <w:trPr>
          <w:trHeight w:val="195"/>
        </w:trPr>
        <w:tc>
          <w:tcPr>
            <w:tcW w:w="8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taxes and other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15,533</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15,638</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791,429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774,712</w:t>
            </w:r>
          </w:p>
        </w:tc>
        <w:tc>
          <w:tcPr>
            <w:tcW w:w="0" w:type="dxa"/>
            <w:vAlign w:val="bottom"/>
          </w:tcPr>
          <w:p>
            <w:pPr>
              <w:spacing w:after="0"/>
              <w:rPr>
                <w:sz w:val="1"/>
                <w:szCs w:val="1"/>
                <w:color w:val="auto"/>
              </w:rPr>
            </w:pPr>
          </w:p>
        </w:tc>
      </w:tr>
      <w:tr>
        <w:trPr>
          <w:trHeight w:val="88"/>
        </w:trPr>
        <w:tc>
          <w:tcPr>
            <w:tcW w:w="8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8480" w:type="dxa"/>
            <w:vAlign w:val="bottom"/>
          </w:tcPr>
          <w:p>
            <w:pPr>
              <w:ind w:left="20"/>
              <w:spacing w:after="0"/>
              <w:rPr>
                <w:sz w:val="20"/>
                <w:szCs w:val="20"/>
                <w:color w:val="auto"/>
              </w:rPr>
            </w:pPr>
            <w:r>
              <w:rPr>
                <w:rFonts w:ascii="Arial" w:cs="Arial" w:eastAsia="Arial" w:hAnsi="Arial"/>
                <w:sz w:val="14"/>
                <w:szCs w:val="14"/>
                <w:color w:val="auto"/>
              </w:rPr>
              <w:t>COMMITMENTS AND CONTINGENCIES (Note 15)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8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848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par value $5.00 per share; authorized 2,000,000 shares; none issued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8480" w:type="dxa"/>
            <w:vAlign w:val="bottom"/>
          </w:tcPr>
          <w:p>
            <w:pPr>
              <w:ind w:left="140"/>
              <w:spacing w:after="0" w:line="157" w:lineRule="exact"/>
              <w:rPr>
                <w:sz w:val="20"/>
                <w:szCs w:val="20"/>
                <w:color w:val="auto"/>
              </w:rPr>
            </w:pPr>
            <w:r>
              <w:rPr>
                <w:rFonts w:ascii="Arial" w:cs="Arial" w:eastAsia="Arial" w:hAnsi="Arial"/>
                <w:sz w:val="14"/>
                <w:szCs w:val="14"/>
                <w:color w:val="auto"/>
              </w:rPr>
              <w:t>Class A Common Stock, par value $.001 per share; authorized 100,000,000 shares; 40,842,023 issued in 2023 and 40,785,434 in</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480" w:type="dxa"/>
            <w:vAlign w:val="bottom"/>
          </w:tcPr>
          <w:p>
            <w:pPr>
              <w:ind w:left="14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Class B Common Stock, par value $.001 per share; authorized 25,000,000 shares; none issued and outstanding in 2023 and 2022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48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443,556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441,540</w:t>
            </w:r>
          </w:p>
        </w:tc>
        <w:tc>
          <w:tcPr>
            <w:tcW w:w="0" w:type="dxa"/>
            <w:vAlign w:val="bottom"/>
          </w:tcPr>
          <w:p>
            <w:pPr>
              <w:spacing w:after="0"/>
              <w:rPr>
                <w:sz w:val="1"/>
                <w:szCs w:val="1"/>
                <w:color w:val="auto"/>
              </w:rPr>
            </w:pPr>
          </w:p>
        </w:tc>
      </w:tr>
      <w:tr>
        <w:trPr>
          <w:trHeight w:val="195"/>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969,292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931,318</w:t>
            </w:r>
          </w:p>
        </w:tc>
        <w:tc>
          <w:tcPr>
            <w:tcW w:w="0" w:type="dxa"/>
            <w:vAlign w:val="bottom"/>
          </w:tcPr>
          <w:p>
            <w:pPr>
              <w:spacing w:after="0"/>
              <w:rPr>
                <w:sz w:val="1"/>
                <w:szCs w:val="1"/>
                <w:color w:val="auto"/>
              </w:rPr>
            </w:pPr>
          </w:p>
        </w:tc>
      </w:tr>
      <w:tr>
        <w:trPr>
          <w:trHeight w:val="197"/>
        </w:trPr>
        <w:tc>
          <w:tcPr>
            <w:tcW w:w="8480" w:type="dxa"/>
            <w:vAlign w:val="bottom"/>
          </w:tcPr>
          <w:p>
            <w:pPr>
              <w:ind w:left="140"/>
              <w:spacing w:after="0"/>
              <w:rPr>
                <w:sz w:val="20"/>
                <w:szCs w:val="20"/>
                <w:color w:val="auto"/>
              </w:rPr>
            </w:pPr>
            <w:r>
              <w:rPr>
                <w:rFonts w:ascii="Arial" w:cs="Arial" w:eastAsia="Arial" w:hAnsi="Arial"/>
                <w:sz w:val="14"/>
                <w:szCs w:val="14"/>
                <w:color w:val="auto"/>
              </w:rPr>
              <w:t>Accumulated items of other comprehensive income:</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(146,851)</w:t>
            </w:r>
          </w:p>
        </w:tc>
        <w:tc>
          <w:tcPr>
            <w:tcW w:w="0" w:type="dxa"/>
            <w:vAlign w:val="bottom"/>
          </w:tcPr>
          <w:p>
            <w:pPr>
              <w:spacing w:after="0"/>
              <w:rPr>
                <w:sz w:val="1"/>
                <w:szCs w:val="1"/>
                <w:color w:val="auto"/>
              </w:rPr>
            </w:pP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Pension and postretirement liability adjustments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(17,423)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(15,783)</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 valuation adjustment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17,707</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(Class A), at cost; 9,662,562 shares in 2023 and 9,674,542 in 2022</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(364,665)</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(364,923)</w:t>
            </w: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Company shareholders' equity</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910,457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863,049</w:t>
            </w: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Noncontrolling interest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4,494</w:t>
            </w:r>
          </w:p>
        </w:tc>
        <w:tc>
          <w:tcPr>
            <w:tcW w:w="0" w:type="dxa"/>
            <w:vAlign w:val="bottom"/>
          </w:tcPr>
          <w:p>
            <w:pPr>
              <w:spacing w:after="0"/>
              <w:rPr>
                <w:sz w:val="1"/>
                <w:szCs w:val="1"/>
                <w:color w:val="auto"/>
              </w:rPr>
            </w:pPr>
          </w:p>
        </w:tc>
      </w:tr>
      <w:tr>
        <w:trPr>
          <w:trHeight w:val="190"/>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915,719</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867,543</w:t>
            </w:r>
          </w:p>
        </w:tc>
        <w:tc>
          <w:tcPr>
            <w:tcW w:w="0" w:type="dxa"/>
            <w:vAlign w:val="bottom"/>
          </w:tcPr>
          <w:p>
            <w:pPr>
              <w:spacing w:after="0"/>
              <w:rPr>
                <w:sz w:val="1"/>
                <w:szCs w:val="1"/>
                <w:color w:val="auto"/>
              </w:rPr>
            </w:pPr>
          </w:p>
        </w:tc>
      </w:tr>
      <w:tr>
        <w:trPr>
          <w:trHeight w:val="188"/>
        </w:trPr>
        <w:tc>
          <w:tcPr>
            <w:tcW w:w="8480" w:type="dxa"/>
            <w:vAlign w:val="bottom"/>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1,707,148</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1,642,255</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2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0"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r>
      <w:tr>
        <w:trPr>
          <w:trHeight w:val="177"/>
        </w:trPr>
        <w:tc>
          <w:tcPr>
            <w:tcW w:w="862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5"/>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53,912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67,444</w:t>
            </w:r>
          </w:p>
        </w:tc>
      </w:tr>
      <w:tr>
        <w:trPr>
          <w:trHeight w:val="197"/>
        </w:trPr>
        <w:tc>
          <w:tcPr>
            <w:tcW w:w="8620" w:type="dxa"/>
            <w:vAlign w:val="bottom"/>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Depreciation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31,276</w:t>
            </w:r>
          </w:p>
        </w:tc>
      </w:tr>
      <w:tr>
        <w:trPr>
          <w:trHeight w:val="189"/>
        </w:trPr>
        <w:tc>
          <w:tcPr>
            <w:tcW w:w="8620" w:type="dxa"/>
            <w:vAlign w:val="bottom"/>
          </w:tcPr>
          <w:p>
            <w:pPr>
              <w:ind w:left="480"/>
              <w:spacing w:after="0"/>
              <w:rPr>
                <w:sz w:val="20"/>
                <w:szCs w:val="20"/>
                <w:color w:val="auto"/>
              </w:rPr>
            </w:pPr>
            <w:r>
              <w:rPr>
                <w:rFonts w:ascii="Arial" w:cs="Arial" w:eastAsia="Arial" w:hAnsi="Arial"/>
                <w:sz w:val="14"/>
                <w:szCs w:val="14"/>
                <w:color w:val="auto"/>
              </w:rPr>
              <w:t>Amortization</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3,598</w:t>
            </w:r>
          </w:p>
        </w:tc>
      </w:tr>
      <w:tr>
        <w:trPr>
          <w:trHeight w:val="203"/>
        </w:trPr>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Change in deferred taxes and other liabilities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2,596</w:t>
            </w:r>
          </w:p>
        </w:tc>
      </w:tr>
      <w:tr>
        <w:trPr>
          <w:trHeight w:val="196"/>
        </w:trPr>
        <w:tc>
          <w:tcPr>
            <w:tcW w:w="8620" w:type="dxa"/>
            <w:vAlign w:val="bottom"/>
          </w:tcPr>
          <w:p>
            <w:pPr>
              <w:ind w:left="480"/>
              <w:spacing w:after="0"/>
              <w:rPr>
                <w:sz w:val="20"/>
                <w:szCs w:val="20"/>
                <w:color w:val="auto"/>
              </w:rPr>
            </w:pPr>
            <w:r>
              <w:rPr>
                <w:rFonts w:ascii="Arial" w:cs="Arial" w:eastAsia="Arial" w:hAnsi="Arial"/>
                <w:sz w:val="14"/>
                <w:szCs w:val="14"/>
                <w:color w:val="auto"/>
              </w:rPr>
              <w:t>Impairment of property, plant, equipment, and inventory</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2,662</w:t>
            </w:r>
          </w:p>
        </w:tc>
      </w:tr>
      <w:tr>
        <w:trPr>
          <w:trHeight w:val="195"/>
        </w:trPr>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Non-cash interest expense</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561</w:t>
            </w:r>
          </w:p>
        </w:tc>
      </w:tr>
      <w:tr>
        <w:trPr>
          <w:trHeight w:val="197"/>
        </w:trPr>
        <w:tc>
          <w:tcPr>
            <w:tcW w:w="8620" w:type="dxa"/>
            <w:vAlign w:val="bottom"/>
          </w:tcPr>
          <w:p>
            <w:pPr>
              <w:ind w:left="48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2,447</w:t>
            </w:r>
          </w:p>
        </w:tc>
      </w:tr>
      <w:tr>
        <w:trPr>
          <w:trHeight w:val="208"/>
        </w:trPr>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Provision for credit losses from uncollected receivables and contract assets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1,326</w:t>
            </w:r>
          </w:p>
        </w:tc>
      </w:tr>
      <w:tr>
        <w:trPr>
          <w:trHeight w:val="189"/>
        </w:trPr>
        <w:tc>
          <w:tcPr>
            <w:tcW w:w="8620" w:type="dxa"/>
            <w:vAlign w:val="bottom"/>
          </w:tcPr>
          <w:p>
            <w:pPr>
              <w:ind w:left="480"/>
              <w:spacing w:after="0"/>
              <w:rPr>
                <w:sz w:val="20"/>
                <w:szCs w:val="20"/>
                <w:color w:val="auto"/>
              </w:rPr>
            </w:pPr>
            <w:r>
              <w:rPr>
                <w:rFonts w:ascii="Arial" w:cs="Arial" w:eastAsia="Arial" w:hAnsi="Arial"/>
                <w:sz w:val="14"/>
                <w:szCs w:val="14"/>
                <w:color w:val="auto"/>
              </w:rPr>
              <w:t>Foreign currency remeasurement (gain) on intercompany loans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(1,260)</w:t>
            </w:r>
          </w:p>
        </w:tc>
      </w:tr>
      <w:tr>
        <w:trPr>
          <w:trHeight w:val="203"/>
        </w:trPr>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Fair value adjustment on foreign currency options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r>
      <w:tr>
        <w:trPr>
          <w:trHeight w:val="203"/>
        </w:trPr>
        <w:tc>
          <w:tcPr>
            <w:tcW w:w="8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9"/>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 that provided/(used) cash:</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6"/>
        </w:trPr>
        <w:tc>
          <w:tcPr>
            <w:tcW w:w="8620" w:type="dxa"/>
            <w:vAlign w:val="bottom"/>
          </w:tcPr>
          <w:p>
            <w:pPr>
              <w:ind w:left="480"/>
              <w:spacing w:after="0"/>
              <w:rPr>
                <w:sz w:val="20"/>
                <w:szCs w:val="20"/>
                <w:color w:val="auto"/>
              </w:rPr>
            </w:pPr>
            <w:r>
              <w:rPr>
                <w:rFonts w:ascii="Arial" w:cs="Arial" w:eastAsia="Arial" w:hAnsi="Arial"/>
                <w:sz w:val="14"/>
                <w:szCs w:val="14"/>
                <w:color w:val="auto"/>
              </w:rPr>
              <w:t>Accounts receivable</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(40,131)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(14,407)</w:t>
            </w:r>
          </w:p>
        </w:tc>
      </w:tr>
      <w:tr>
        <w:trPr>
          <w:trHeight w:val="209"/>
        </w:trPr>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Contract assets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(23,868)</w:t>
            </w:r>
          </w:p>
        </w:tc>
      </w:tr>
      <w:tr>
        <w:trPr>
          <w:trHeight w:val="189"/>
        </w:trPr>
        <w:tc>
          <w:tcPr>
            <w:tcW w:w="8620" w:type="dxa"/>
            <w:vAlign w:val="bottom"/>
          </w:tcPr>
          <w:p>
            <w:pPr>
              <w:ind w:left="480"/>
              <w:spacing w:after="0"/>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(21,135)</w:t>
            </w:r>
          </w:p>
        </w:tc>
      </w:tr>
      <w:tr>
        <w:trPr>
          <w:trHeight w:val="203"/>
        </w:trPr>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(4,474)</w:t>
            </w:r>
          </w:p>
        </w:tc>
      </w:tr>
      <w:tr>
        <w:trPr>
          <w:trHeight w:val="197"/>
        </w:trPr>
        <w:tc>
          <w:tcPr>
            <w:tcW w:w="8620" w:type="dxa"/>
            <w:vAlign w:val="bottom"/>
          </w:tcPr>
          <w:p>
            <w:pPr>
              <w:ind w:left="480"/>
              <w:spacing w:after="0"/>
              <w:rPr>
                <w:sz w:val="20"/>
                <w:szCs w:val="20"/>
                <w:color w:val="auto"/>
              </w:rPr>
            </w:pPr>
            <w:r>
              <w:rPr>
                <w:rFonts w:ascii="Arial" w:cs="Arial" w:eastAsia="Arial" w:hAnsi="Arial"/>
                <w:sz w:val="14"/>
                <w:szCs w:val="14"/>
                <w:color w:val="auto"/>
              </w:rPr>
              <w:t>Income taxes prepaid and receivable</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95"/>
        </w:trPr>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7,476</w:t>
            </w:r>
          </w:p>
        </w:tc>
      </w:tr>
      <w:tr>
        <w:trPr>
          <w:trHeight w:val="197"/>
        </w:trPr>
        <w:tc>
          <w:tcPr>
            <w:tcW w:w="8620" w:type="dxa"/>
            <w:vAlign w:val="bottom"/>
          </w:tcPr>
          <w:p>
            <w:pPr>
              <w:ind w:left="48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(21,570)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(11,745)</w:t>
            </w:r>
          </w:p>
        </w:tc>
      </w:tr>
      <w:tr>
        <w:trPr>
          <w:trHeight w:val="208"/>
        </w:trPr>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 payable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(7,739)</w:t>
            </w:r>
          </w:p>
        </w:tc>
      </w:tr>
      <w:tr>
        <w:trPr>
          <w:trHeight w:val="189"/>
        </w:trPr>
        <w:tc>
          <w:tcPr>
            <w:tcW w:w="8620" w:type="dxa"/>
            <w:vAlign w:val="bottom"/>
          </w:tcPr>
          <w:p>
            <w:pPr>
              <w:ind w:left="480"/>
              <w:spacing w:after="0"/>
              <w:rPr>
                <w:sz w:val="20"/>
                <w:szCs w:val="20"/>
                <w:color w:val="auto"/>
              </w:rPr>
            </w:pPr>
            <w:r>
              <w:rPr>
                <w:rFonts w:ascii="Arial" w:cs="Arial" w:eastAsia="Arial" w:hAnsi="Arial"/>
                <w:sz w:val="14"/>
                <w:szCs w:val="14"/>
                <w:color w:val="auto"/>
              </w:rPr>
              <w:t>Noncurrent receivables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1,864</w:t>
            </w:r>
          </w:p>
        </w:tc>
      </w:tr>
      <w:tr>
        <w:trPr>
          <w:trHeight w:val="203"/>
        </w:trPr>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noncurrent liabilities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(3,252)</w:t>
            </w:r>
          </w:p>
        </w:tc>
      </w:tr>
      <w:tr>
        <w:trPr>
          <w:trHeight w:val="197"/>
        </w:trPr>
        <w:tc>
          <w:tcPr>
            <w:tcW w:w="86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4,784</w:t>
            </w:r>
          </w:p>
        </w:tc>
      </w:tr>
      <w:tr>
        <w:trPr>
          <w:trHeight w:val="188"/>
        </w:trPr>
        <w:tc>
          <w:tcPr>
            <w:tcW w:w="8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14,675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37,713</w:t>
            </w:r>
          </w:p>
        </w:tc>
      </w:tr>
      <w:tr>
        <w:trPr>
          <w:trHeight w:val="129"/>
        </w:trPr>
        <w:tc>
          <w:tcPr>
            <w:tcW w:w="8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02"/>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8620" w:type="dxa"/>
            <w:vAlign w:val="bottom"/>
          </w:tcPr>
          <w:p>
            <w:pPr>
              <w:ind w:left="48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(34,899)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(35,659)</w:t>
            </w:r>
          </w:p>
        </w:tc>
      </w:tr>
      <w:tr>
        <w:trPr>
          <w:trHeight w:val="195"/>
        </w:trPr>
        <w:tc>
          <w:tcPr>
            <w:tcW w:w="8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Purchased software</w:t>
            </w: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r>
      <w:tr>
        <w:trPr>
          <w:trHeight w:val="196"/>
        </w:trPr>
        <w:tc>
          <w:tcPr>
            <w:tcW w:w="86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(34,971)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(36,025)</w:t>
            </w:r>
          </w:p>
        </w:tc>
      </w:tr>
      <w:tr>
        <w:trPr>
          <w:trHeight w:val="129"/>
        </w:trPr>
        <w:tc>
          <w:tcPr>
            <w:tcW w:w="8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97"/>
        </w:trPr>
        <w:tc>
          <w:tcPr>
            <w:tcW w:w="862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5"/>
        </w:trPr>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Proceeds from borrowings</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135,000</w:t>
            </w:r>
          </w:p>
        </w:tc>
      </w:tr>
      <w:tr>
        <w:trPr>
          <w:trHeight w:val="197"/>
        </w:trPr>
        <w:tc>
          <w:tcPr>
            <w:tcW w:w="8620" w:type="dxa"/>
            <w:vAlign w:val="bottom"/>
          </w:tcPr>
          <w:p>
            <w:pPr>
              <w:ind w:left="480"/>
              <w:spacing w:after="0"/>
              <w:rPr>
                <w:sz w:val="20"/>
                <w:szCs w:val="20"/>
                <w:color w:val="auto"/>
              </w:rPr>
            </w:pPr>
            <w:r>
              <w:rPr>
                <w:rFonts w:ascii="Arial" w:cs="Arial" w:eastAsia="Arial" w:hAnsi="Arial"/>
                <w:sz w:val="14"/>
                <w:szCs w:val="14"/>
                <w:color w:val="auto"/>
              </w:rPr>
              <w:t>Principal payments on debt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8"/>
        </w:trPr>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Principal payments on finance lease liabilities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r>
      <w:tr>
        <w:trPr>
          <w:trHeight w:val="189"/>
        </w:trPr>
        <w:tc>
          <w:tcPr>
            <w:tcW w:w="8620" w:type="dxa"/>
            <w:vAlign w:val="bottom"/>
          </w:tcPr>
          <w:p>
            <w:pPr>
              <w:ind w:left="480"/>
              <w:spacing w:after="0"/>
              <w:rPr>
                <w:sz w:val="20"/>
                <w:szCs w:val="20"/>
                <w:color w:val="auto"/>
              </w:rPr>
            </w:pPr>
            <w:r>
              <w:rPr>
                <w:rFonts w:ascii="Arial" w:cs="Arial" w:eastAsia="Arial" w:hAnsi="Arial"/>
                <w:sz w:val="14"/>
                <w:szCs w:val="14"/>
                <w:color w:val="auto"/>
              </w:rPr>
              <w:t>Purchase of Treasury shares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(84,780)</w:t>
            </w:r>
          </w:p>
        </w:tc>
      </w:tr>
      <w:tr>
        <w:trPr>
          <w:trHeight w:val="203"/>
        </w:trPr>
        <w:tc>
          <w:tcPr>
            <w:tcW w:w="8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Taxes paid in lieu of share issuance</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r>
      <w:tr>
        <w:trPr>
          <w:trHeight w:val="196"/>
        </w:trPr>
        <w:tc>
          <w:tcPr>
            <w:tcW w:w="8620" w:type="dxa"/>
            <w:vAlign w:val="bottom"/>
          </w:tcPr>
          <w:p>
            <w:pPr>
              <w:ind w:left="480"/>
              <w:spacing w:after="0"/>
              <w:rPr>
                <w:sz w:val="20"/>
                <w:szCs w:val="20"/>
                <w:color w:val="auto"/>
              </w:rPr>
            </w:pPr>
            <w:r>
              <w:rPr>
                <w:rFonts w:ascii="Arial" w:cs="Arial" w:eastAsia="Arial" w:hAnsi="Arial"/>
                <w:sz w:val="14"/>
                <w:szCs w:val="14"/>
                <w:color w:val="auto"/>
              </w:rPr>
              <w:t>Proceeds from options exercised</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w:t>
            </w:r>
          </w:p>
        </w:tc>
      </w:tr>
      <w:tr>
        <w:trPr>
          <w:trHeight w:val="195"/>
        </w:trPr>
        <w:tc>
          <w:tcPr>
            <w:tcW w:w="8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Dividends paid</w:t>
            </w: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(13,399)</w:t>
            </w:r>
          </w:p>
        </w:tc>
      </w:tr>
      <w:tr>
        <w:trPr>
          <w:trHeight w:val="196"/>
        </w:trPr>
        <w:tc>
          <w:tcPr>
            <w:tcW w:w="8620" w:type="dxa"/>
            <w:vAlign w:val="bottom"/>
          </w:tcPr>
          <w:p>
            <w:pPr>
              <w:ind w:left="48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29,294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35,404</w:t>
            </w:r>
          </w:p>
        </w:tc>
      </w:tr>
      <w:tr>
        <w:trPr>
          <w:trHeight w:val="128"/>
        </w:trPr>
        <w:tc>
          <w:tcPr>
            <w:tcW w:w="86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r>
      <w:tr>
        <w:trPr>
          <w:trHeight w:val="183"/>
        </w:trPr>
        <w:tc>
          <w:tcPr>
            <w:tcW w:w="8620" w:type="dxa"/>
            <w:vAlign w:val="bottom"/>
          </w:tcPr>
          <w:p>
            <w:pPr>
              <w:ind w:left="440"/>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(18,258)</w:t>
            </w:r>
          </w:p>
        </w:tc>
      </w:tr>
      <w:tr>
        <w:trPr>
          <w:trHeight w:val="142"/>
        </w:trPr>
        <w:tc>
          <w:tcPr>
            <w:tcW w:w="8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89"/>
        </w:trPr>
        <w:tc>
          <w:tcPr>
            <w:tcW w:w="8620" w:type="dxa"/>
            <w:vAlign w:val="bottom"/>
          </w:tcPr>
          <w:p>
            <w:pPr>
              <w:ind w:left="20"/>
              <w:spacing w:after="0"/>
              <w:rPr>
                <w:sz w:val="20"/>
                <w:szCs w:val="20"/>
                <w:color w:val="auto"/>
              </w:rPr>
            </w:pPr>
            <w:r>
              <w:rPr>
                <w:rFonts w:ascii="Arial" w:cs="Arial" w:eastAsia="Arial" w:hAnsi="Arial"/>
                <w:sz w:val="14"/>
                <w:szCs w:val="14"/>
                <w:color w:val="auto"/>
              </w:rPr>
              <w:t>Increase in cash and cash equivalents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18,834</w:t>
            </w:r>
          </w:p>
        </w:tc>
      </w:tr>
      <w:tr>
        <w:trPr>
          <w:trHeight w:val="203"/>
        </w:trPr>
        <w:tc>
          <w:tcPr>
            <w:tcW w:w="8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291,776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302,036</w:t>
            </w:r>
          </w:p>
        </w:tc>
      </w:tr>
      <w:tr>
        <w:trPr>
          <w:trHeight w:val="182"/>
        </w:trPr>
        <w:tc>
          <w:tcPr>
            <w:tcW w:w="862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300,916</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320,870</w:t>
            </w:r>
          </w:p>
        </w:tc>
      </w:tr>
      <w:tr>
        <w:trPr>
          <w:trHeight w:val="21"/>
        </w:trPr>
        <w:tc>
          <w:tcPr>
            <w:tcW w:w="8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ind w:left="340" w:right="8340" w:hanging="332"/>
        <w:spacing w:after="0" w:line="403" w:lineRule="auto"/>
        <w:tabs>
          <w:tab w:leader="none" w:pos="216"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 Basis of Presentation</w:t>
      </w:r>
    </w:p>
    <w:p>
      <w:pPr>
        <w:spacing w:after="0" w:line="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the Company's Consolidated Financial Statements and accompanying Notes. Actual results could differ materially from those estimates.</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information included in this Quarterly Report on Form 10-Q should be read in conjunction with Albany International Corp.’s Annual Report on Form 10-K for the year ended December 31, 2022.</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On June 14, 2023, the Company entered into an agreement to acquire Heimbach GmbH ("Heimbach"), a privately-held manufacturer of paper machine clothing and technical textiles located in Düren, Germany. The Company will acquire Heimbach for a purchase price of approximately €153 million, including net debt of approximately €21 million. Albany expects to fund the acquisition using cash on hand. The transaction is subject to regulatory approvals and other customary closing conditions.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 and Revenue Recognition</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w:t>
      </w:r>
    </w:p>
    <w:p>
      <w:pPr>
        <w:spacing w:after="0" w:line="1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Albany Engineered Composites (“AEC”) segment provides highly engineered, advanced composite structures to customers in the commercial and defense aerospace industries. The segment includes Albany Safran Composites, LLC (“ASC”), in which our customer, the SAFRAN Group (“SAFRAN”) owns a 10 percent noncontrolling interest. AEC, through ASC, is the exclusive supplier of the LEAP program of advanced composite fan blades and fan cases under a long-term supply contract, where revenue is determined by a cost-plus-fee agreement. The LEAP engine is used on the Airbus A320neo, Boeing 737 MAX, and COMAC 919 aircraft. AEC's largest aerospace customer is the SAFRAN Group and sales to SAFRAN (consisting primarily of fan blades and cases for CFM International's LEAP engine) accounted for approximately 16 percent of the Company's consolidated Net revenues in 2022. AEC net sales to SAFRAN were $93.5 million and $83.1 million in the first six months of 2023 and 2022, respectively. The total of Accounts receivable, Contract assets and Noncurrent receivables due from SAFRAN amounted to $88.9 million and $80.8 million as of June 30, 2023 and December 31, 2022, respectively.</w:t>
      </w:r>
    </w:p>
    <w:p>
      <w:pPr>
        <w:spacing w:after="0" w:line="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Other significant programs by AEC include the Sikorsky CH-53K, F-35, JASSM, and Boeing 787 programs. AEC also supplies vacuum waste tanks for the Boeing 7-Series programs, and specialty components for the Rolls Royce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lift fan on the F-35, as well as the fan case for the GE9X engine. For the year ended December 31, 2022, approximately 46 percent of AEC revenues were related to U.S. government contracts or programs.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54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Six months ended June 30,</w:t>
            </w:r>
          </w:p>
        </w:tc>
      </w:tr>
      <w:tr>
        <w:trPr>
          <w:trHeight w:val="222"/>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159,217</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151,670</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312,439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305,732</w:t>
            </w:r>
          </w:p>
        </w:tc>
      </w:tr>
      <w:tr>
        <w:trPr>
          <w:trHeight w:val="216"/>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114,906</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109,699</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230,780</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199,806</w:t>
            </w:r>
          </w:p>
        </w:tc>
      </w:tr>
      <w:tr>
        <w:trPr>
          <w:trHeight w:val="237"/>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274,123</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261,369</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543,219</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505,538</w:t>
            </w: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6"/>
        </w:trPr>
        <w:tc>
          <w:tcPr>
            <w:tcW w:w="56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53,726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54,861</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102,690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104,505</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8,668</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9,535</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18,086</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10,730</w:t>
            </w:r>
          </w:p>
        </w:tc>
      </w:tr>
      <w:tr>
        <w:trPr>
          <w:trHeight w:val="24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(16,893)</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(13,681)</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(34,733)</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(25,766)</w:t>
            </w: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Operating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45,501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50,715</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86,043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89,469</w:t>
            </w:r>
          </w:p>
        </w:tc>
      </w:tr>
      <w:tr>
        <w:trPr>
          <w:trHeight w:val="224"/>
        </w:trPr>
        <w:tc>
          <w:tcPr>
            <w:tcW w:w="566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5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(1,838)</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(2,944)</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r>
      <w:tr>
        <w:trPr>
          <w:trHeight w:val="243"/>
        </w:trPr>
        <w:tc>
          <w:tcPr>
            <w:tcW w:w="566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4,944</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4,779</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9,340</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9,040</w:t>
            </w:r>
          </w:p>
        </w:tc>
      </w:tr>
      <w:tr>
        <w:trPr>
          <w:trHeight w:val="216"/>
        </w:trPr>
        <w:tc>
          <w:tcPr>
            <w:tcW w:w="5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(income)/expense, net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(4,511)</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(7,045)</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(4,966)</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(10,973)</w:t>
            </w:r>
          </w:p>
        </w:tc>
      </w:tr>
      <w:tr>
        <w:trPr>
          <w:trHeight w:val="21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46,906</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53,827</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84,613</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92,900</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Products and services provided under long-term contracts represent a significant portion of revenues in the Albany Engineered Composites segment and we account for these contracts over time, primarily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Changes in the estimated profitability of long-term contracts could be caused by increases or decreases in the contract value, revisions to customer delivery requirements, updated labor or overhead rates, factors affecting the supply chain, changes in the evaluation of contract risks and opportunities, or other factors. Changes in the estimated profitability of long-term contracts decreased operating income by $1.9 million for the second quarter of 2023 and decreased operating income $4.0 million for the first half of 2023. Adjustments in the estimated profitability of long-term contracts increased operating income by $1.2 million and decreased operating income $0.6 for the second quarter and first half of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66" w:lineRule="exact"/>
        <w:rPr>
          <w:sz w:val="20"/>
          <w:szCs w:val="20"/>
          <w:color w:val="auto"/>
        </w:rPr>
      </w:pPr>
    </w:p>
    <w:p>
      <w:pPr>
        <w:ind w:right="120" w:firstLine="324"/>
        <w:spacing w:after="0" w:line="275" w:lineRule="auto"/>
        <w:rPr>
          <w:sz w:val="20"/>
          <w:szCs w:val="20"/>
          <w:color w:val="auto"/>
        </w:rPr>
      </w:pPr>
      <w:r>
        <w:rPr>
          <w:rFonts w:ascii="Arial" w:cs="Arial" w:eastAsia="Arial" w:hAnsi="Arial"/>
          <w:sz w:val="18"/>
          <w:szCs w:val="18"/>
          <w:color w:val="auto"/>
        </w:rPr>
        <w:t>The following table disaggregates revenue for each product group by timing of revenue recognition for the three months ended June 30, 2023:</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440" w:type="dxa"/>
            <w:vAlign w:val="bottom"/>
            <w:tcBorders>
              <w:top w:val="single" w:sz="8" w:color="auto"/>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June 30, 2023</w:t>
            </w:r>
          </w:p>
        </w:tc>
        <w:tc>
          <w:tcPr>
            <w:tcW w:w="1020" w:type="dxa"/>
            <w:vAlign w:val="bottom"/>
            <w:tcBorders>
              <w:top w:val="single" w:sz="8" w:color="auto"/>
              <w:bottom w:val="single" w:sz="8" w:color="auto"/>
            </w:tcBorders>
          </w:tcPr>
          <w:p>
            <w:pPr>
              <w:spacing w:after="0"/>
              <w:rPr>
                <w:sz w:val="17"/>
                <w:szCs w:val="17"/>
                <w:color w:val="auto"/>
              </w:rPr>
            </w:pPr>
          </w:p>
        </w:tc>
      </w:tr>
      <w:tr>
        <w:trPr>
          <w:trHeight w:val="183"/>
        </w:trPr>
        <w:tc>
          <w:tcPr>
            <w:tcW w:w="650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5"/>
                <w:szCs w:val="15"/>
                <w:color w:val="auto"/>
              </w:rPr>
            </w:pPr>
          </w:p>
        </w:tc>
        <w:tc>
          <w:tcPr>
            <w:tcW w:w="1480" w:type="dxa"/>
            <w:vAlign w:val="bottom"/>
          </w:tcPr>
          <w:p>
            <w:pPr>
              <w:jc w:val="right"/>
              <w:ind w:right="42"/>
              <w:spacing w:after="0"/>
              <w:rPr>
                <w:sz w:val="20"/>
                <w:szCs w:val="20"/>
                <w:color w:val="auto"/>
              </w:rPr>
            </w:pPr>
            <w:r>
              <w:rPr>
                <w:rFonts w:ascii="Arial" w:cs="Arial" w:eastAsia="Arial" w:hAnsi="Arial"/>
                <w:sz w:val="14"/>
                <w:szCs w:val="14"/>
                <w:b w:val="1"/>
                <w:bCs w:val="1"/>
                <w:color w:val="auto"/>
              </w:rPr>
              <w:t>Over Time Revenue</w:t>
            </w: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9"/>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Recognition</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158,273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944</w:t>
            </w:r>
          </w:p>
        </w:tc>
        <w:tc>
          <w:tcPr>
            <w:tcW w:w="4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159,217</w:t>
            </w:r>
          </w:p>
        </w:tc>
      </w:tr>
      <w:tr>
        <w:trPr>
          <w:trHeight w:val="128"/>
        </w:trPr>
        <w:tc>
          <w:tcPr>
            <w:tcW w:w="6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6500" w:type="dxa"/>
            <w:vAlign w:val="bottom"/>
          </w:tcPr>
          <w:p>
            <w:pPr>
              <w:ind w:left="16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47,417</w:t>
            </w:r>
          </w:p>
        </w:tc>
        <w:tc>
          <w:tcPr>
            <w:tcW w:w="440" w:type="dxa"/>
            <w:vAlign w:val="bottom"/>
          </w:tcPr>
          <w:p>
            <w:pPr>
              <w:spacing w:after="0"/>
              <w:rPr>
                <w:sz w:val="21"/>
                <w:szCs w:val="21"/>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47,417</w:t>
            </w:r>
          </w:p>
        </w:tc>
      </w:tr>
      <w:tr>
        <w:trPr>
          <w:trHeight w:val="216"/>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3,511</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63,978</w:t>
            </w: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67,489</w:t>
            </w:r>
          </w:p>
        </w:tc>
      </w:tr>
      <w:tr>
        <w:trPr>
          <w:trHeight w:val="237"/>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3,511</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111,395</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114,906</w:t>
            </w:r>
          </w:p>
        </w:tc>
      </w:tr>
      <w:tr>
        <w:trPr>
          <w:trHeight w:val="196"/>
        </w:trPr>
        <w:tc>
          <w:tcPr>
            <w:tcW w:w="65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250"/>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161,784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112,339</w:t>
            </w:r>
          </w:p>
        </w:tc>
        <w:tc>
          <w:tcPr>
            <w:tcW w:w="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274,123</w:t>
            </w:r>
          </w:p>
        </w:tc>
      </w:tr>
    </w:tbl>
    <w:p>
      <w:pPr>
        <w:spacing w:after="0" w:line="257" w:lineRule="exact"/>
        <w:rPr>
          <w:sz w:val="20"/>
          <w:szCs w:val="20"/>
          <w:color w:val="auto"/>
        </w:rPr>
      </w:pPr>
    </w:p>
    <w:p>
      <w:pPr>
        <w:jc w:val="both"/>
        <w:ind w:right="120" w:firstLine="324"/>
        <w:spacing w:after="0" w:line="275" w:lineRule="auto"/>
        <w:rPr>
          <w:sz w:val="20"/>
          <w:szCs w:val="20"/>
          <w:color w:val="auto"/>
        </w:rPr>
      </w:pPr>
      <w:r>
        <w:rPr>
          <w:rFonts w:ascii="Arial" w:cs="Arial" w:eastAsia="Arial" w:hAnsi="Arial"/>
          <w:sz w:val="18"/>
          <w:szCs w:val="18"/>
          <w:color w:val="auto"/>
        </w:rPr>
        <w:t>The following table disaggregates revenue for each product group by timing of revenue recognition for the three months ended June 30,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20" w:type="dxa"/>
            <w:vAlign w:val="bottom"/>
            <w:tcBorders>
              <w:top w:val="single" w:sz="8" w:color="auto"/>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June 30, 2022</w:t>
            </w:r>
          </w:p>
        </w:tc>
        <w:tc>
          <w:tcPr>
            <w:tcW w:w="1020" w:type="dxa"/>
            <w:vAlign w:val="bottom"/>
            <w:tcBorders>
              <w:top w:val="single" w:sz="8" w:color="auto"/>
              <w:bottom w:val="single" w:sz="8" w:color="auto"/>
            </w:tcBorders>
          </w:tcPr>
          <w:p>
            <w:pPr>
              <w:spacing w:after="0"/>
              <w:rPr>
                <w:sz w:val="18"/>
                <w:szCs w:val="18"/>
                <w:color w:val="auto"/>
              </w:rPr>
            </w:pPr>
          </w:p>
        </w:tc>
      </w:tr>
      <w:tr>
        <w:trPr>
          <w:trHeight w:val="184"/>
        </w:trPr>
        <w:tc>
          <w:tcPr>
            <w:tcW w:w="6500" w:type="dxa"/>
            <w:vAlign w:val="bottom"/>
          </w:tcPr>
          <w:p>
            <w:pPr>
              <w:spacing w:after="0"/>
              <w:rPr>
                <w:sz w:val="15"/>
                <w:szCs w:val="15"/>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5"/>
                <w:szCs w:val="15"/>
                <w:color w:val="auto"/>
              </w:rPr>
            </w:pPr>
          </w:p>
        </w:tc>
        <w:tc>
          <w:tcPr>
            <w:tcW w:w="1520" w:type="dxa"/>
            <w:vAlign w:val="bottom"/>
          </w:tcPr>
          <w:p>
            <w:pPr>
              <w:jc w:val="right"/>
              <w:ind w:right="62"/>
              <w:spacing w:after="0"/>
              <w:rPr>
                <w:sz w:val="20"/>
                <w:szCs w:val="20"/>
                <w:color w:val="auto"/>
              </w:rPr>
            </w:pPr>
            <w:r>
              <w:rPr>
                <w:rFonts w:ascii="Arial" w:cs="Arial" w:eastAsia="Arial" w:hAnsi="Arial"/>
                <w:sz w:val="14"/>
                <w:szCs w:val="14"/>
                <w:b w:val="1"/>
                <w:bCs w:val="1"/>
                <w:color w:val="auto"/>
              </w:rPr>
              <w:t>Over Time Revenue</w:t>
            </w: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9"/>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Total</w:t>
            </w:r>
          </w:p>
        </w:tc>
      </w:tr>
      <w:tr>
        <w:trPr>
          <w:trHeight w:val="21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151,670</w:t>
            </w:r>
          </w:p>
        </w:tc>
      </w:tr>
      <w:tr>
        <w:trPr>
          <w:trHeight w:val="132"/>
        </w:trPr>
        <w:tc>
          <w:tcPr>
            <w:tcW w:w="6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0"/>
        </w:trPr>
        <w:tc>
          <w:tcPr>
            <w:tcW w:w="6500" w:type="dxa"/>
            <w:vAlign w:val="bottom"/>
          </w:tcPr>
          <w:p>
            <w:pPr>
              <w:ind w:left="160"/>
              <w:spacing w:after="0"/>
              <w:rPr>
                <w:sz w:val="20"/>
                <w:szCs w:val="20"/>
                <w:color w:val="auto"/>
              </w:rPr>
            </w:pPr>
            <w:r>
              <w:rPr>
                <w:rFonts w:ascii="Arial" w:cs="Arial" w:eastAsia="Arial" w:hAnsi="Arial"/>
                <w:sz w:val="16"/>
                <w:szCs w:val="16"/>
                <w:color w:val="auto"/>
              </w:rPr>
              <w:t>ASC</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41,661</w:t>
            </w:r>
          </w:p>
        </w:tc>
        <w:tc>
          <w:tcPr>
            <w:tcW w:w="4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41,661</w:t>
            </w:r>
          </w:p>
        </w:tc>
      </w:tr>
      <w:tr>
        <w:trPr>
          <w:trHeight w:val="219"/>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AEC</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5,018</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63,020</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68,038</w:t>
            </w:r>
          </w:p>
        </w:tc>
      </w:tr>
      <w:tr>
        <w:trPr>
          <w:trHeight w:val="23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5,018</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104,681</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109,699</w:t>
            </w:r>
          </w:p>
        </w:tc>
      </w:tr>
      <w:tr>
        <w:trPr>
          <w:trHeight w:val="226"/>
        </w:trPr>
        <w:tc>
          <w:tcPr>
            <w:tcW w:w="65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r>
      <w:tr>
        <w:trPr>
          <w:trHeight w:val="247"/>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155,788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105,581</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261,369</w:t>
            </w:r>
          </w:p>
        </w:tc>
      </w:tr>
    </w:tbl>
    <w:p>
      <w:pPr>
        <w:spacing w:after="0" w:line="284" w:lineRule="exact"/>
        <w:rPr>
          <w:sz w:val="20"/>
          <w:szCs w:val="20"/>
          <w:color w:val="auto"/>
        </w:rPr>
      </w:pPr>
    </w:p>
    <w:p>
      <w:pPr>
        <w:ind w:right="300" w:firstLine="324"/>
        <w:spacing w:after="0" w:line="275" w:lineRule="auto"/>
        <w:rPr>
          <w:sz w:val="20"/>
          <w:szCs w:val="20"/>
          <w:color w:val="auto"/>
        </w:rPr>
      </w:pPr>
      <w:r>
        <w:rPr>
          <w:rFonts w:ascii="Arial" w:cs="Arial" w:eastAsia="Arial" w:hAnsi="Arial"/>
          <w:sz w:val="18"/>
          <w:szCs w:val="18"/>
          <w:color w:val="auto"/>
        </w:rPr>
        <w:t>The following table disaggregates revenue for each product group by timing of revenue recognition for the six months ended June 30,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380" w:type="dxa"/>
            <w:vAlign w:val="bottom"/>
            <w:tcBorders>
              <w:top w:val="single" w:sz="8" w:color="auto"/>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Six months ended June 30, 2023</w:t>
            </w:r>
          </w:p>
        </w:tc>
        <w:tc>
          <w:tcPr>
            <w:tcW w:w="10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2"/>
                <w:szCs w:val="12"/>
                <w:color w:val="auto"/>
              </w:rPr>
            </w:pPr>
          </w:p>
        </w:tc>
        <w:tc>
          <w:tcPr>
            <w:tcW w:w="1480" w:type="dxa"/>
            <w:vAlign w:val="bottom"/>
          </w:tcPr>
          <w:p>
            <w:pPr>
              <w:jc w:val="right"/>
              <w:ind w:right="42"/>
              <w:spacing w:after="0" w:line="143" w:lineRule="exact"/>
              <w:rPr>
                <w:sz w:val="20"/>
                <w:szCs w:val="20"/>
                <w:color w:val="auto"/>
              </w:rPr>
            </w:pPr>
            <w:r>
              <w:rPr>
                <w:rFonts w:ascii="Arial" w:cs="Arial" w:eastAsia="Arial" w:hAnsi="Arial"/>
                <w:sz w:val="14"/>
                <w:szCs w:val="14"/>
                <w:b w:val="1"/>
                <w:bCs w:val="1"/>
                <w:color w:val="auto"/>
              </w:rPr>
              <w:t>Over Time Revenue</w:t>
            </w:r>
          </w:p>
        </w:tc>
        <w:tc>
          <w:tcPr>
            <w:tcW w:w="380" w:type="dxa"/>
            <w:vAlign w:val="bottom"/>
          </w:tcPr>
          <w:p>
            <w:pPr>
              <w:spacing w:after="0"/>
              <w:rPr>
                <w:sz w:val="12"/>
                <w:szCs w:val="12"/>
                <w:color w:val="auto"/>
              </w:rPr>
            </w:pPr>
          </w:p>
        </w:tc>
        <w:tc>
          <w:tcPr>
            <w:tcW w:w="108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5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310,551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1,888</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312,439</w:t>
            </w: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6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91,949</w:t>
            </w:r>
          </w:p>
        </w:tc>
        <w:tc>
          <w:tcPr>
            <w:tcW w:w="3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91,949</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9,304</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129,527</w:t>
            </w: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138,831</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9,304</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221,476</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230,780</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319,855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223,364</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543,219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00" w:firstLine="324"/>
        <w:spacing w:after="0" w:line="273" w:lineRule="auto"/>
        <w:rPr>
          <w:sz w:val="20"/>
          <w:szCs w:val="20"/>
          <w:color w:val="auto"/>
        </w:rPr>
      </w:pPr>
      <w:r>
        <w:rPr>
          <w:rFonts w:ascii="Arial" w:cs="Arial" w:eastAsia="Arial" w:hAnsi="Arial"/>
          <w:sz w:val="18"/>
          <w:szCs w:val="18"/>
          <w:color w:val="auto"/>
        </w:rPr>
        <w:t>The following table disaggregates revenue for each product group by timing of revenue recognition for the six months ended June 30, 2022:</w:t>
      </w:r>
    </w:p>
    <w:tbl>
      <w:tblPr>
        <w:tblLayout w:type="fixed"/>
        <w:tblInd w:w="0" w:type="dxa"/>
        <w:tblCellMar>
          <w:top w:w="0" w:type="dxa"/>
          <w:left w:w="0" w:type="dxa"/>
          <w:bottom w:w="0" w:type="dxa"/>
          <w:right w:w="0" w:type="dxa"/>
        </w:tblCellMar>
      </w:tblPr>
      <w:tr>
        <w:trPr>
          <w:trHeight w:val="183"/>
        </w:trPr>
        <w:tc>
          <w:tcPr>
            <w:tcW w:w="65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3380" w:type="dxa"/>
            <w:vAlign w:val="bottom"/>
            <w:tcBorders>
              <w:top w:val="single" w:sz="8" w:color="auto"/>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Six months ended June 30, 2022</w:t>
            </w:r>
          </w:p>
        </w:tc>
        <w:tc>
          <w:tcPr>
            <w:tcW w:w="10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Point in Time Revenue</w:t>
            </w:r>
          </w:p>
        </w:tc>
        <w:tc>
          <w:tcPr>
            <w:tcW w:w="140" w:type="dxa"/>
            <w:vAlign w:val="bottom"/>
          </w:tcPr>
          <w:p>
            <w:pPr>
              <w:spacing w:after="0"/>
              <w:rPr>
                <w:sz w:val="12"/>
                <w:szCs w:val="12"/>
                <w:color w:val="auto"/>
              </w:rPr>
            </w:pPr>
          </w:p>
        </w:tc>
        <w:tc>
          <w:tcPr>
            <w:tcW w:w="1480" w:type="dxa"/>
            <w:vAlign w:val="bottom"/>
          </w:tcPr>
          <w:p>
            <w:pPr>
              <w:jc w:val="right"/>
              <w:ind w:right="42"/>
              <w:spacing w:after="0" w:line="143" w:lineRule="exact"/>
              <w:rPr>
                <w:sz w:val="20"/>
                <w:szCs w:val="20"/>
                <w:color w:val="auto"/>
              </w:rPr>
            </w:pPr>
            <w:r>
              <w:rPr>
                <w:rFonts w:ascii="Arial" w:cs="Arial" w:eastAsia="Arial" w:hAnsi="Arial"/>
                <w:sz w:val="14"/>
                <w:szCs w:val="14"/>
                <w:b w:val="1"/>
                <w:bCs w:val="1"/>
                <w:color w:val="auto"/>
              </w:rPr>
              <w:t>Over Time Revenue</w:t>
            </w:r>
          </w:p>
        </w:tc>
        <w:tc>
          <w:tcPr>
            <w:tcW w:w="380" w:type="dxa"/>
            <w:vAlign w:val="bottom"/>
          </w:tcPr>
          <w:p>
            <w:pPr>
              <w:spacing w:after="0"/>
              <w:rPr>
                <w:sz w:val="12"/>
                <w:szCs w:val="12"/>
                <w:color w:val="auto"/>
              </w:rPr>
            </w:pPr>
          </w:p>
        </w:tc>
        <w:tc>
          <w:tcPr>
            <w:tcW w:w="108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65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Recognition</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Recognition</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303,933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305,732</w:t>
            </w:r>
          </w:p>
        </w:tc>
        <w:tc>
          <w:tcPr>
            <w:tcW w:w="0" w:type="dxa"/>
            <w:vAlign w:val="bottom"/>
          </w:tcPr>
          <w:p>
            <w:pPr>
              <w:spacing w:after="0"/>
              <w:rPr>
                <w:sz w:val="1"/>
                <w:szCs w:val="1"/>
                <w:color w:val="auto"/>
              </w:rPr>
            </w:pPr>
          </w:p>
        </w:tc>
      </w:tr>
      <w:tr>
        <w:trPr>
          <w:trHeight w:val="132"/>
        </w:trPr>
        <w:tc>
          <w:tcPr>
            <w:tcW w:w="6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Albany Engineered Composites: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00" w:type="dxa"/>
            <w:vAlign w:val="bottom"/>
          </w:tcPr>
          <w:p>
            <w:pPr>
              <w:ind w:left="160"/>
              <w:spacing w:after="0"/>
              <w:rPr>
                <w:sz w:val="20"/>
                <w:szCs w:val="20"/>
                <w:color w:val="auto"/>
              </w:rPr>
            </w:pPr>
            <w:r>
              <w:rPr>
                <w:rFonts w:ascii="Arial" w:cs="Arial" w:eastAsia="Arial" w:hAnsi="Arial"/>
                <w:sz w:val="16"/>
                <w:szCs w:val="16"/>
                <w:color w:val="auto"/>
              </w:rPr>
              <w:t>ASC</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81,373</w:t>
            </w:r>
          </w:p>
        </w:tc>
        <w:tc>
          <w:tcPr>
            <w:tcW w:w="3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81,373</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AEC</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8,931</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109,502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118,433</w:t>
            </w:r>
          </w:p>
        </w:tc>
        <w:tc>
          <w:tcPr>
            <w:tcW w:w="0" w:type="dxa"/>
            <w:vAlign w:val="bottom"/>
          </w:tcPr>
          <w:p>
            <w:pPr>
              <w:spacing w:after="0"/>
              <w:rPr>
                <w:sz w:val="1"/>
                <w:szCs w:val="1"/>
                <w:color w:val="auto"/>
              </w:rPr>
            </w:pPr>
          </w:p>
        </w:tc>
      </w:tr>
      <w:tr>
        <w:trPr>
          <w:trHeight w:val="207"/>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8,931</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190,875</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199,806</w:t>
            </w:r>
          </w:p>
        </w:tc>
        <w:tc>
          <w:tcPr>
            <w:tcW w:w="0" w:type="dxa"/>
            <w:vAlign w:val="bottom"/>
          </w:tcPr>
          <w:p>
            <w:pPr>
              <w:spacing w:after="0"/>
              <w:rPr>
                <w:sz w:val="1"/>
                <w:szCs w:val="1"/>
                <w:color w:val="auto"/>
              </w:rPr>
            </w:pPr>
          </w:p>
        </w:tc>
      </w:tr>
      <w:tr>
        <w:trPr>
          <w:trHeight w:val="226"/>
        </w:trPr>
        <w:tc>
          <w:tcPr>
            <w:tcW w:w="65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312,864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192,674</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505,538</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7"/>
                <w:szCs w:val="17"/>
                <w:color w:val="auto"/>
              </w:rPr>
            </w:pPr>
          </w:p>
        </w:tc>
        <w:tc>
          <w:tcPr>
            <w:tcW w:w="236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Six months ended June 30,</w:t>
            </w:r>
          </w:p>
        </w:tc>
      </w:tr>
      <w:tr>
        <w:trPr>
          <w:trHeight w:val="222"/>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Americas PMC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94,154</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79,062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177,532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155,678</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48,541</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52,368</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100,278</w:t>
            </w:r>
          </w:p>
        </w:tc>
        <w:tc>
          <w:tcPr>
            <w:tcW w:w="32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107,854</w:t>
            </w:r>
          </w:p>
        </w:tc>
      </w:tr>
      <w:tr>
        <w:trPr>
          <w:trHeight w:val="216"/>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Engineered Fabrics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16,522</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20,240</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34,629</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42,200</w:t>
            </w:r>
          </w:p>
        </w:tc>
      </w:tr>
      <w:tr>
        <w:trPr>
          <w:trHeight w:val="237"/>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revenues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159,217</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151,670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312,439</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305,732</w:t>
            </w:r>
          </w:p>
        </w:tc>
      </w:tr>
    </w:tbl>
    <w:p>
      <w:pPr>
        <w:spacing w:after="0" w:line="200" w:lineRule="exact"/>
        <w:rPr>
          <w:sz w:val="20"/>
          <w:szCs w:val="20"/>
          <w:color w:val="auto"/>
        </w:rPr>
      </w:pPr>
    </w:p>
    <w:p>
      <w:pPr>
        <w:spacing w:after="0" w:line="26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do not disclose the value of unsatisfied performance obligations for contracts with an original expected duration of one year or less. Contracts in the MC segment are generally for periods of less than a year and certain contracts in the AEC segment are relatively short duration firm-fixed-price orders. Remaining performance obligations on contracts that had an original duration of greater than one year totaled $792 million and $579 million as of June 30, 2023 and 2022, respectively, and related primarily to firm contracts in the AEC segment. Of the remaining performance obligations as of June 30, 2023, we expect to recognize as revenue approximately $78 million during 2023, $131 million during 2024, $148 million during 2025,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Pensions and Other Postretirement Benefit Plans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the net periodic benefit cost/ (income) for the six months ended June 30, 2023 and 2022,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Other postretirement benefits</w:t>
            </w:r>
          </w:p>
        </w:tc>
      </w:tr>
      <w:tr>
        <w:trPr>
          <w:trHeight w:val="215"/>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benefit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565</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30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2,141</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937</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r>
      <w:tr>
        <w:trPr>
          <w:trHeight w:val="257"/>
        </w:trPr>
        <w:tc>
          <w:tcPr>
            <w:tcW w:w="604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(1,955)</w:t>
            </w:r>
          </w:p>
        </w:tc>
        <w:tc>
          <w:tcPr>
            <w:tcW w:w="5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(3,405)</w:t>
            </w:r>
          </w:p>
        </w:tc>
        <w:tc>
          <w:tcPr>
            <w:tcW w:w="200" w:type="dxa"/>
            <w:vAlign w:val="bottom"/>
          </w:tcPr>
          <w:p>
            <w:pPr>
              <w:spacing w:after="0"/>
              <w:rPr>
                <w:sz w:val="22"/>
                <w:szCs w:val="22"/>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(2,045)</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w:t>
            </w:r>
          </w:p>
        </w:tc>
      </w:tr>
      <w:tr>
        <w:trPr>
          <w:trHeight w:val="24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279</w:t>
            </w: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414</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r>
      <w:tr>
        <w:trPr>
          <w:trHeight w:val="209"/>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1,014</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(664)</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r>
    </w:tbl>
    <w:p>
      <w:pPr>
        <w:spacing w:after="0" w:line="3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amount of net benefit cost/(income) is determined at the beginning of each year and generally only varies from quarter to quarter when a significant event occurs, such as a curtailment or a settlement. There were no such events in the first six months of 2023 or 2022.</w:t>
      </w:r>
    </w:p>
    <w:p>
      <w:pPr>
        <w:spacing w:after="0" w:line="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Other (Income)/Expense, net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(income)/expense, net are: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gridSpan w:val="3"/>
          </w:tcPr>
          <w:p>
            <w:pPr>
              <w:jc w:val="right"/>
              <w:ind w:right="281"/>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transaction (gains)/losses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(4,193)</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(4,133)</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(11,024)</w:t>
            </w:r>
          </w:p>
        </w:tc>
      </w:tr>
      <w:tr>
        <w:trPr>
          <w:trHeight w:val="243"/>
        </w:trPr>
        <w:tc>
          <w:tcPr>
            <w:tcW w:w="6120" w:type="dxa"/>
            <w:vAlign w:val="bottom"/>
          </w:tcPr>
          <w:p>
            <w:pPr>
              <w:ind w:left="20"/>
              <w:spacing w:after="0"/>
              <w:rPr>
                <w:sz w:val="20"/>
                <w:szCs w:val="20"/>
                <w:color w:val="auto"/>
              </w:rPr>
            </w:pPr>
            <w:r>
              <w:rPr>
                <w:rFonts w:ascii="Arial" w:cs="Arial" w:eastAsia="Arial" w:hAnsi="Arial"/>
                <w:sz w:val="16"/>
                <w:szCs w:val="16"/>
                <w:color w:val="auto"/>
              </w:rPr>
              <w:t>Bank fees and amortization of debt issuance costs</w:t>
            </w:r>
          </w:p>
        </w:tc>
        <w:tc>
          <w:tcPr>
            <w:tcW w:w="18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33</w:t>
            </w: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91</w:t>
            </w: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176</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periodic pension and postretirement cost other than service cost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57"/>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(231)</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296</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(679)</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148</w:t>
            </w:r>
          </w:p>
        </w:tc>
      </w:tr>
      <w:tr>
        <w:trPr>
          <w:trHeight w:val="209"/>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(income)/expense,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(4,511)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(7,045)</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(4,966)</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(10,973)</w:t>
            </w:r>
          </w:p>
        </w:tc>
      </w:tr>
    </w:tbl>
    <w:p>
      <w:pPr>
        <w:spacing w:after="0" w:line="200" w:lineRule="exact"/>
        <w:rPr>
          <w:sz w:val="20"/>
          <w:szCs w:val="20"/>
          <w:color w:val="auto"/>
        </w:rPr>
      </w:pPr>
    </w:p>
    <w:p>
      <w:pPr>
        <w:spacing w:after="0" w:line="24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Other (income)/expense, net, included foreign currency related transactions which resulted in gains of $4.2 million and $ 4.1 million in the three and six months ended June 30, 2023, respectively, as compared to gains of $7.3 million and $11.0 million in the same period last year. The stronger Euro and Mexican Peso during the three and six months ended June 30, 2023 led to a lesser gain on foreign currency 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Income Taxes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components of income tax expense for the three and six months ended June 30, 2023 and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top w:val="single" w:sz="8" w:color="auto"/>
              <w:bottom w:val="single" w:sz="8" w:color="auto"/>
            </w:tcBorders>
          </w:tcPr>
          <w:p>
            <w:pPr>
              <w:spacing w:after="0"/>
              <w:rPr>
                <w:sz w:val="17"/>
                <w:szCs w:val="17"/>
                <w:color w:val="auto"/>
              </w:rPr>
            </w:pPr>
          </w:p>
        </w:tc>
        <w:tc>
          <w:tcPr>
            <w:tcW w:w="2340" w:type="dxa"/>
            <w:vAlign w:val="bottom"/>
            <w:tcBorders>
              <w:top w:val="single" w:sz="8" w:color="auto"/>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r>
      <w:tr>
        <w:trPr>
          <w:trHeight w:val="238"/>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based on income from operations (1)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13,909</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24,967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26,107</w:t>
            </w:r>
          </w:p>
        </w:tc>
      </w:tr>
      <w:tr>
        <w:trPr>
          <w:trHeight w:val="216"/>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change in estimated tax rate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before discrete items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14,033</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25,091</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26,173</w:t>
            </w: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Discrete tax expense: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U.S. stock options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6120" w:type="dxa"/>
            <w:vAlign w:val="bottom"/>
          </w:tcPr>
          <w:p>
            <w:pPr>
              <w:ind w:left="20"/>
              <w:spacing w:after="0"/>
              <w:rPr>
                <w:sz w:val="20"/>
                <w:szCs w:val="20"/>
                <w:color w:val="auto"/>
              </w:rPr>
            </w:pPr>
            <w:r>
              <w:rPr>
                <w:rFonts w:ascii="Arial" w:cs="Arial" w:eastAsia="Arial" w:hAnsi="Arial"/>
                <w:sz w:val="16"/>
                <w:szCs w:val="16"/>
                <w:color w:val="auto"/>
              </w:rPr>
              <w:t>Impact of amended tax returns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True-up of prior year estimated taxes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1,941</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1,396</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r>
      <w:tr>
        <w:trPr>
          <w:trHeight w:val="216"/>
        </w:trPr>
        <w:tc>
          <w:tcPr>
            <w:tcW w:w="6120" w:type="dxa"/>
            <w:vAlign w:val="bottom"/>
          </w:tcPr>
          <w:p>
            <w:pPr>
              <w:ind w:left="20"/>
              <w:spacing w:after="0"/>
              <w:rPr>
                <w:sz w:val="20"/>
                <w:szCs w:val="20"/>
                <w:color w:val="auto"/>
              </w:rPr>
            </w:pPr>
            <w:r>
              <w:rPr>
                <w:rFonts w:ascii="Arial" w:cs="Arial" w:eastAsia="Arial" w:hAnsi="Arial"/>
                <w:sz w:val="16"/>
                <w:szCs w:val="16"/>
                <w:color w:val="auto"/>
              </w:rPr>
              <w:t>Enacted tax legislation and rate change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for/resolution of tax audits and contingencies, net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778</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6"/>
        </w:trPr>
        <w:tc>
          <w:tcPr>
            <w:tcW w:w="6120" w:type="dxa"/>
            <w:vAlign w:val="bottom"/>
          </w:tcPr>
          <w:p>
            <w:pPr>
              <w:ind w:left="20"/>
              <w:spacing w:after="0"/>
              <w:rPr>
                <w:sz w:val="20"/>
                <w:szCs w:val="20"/>
                <w:color w:val="auto"/>
              </w:rPr>
            </w:pPr>
            <w:r>
              <w:rPr>
                <w:rFonts w:ascii="Arial" w:cs="Arial" w:eastAsia="Arial" w:hAnsi="Arial"/>
                <w:sz w:val="16"/>
                <w:szCs w:val="16"/>
                <w:color w:val="auto"/>
              </w:rPr>
              <w:t>Impact of long range tax planning</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(443)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 tax related to internal restructuring</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3,026</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3,026</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540</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09"/>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income tax expense/(benefit)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20,080</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14,458</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30,701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25,456</w:t>
            </w:r>
          </w:p>
        </w:tc>
      </w:tr>
    </w:tbl>
    <w:p>
      <w:pPr>
        <w:spacing w:after="0" w:line="3" w:lineRule="exact"/>
        <w:rPr>
          <w:sz w:val="20"/>
          <w:szCs w:val="20"/>
          <w:color w:val="auto"/>
        </w:rPr>
      </w:pPr>
    </w:p>
    <w:p>
      <w:pPr>
        <w:ind w:left="20" w:right="360" w:firstLine="6"/>
        <w:spacing w:after="0"/>
        <w:tabs>
          <w:tab w:leader="none" w:pos="263"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Income tax is calculated at estimated annualized effective tax rate of 29.7% and 28.2% for the three and six months ended June 30, 2023 and 2022, respectively.</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calculation and their taxes will be recorded discretely in each quarter.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Earnings Per Share</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top w:val="single" w:sz="8" w:color="auto"/>
              <w:bottom w:val="single" w:sz="8" w:color="auto"/>
            </w:tcBorders>
          </w:tcPr>
          <w:p>
            <w:pPr>
              <w:spacing w:after="0"/>
              <w:rPr>
                <w:sz w:val="18"/>
                <w:szCs w:val="18"/>
                <w:color w:val="auto"/>
              </w:rPr>
            </w:pPr>
          </w:p>
        </w:tc>
        <w:tc>
          <w:tcPr>
            <w:tcW w:w="2620" w:type="dxa"/>
            <w:vAlign w:val="bottom"/>
            <w:tcBorders>
              <w:top w:val="single" w:sz="8" w:color="auto"/>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1"/>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26,672</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39,201</w:t>
            </w: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53,561</w:t>
            </w: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66,938</w:t>
            </w:r>
          </w:p>
        </w:tc>
        <w:tc>
          <w:tcPr>
            <w:tcW w:w="0" w:type="dxa"/>
            <w:vAlign w:val="bottom"/>
          </w:tcPr>
          <w:p>
            <w:pPr>
              <w:spacing w:after="0"/>
              <w:rPr>
                <w:sz w:val="1"/>
                <w:szCs w:val="1"/>
                <w:color w:val="auto"/>
              </w:rPr>
            </w:pPr>
          </w:p>
        </w:tc>
      </w:tr>
      <w:tr>
        <w:trPr>
          <w:trHeight w:val="128"/>
        </w:trPr>
        <w:tc>
          <w:tcPr>
            <w:tcW w:w="5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140"/>
              <w:spacing w:after="0"/>
              <w:rPr>
                <w:sz w:val="20"/>
                <w:szCs w:val="20"/>
                <w:color w:val="auto"/>
              </w:rPr>
            </w:pPr>
            <w:r>
              <w:rPr>
                <w:rFonts w:ascii="Arial" w:cs="Arial" w:eastAsia="Arial" w:hAnsi="Arial"/>
                <w:sz w:val="16"/>
                <w:szCs w:val="16"/>
                <w:color w:val="auto"/>
              </w:rPr>
              <w:t>Weighted average number of shares used in calculating basic net</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00" w:type="dxa"/>
            <w:vAlign w:val="bottom"/>
          </w:tcPr>
          <w:p>
            <w:pPr>
              <w:ind w:left="140"/>
              <w:spacing w:after="0"/>
              <w:rPr>
                <w:sz w:val="20"/>
                <w:szCs w:val="20"/>
                <w:color w:val="auto"/>
              </w:rPr>
            </w:pPr>
            <w:r>
              <w:rPr>
                <w:rFonts w:ascii="Arial" w:cs="Arial" w:eastAsia="Arial" w:hAnsi="Arial"/>
                <w:sz w:val="16"/>
                <w:szCs w:val="16"/>
                <w:color w:val="auto"/>
              </w:rPr>
              <w:t>income per share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31,174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31,268</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31,152</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31,571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RSU and MPP shares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28"/>
        </w:trPr>
        <w:tc>
          <w:tcPr>
            <w:tcW w:w="5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530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Weighted average number of shares used in calculating diluted net</w:t>
            </w:r>
          </w:p>
        </w:tc>
        <w:tc>
          <w:tcPr>
            <w:tcW w:w="3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31,269</w:t>
            </w:r>
          </w:p>
        </w:tc>
        <w:tc>
          <w:tcPr>
            <w:tcW w:w="3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31,378</w:t>
            </w:r>
          </w:p>
        </w:tc>
        <w:tc>
          <w:tcPr>
            <w:tcW w:w="3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31,243</w:t>
            </w: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31,668</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per share</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0.86</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1.25</w:t>
            </w:r>
          </w:p>
        </w:tc>
        <w:tc>
          <w:tcPr>
            <w:tcW w:w="36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1.72</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0.85</w:t>
            </w:r>
          </w:p>
        </w:tc>
        <w:tc>
          <w:tcPr>
            <w:tcW w:w="3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w:t>
            </w: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Accumulated Other Comprehensive Income ("AOCI")</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from December 31, 2022 to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23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28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5"/>
                <w:szCs w:val="15"/>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5"/>
                <w:szCs w:val="15"/>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5"/>
                <w:szCs w:val="15"/>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(146,851)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(15,783)</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17,707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(144,927)</w:t>
            </w:r>
          </w:p>
        </w:tc>
        <w:tc>
          <w:tcPr>
            <w:tcW w:w="0" w:type="dxa"/>
            <w:vAlign w:val="bottom"/>
          </w:tcPr>
          <w:p>
            <w:pPr>
              <w:spacing w:after="0"/>
              <w:rPr>
                <w:sz w:val="1"/>
                <w:szCs w:val="1"/>
                <w:color w:val="auto"/>
              </w:rPr>
            </w:pPr>
          </w:p>
        </w:tc>
      </w:tr>
      <w:tr>
        <w:trPr>
          <w:trHeight w:val="234"/>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11,313</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(691)</w:t>
            </w:r>
          </w:p>
        </w:tc>
        <w:tc>
          <w:tcPr>
            <w:tcW w:w="24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2,642</w:t>
            </w:r>
          </w:p>
        </w:tc>
        <w:tc>
          <w:tcPr>
            <w:tcW w:w="160" w:type="dxa"/>
            <w:vAlign w:val="bottom"/>
          </w:tcPr>
          <w:p>
            <w:pPr>
              <w:spacing w:after="0"/>
              <w:rPr>
                <w:sz w:val="20"/>
                <w:szCs w:val="20"/>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13,264</w:t>
            </w:r>
          </w:p>
        </w:tc>
        <w:tc>
          <w:tcPr>
            <w:tcW w:w="0" w:type="dxa"/>
            <w:vAlign w:val="bottom"/>
          </w:tcPr>
          <w:p>
            <w:pPr>
              <w:spacing w:after="0"/>
              <w:rPr>
                <w:sz w:val="1"/>
                <w:szCs w:val="1"/>
                <w:color w:val="auto"/>
              </w:rPr>
            </w:pPr>
          </w:p>
        </w:tc>
      </w:tr>
      <w:tr>
        <w:trPr>
          <w:trHeight w:val="168"/>
        </w:trPr>
        <w:tc>
          <w:tcPr>
            <w:tcW w:w="51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Interest (expense)/income related to swaps reclassified to the</w:t>
            </w: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(5,155)</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tcPr>
          <w:p>
            <w:pPr>
              <w:ind w:left="20"/>
              <w:spacing w:after="0"/>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11,313</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7,160</w:t>
            </w:r>
          </w:p>
        </w:tc>
        <w:tc>
          <w:tcPr>
            <w:tcW w:w="0" w:type="dxa"/>
            <w:vAlign w:val="bottom"/>
          </w:tcPr>
          <w:p>
            <w:pPr>
              <w:spacing w:after="0"/>
              <w:rPr>
                <w:sz w:val="1"/>
                <w:szCs w:val="1"/>
                <w:color w:val="auto"/>
              </w:rPr>
            </w:pPr>
          </w:p>
        </w:tc>
      </w:tr>
      <w:tr>
        <w:trPr>
          <w:trHeight w:val="212"/>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(135,538)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(17,423)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15,194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(137,767)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from December 31, 2021 to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234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5"/>
                <w:szCs w:val="15"/>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Total Other</w:t>
            </w:r>
          </w:p>
        </w:tc>
        <w:tc>
          <w:tcPr>
            <w:tcW w:w="0" w:type="dxa"/>
            <w:vAlign w:val="bottom"/>
          </w:tcPr>
          <w:p>
            <w:pPr>
              <w:spacing w:after="0"/>
              <w:rPr>
                <w:sz w:val="1"/>
                <w:szCs w:val="1"/>
                <w:color w:val="auto"/>
              </w:rPr>
            </w:pPr>
          </w:p>
        </w:tc>
      </w:tr>
      <w:tr>
        <w:trPr>
          <w:trHeight w:val="176"/>
        </w:trPr>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28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5"/>
                <w:szCs w:val="15"/>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5"/>
                <w:szCs w:val="15"/>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rPr>
              <w:t>valuation</w:t>
            </w:r>
          </w:p>
        </w:tc>
        <w:tc>
          <w:tcPr>
            <w:tcW w:w="160" w:type="dxa"/>
            <w:vAlign w:val="bottom"/>
          </w:tcPr>
          <w:p>
            <w:pPr>
              <w:spacing w:after="0"/>
              <w:rPr>
                <w:sz w:val="15"/>
                <w:szCs w:val="15"/>
                <w:color w:val="auto"/>
              </w:rPr>
            </w:pPr>
          </w:p>
        </w:tc>
        <w:tc>
          <w:tcPr>
            <w:tcW w:w="1360" w:type="dxa"/>
            <w:vAlign w:val="bottom"/>
          </w:tcPr>
          <w:p>
            <w:pPr>
              <w:jc w:val="center"/>
              <w:ind w:right="8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5"/>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1"/>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(105,880)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(38,490)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(145,984)</w:t>
            </w:r>
          </w:p>
        </w:tc>
        <w:tc>
          <w:tcPr>
            <w:tcW w:w="0" w:type="dxa"/>
            <w:vAlign w:val="bottom"/>
          </w:tcPr>
          <w:p>
            <w:pPr>
              <w:spacing w:after="0"/>
              <w:rPr>
                <w:sz w:val="1"/>
                <w:szCs w:val="1"/>
                <w:color w:val="auto"/>
              </w:rPr>
            </w:pPr>
          </w:p>
        </w:tc>
      </w:tr>
      <w:tr>
        <w:trPr>
          <w:trHeight w:val="207"/>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(41,391)</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521</w:t>
            </w:r>
          </w:p>
        </w:tc>
        <w:tc>
          <w:tcPr>
            <w:tcW w:w="24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11,228</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(29,642)</w:t>
            </w:r>
          </w:p>
        </w:tc>
        <w:tc>
          <w:tcPr>
            <w:tcW w:w="0" w:type="dxa"/>
            <w:vAlign w:val="bottom"/>
          </w:tcPr>
          <w:p>
            <w:pPr>
              <w:spacing w:after="0"/>
              <w:rPr>
                <w:sz w:val="1"/>
                <w:szCs w:val="1"/>
                <w:color w:val="auto"/>
              </w:rPr>
            </w:pPr>
          </w:p>
        </w:tc>
      </w:tr>
      <w:tr>
        <w:trPr>
          <w:trHeight w:val="168"/>
        </w:trPr>
        <w:tc>
          <w:tcPr>
            <w:tcW w:w="51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Interest (expense)/income related to swaps reclassified to the</w:t>
            </w: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2,139</w:t>
            </w: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2,139</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100" w:type="dxa"/>
            <w:vAlign w:val="bottom"/>
          </w:tcPr>
          <w:p>
            <w:pPr>
              <w:ind w:left="20"/>
              <w:spacing w:after="0" w:line="165" w:lineRule="exact"/>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tcPr>
          <w:p>
            <w:pPr>
              <w:spacing w:after="0"/>
              <w:rPr>
                <w:sz w:val="14"/>
                <w:szCs w:val="14"/>
                <w:color w:val="auto"/>
              </w:rPr>
            </w:pPr>
          </w:p>
        </w:tc>
        <w:tc>
          <w:tcPr>
            <w:tcW w:w="128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240" w:type="dxa"/>
            <w:vAlign w:val="bottom"/>
          </w:tcPr>
          <w:p>
            <w:pPr>
              <w:spacing w:after="0"/>
              <w:rPr>
                <w:sz w:val="14"/>
                <w:szCs w:val="14"/>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(41,391)</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13,367</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(27,716)</w:t>
            </w:r>
          </w:p>
        </w:tc>
        <w:tc>
          <w:tcPr>
            <w:tcW w:w="0" w:type="dxa"/>
            <w:vAlign w:val="bottom"/>
          </w:tcPr>
          <w:p>
            <w:pPr>
              <w:spacing w:after="0"/>
              <w:rPr>
                <w:sz w:val="1"/>
                <w:szCs w:val="1"/>
                <w:color w:val="auto"/>
              </w:rPr>
            </w:pPr>
          </w:p>
        </w:tc>
      </w:tr>
      <w:tr>
        <w:trPr>
          <w:trHeight w:val="21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(147,271)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(38,182)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11,753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(173,700)</w:t>
            </w:r>
          </w:p>
        </w:tc>
        <w:tc>
          <w:tcPr>
            <w:tcW w:w="0" w:type="dxa"/>
            <w:vAlign w:val="bottom"/>
          </w:tcPr>
          <w:p>
            <w:pPr>
              <w:spacing w:after="0"/>
              <w:rPr>
                <w:sz w:val="1"/>
                <w:szCs w:val="1"/>
                <w:color w:val="auto"/>
              </w:rPr>
            </w:pPr>
          </w:p>
        </w:tc>
      </w:tr>
    </w:tbl>
    <w:p>
      <w:pPr>
        <w:spacing w:after="0" w:line="3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components of AOCI that are reclassified to the Consolidated Statements of Income relate to our pension and postretirement plans and 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expense/(income) amounts reclassified from AOCI, and the line items of the Consolidated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Income that were affected for the three and six months ended June 30, 2023 and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700" w:type="dxa"/>
            <w:vAlign w:val="bottom"/>
            <w:tcBorders>
              <w:top w:val="single" w:sz="8" w:color="auto"/>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2"/>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56"/>
        </w:trPr>
        <w:tc>
          <w:tcPr>
            <w:tcW w:w="520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Pretax Derivative valuation reclassified from Accumulated</w:t>
            </w: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00" w:type="dxa"/>
            <w:vAlign w:val="bottom"/>
          </w:tcPr>
          <w:p>
            <w:pPr>
              <w:ind w:left="140"/>
              <w:spacing w:after="0"/>
              <w:rPr>
                <w:sz w:val="20"/>
                <w:szCs w:val="20"/>
                <w:color w:val="auto"/>
              </w:rPr>
            </w:pPr>
            <w:r>
              <w:rPr>
                <w:rFonts w:ascii="Arial" w:cs="Arial" w:eastAsia="Arial" w:hAnsi="Arial"/>
                <w:sz w:val="16"/>
                <w:szCs w:val="16"/>
                <w:color w:val="auto"/>
              </w:rPr>
              <w:t>Other (income)/expense, net related to interest rate swaps included in</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140"/>
              <w:spacing w:after="0"/>
              <w:rPr>
                <w:sz w:val="20"/>
                <w:szCs w:val="20"/>
                <w:color w:val="auto"/>
              </w:rPr>
            </w:pPr>
            <w:r>
              <w:rPr>
                <w:rFonts w:ascii="Arial" w:cs="Arial" w:eastAsia="Arial" w:hAnsi="Arial"/>
                <w:sz w:val="16"/>
                <w:szCs w:val="16"/>
                <w:color w:val="auto"/>
              </w:rPr>
              <w:t>Income before taxes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(3,678)</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1,168</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(6,901)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2,864</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Income tax effect</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931</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1,746</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(2,747)</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(5,155)</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2,139</w:t>
            </w: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Pretax pension and postretirement liabilities reclassified from</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Income:</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(1,030)</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(2,061)</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w:t>
            </w:r>
          </w:p>
        </w:tc>
        <w:tc>
          <w:tcPr>
            <w:tcW w:w="0" w:type="dxa"/>
            <w:vAlign w:val="bottom"/>
          </w:tcPr>
          <w:p>
            <w:pPr>
              <w:spacing w:after="0"/>
              <w:rPr>
                <w:sz w:val="1"/>
                <w:szCs w:val="1"/>
                <w:color w:val="auto"/>
              </w:rPr>
            </w:pPr>
          </w:p>
        </w:tc>
      </w:tr>
      <w:tr>
        <w:trPr>
          <w:trHeight w:val="257"/>
        </w:trPr>
        <w:tc>
          <w:tcPr>
            <w:tcW w:w="5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693</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1,938</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pretax amount reclassified (a)</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(683)</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(1,368)</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Income tax effect</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419</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59"/>
        </w:trPr>
        <w:tc>
          <w:tcPr>
            <w:tcW w:w="52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Effect on net income due to items reclassified from Accumulated Other</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(474)</w:t>
            </w: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(949)</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652"/>
        <w:spacing w:after="0" w:line="29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These accumulated other comprehensive income components are included in the computation of net periodic pension cost (see </w:t>
      </w:r>
      <w:r>
        <w:rPr>
          <w:rFonts w:ascii="Arial" w:cs="Arial" w:eastAsia="Arial" w:hAnsi="Arial"/>
          <w:sz w:val="16"/>
          <w:szCs w:val="16"/>
          <w:i w:val="1"/>
          <w:iCs w:val="1"/>
          <w:color w:val="auto"/>
        </w:rPr>
        <w:t>Note 3. Pensions</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Postretirement Benefit Plans</w:t>
      </w:r>
      <w:r>
        <w:rPr>
          <w:rFonts w:ascii="Arial" w:cs="Arial" w:eastAsia="Arial" w:hAnsi="Arial"/>
          <w:sz w:val="16"/>
          <w:szCs w:val="16"/>
          <w:color w:val="auto"/>
        </w:rPr>
        <w: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Noncontrolling Interest</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The table below presents a reconciliation of income attributable to the noncontrolling interest and noncontrolling equity in the Company’s subsidiary, Albany Safran Composites,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6"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5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r>
      <w:tr>
        <w:trPr>
          <w:trHeight w:val="209"/>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Albany Safran Composites (ASC)</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4,146</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5,690</w:t>
            </w:r>
          </w:p>
        </w:tc>
      </w:tr>
      <w:tr>
        <w:trPr>
          <w:trHeight w:val="216"/>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637</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632</w:t>
            </w: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of ASC available for common ownership</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3,509</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5,058</w:t>
            </w:r>
          </w:p>
        </w:tc>
      </w:tr>
      <w:tr>
        <w:trPr>
          <w:trHeight w:val="216"/>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10"/>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15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351</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506</w:t>
            </w:r>
          </w:p>
        </w:tc>
      </w:tr>
      <w:tr>
        <w:trPr>
          <w:trHeight w:val="236"/>
        </w:trPr>
        <w:tc>
          <w:tcPr>
            <w:tcW w:w="7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4,494</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3,638</w:t>
            </w:r>
          </w:p>
        </w:tc>
      </w:tr>
      <w:tr>
        <w:trPr>
          <w:trHeight w:val="216"/>
        </w:trPr>
        <w:tc>
          <w:tcPr>
            <w:tcW w:w="716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58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b w:val="1"/>
                <w:bCs w:val="1"/>
                <w:color w:val="auto"/>
              </w:rPr>
              <w:t>351</w:t>
            </w:r>
          </w:p>
        </w:tc>
        <w:tc>
          <w:tcPr>
            <w:tcW w:w="34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506</w:t>
            </w:r>
          </w:p>
        </w:tc>
      </w:tr>
      <w:tr>
        <w:trPr>
          <w:trHeight w:val="216"/>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other comprehensive income attributable to the noncontrolling interest</w:t>
            </w:r>
          </w:p>
        </w:tc>
        <w:tc>
          <w:tcPr>
            <w:tcW w:w="1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417</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(35)</w:t>
            </w:r>
          </w:p>
        </w:tc>
      </w:tr>
      <w:tr>
        <w:trPr>
          <w:trHeight w:val="210"/>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 end of interim period</w:t>
            </w:r>
          </w:p>
        </w:tc>
        <w:tc>
          <w:tcPr>
            <w:tcW w:w="1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5,262</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4,109</w:t>
            </w:r>
          </w:p>
        </w:tc>
      </w:tr>
    </w:tbl>
    <w:p>
      <w:pPr>
        <w:spacing w:after="0" w:line="200" w:lineRule="exact"/>
        <w:rPr>
          <w:sz w:val="20"/>
          <w:szCs w:val="20"/>
          <w:color w:val="auto"/>
        </w:rPr>
      </w:pP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Accounts Receivable</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Accounts receivable, net includes Trade and other accounts receivable and Bank promissory notes, net of Allowance for expected credit losses. In connection with certain revenues in Asia, the Company accepts a bank promissory note as customer payment. The notes may be presented for payment at maturity, which is less than one year. As of June 30, 2023 and December 31, 2022, Accounts receivable consisted of the following: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5640" w:type="dxa"/>
            <w:vAlign w:val="bottom"/>
            <w:tcBorders>
              <w:bottom w:val="single" w:sz="8" w:color="auto"/>
            </w:tcBorders>
            <w:vMerge w:val="continue"/>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other accounts receivable</w:t>
            </w:r>
          </w:p>
        </w:tc>
        <w:tc>
          <w:tcPr>
            <w:tcW w:w="3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226,996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179,676</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32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18,859</w:t>
            </w:r>
          </w:p>
        </w:tc>
        <w:tc>
          <w:tcPr>
            <w:tcW w:w="14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23,439</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(3,666)</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(3,097)</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3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242,189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200,018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will be invoiced to the customer over a 10-year period, which began in 2020. As of June 30, 2023 and December 31, 2022, Noncurrent receivables consisted of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5640" w:type="dxa"/>
            <w:vAlign w:val="bottom"/>
            <w:tcBorders>
              <w:bottom w:val="single" w:sz="8" w:color="auto"/>
            </w:tcBorders>
            <w:vMerge w:val="continue"/>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receivables</w:t>
            </w:r>
          </w:p>
        </w:tc>
        <w:tc>
          <w:tcPr>
            <w:tcW w:w="3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26,702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28,053</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9"/>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receivables, net</w:t>
            </w:r>
          </w:p>
        </w:tc>
        <w:tc>
          <w:tcPr>
            <w:tcW w:w="3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26,568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27,913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Contract Assets and Liabilities</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Contract assets include unbilled amounts typically resulting from revenues under contracts when the cost-to-cost method of revenue recognition is utilized, and revenue recognized exceeds the amount billed to the customer. Contract assets are transferred to Accounts receivable, net when the entitlement to pay becomes unconditional and the customer is invoiced. Contract liabilities include advance payments and billings in excess of revenue recognized. Contract liabilities are included in Accrued liabilities in the Consolidated Balance Sheets.</w:t>
      </w:r>
    </w:p>
    <w:p>
      <w:pPr>
        <w:spacing w:after="0" w:line="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2023 and December 31, 2022, Contract assets and Contract liabilities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5640" w:type="dxa"/>
            <w:vAlign w:val="bottom"/>
            <w:tcBorders>
              <w:bottom w:val="single" w:sz="8" w:color="auto"/>
            </w:tcBorders>
            <w:vMerge w:val="continue"/>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3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146,054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149,443</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(730)</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assets, net</w:t>
            </w:r>
          </w:p>
        </w:tc>
        <w:tc>
          <w:tcPr>
            <w:tcW w:w="3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145,324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148,695</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3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6,796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15,176</w:t>
            </w:r>
          </w:p>
        </w:tc>
        <w:tc>
          <w:tcPr>
            <w:tcW w:w="0" w:type="dxa"/>
            <w:vAlign w:val="bottom"/>
          </w:tcPr>
          <w:p>
            <w:pPr>
              <w:spacing w:after="0"/>
              <w:rPr>
                <w:sz w:val="1"/>
                <w:szCs w:val="1"/>
                <w:color w:val="auto"/>
              </w:rPr>
            </w:pPr>
          </w:p>
        </w:tc>
      </w:tr>
    </w:tbl>
    <w:p>
      <w:pPr>
        <w:spacing w:after="0" w:line="3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Contract assets, net decreased $3.4 million during the six months ended June 30, 2023. The decrease was primarily due to invoicing to customers for satisfied performance obligations for contracts that were in a contract asset position. There were no impairment losses related to our Contract assets during the six months ended June 30, 2023 and June 30, 2022.</w:t>
      </w:r>
    </w:p>
    <w:p>
      <w:pPr>
        <w:spacing w:after="0" w:line="7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Contract liabilities decreased $8.4 million during the six months ended June 30, 2023, primarily due to revenue recognized from satisfied performance obligations exceeding amounts invoiced to customers that were in a contract liability position. Revenue recognized for the six months ended June 30, 2023 and 2022 that was included in the Contract liability balance at the beginning of the year was $11.7 million and $5.5 million, respectively.</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Inventories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2023 and December 31, 2022, Inventories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8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920" w:type="dxa"/>
            <w:vAlign w:val="bottom"/>
            <w:tcBorders>
              <w:bottom w:val="single" w:sz="8" w:color="auto"/>
            </w:tcBorders>
            <w:vMerge w:val="continue"/>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78,251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74,631</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8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57,691</w:t>
            </w:r>
          </w:p>
        </w:tc>
        <w:tc>
          <w:tcPr>
            <w:tcW w:w="18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50,516</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8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15,418</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13,903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151,360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139,050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w:t>
      </w:r>
    </w:p>
    <w:p>
      <w:pPr>
        <w:spacing w:after="0" w:line="15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In the second quarter of 2023, management applied the qualitative assessment approach in performing its annual evaluation of goodwill for the Company's Machine Clothing reporting unit and two AEC reporting units and concluded that each reporting unit’s fair value continued to exceed its carrying value. In addition, there were no amounts at risk due to the estimated excess between the fair and carrying values. Accordingly, no impairment charges were recorded.</w:t>
      </w:r>
    </w:p>
    <w:p>
      <w:pPr>
        <w:spacing w:after="0" w:line="8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When a quantitative assessment is performed, 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8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revenues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Financial Instruments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principally to banks and noteholders, consists of:</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3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June 30, 2023</w:t>
            </w:r>
          </w:p>
        </w:tc>
        <w:tc>
          <w:tcPr>
            <w:tcW w:w="20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December 31, 2022</w:t>
            </w: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Revolving credit agreement with borrowings outstanding at an end of period interest rate of 3.68% in 2023</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8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3.16% in 2022 (including the effect of interest rate hedging transactions, as described below), due</w:t>
            </w: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26"/>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2024</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487,000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439,000</w:t>
            </w:r>
          </w:p>
        </w:tc>
      </w:tr>
    </w:tbl>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current maturities of Long-term debt as of June 30, 2023 or December 31, 2022.</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27, 2020, we entered into a $700 million Amended and Restated unsecured Four-Year Revolving Credit Agreement (the “Credit Agreement”), which amended and restated the prior $685 million Five-Year Revolving Credit Facility Agreement, entered into on November 7, 2017. On June 23, 2023, we entered into the first Amendment to the Credit Agreement (the Credit Agreement and the First Amendment, collectively, the "Amended Credit Agreement") to replace the LIBOR-based reference interest rate option with a reference interest rate option based on the Term Secured Overnight Financing Rate ("Term SOFR") plus an applicable credit spread adjustment (subject to a minimum floor of 0.00%). The Amendment did not make any other material changes to the terms and conditions of the Credit Agreement, including the representations and warranties, events of default, affirmative and negative covenants.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applicable interest rate for borrowings is based on Term SOFR plus a spread, which is based on our leverage ratio (as defined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Amended Credit Agreement) at the time of a borrowing as follows:</w:t>
      </w:r>
    </w:p>
    <w:p>
      <w:pPr>
        <w:spacing w:after="0" w:line="125"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2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Leverage Ratio</w:t>
            </w:r>
          </w:p>
        </w:tc>
        <w:tc>
          <w:tcPr>
            <w:tcW w:w="204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Commitment Fee</w:t>
            </w:r>
          </w:p>
        </w:tc>
        <w:tc>
          <w:tcPr>
            <w:tcW w:w="1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ABR Spread</w:t>
            </w:r>
          </w:p>
        </w:tc>
        <w:tc>
          <w:tcPr>
            <w:tcW w:w="2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Total Spread</w:t>
            </w:r>
          </w:p>
        </w:tc>
      </w:tr>
      <w:tr>
        <w:trPr>
          <w:trHeight w:val="224"/>
        </w:trPr>
        <w:tc>
          <w:tcPr>
            <w:tcW w:w="280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rPr>
              <w:t>&lt;1.00:1.00</w:t>
            </w:r>
          </w:p>
        </w:tc>
        <w:tc>
          <w:tcPr>
            <w:tcW w:w="204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8"/>
              </w:rPr>
              <w:t>0.275%</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0.500%</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1.500%</w:t>
            </w:r>
          </w:p>
        </w:tc>
      </w:tr>
      <w:tr>
        <w:trPr>
          <w:trHeight w:val="229"/>
        </w:trPr>
        <w:tc>
          <w:tcPr>
            <w:tcW w:w="2800" w:type="dxa"/>
            <w:vAlign w:val="bottom"/>
          </w:tcPr>
          <w:p>
            <w:pPr>
              <w:jc w:val="center"/>
              <w:spacing w:after="0"/>
              <w:rPr>
                <w:sz w:val="20"/>
                <w:szCs w:val="20"/>
                <w:color w:val="auto"/>
              </w:rPr>
            </w:pPr>
            <w:r>
              <w:rPr>
                <w:rFonts w:ascii="Arial" w:cs="Arial" w:eastAsia="Arial" w:hAnsi="Arial"/>
                <w:sz w:val="18"/>
                <w:szCs w:val="18"/>
                <w:color w:val="auto"/>
                <w:w w:val="99"/>
              </w:rPr>
              <w:t>≥ 1.00:1.00 and &lt; 2.00:1.00</w:t>
            </w:r>
          </w:p>
        </w:tc>
        <w:tc>
          <w:tcPr>
            <w:tcW w:w="2040" w:type="dxa"/>
            <w:vAlign w:val="bottom"/>
          </w:tcPr>
          <w:p>
            <w:pPr>
              <w:jc w:val="center"/>
              <w:ind w:right="74"/>
              <w:spacing w:after="0"/>
              <w:rPr>
                <w:sz w:val="20"/>
                <w:szCs w:val="20"/>
                <w:color w:val="auto"/>
              </w:rPr>
            </w:pPr>
            <w:r>
              <w:rPr>
                <w:rFonts w:ascii="Arial" w:cs="Arial" w:eastAsia="Arial" w:hAnsi="Arial"/>
                <w:sz w:val="18"/>
                <w:szCs w:val="18"/>
                <w:color w:val="auto"/>
                <w:w w:val="98"/>
              </w:rPr>
              <w:t>0.300%</w:t>
            </w:r>
          </w:p>
        </w:tc>
        <w:tc>
          <w:tcPr>
            <w:tcW w:w="1960" w:type="dxa"/>
            <w:vAlign w:val="bottom"/>
          </w:tcPr>
          <w:p>
            <w:pPr>
              <w:jc w:val="center"/>
              <w:spacing w:after="0"/>
              <w:rPr>
                <w:sz w:val="20"/>
                <w:szCs w:val="20"/>
                <w:color w:val="auto"/>
              </w:rPr>
            </w:pPr>
            <w:r>
              <w:rPr>
                <w:rFonts w:ascii="Arial" w:cs="Arial" w:eastAsia="Arial" w:hAnsi="Arial"/>
                <w:sz w:val="18"/>
                <w:szCs w:val="18"/>
                <w:color w:val="auto"/>
                <w:w w:val="98"/>
              </w:rPr>
              <w:t>0.625%</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1.625%</w:t>
            </w:r>
          </w:p>
        </w:tc>
      </w:tr>
      <w:tr>
        <w:trPr>
          <w:trHeight w:val="243"/>
        </w:trPr>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2.00:1.00 and &lt; 3.00:1.00</w:t>
            </w:r>
          </w:p>
        </w:tc>
        <w:tc>
          <w:tcPr>
            <w:tcW w:w="204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8"/>
              </w:rPr>
              <w:t>0.325%</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0.750%</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1.750%</w:t>
            </w:r>
          </w:p>
        </w:tc>
      </w:tr>
      <w:tr>
        <w:trPr>
          <w:trHeight w:val="229"/>
        </w:trPr>
        <w:tc>
          <w:tcPr>
            <w:tcW w:w="2800" w:type="dxa"/>
            <w:vAlign w:val="bottom"/>
            <w:tcBorders>
              <w:bottom w:val="single" w:sz="8" w:color="auto"/>
            </w:tcBorders>
          </w:tcPr>
          <w:p>
            <w:pPr>
              <w:jc w:val="center"/>
              <w:ind w:right="14"/>
              <w:spacing w:after="0"/>
              <w:rPr>
                <w:sz w:val="20"/>
                <w:szCs w:val="20"/>
                <w:color w:val="auto"/>
              </w:rPr>
            </w:pPr>
            <w:r>
              <w:rPr>
                <w:rFonts w:ascii="Arial" w:cs="Arial" w:eastAsia="Arial" w:hAnsi="Arial"/>
                <w:sz w:val="18"/>
                <w:szCs w:val="18"/>
                <w:color w:val="auto"/>
              </w:rPr>
              <w:t>≥ 3.00:1.00</w:t>
            </w:r>
          </w:p>
        </w:tc>
        <w:tc>
          <w:tcPr>
            <w:tcW w:w="2040" w:type="dxa"/>
            <w:vAlign w:val="bottom"/>
            <w:tcBorders>
              <w:bottom w:val="single" w:sz="8" w:color="auto"/>
            </w:tcBorders>
          </w:tcPr>
          <w:p>
            <w:pPr>
              <w:jc w:val="center"/>
              <w:ind w:right="74"/>
              <w:spacing w:after="0"/>
              <w:rPr>
                <w:sz w:val="20"/>
                <w:szCs w:val="20"/>
                <w:color w:val="auto"/>
              </w:rPr>
            </w:pPr>
            <w:r>
              <w:rPr>
                <w:rFonts w:ascii="Arial" w:cs="Arial" w:eastAsia="Arial" w:hAnsi="Arial"/>
                <w:sz w:val="18"/>
                <w:szCs w:val="18"/>
                <w:color w:val="auto"/>
                <w:w w:val="98"/>
              </w:rPr>
              <w:t>0.350%</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1.000%</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2.000%</w:t>
            </w:r>
          </w:p>
        </w:tc>
      </w:tr>
    </w:tbl>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2023, however, the applicable interest rate for borrowings was based on LIBOR plus the spread, which was 1.625%.</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2023, there was $487 million of borrowings outstanding under the Amended Credit Agreement. As of June 30, 2023, we had borrowings available of $213 million, based on our maximum leverage ratio and our Consolidated EBITDA (as defined in the Amended Credit Agreement).</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Amended Credit Agreement contains customary terms, as well as affirmative covenants, negative covenants and events of default. As of June 30, 2023, we were in compliance with all applicable covenants. We anticipate continued compliance in each of the next four quarters while continuing to monitor its future compliance based on current and future economic conditions.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borrowings are guaranteed by certain of the Company’s subsidiaries as defined in the Amended Credit Agreement. Our ability to borrow additional amounts under the Amended Credit Agreement is conditional upon the absence of any defaults, as well as the absence of any material adverse change (as defined in the Amended Credit Agreement).</w:t>
      </w:r>
    </w:p>
    <w:p>
      <w:pPr>
        <w:spacing w:after="0" w:line="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June 14, 2021, we entered into interest rate swap agreements for the period October 17, 2022 through October 27, 2024. These transactions have the effect of fixing the LIBOR portion of the effective interest rate (before addition of the spread) on $350 million of indebtedness, drawn under the Amended Credit Agreement at the rate of 0.838% during the period. Under the terms of these transactions, we paid the fixed rate of 0.838% and the counterparties paid a floating rate based on the one-month LIBOR rate at each monthly calculation date. The Amended Credit Agreement monthly calculation date is the 16th of each month, and on June 16, 2023, one-month LIBOR was 5.16%. As of June 16, 2023, the all-in-rate on the $350 million of debt was 2.463%. On June 29, 2023, the Company amended each Swap agreement, in accordance with the practical expedients included in Accounting Standards Codification (“ASC”) 848, Reference Rate Reform, to replace the LIBOR Benchmark with a Term SOFR Benchmark. As a result of the amendments, we will pay a fixed blended rate of 0.7683% (plus a credit spread adjustment as defined in the Amended Credit Agreement) through October 27, 2024 on $350 million of borrowings under the Amended Credit Agreement. The effective date of the amended Swap agreements is July 17, 2023.</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October 17, 2022, our interest rate swap agreements that were in effect from December 18, 2017 terminated. These transactions had the effect of fixing the LIBOR portion of the effective interest rate (before addition of the spread) on $350 million of indebtedness drawn under the Credit Agreement at the rate of 2.11% during the period. Under the terms of those transactions, we paid the fixed rate of 2.11% and the counterparties paid a floating rate based on the one-month LIBOR rate at each monthly calculation date. The all-in-rate on the $350 million of debt was 3.735% at the time the swap agreements terminated.</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These interest rate swaps are accounted for as a hedge of future cash flows, as further described in </w:t>
      </w:r>
      <w:r>
        <w:rPr>
          <w:rFonts w:ascii="Arial" w:cs="Arial" w:eastAsia="Arial" w:hAnsi="Arial"/>
          <w:sz w:val="18"/>
          <w:szCs w:val="18"/>
          <w:i w:val="1"/>
          <w:iCs w:val="1"/>
          <w:color w:val="auto"/>
        </w:rPr>
        <w:t>Note 14. Fair-Value Measurements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 cash collateral was received or pledged in relation to the swap agreements.</w:t>
      </w:r>
    </w:p>
    <w:p>
      <w:pPr>
        <w:spacing w:after="0" w:line="13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Under the Amended Credit Agreement, we are required to maintain leverage and minimum interest coverage ratios (as defined in the Credit Agreement) of not greater than 3.50 to 1.00 and greater than 3.00 to 1.00, respectively.</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June 30, 2023, our leverage ratio was 1.49 to 1.00 and our interest coverage ratio was 14.36 to 1.00. We may purchase our Common Stock or pay dividends to the extent our leverage ratio remains at or below 3.50 to 1.00, and may make acquisitions with cash, provided our leverage ratio does not exceed the limits noted above.</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Indebtedness under the Amended Credit Agreement is ranked equally in right of payment to all unsecured senior debt.</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that prioritizes the inputs used to measure fair value. This hierarchy requires the Company to maximize the use of observable inputs and minimize the use of unobservable inputs. The three levels of inputs used to measure fair value are as follows:</w:t>
      </w:r>
    </w:p>
    <w:p>
      <w:pPr>
        <w:spacing w:after="0" w:line="8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in markets that are not active or other inputs that are observable or can be corroborated by observable market data.</w:t>
      </w:r>
    </w:p>
    <w:p>
      <w:pPr>
        <w:spacing w:after="0" w:line="6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are significant to the fair value of the assets or liabilities. This includes certain pricing models, discounted cash flow methodologies and similar techniques that use significant unobservable inputs.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Level 3 financial assets or liabilities at June 30, 2023 or at December 31, 2022.</w:t>
      </w:r>
    </w:p>
    <w:p>
      <w:pPr>
        <w:spacing w:after="0" w:line="117"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Borders>
              <w:top w:val="single" w:sz="8" w:color="auto"/>
            </w:tcBorders>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ind w:right="845"/>
              <w:spacing w:after="0"/>
              <w:rPr>
                <w:sz w:val="20"/>
                <w:szCs w:val="20"/>
                <w:color w:val="auto"/>
              </w:rPr>
            </w:pPr>
            <w:r>
              <w:rPr>
                <w:rFonts w:ascii="Arial" w:cs="Arial" w:eastAsia="Arial" w:hAnsi="Arial"/>
                <w:sz w:val="14"/>
                <w:szCs w:val="14"/>
                <w:b w:val="1"/>
                <w:bCs w:val="1"/>
                <w:color w:val="auto"/>
              </w:rPr>
              <w:t>June 30, 2023</w:t>
            </w:r>
          </w:p>
        </w:tc>
        <w:tc>
          <w:tcPr>
            <w:tcW w:w="32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tcBorders>
            <w:gridSpan w:val="3"/>
          </w:tcPr>
          <w:p>
            <w:pPr>
              <w:jc w:val="right"/>
              <w:ind w:right="625"/>
              <w:spacing w:after="0"/>
              <w:rPr>
                <w:sz w:val="20"/>
                <w:szCs w:val="20"/>
                <w:color w:val="auto"/>
              </w:rPr>
            </w:pPr>
            <w:r>
              <w:rPr>
                <w:rFonts w:ascii="Arial" w:cs="Arial" w:eastAsia="Arial" w:hAnsi="Arial"/>
                <w:sz w:val="14"/>
                <w:szCs w:val="14"/>
                <w:b w:val="1"/>
                <w:bCs w:val="1"/>
                <w:color w:val="auto"/>
              </w:rPr>
              <w:t>December 31, 2022</w:t>
            </w:r>
          </w:p>
        </w:tc>
      </w:tr>
      <w:tr>
        <w:trPr>
          <w:trHeight w:val="184"/>
        </w:trPr>
        <w:tc>
          <w:tcPr>
            <w:tcW w:w="6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85"/>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5"/>
                <w:szCs w:val="15"/>
                <w:color w:val="auto"/>
              </w:rPr>
            </w:pPr>
          </w:p>
        </w:tc>
        <w:tc>
          <w:tcPr>
            <w:tcW w:w="1140" w:type="dxa"/>
            <w:vAlign w:val="bottom"/>
          </w:tcPr>
          <w:p>
            <w:pPr>
              <w:jc w:val="center"/>
              <w:ind w:right="145"/>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5"/>
                <w:szCs w:val="15"/>
                <w:color w:val="auto"/>
              </w:rPr>
            </w:pPr>
          </w:p>
        </w:tc>
        <w:tc>
          <w:tcPr>
            <w:tcW w:w="1080" w:type="dxa"/>
            <w:vAlign w:val="bottom"/>
          </w:tcPr>
          <w:p>
            <w:pPr>
              <w:jc w:val="center"/>
              <w:ind w:right="185"/>
              <w:spacing w:after="0"/>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5"/>
                <w:szCs w:val="15"/>
                <w:color w:val="auto"/>
              </w:rPr>
            </w:pPr>
          </w:p>
        </w:tc>
        <w:tc>
          <w:tcPr>
            <w:tcW w:w="1100" w:type="dxa"/>
            <w:vAlign w:val="bottom"/>
          </w:tcPr>
          <w:p>
            <w:pPr>
              <w:jc w:val="center"/>
              <w:ind w:right="125"/>
              <w:spacing w:after="0"/>
              <w:rPr>
                <w:sz w:val="20"/>
                <w:szCs w:val="20"/>
                <w:color w:val="auto"/>
              </w:rPr>
            </w:pPr>
            <w:r>
              <w:rPr>
                <w:rFonts w:ascii="Arial" w:cs="Arial" w:eastAsia="Arial" w:hAnsi="Arial"/>
                <w:sz w:val="14"/>
                <w:szCs w:val="14"/>
                <w:b w:val="1"/>
                <w:bCs w:val="1"/>
                <w:color w:val="auto"/>
              </w:rPr>
              <w:t>Significant</w:t>
            </w:r>
          </w:p>
        </w:tc>
      </w:tr>
      <w:tr>
        <w:trPr>
          <w:trHeight w:val="175"/>
        </w:trPr>
        <w:tc>
          <w:tcPr>
            <w:tcW w:w="6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85"/>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5"/>
                <w:szCs w:val="15"/>
                <w:color w:val="auto"/>
              </w:rPr>
            </w:pPr>
          </w:p>
        </w:tc>
        <w:tc>
          <w:tcPr>
            <w:tcW w:w="1140" w:type="dxa"/>
            <w:vAlign w:val="bottom"/>
          </w:tcPr>
          <w:p>
            <w:pPr>
              <w:jc w:val="center"/>
              <w:ind w:right="145"/>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5"/>
                <w:szCs w:val="15"/>
                <w:color w:val="auto"/>
              </w:rPr>
            </w:pPr>
          </w:p>
        </w:tc>
        <w:tc>
          <w:tcPr>
            <w:tcW w:w="1080" w:type="dxa"/>
            <w:vAlign w:val="bottom"/>
          </w:tcPr>
          <w:p>
            <w:pPr>
              <w:jc w:val="center"/>
              <w:ind w:right="185"/>
              <w:spacing w:after="0"/>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5"/>
                <w:szCs w:val="15"/>
                <w:color w:val="auto"/>
              </w:rPr>
            </w:pPr>
          </w:p>
        </w:tc>
        <w:tc>
          <w:tcPr>
            <w:tcW w:w="1100" w:type="dxa"/>
            <w:vAlign w:val="bottom"/>
          </w:tcPr>
          <w:p>
            <w:pPr>
              <w:jc w:val="center"/>
              <w:ind w:right="105"/>
              <w:spacing w:after="0"/>
              <w:rPr>
                <w:sz w:val="20"/>
                <w:szCs w:val="20"/>
                <w:color w:val="auto"/>
              </w:rPr>
            </w:pPr>
            <w:r>
              <w:rPr>
                <w:rFonts w:ascii="Arial" w:cs="Arial" w:eastAsia="Arial" w:hAnsi="Arial"/>
                <w:sz w:val="14"/>
                <w:szCs w:val="14"/>
                <w:b w:val="1"/>
                <w:bCs w:val="1"/>
                <w:color w:val="auto"/>
              </w:rPr>
              <w:t>other</w:t>
            </w:r>
          </w:p>
        </w:tc>
      </w:tr>
      <w:tr>
        <w:trPr>
          <w:trHeight w:val="162"/>
        </w:trPr>
        <w:tc>
          <w:tcPr>
            <w:tcW w:w="6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right="165"/>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140" w:type="dxa"/>
            <w:vAlign w:val="bottom"/>
          </w:tcPr>
          <w:p>
            <w:pPr>
              <w:jc w:val="center"/>
              <w:ind w:right="145"/>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4"/>
                <w:szCs w:val="14"/>
                <w:color w:val="auto"/>
              </w:rPr>
            </w:pPr>
          </w:p>
        </w:tc>
        <w:tc>
          <w:tcPr>
            <w:tcW w:w="1080" w:type="dxa"/>
            <w:vAlign w:val="bottom"/>
          </w:tcPr>
          <w:p>
            <w:pPr>
              <w:jc w:val="center"/>
              <w:ind w:right="185"/>
              <w:spacing w:after="0"/>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4"/>
                <w:szCs w:val="14"/>
                <w:color w:val="auto"/>
              </w:rPr>
            </w:pPr>
          </w:p>
        </w:tc>
        <w:tc>
          <w:tcPr>
            <w:tcW w:w="1100" w:type="dxa"/>
            <w:vAlign w:val="bottom"/>
          </w:tcPr>
          <w:p>
            <w:pPr>
              <w:jc w:val="center"/>
              <w:ind w:right="105"/>
              <w:spacing w:after="0"/>
              <w:rPr>
                <w:sz w:val="20"/>
                <w:szCs w:val="20"/>
                <w:color w:val="auto"/>
              </w:rPr>
            </w:pPr>
            <w:r>
              <w:rPr>
                <w:rFonts w:ascii="Arial" w:cs="Arial" w:eastAsia="Arial" w:hAnsi="Arial"/>
                <w:sz w:val="14"/>
                <w:szCs w:val="14"/>
                <w:b w:val="1"/>
                <w:bCs w:val="1"/>
                <w:color w:val="auto"/>
              </w:rPr>
              <w:t>observable</w:t>
            </w:r>
          </w:p>
        </w:tc>
      </w:tr>
      <w:tr>
        <w:trPr>
          <w:trHeight w:val="200"/>
        </w:trPr>
        <w:tc>
          <w:tcPr>
            <w:tcW w:w="60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center"/>
              <w:ind w:right="185"/>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140" w:type="dxa"/>
            <w:vAlign w:val="bottom"/>
          </w:tcPr>
          <w:p>
            <w:pPr>
              <w:jc w:val="center"/>
              <w:ind w:right="145"/>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7"/>
                <w:szCs w:val="17"/>
                <w:color w:val="auto"/>
              </w:rPr>
            </w:pPr>
          </w:p>
        </w:tc>
        <w:tc>
          <w:tcPr>
            <w:tcW w:w="1080" w:type="dxa"/>
            <w:vAlign w:val="bottom"/>
          </w:tcPr>
          <w:p>
            <w:pPr>
              <w:jc w:val="center"/>
              <w:ind w:right="185"/>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100" w:type="dxa"/>
            <w:vAlign w:val="bottom"/>
          </w:tcPr>
          <w:p>
            <w:pPr>
              <w:jc w:val="center"/>
              <w:ind w:right="125"/>
              <w:spacing w:after="0"/>
              <w:rPr>
                <w:sz w:val="20"/>
                <w:szCs w:val="20"/>
                <w:color w:val="auto"/>
              </w:rPr>
            </w:pPr>
            <w:r>
              <w:rPr>
                <w:rFonts w:ascii="Arial" w:cs="Arial" w:eastAsia="Arial" w:hAnsi="Arial"/>
                <w:sz w:val="14"/>
                <w:szCs w:val="14"/>
                <w:b w:val="1"/>
                <w:bCs w:val="1"/>
                <w:color w:val="auto"/>
                <w:w w:val="99"/>
              </w:rPr>
              <w:t>inputs</w:t>
            </w:r>
          </w:p>
        </w:tc>
      </w:tr>
      <w:tr>
        <w:trPr>
          <w:trHeight w:val="238"/>
        </w:trPr>
        <w:tc>
          <w:tcPr>
            <w:tcW w:w="5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(Level 2)</w:t>
            </w:r>
          </w:p>
        </w:tc>
      </w:tr>
      <w:tr>
        <w:trPr>
          <w:trHeight w:val="21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Fair Value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3"/>
        </w:trPr>
        <w:tc>
          <w:tcPr>
            <w:tcW w:w="60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5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6"/>
                <w:szCs w:val="16"/>
                <w:b w:val="1"/>
                <w:bCs w:val="1"/>
                <w:color w:val="auto"/>
              </w:rPr>
              <w:t>12,212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6,533</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r>
      <w:tr>
        <w:trPr>
          <w:trHeight w:val="223"/>
        </w:trPr>
        <w:tc>
          <w:tcPr>
            <w:tcW w:w="5700" w:type="dxa"/>
            <w:vAlign w:val="bottom"/>
            <w:gridSpan w:val="2"/>
          </w:tcPr>
          <w:p>
            <w:pPr>
              <w:ind w:left="140"/>
              <w:spacing w:after="0"/>
              <w:rPr>
                <w:sz w:val="20"/>
                <w:szCs w:val="20"/>
                <w:color w:val="auto"/>
              </w:rPr>
            </w:pPr>
            <w:r>
              <w:rPr>
                <w:rFonts w:ascii="Arial" w:cs="Arial" w:eastAsia="Arial" w:hAnsi="Arial"/>
                <w:sz w:val="16"/>
                <w:szCs w:val="16"/>
                <w:i w:val="1"/>
                <w:iCs w:val="1"/>
                <w:color w:val="auto"/>
              </w:rPr>
              <w:t>Other Assets: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5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of unaffiliated foreign public company (a)</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6"/>
                <w:szCs w:val="16"/>
                <w:b w:val="1"/>
                <w:bCs w:val="1"/>
                <w:color w:val="auto"/>
              </w:rPr>
              <w:t>565</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602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r>
      <w:tr>
        <w:trPr>
          <w:trHeight w:val="227"/>
        </w:trPr>
        <w:tc>
          <w:tcPr>
            <w:tcW w:w="5700" w:type="dxa"/>
            <w:vAlign w:val="bottom"/>
            <w:gridSpan w:val="2"/>
          </w:tcPr>
          <w:p>
            <w:pPr>
              <w:ind w:left="140"/>
              <w:spacing w:after="0"/>
              <w:rPr>
                <w:sz w:val="20"/>
                <w:szCs w:val="20"/>
                <w:color w:val="auto"/>
              </w:rPr>
            </w:pPr>
            <w:r>
              <w:rPr>
                <w:rFonts w:ascii="Arial" w:cs="Arial" w:eastAsia="Arial" w:hAnsi="Arial"/>
                <w:sz w:val="16"/>
                <w:szCs w:val="16"/>
                <w:color w:val="auto"/>
              </w:rPr>
              <w:t>Interest rate swaps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5"/>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5"/>
              <w:spacing w:after="0"/>
              <w:rPr>
                <w:sz w:val="20"/>
                <w:szCs w:val="20"/>
                <w:color w:val="auto"/>
              </w:rPr>
            </w:pPr>
            <w:r>
              <w:rPr>
                <w:rFonts w:ascii="Arial" w:cs="Arial" w:eastAsia="Arial" w:hAnsi="Arial"/>
                <w:sz w:val="16"/>
                <w:szCs w:val="16"/>
                <w:b w:val="1"/>
                <w:bCs w:val="1"/>
                <w:color w:val="auto"/>
              </w:rPr>
              <w:t>20,303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23,605</w:t>
            </w:r>
          </w:p>
        </w:tc>
      </w:tr>
      <w:tr>
        <w:trPr>
          <w:trHeight w:val="267"/>
        </w:trPr>
        <w:tc>
          <w:tcPr>
            <w:tcW w:w="600" w:type="dxa"/>
            <w:vAlign w:val="bottom"/>
          </w:tcPr>
          <w:p>
            <w:pPr>
              <w:spacing w:after="0"/>
              <w:rPr>
                <w:sz w:val="20"/>
                <w:szCs w:val="20"/>
                <w:color w:val="auto"/>
              </w:rPr>
            </w:pPr>
            <w:r>
              <w:rPr>
                <w:rFonts w:ascii="Arial" w:cs="Arial" w:eastAsia="Arial" w:hAnsi="Arial"/>
                <w:sz w:val="16"/>
                <w:szCs w:val="16"/>
                <w:color w:val="auto"/>
              </w:rPr>
              <w:t>(a)</w:t>
            </w:r>
          </w:p>
        </w:tc>
        <w:tc>
          <w:tcPr>
            <w:tcW w:w="5100" w:type="dxa"/>
            <w:vAlign w:val="bottom"/>
          </w:tcPr>
          <w:p>
            <w:pPr>
              <w:ind w:left="60"/>
              <w:spacing w:after="0"/>
              <w:rPr>
                <w:sz w:val="20"/>
                <w:szCs w:val="20"/>
                <w:color w:val="auto"/>
              </w:rPr>
            </w:pPr>
            <w:r>
              <w:rPr>
                <w:rFonts w:ascii="Arial" w:cs="Arial" w:eastAsia="Arial" w:hAnsi="Arial"/>
                <w:sz w:val="16"/>
                <w:szCs w:val="16"/>
                <w:color w:val="auto"/>
              </w:rPr>
              <w:t>Original cost basis $0.5 million.</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spacing w:after="0" w:line="3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included in Other assets and/or Other noncurrent liabilities in the Consolidated Balance Sheets. Amounts determined to be due within one year are reclassified to Other current assets and/or Accrued liabilities in the Consolidated Balance Sheets. Unrealized gains and losses on the interest rate swaps flow through the caption Derivative valuation adjustment in the Shareholders’ equity section of the Consolidated Balance Sheets. On June 29, 2023, the Company amended each Swap agreement, in accordance with the practical expedients included in ASC 848, Reference Rate Reform, to replace the LIBOR Benchmark with a Term SOFR Benchmark (See </w:t>
      </w:r>
      <w:r>
        <w:rPr>
          <w:rFonts w:ascii="Arial" w:cs="Arial" w:eastAsia="Arial" w:hAnsi="Arial"/>
          <w:sz w:val="18"/>
          <w:szCs w:val="18"/>
          <w:i w:val="1"/>
          <w:iCs w:val="1"/>
          <w:color w:val="auto"/>
        </w:rPr>
        <w:t>Note 13. Financial Instruments</w:t>
      </w:r>
      <w:r>
        <w:rPr>
          <w:rFonts w:ascii="Arial" w:cs="Arial" w:eastAsia="Arial" w:hAnsi="Arial"/>
          <w:sz w:val="18"/>
          <w:szCs w:val="18"/>
          <w:color w:val="auto"/>
        </w:rPr>
        <w:t xml:space="preserve"> for additional information). As of June 30, 2023, these interest rate swaps were determined to be highly effective hedges of interest rate cash flow risk. Amounts accumulated in Other comprehensive income are reclassified as interest expense/(income), net when the related interest payments (that is, the hedged forecasted transactions), affect earnings. Interest expense/(income) related to payments under the active swap agreements totaled $(6.9) million for the six months ended June 30, 2023, and $2.9 million for the six months ended June 30, 2022.</w:t>
      </w:r>
    </w:p>
    <w:p>
      <w:pPr>
        <w:spacing w:after="0" w:line="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45" w:lineRule="exact"/>
        <w:rPr>
          <w:sz w:val="20"/>
          <w:szCs w:val="20"/>
          <w:color w:val="auto"/>
        </w:rPr>
      </w:pPr>
    </w:p>
    <w:tbl>
      <w:tblPr>
        <w:tblLayout w:type="fixed"/>
        <w:tblInd w:w="340" w:type="dxa"/>
        <w:tblCellMar>
          <w:top w:w="0" w:type="dxa"/>
          <w:left w:w="0" w:type="dxa"/>
          <w:bottom w:w="0" w:type="dxa"/>
          <w:right w:w="0" w:type="dxa"/>
        </w:tblCellMar>
      </w:tblPr>
      <w:tr>
        <w:trPr>
          <w:trHeight w:val="200"/>
        </w:trPr>
        <w:tc>
          <w:tcPr>
            <w:tcW w:w="4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60" w:type="dxa"/>
            <w:vAlign w:val="bottom"/>
            <w:gridSpan w:val="3"/>
          </w:tcPr>
          <w:p>
            <w:pPr>
              <w:jc w:val="right"/>
              <w:ind w:right="504"/>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7"/>
                <w:szCs w:val="17"/>
                <w:color w:val="auto"/>
              </w:rPr>
            </w:pPr>
          </w:p>
        </w:tc>
        <w:tc>
          <w:tcPr>
            <w:tcW w:w="2860" w:type="dxa"/>
            <w:vAlign w:val="bottom"/>
            <w:gridSpan w:val="3"/>
          </w:tcPr>
          <w:p>
            <w:pPr>
              <w:jc w:val="right"/>
              <w:ind w:right="624"/>
              <w:spacing w:after="0"/>
              <w:rPr>
                <w:sz w:val="20"/>
                <w:szCs w:val="20"/>
                <w:color w:val="auto"/>
              </w:rPr>
            </w:pPr>
            <w:r>
              <w:rPr>
                <w:rFonts w:ascii="Arial" w:cs="Arial" w:eastAsia="Arial" w:hAnsi="Arial"/>
                <w:sz w:val="14"/>
                <w:szCs w:val="14"/>
                <w:b w:val="1"/>
                <w:bCs w:val="1"/>
                <w:color w:val="auto"/>
              </w:rPr>
              <w:t>Six months ended June 30,</w:t>
            </w:r>
          </w:p>
        </w:tc>
      </w:tr>
      <w:tr>
        <w:trPr>
          <w:trHeight w:val="191"/>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2022</w:t>
            </w: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Foreign currency options (gains)/losses</w:t>
            </w: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r>
    </w:tbl>
    <w:p>
      <w:pPr>
        <w:spacing w:after="0" w:line="200" w:lineRule="exact"/>
        <w:rPr>
          <w:sz w:val="20"/>
          <w:szCs w:val="20"/>
          <w:color w:val="auto"/>
        </w:rPr>
      </w:pPr>
    </w:p>
    <w:p>
      <w:pPr>
        <w:spacing w:after="0" w:line="331" w:lineRule="exact"/>
        <w:rPr>
          <w:sz w:val="20"/>
          <w:szCs w:val="20"/>
          <w:color w:val="auto"/>
        </w:rPr>
      </w:pPr>
    </w:p>
    <w:p>
      <w:pPr>
        <w:ind w:right="8080" w:firstLine="8"/>
        <w:spacing w:after="0" w:line="381" w:lineRule="auto"/>
        <w:tabs>
          <w:tab w:leader="none" w:pos="3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Commitments and Contingencies </w:t>
      </w:r>
      <w:r>
        <w:rPr>
          <w:rFonts w:ascii="Arial" w:cs="Arial" w:eastAsia="Arial" w:hAnsi="Arial"/>
          <w:sz w:val="18"/>
          <w:szCs w:val="18"/>
          <w:b w:val="1"/>
          <w:bCs w:val="1"/>
          <w:color w:val="auto"/>
        </w:rPr>
        <w:t>Asbestos Litigation</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 We were defending 3,601 claims as of June 30, 2023.</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jc w:val="center"/>
              <w:ind w:right="205"/>
              <w:spacing w:after="0"/>
              <w:rPr>
                <w:sz w:val="20"/>
                <w:szCs w:val="20"/>
                <w:color w:val="auto"/>
              </w:rPr>
            </w:pPr>
            <w:r>
              <w:rPr>
                <w:rFonts w:ascii="Arial" w:cs="Arial" w:eastAsia="Arial" w:hAnsi="Arial"/>
                <w:sz w:val="14"/>
                <w:szCs w:val="14"/>
                <w:b w:val="1"/>
                <w:bCs w:val="1"/>
                <w:color w:val="auto"/>
              </w:rPr>
              <w:t>Claims</w:t>
            </w: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5"/>
        </w:trPr>
        <w:tc>
          <w:tcPr>
            <w:tcW w:w="3640" w:type="dxa"/>
            <w:vAlign w:val="bottom"/>
          </w:tcPr>
          <w:p>
            <w:pPr>
              <w:spacing w:after="0"/>
              <w:rPr>
                <w:sz w:val="15"/>
                <w:szCs w:val="15"/>
                <w:color w:val="auto"/>
              </w:rPr>
            </w:pPr>
          </w:p>
        </w:tc>
        <w:tc>
          <w:tcPr>
            <w:tcW w:w="1680" w:type="dxa"/>
            <w:vAlign w:val="bottom"/>
          </w:tcPr>
          <w:p>
            <w:pPr>
              <w:jc w:val="center"/>
              <w:ind w:right="24"/>
              <w:spacing w:after="0"/>
              <w:rPr>
                <w:sz w:val="20"/>
                <w:szCs w:val="20"/>
                <w:color w:val="auto"/>
              </w:rPr>
            </w:pPr>
            <w:r>
              <w:rPr>
                <w:rFonts w:ascii="Arial" w:cs="Arial" w:eastAsia="Arial" w:hAnsi="Arial"/>
                <w:sz w:val="14"/>
                <w:szCs w:val="14"/>
                <w:b w:val="1"/>
                <w:bCs w:val="1"/>
                <w:color w:val="auto"/>
              </w:rPr>
              <w:t>Opening</w:t>
            </w:r>
          </w:p>
        </w:tc>
        <w:tc>
          <w:tcPr>
            <w:tcW w:w="1500" w:type="dxa"/>
            <w:vAlign w:val="bottom"/>
          </w:tcPr>
          <w:p>
            <w:pPr>
              <w:jc w:val="center"/>
              <w:ind w:right="185"/>
              <w:spacing w:after="0"/>
              <w:rPr>
                <w:sz w:val="20"/>
                <w:szCs w:val="20"/>
                <w:color w:val="auto"/>
              </w:rPr>
            </w:pPr>
            <w:r>
              <w:rPr>
                <w:rFonts w:ascii="Arial" w:cs="Arial" w:eastAsia="Arial" w:hAnsi="Arial"/>
                <w:sz w:val="14"/>
                <w:szCs w:val="14"/>
                <w:b w:val="1"/>
                <w:bCs w:val="1"/>
                <w:color w:val="auto"/>
              </w:rPr>
              <w:t>Dismissed,</w:t>
            </w:r>
          </w:p>
        </w:tc>
        <w:tc>
          <w:tcPr>
            <w:tcW w:w="1520" w:type="dxa"/>
            <w:vAlign w:val="bottom"/>
          </w:tcPr>
          <w:p>
            <w:pPr>
              <w:spacing w:after="0"/>
              <w:rPr>
                <w:sz w:val="15"/>
                <w:szCs w:val="15"/>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Closing</w:t>
            </w:r>
          </w:p>
        </w:tc>
        <w:tc>
          <w:tcPr>
            <w:tcW w:w="180" w:type="dxa"/>
            <w:vAlign w:val="bottom"/>
          </w:tcPr>
          <w:p>
            <w:pPr>
              <w:spacing w:after="0"/>
              <w:rPr>
                <w:sz w:val="15"/>
                <w:szCs w:val="15"/>
                <w:color w:val="auto"/>
              </w:rPr>
            </w:pPr>
          </w:p>
        </w:tc>
        <w:tc>
          <w:tcPr>
            <w:tcW w:w="1380" w:type="dxa"/>
            <w:vAlign w:val="bottom"/>
          </w:tcPr>
          <w:p>
            <w:pPr>
              <w:jc w:val="center"/>
              <w:ind w:right="84"/>
              <w:spacing w:after="0"/>
              <w:rPr>
                <w:sz w:val="20"/>
                <w:szCs w:val="20"/>
                <w:color w:val="auto"/>
              </w:rPr>
            </w:pPr>
            <w:r>
              <w:rPr>
                <w:rFonts w:ascii="Arial" w:cs="Arial" w:eastAsia="Arial" w:hAnsi="Arial"/>
                <w:sz w:val="14"/>
                <w:szCs w:val="14"/>
                <w:b w:val="1"/>
                <w:bCs w:val="1"/>
                <w:color w:val="auto"/>
              </w:rPr>
              <w:t>Amounts Paid to</w:t>
            </w:r>
          </w:p>
        </w:tc>
      </w:tr>
      <w:tr>
        <w:trPr>
          <w:trHeight w:val="175"/>
        </w:trPr>
        <w:tc>
          <w:tcPr>
            <w:tcW w:w="3640" w:type="dxa"/>
            <w:vAlign w:val="bottom"/>
          </w:tcPr>
          <w:p>
            <w:pPr>
              <w:spacing w:after="0"/>
              <w:rPr>
                <w:sz w:val="15"/>
                <w:szCs w:val="15"/>
                <w:color w:val="auto"/>
              </w:rPr>
            </w:pPr>
          </w:p>
        </w:tc>
        <w:tc>
          <w:tcPr>
            <w:tcW w:w="1680" w:type="dxa"/>
            <w:vAlign w:val="bottom"/>
          </w:tcPr>
          <w:p>
            <w:pPr>
              <w:jc w:val="center"/>
              <w:ind w:right="44"/>
              <w:spacing w:after="0"/>
              <w:rPr>
                <w:sz w:val="20"/>
                <w:szCs w:val="20"/>
                <w:color w:val="auto"/>
              </w:rPr>
            </w:pPr>
            <w:r>
              <w:rPr>
                <w:rFonts w:ascii="Arial" w:cs="Arial" w:eastAsia="Arial" w:hAnsi="Arial"/>
                <w:sz w:val="14"/>
                <w:szCs w:val="14"/>
                <w:b w:val="1"/>
                <w:bCs w:val="1"/>
                <w:color w:val="auto"/>
              </w:rPr>
              <w:t>Number of</w:t>
            </w:r>
          </w:p>
        </w:tc>
        <w:tc>
          <w:tcPr>
            <w:tcW w:w="1500" w:type="dxa"/>
            <w:vAlign w:val="bottom"/>
          </w:tcPr>
          <w:p>
            <w:pPr>
              <w:jc w:val="center"/>
              <w:ind w:right="205"/>
              <w:spacing w:after="0"/>
              <w:rPr>
                <w:sz w:val="20"/>
                <w:szCs w:val="20"/>
                <w:color w:val="auto"/>
              </w:rPr>
            </w:pPr>
            <w:r>
              <w:rPr>
                <w:rFonts w:ascii="Arial" w:cs="Arial" w:eastAsia="Arial" w:hAnsi="Arial"/>
                <w:sz w:val="14"/>
                <w:szCs w:val="14"/>
                <w:b w:val="1"/>
                <w:bCs w:val="1"/>
                <w:color w:val="auto"/>
              </w:rPr>
              <w:t>Settled, or</w:t>
            </w:r>
          </w:p>
        </w:tc>
        <w:tc>
          <w:tcPr>
            <w:tcW w:w="1520" w:type="dxa"/>
            <w:vAlign w:val="bottom"/>
          </w:tcPr>
          <w:p>
            <w:pPr>
              <w:spacing w:after="0"/>
              <w:rPr>
                <w:sz w:val="15"/>
                <w:szCs w:val="15"/>
                <w:color w:val="auto"/>
              </w:rPr>
            </w:pP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5"/>
                <w:szCs w:val="15"/>
                <w:color w:val="auto"/>
              </w:rPr>
            </w:pPr>
          </w:p>
        </w:tc>
        <w:tc>
          <w:tcPr>
            <w:tcW w:w="1380" w:type="dxa"/>
            <w:vAlign w:val="bottom"/>
          </w:tcPr>
          <w:p>
            <w:pPr>
              <w:jc w:val="center"/>
              <w:ind w:right="84"/>
              <w:spacing w:after="0"/>
              <w:rPr>
                <w:sz w:val="20"/>
                <w:szCs w:val="20"/>
                <w:color w:val="auto"/>
              </w:rPr>
            </w:pPr>
            <w:r>
              <w:rPr>
                <w:rFonts w:ascii="Arial" w:cs="Arial" w:eastAsia="Arial" w:hAnsi="Arial"/>
                <w:sz w:val="14"/>
                <w:szCs w:val="14"/>
                <w:b w:val="1"/>
                <w:bCs w:val="1"/>
                <w:color w:val="auto"/>
              </w:rPr>
              <w:t>Settle or</w:t>
            </w:r>
          </w:p>
        </w:tc>
      </w:tr>
      <w:tr>
        <w:trPr>
          <w:trHeight w:val="215"/>
        </w:trPr>
        <w:tc>
          <w:tcPr>
            <w:tcW w:w="36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(in thousands, except number of claims)</w:t>
            </w:r>
          </w:p>
        </w:tc>
        <w:tc>
          <w:tcPr>
            <w:tcW w:w="16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Claims</w:t>
            </w:r>
          </w:p>
        </w:tc>
        <w:tc>
          <w:tcPr>
            <w:tcW w:w="150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rPr>
              <w:t>Resolved</w:t>
            </w:r>
          </w:p>
        </w:tc>
        <w:tc>
          <w:tcPr>
            <w:tcW w:w="15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New Claims</w:t>
            </w:r>
          </w:p>
        </w:tc>
        <w:tc>
          <w:tcPr>
            <w:tcW w:w="13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Claims</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Resolve</w:t>
            </w:r>
          </w:p>
        </w:tc>
      </w:tr>
      <w:tr>
        <w:trPr>
          <w:trHeight w:val="21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December 31, 2022</w:t>
            </w:r>
          </w:p>
        </w:tc>
        <w:tc>
          <w:tcPr>
            <w:tcW w:w="168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3,609</w:t>
            </w:r>
          </w:p>
        </w:tc>
        <w:tc>
          <w:tcPr>
            <w:tcW w:w="150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43</w:t>
            </w:r>
          </w:p>
        </w:tc>
        <w:tc>
          <w:tcPr>
            <w:tcW w:w="15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125</w:t>
            </w:r>
          </w:p>
        </w:tc>
      </w:tr>
      <w:tr>
        <w:trPr>
          <w:trHeight w:val="216"/>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June 30, 2023</w:t>
            </w:r>
          </w:p>
        </w:tc>
        <w:tc>
          <w:tcPr>
            <w:tcW w:w="168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3,598</w:t>
            </w:r>
          </w:p>
        </w:tc>
        <w:tc>
          <w:tcPr>
            <w:tcW w:w="150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b w:val="1"/>
                <w:bCs w:val="1"/>
                <w:color w:val="auto"/>
              </w:rPr>
              <w:t>4</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4</w:t>
            </w:r>
          </w:p>
        </w:tc>
      </w:tr>
    </w:tbl>
    <w:p>
      <w:pPr>
        <w:spacing w:after="0" w:line="17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p>
      <w:pPr>
        <w:jc w:val="both"/>
        <w:ind w:firstLine="324"/>
        <w:spacing w:after="0" w:line="256"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June 30, 2023, we had resolved, by means of settlement or dismissal, 38,032 claims at a total cost of $10.6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7,702 claims as of June 30, 2023,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2022 to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098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40" w:type="dxa"/>
            <w:vAlign w:val="bottom"/>
          </w:tcPr>
          <w:p>
            <w:pPr>
              <w:spacing w:after="0"/>
              <w:rPr>
                <w:sz w:val="11"/>
                <w:szCs w:val="11"/>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7"/>
              </w:rPr>
              <w:t>Accumulated items of</w:t>
            </w: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1880" w:type="dxa"/>
            <w:vAlign w:val="bottom"/>
            <w:gridSpan w:val="3"/>
            <w:vMerge w:val="restart"/>
          </w:tcPr>
          <w:p>
            <w:pPr>
              <w:jc w:val="right"/>
              <w:ind w:right="48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900" w:type="dxa"/>
            <w:vAlign w:val="bottom"/>
            <w:gridSpan w:val="3"/>
            <w:vMerge w:val="restart"/>
          </w:tcPr>
          <w:p>
            <w:pPr>
              <w:jc w:val="right"/>
              <w:ind w:right="506"/>
              <w:spacing w:after="0"/>
              <w:rPr>
                <w:sz w:val="20"/>
                <w:szCs w:val="20"/>
                <w:color w:val="auto"/>
              </w:rPr>
            </w:pPr>
            <w:r>
              <w:rPr>
                <w:rFonts w:ascii="Arial" w:cs="Arial" w:eastAsia="Arial" w:hAnsi="Arial"/>
                <w:sz w:val="11"/>
                <w:szCs w:val="11"/>
                <w:b w:val="1"/>
                <w:bCs w:val="1"/>
                <w:color w:val="auto"/>
              </w:rPr>
              <w:t>Treasury Stock</w:t>
            </w: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740" w:type="dxa"/>
            <w:vAlign w:val="bottom"/>
          </w:tcPr>
          <w:p>
            <w:pPr>
              <w:spacing w:after="0"/>
              <w:rPr>
                <w:sz w:val="7"/>
                <w:szCs w:val="7"/>
                <w:color w:val="auto"/>
              </w:rPr>
            </w:pPr>
          </w:p>
        </w:tc>
        <w:tc>
          <w:tcPr>
            <w:tcW w:w="1880" w:type="dxa"/>
            <w:vAlign w:val="bottom"/>
            <w:tcBorders>
              <w:bottom w:val="single" w:sz="8" w:color="auto"/>
            </w:tcBorders>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jc w:val="right"/>
              <w:ind w:right="46"/>
              <w:spacing w:after="0" w:line="90" w:lineRule="exact"/>
              <w:rPr>
                <w:sz w:val="20"/>
                <w:szCs w:val="20"/>
                <w:color w:val="auto"/>
              </w:rPr>
            </w:pPr>
            <w:r>
              <w:rPr>
                <w:rFonts w:ascii="Arial" w:cs="Arial" w:eastAsia="Arial" w:hAnsi="Arial"/>
                <w:sz w:val="10"/>
                <w:szCs w:val="10"/>
                <w:b w:val="1"/>
                <w:bCs w:val="1"/>
                <w:color w:val="auto"/>
              </w:rPr>
              <w:t>Additional paid-</w:t>
            </w:r>
          </w:p>
        </w:tc>
        <w:tc>
          <w:tcPr>
            <w:tcW w:w="140" w:type="dxa"/>
            <w:vAlign w:val="bottom"/>
          </w:tcPr>
          <w:p>
            <w:pPr>
              <w:spacing w:after="0"/>
              <w:rPr>
                <w:sz w:val="7"/>
                <w:szCs w:val="7"/>
                <w:color w:val="auto"/>
              </w:rPr>
            </w:pPr>
          </w:p>
        </w:tc>
        <w:tc>
          <w:tcPr>
            <w:tcW w:w="720" w:type="dxa"/>
            <w:vAlign w:val="bottom"/>
          </w:tcPr>
          <w:p>
            <w:pPr>
              <w:jc w:val="right"/>
              <w:ind w:right="146"/>
              <w:spacing w:after="0" w:line="90" w:lineRule="exact"/>
              <w:rPr>
                <w:sz w:val="20"/>
                <w:szCs w:val="20"/>
                <w:color w:val="auto"/>
              </w:rPr>
            </w:pPr>
            <w:r>
              <w:rPr>
                <w:rFonts w:ascii="Arial" w:cs="Arial" w:eastAsia="Arial" w:hAnsi="Arial"/>
                <w:sz w:val="10"/>
                <w:szCs w:val="10"/>
                <w:b w:val="1"/>
                <w:bCs w:val="1"/>
                <w:color w:val="auto"/>
              </w:rPr>
              <w:t>Retained</w:t>
            </w:r>
          </w:p>
        </w:tc>
        <w:tc>
          <w:tcPr>
            <w:tcW w:w="120" w:type="dxa"/>
            <w:vAlign w:val="bottom"/>
          </w:tcPr>
          <w:p>
            <w:pPr>
              <w:spacing w:after="0"/>
              <w:rPr>
                <w:sz w:val="7"/>
                <w:szCs w:val="7"/>
                <w:color w:val="auto"/>
              </w:rPr>
            </w:pPr>
          </w:p>
        </w:tc>
        <w:tc>
          <w:tcPr>
            <w:tcW w:w="1300" w:type="dxa"/>
            <w:vAlign w:val="bottom"/>
          </w:tcPr>
          <w:p>
            <w:pPr>
              <w:jc w:val="center"/>
              <w:ind w:right="66"/>
              <w:spacing w:after="0" w:line="90" w:lineRule="exact"/>
              <w:rPr>
                <w:sz w:val="20"/>
                <w:szCs w:val="20"/>
                <w:color w:val="auto"/>
              </w:rPr>
            </w:pPr>
            <w:r>
              <w:rPr>
                <w:rFonts w:ascii="Arial" w:cs="Arial" w:eastAsia="Arial" w:hAnsi="Arial"/>
                <w:sz w:val="10"/>
                <w:szCs w:val="10"/>
                <w:b w:val="1"/>
                <w:bCs w:val="1"/>
                <w:color w:val="auto"/>
              </w:rPr>
              <w:t>other comprehensive</w:t>
            </w:r>
          </w:p>
        </w:tc>
        <w:tc>
          <w:tcPr>
            <w:tcW w:w="1900" w:type="dxa"/>
            <w:vAlign w:val="bottom"/>
            <w:tcBorders>
              <w:bottom w:val="single" w:sz="8" w:color="auto"/>
            </w:tcBorders>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jc w:val="right"/>
              <w:ind w:right="366"/>
              <w:spacing w:after="0" w:line="90"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62"/>
        </w:trPr>
        <w:tc>
          <w:tcPr>
            <w:tcW w:w="1740" w:type="dxa"/>
            <w:vAlign w:val="bottom"/>
          </w:tcPr>
          <w:p>
            <w:pPr>
              <w:ind w:left="500"/>
              <w:spacing w:after="0"/>
              <w:rPr>
                <w:sz w:val="20"/>
                <w:szCs w:val="20"/>
                <w:color w:val="auto"/>
              </w:rPr>
            </w:pPr>
            <w:r>
              <w:rPr>
                <w:rFonts w:ascii="Arial" w:cs="Arial" w:eastAsia="Arial" w:hAnsi="Arial"/>
                <w:sz w:val="11"/>
                <w:szCs w:val="11"/>
                <w:b w:val="1"/>
                <w:bCs w:val="1"/>
                <w:color w:val="auto"/>
              </w:rPr>
              <w:t>(in thousands)</w:t>
            </w:r>
          </w:p>
        </w:tc>
        <w:tc>
          <w:tcPr>
            <w:tcW w:w="920" w:type="dxa"/>
            <w:vAlign w:val="bottom"/>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14"/>
                <w:szCs w:val="14"/>
                <w:color w:val="auto"/>
              </w:rPr>
            </w:pPr>
          </w:p>
        </w:tc>
        <w:tc>
          <w:tcPr>
            <w:tcW w:w="700" w:type="dxa"/>
            <w:vAlign w:val="bottom"/>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Arial" w:cs="Arial" w:eastAsia="Arial" w:hAnsi="Arial"/>
                <w:sz w:val="11"/>
                <w:szCs w:val="11"/>
                <w:b w:val="1"/>
                <w:bCs w:val="1"/>
                <w:color w:val="auto"/>
              </w:rPr>
              <w:t>in capital</w:t>
            </w:r>
          </w:p>
        </w:tc>
        <w:tc>
          <w:tcPr>
            <w:tcW w:w="140" w:type="dxa"/>
            <w:vAlign w:val="bottom"/>
          </w:tcPr>
          <w:p>
            <w:pPr>
              <w:spacing w:after="0"/>
              <w:rPr>
                <w:sz w:val="14"/>
                <w:szCs w:val="14"/>
                <w:color w:val="auto"/>
              </w:rPr>
            </w:pPr>
          </w:p>
        </w:tc>
        <w:tc>
          <w:tcPr>
            <w:tcW w:w="720" w:type="dxa"/>
            <w:vAlign w:val="bottom"/>
          </w:tcPr>
          <w:p>
            <w:pPr>
              <w:jc w:val="right"/>
              <w:ind w:right="146"/>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4"/>
                <w:szCs w:val="14"/>
                <w:color w:val="auto"/>
              </w:rPr>
            </w:pPr>
          </w:p>
        </w:tc>
        <w:tc>
          <w:tcPr>
            <w:tcW w:w="130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income</w:t>
            </w:r>
          </w:p>
        </w:tc>
        <w:tc>
          <w:tcPr>
            <w:tcW w:w="940" w:type="dxa"/>
            <w:vAlign w:val="bottom"/>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4"/>
                <w:szCs w:val="14"/>
                <w:color w:val="auto"/>
              </w:rPr>
            </w:pPr>
          </w:p>
        </w:tc>
        <w:tc>
          <w:tcPr>
            <w:tcW w:w="720" w:type="dxa"/>
            <w:vAlign w:val="bottom"/>
          </w:tcPr>
          <w:p>
            <w:pPr>
              <w:jc w:val="right"/>
              <w:ind w:right="226"/>
              <w:spacing w:after="0"/>
              <w:rPr>
                <w:sz w:val="20"/>
                <w:szCs w:val="20"/>
                <w:color w:val="auto"/>
              </w:rPr>
            </w:pPr>
            <w:r>
              <w:rPr>
                <w:rFonts w:ascii="Arial" w:cs="Arial" w:eastAsia="Arial" w:hAnsi="Arial"/>
                <w:sz w:val="11"/>
                <w:szCs w:val="11"/>
                <w:b w:val="1"/>
                <w:bCs w:val="1"/>
                <w:color w:val="auto"/>
              </w:rPr>
              <w:t>Amount</w:t>
            </w:r>
          </w:p>
        </w:tc>
        <w:tc>
          <w:tcPr>
            <w:tcW w:w="2320" w:type="dxa"/>
            <w:vAlign w:val="bottom"/>
            <w:gridSpan w:val="4"/>
          </w:tcPr>
          <w:p>
            <w:pPr>
              <w:ind w:left="20"/>
              <w:spacing w:after="0"/>
              <w:rPr>
                <w:sz w:val="20"/>
                <w:szCs w:val="20"/>
                <w:color w:val="auto"/>
              </w:rPr>
            </w:pPr>
            <w:r>
              <w:rPr>
                <w:rFonts w:ascii="Arial" w:cs="Arial" w:eastAsia="Arial" w:hAnsi="Arial"/>
                <w:sz w:val="11"/>
                <w:szCs w:val="11"/>
                <w:b w:val="1"/>
                <w:bCs w:val="1"/>
                <w:color w:val="auto"/>
                <w:w w:val="97"/>
              </w:rPr>
              <w:t>Noncontrolling Interest Shareholders' Equity</w:t>
            </w:r>
          </w:p>
        </w:tc>
        <w:tc>
          <w:tcPr>
            <w:tcW w:w="0" w:type="dxa"/>
            <w:vAlign w:val="bottom"/>
          </w:tcPr>
          <w:p>
            <w:pPr>
              <w:spacing w:after="0"/>
              <w:rPr>
                <w:sz w:val="1"/>
                <w:szCs w:val="1"/>
                <w:color w:val="auto"/>
              </w:rPr>
            </w:pPr>
          </w:p>
        </w:tc>
      </w:tr>
      <w:tr>
        <w:trPr>
          <w:trHeight w:val="28"/>
        </w:trPr>
        <w:tc>
          <w:tcPr>
            <w:tcW w:w="1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40,785</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441,540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931,318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(144,927)</w:t>
            </w: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9,675</w:t>
            </w: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(364,923)</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4,494</w:t>
            </w: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867,543</w:t>
            </w:r>
          </w:p>
        </w:tc>
        <w:tc>
          <w:tcPr>
            <w:tcW w:w="0" w:type="dxa"/>
            <w:vAlign w:val="bottom"/>
          </w:tcPr>
          <w:p>
            <w:pPr>
              <w:spacing w:after="0"/>
              <w:rPr>
                <w:sz w:val="1"/>
                <w:szCs w:val="1"/>
                <w:color w:val="auto"/>
              </w:rPr>
            </w:pPr>
          </w:p>
        </w:tc>
      </w:tr>
      <w:tr>
        <w:trPr>
          <w:trHeight w:val="140"/>
        </w:trPr>
        <w:tc>
          <w:tcPr>
            <w:tcW w:w="17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26,889</w:t>
            </w:r>
          </w:p>
        </w:tc>
        <w:tc>
          <w:tcPr>
            <w:tcW w:w="12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197</w:t>
            </w:r>
          </w:p>
        </w:tc>
        <w:tc>
          <w:tcPr>
            <w:tcW w:w="28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27,086</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4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w w:val="99"/>
              </w:rPr>
              <w:t>Compensation and benefits paid or</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378</w:t>
            </w:r>
          </w:p>
        </w:tc>
        <w:tc>
          <w:tcPr>
            <w:tcW w:w="1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378</w:t>
            </w:r>
          </w:p>
        </w:tc>
        <w:tc>
          <w:tcPr>
            <w:tcW w:w="0" w:type="dxa"/>
            <w:vAlign w:val="bottom"/>
          </w:tcPr>
          <w:p>
            <w:pPr>
              <w:spacing w:after="0"/>
              <w:rPr>
                <w:sz w:val="1"/>
                <w:szCs w:val="1"/>
                <w:color w:val="auto"/>
              </w:rPr>
            </w:pPr>
          </w:p>
        </w:tc>
      </w:tr>
      <w:tr>
        <w:trPr>
          <w:trHeight w:val="14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payable in shares</w:t>
            </w: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vMerge w:val="continue"/>
            <w:shd w:val="clear" w:color="auto" w:fill="CCEEFF"/>
          </w:tcPr>
          <w:p>
            <w:pPr>
              <w:spacing w:after="0"/>
              <w:rPr>
                <w:sz w:val="12"/>
                <w:szCs w:val="12"/>
                <w:color w:val="auto"/>
              </w:rPr>
            </w:pPr>
          </w:p>
        </w:tc>
        <w:tc>
          <w:tcPr>
            <w:tcW w:w="9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40" w:type="dxa"/>
            <w:vAlign w:val="bottom"/>
          </w:tcPr>
          <w:p>
            <w:pPr>
              <w:ind w:left="20"/>
              <w:spacing w:after="0" w:line="111" w:lineRule="exact"/>
              <w:rPr>
                <w:sz w:val="20"/>
                <w:szCs w:val="20"/>
                <w:color w:val="auto"/>
              </w:rPr>
            </w:pPr>
            <w:r>
              <w:rPr>
                <w:rFonts w:ascii="Arial" w:cs="Arial" w:eastAsia="Arial" w:hAnsi="Arial"/>
                <w:sz w:val="11"/>
                <w:szCs w:val="11"/>
                <w:color w:val="auto"/>
              </w:rPr>
              <w:t>Dividends declared on Class A</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(7,792)</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(7,792)</w:t>
            </w:r>
          </w:p>
        </w:tc>
        <w:tc>
          <w:tcPr>
            <w:tcW w:w="0" w:type="dxa"/>
            <w:vAlign w:val="bottom"/>
          </w:tcPr>
          <w:p>
            <w:pPr>
              <w:spacing w:after="0"/>
              <w:rPr>
                <w:sz w:val="1"/>
                <w:szCs w:val="1"/>
                <w:color w:val="auto"/>
              </w:rPr>
            </w:pPr>
          </w:p>
        </w:tc>
      </w:tr>
      <w:tr>
        <w:trPr>
          <w:trHeight w:val="138"/>
        </w:trPr>
        <w:tc>
          <w:tcPr>
            <w:tcW w:w="1740" w:type="dxa"/>
            <w:vAlign w:val="bottom"/>
          </w:tcPr>
          <w:p>
            <w:pPr>
              <w:ind w:left="20"/>
              <w:spacing w:after="0"/>
              <w:rPr>
                <w:sz w:val="20"/>
                <w:szCs w:val="20"/>
                <w:color w:val="auto"/>
              </w:rPr>
            </w:pPr>
            <w:r>
              <w:rPr>
                <w:rFonts w:ascii="Arial" w:cs="Arial" w:eastAsia="Arial" w:hAnsi="Arial"/>
                <w:sz w:val="11"/>
                <w:szCs w:val="11"/>
                <w:color w:val="auto"/>
              </w:rPr>
              <w:t>Common Stock, $0.25 per share</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9"/>
              </w:rPr>
              <w:t>Cumulative translation adjustments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13,881</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238</w:t>
            </w:r>
          </w:p>
        </w:tc>
        <w:tc>
          <w:tcPr>
            <w:tcW w:w="2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14,119</w:t>
            </w:r>
          </w:p>
        </w:tc>
        <w:tc>
          <w:tcPr>
            <w:tcW w:w="0" w:type="dxa"/>
            <w:vAlign w:val="bottom"/>
          </w:tcPr>
          <w:p>
            <w:pPr>
              <w:spacing w:after="0"/>
              <w:rPr>
                <w:sz w:val="1"/>
                <w:szCs w:val="1"/>
                <w:color w:val="auto"/>
              </w:rPr>
            </w:pPr>
          </w:p>
        </w:tc>
      </w:tr>
      <w:tr>
        <w:trPr>
          <w:trHeight w:val="110"/>
        </w:trPr>
        <w:tc>
          <w:tcPr>
            <w:tcW w:w="1740" w:type="dxa"/>
            <w:vAlign w:val="bottom"/>
          </w:tcPr>
          <w:p>
            <w:pPr>
              <w:ind w:left="20"/>
              <w:spacing w:after="0" w:line="111" w:lineRule="exact"/>
              <w:rPr>
                <w:sz w:val="20"/>
                <w:szCs w:val="20"/>
                <w:color w:val="auto"/>
              </w:rPr>
            </w:pPr>
            <w:r>
              <w:rPr>
                <w:rFonts w:ascii="Arial" w:cs="Arial" w:eastAsia="Arial" w:hAnsi="Arial"/>
                <w:sz w:val="11"/>
                <w:szCs w:val="11"/>
                <w:color w:val="auto"/>
                <w:w w:val="99"/>
              </w:rPr>
              <w:t>Pension and postretirement liability</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1"/>
                <w:szCs w:val="11"/>
                <w:color w:val="auto"/>
              </w:rPr>
              <w:t>(916)</w:t>
            </w:r>
          </w:p>
        </w:tc>
        <w:tc>
          <w:tcPr>
            <w:tcW w:w="9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(916)</w:t>
            </w:r>
          </w:p>
        </w:tc>
        <w:tc>
          <w:tcPr>
            <w:tcW w:w="0" w:type="dxa"/>
            <w:vAlign w:val="bottom"/>
          </w:tcPr>
          <w:p>
            <w:pPr>
              <w:spacing w:after="0"/>
              <w:rPr>
                <w:sz w:val="1"/>
                <w:szCs w:val="1"/>
                <w:color w:val="auto"/>
              </w:rPr>
            </w:pPr>
          </w:p>
        </w:tc>
      </w:tr>
      <w:tr>
        <w:trPr>
          <w:trHeight w:val="138"/>
        </w:trPr>
        <w:tc>
          <w:tcPr>
            <w:tcW w:w="174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Derivative valuation adjustment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(2,902)</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(2,902)</w:t>
            </w:r>
          </w:p>
        </w:tc>
        <w:tc>
          <w:tcPr>
            <w:tcW w:w="0" w:type="dxa"/>
            <w:vAlign w:val="bottom"/>
          </w:tcPr>
          <w:p>
            <w:pPr>
              <w:spacing w:after="0"/>
              <w:rPr>
                <w:sz w:val="1"/>
                <w:szCs w:val="1"/>
                <w:color w:val="auto"/>
              </w:rPr>
            </w:pPr>
          </w:p>
        </w:tc>
      </w:tr>
      <w:tr>
        <w:trPr>
          <w:trHeight w:val="149"/>
        </w:trPr>
        <w:tc>
          <w:tcPr>
            <w:tcW w:w="1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40,842</w:t>
            </w: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441,917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950,415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(134,864)</w:t>
            </w:r>
          </w:p>
        </w:tc>
        <w:tc>
          <w:tcPr>
            <w:tcW w:w="9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9,675</w:t>
            </w: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(364,923)</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4,929</w:t>
            </w: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897,515</w:t>
            </w:r>
          </w:p>
        </w:tc>
        <w:tc>
          <w:tcPr>
            <w:tcW w:w="0" w:type="dxa"/>
            <w:vAlign w:val="bottom"/>
          </w:tcPr>
          <w:p>
            <w:pPr>
              <w:spacing w:after="0"/>
              <w:rPr>
                <w:sz w:val="1"/>
                <w:szCs w:val="1"/>
                <w:color w:val="auto"/>
              </w:rPr>
            </w:pPr>
          </w:p>
        </w:tc>
      </w:tr>
      <w:tr>
        <w:trPr>
          <w:trHeight w:val="142"/>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26,672</w:t>
            </w: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154</w:t>
            </w:r>
          </w:p>
        </w:tc>
        <w:tc>
          <w:tcPr>
            <w:tcW w:w="2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26,826</w:t>
            </w:r>
          </w:p>
        </w:tc>
        <w:tc>
          <w:tcPr>
            <w:tcW w:w="0" w:type="dxa"/>
            <w:vAlign w:val="bottom"/>
          </w:tcPr>
          <w:p>
            <w:pPr>
              <w:spacing w:after="0"/>
              <w:rPr>
                <w:sz w:val="1"/>
                <w:szCs w:val="1"/>
                <w:color w:val="auto"/>
              </w:rPr>
            </w:pPr>
          </w:p>
        </w:tc>
      </w:tr>
      <w:tr>
        <w:trPr>
          <w:trHeight w:val="110"/>
        </w:trPr>
        <w:tc>
          <w:tcPr>
            <w:tcW w:w="1740" w:type="dxa"/>
            <w:vAlign w:val="bottom"/>
          </w:tcPr>
          <w:p>
            <w:pPr>
              <w:ind w:left="20"/>
              <w:spacing w:after="0" w:line="111" w:lineRule="exact"/>
              <w:rPr>
                <w:sz w:val="20"/>
                <w:szCs w:val="20"/>
                <w:color w:val="auto"/>
              </w:rPr>
            </w:pPr>
            <w:r>
              <w:rPr>
                <w:rFonts w:ascii="Arial" w:cs="Arial" w:eastAsia="Arial" w:hAnsi="Arial"/>
                <w:sz w:val="11"/>
                <w:szCs w:val="11"/>
                <w:color w:val="auto"/>
                <w:w w:val="99"/>
              </w:rPr>
              <w:t>Compensation and benefits paid or</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811</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1"/>
                <w:szCs w:val="11"/>
                <w:color w:val="auto"/>
              </w:rPr>
              <w:t>811</w:t>
            </w:r>
          </w:p>
        </w:tc>
        <w:tc>
          <w:tcPr>
            <w:tcW w:w="0" w:type="dxa"/>
            <w:vAlign w:val="bottom"/>
          </w:tcPr>
          <w:p>
            <w:pPr>
              <w:spacing w:after="0"/>
              <w:rPr>
                <w:sz w:val="1"/>
                <w:szCs w:val="1"/>
                <w:color w:val="auto"/>
              </w:rPr>
            </w:pPr>
          </w:p>
        </w:tc>
      </w:tr>
      <w:tr>
        <w:trPr>
          <w:trHeight w:val="138"/>
        </w:trPr>
        <w:tc>
          <w:tcPr>
            <w:tcW w:w="1740" w:type="dxa"/>
            <w:vAlign w:val="bottom"/>
          </w:tcPr>
          <w:p>
            <w:pPr>
              <w:ind w:left="20"/>
              <w:spacing w:after="0"/>
              <w:rPr>
                <w:sz w:val="20"/>
                <w:szCs w:val="20"/>
                <w:color w:val="auto"/>
              </w:rPr>
            </w:pPr>
            <w:r>
              <w:rPr>
                <w:rFonts w:ascii="Arial" w:cs="Arial" w:eastAsia="Arial" w:hAnsi="Arial"/>
                <w:sz w:val="11"/>
                <w:szCs w:val="11"/>
                <w:color w:val="auto"/>
              </w:rPr>
              <w:t>payable in shares</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828</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258</w:t>
            </w:r>
          </w:p>
        </w:tc>
        <w:tc>
          <w:tcPr>
            <w:tcW w:w="4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1,086</w:t>
            </w:r>
          </w:p>
        </w:tc>
        <w:tc>
          <w:tcPr>
            <w:tcW w:w="0" w:type="dxa"/>
            <w:vAlign w:val="bottom"/>
          </w:tcPr>
          <w:p>
            <w:pPr>
              <w:spacing w:after="0"/>
              <w:rPr>
                <w:sz w:val="1"/>
                <w:szCs w:val="1"/>
                <w:color w:val="auto"/>
              </w:rPr>
            </w:pPr>
          </w:p>
        </w:tc>
      </w:tr>
      <w:tr>
        <w:trPr>
          <w:trHeight w:val="110"/>
        </w:trPr>
        <w:tc>
          <w:tcPr>
            <w:tcW w:w="1740" w:type="dxa"/>
            <w:vAlign w:val="bottom"/>
          </w:tcPr>
          <w:p>
            <w:pPr>
              <w:ind w:left="20"/>
              <w:spacing w:after="0" w:line="111" w:lineRule="exact"/>
              <w:rPr>
                <w:sz w:val="20"/>
                <w:szCs w:val="20"/>
                <w:color w:val="auto"/>
              </w:rPr>
            </w:pPr>
            <w:r>
              <w:rPr>
                <w:rFonts w:ascii="Arial" w:cs="Arial" w:eastAsia="Arial" w:hAnsi="Arial"/>
                <w:sz w:val="11"/>
                <w:szCs w:val="11"/>
                <w:color w:val="auto"/>
              </w:rPr>
              <w:t>Dividends declared on Class A</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(7,795)</w:t>
            </w:r>
          </w:p>
        </w:tc>
        <w:tc>
          <w:tcPr>
            <w:tcW w:w="120" w:type="dxa"/>
            <w:vAlign w:val="bottom"/>
          </w:tcPr>
          <w:p>
            <w:pPr>
              <w:spacing w:after="0"/>
              <w:rPr>
                <w:sz w:val="9"/>
                <w:szCs w:val="9"/>
                <w:color w:val="auto"/>
              </w:rPr>
            </w:pPr>
          </w:p>
        </w:tc>
        <w:tc>
          <w:tcPr>
            <w:tcW w:w="13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9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(7,795)</w:t>
            </w:r>
          </w:p>
        </w:tc>
        <w:tc>
          <w:tcPr>
            <w:tcW w:w="0" w:type="dxa"/>
            <w:vAlign w:val="bottom"/>
          </w:tcPr>
          <w:p>
            <w:pPr>
              <w:spacing w:after="0"/>
              <w:rPr>
                <w:sz w:val="1"/>
                <w:szCs w:val="1"/>
                <w:color w:val="auto"/>
              </w:rPr>
            </w:pPr>
          </w:p>
        </w:tc>
      </w:tr>
      <w:tr>
        <w:trPr>
          <w:trHeight w:val="138"/>
        </w:trPr>
        <w:tc>
          <w:tcPr>
            <w:tcW w:w="1740" w:type="dxa"/>
            <w:vAlign w:val="bottom"/>
          </w:tcPr>
          <w:p>
            <w:pPr>
              <w:ind w:left="20"/>
              <w:spacing w:after="0"/>
              <w:rPr>
                <w:sz w:val="20"/>
                <w:szCs w:val="20"/>
                <w:color w:val="auto"/>
              </w:rPr>
            </w:pPr>
            <w:r>
              <w:rPr>
                <w:rFonts w:ascii="Arial" w:cs="Arial" w:eastAsia="Arial" w:hAnsi="Arial"/>
                <w:sz w:val="11"/>
                <w:szCs w:val="11"/>
                <w:color w:val="auto"/>
              </w:rPr>
              <w:t>Common Stock, $0.25 per share</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9"/>
              </w:rPr>
              <w:t>Cumulative translation adjustments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(2,568)</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179</w:t>
            </w:r>
          </w:p>
        </w:tc>
        <w:tc>
          <w:tcPr>
            <w:tcW w:w="2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(2,389)</w:t>
            </w:r>
          </w:p>
        </w:tc>
        <w:tc>
          <w:tcPr>
            <w:tcW w:w="0" w:type="dxa"/>
            <w:vAlign w:val="bottom"/>
          </w:tcPr>
          <w:p>
            <w:pPr>
              <w:spacing w:after="0"/>
              <w:rPr>
                <w:sz w:val="1"/>
                <w:szCs w:val="1"/>
                <w:color w:val="auto"/>
              </w:rPr>
            </w:pPr>
          </w:p>
        </w:tc>
      </w:tr>
      <w:tr>
        <w:trPr>
          <w:trHeight w:val="110"/>
        </w:trPr>
        <w:tc>
          <w:tcPr>
            <w:tcW w:w="1740" w:type="dxa"/>
            <w:vAlign w:val="bottom"/>
          </w:tcPr>
          <w:p>
            <w:pPr>
              <w:ind w:left="20"/>
              <w:spacing w:after="0" w:line="111" w:lineRule="exact"/>
              <w:rPr>
                <w:sz w:val="20"/>
                <w:szCs w:val="20"/>
                <w:color w:val="auto"/>
              </w:rPr>
            </w:pPr>
            <w:r>
              <w:rPr>
                <w:rFonts w:ascii="Arial" w:cs="Arial" w:eastAsia="Arial" w:hAnsi="Arial"/>
                <w:sz w:val="11"/>
                <w:szCs w:val="11"/>
                <w:color w:val="auto"/>
                <w:w w:val="99"/>
              </w:rPr>
              <w:t>Pension and postretirement liability</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Arial" w:cs="Arial" w:eastAsia="Arial" w:hAnsi="Arial"/>
                <w:sz w:val="11"/>
                <w:szCs w:val="11"/>
                <w:color w:val="auto"/>
              </w:rPr>
              <w:t>(724)</w:t>
            </w:r>
          </w:p>
        </w:tc>
        <w:tc>
          <w:tcPr>
            <w:tcW w:w="9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(724)</w:t>
            </w:r>
          </w:p>
        </w:tc>
        <w:tc>
          <w:tcPr>
            <w:tcW w:w="0" w:type="dxa"/>
            <w:vAlign w:val="bottom"/>
          </w:tcPr>
          <w:p>
            <w:pPr>
              <w:spacing w:after="0"/>
              <w:rPr>
                <w:sz w:val="1"/>
                <w:szCs w:val="1"/>
                <w:color w:val="auto"/>
              </w:rPr>
            </w:pPr>
          </w:p>
        </w:tc>
      </w:tr>
      <w:tr>
        <w:trPr>
          <w:trHeight w:val="138"/>
        </w:trPr>
        <w:tc>
          <w:tcPr>
            <w:tcW w:w="174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Derivative valuation adjustment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389</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389</w:t>
            </w:r>
          </w:p>
        </w:tc>
        <w:tc>
          <w:tcPr>
            <w:tcW w:w="0" w:type="dxa"/>
            <w:vAlign w:val="bottom"/>
          </w:tcPr>
          <w:p>
            <w:pPr>
              <w:spacing w:after="0"/>
              <w:rPr>
                <w:sz w:val="1"/>
                <w:szCs w:val="1"/>
                <w:color w:val="auto"/>
              </w:rPr>
            </w:pPr>
          </w:p>
        </w:tc>
      </w:tr>
      <w:tr>
        <w:trPr>
          <w:trHeight w:val="149"/>
        </w:trPr>
        <w:tc>
          <w:tcPr>
            <w:tcW w:w="1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June 30, 2023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40,842</w:t>
            </w: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443,556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969,292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(137,767)</w:t>
            </w:r>
          </w:p>
        </w:tc>
        <w:tc>
          <w:tcPr>
            <w:tcW w:w="9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9,663</w:t>
            </w: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(364,665)</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5,262</w:t>
            </w: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915,719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summarizes changes in Shareholders’ Equity for the period December 31, 2021 to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40" w:type="dxa"/>
            <w:vAlign w:val="bottom"/>
          </w:tcPr>
          <w:p>
            <w:pPr>
              <w:spacing w:after="0"/>
              <w:rPr>
                <w:sz w:val="11"/>
                <w:szCs w:val="11"/>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80" w:type="dxa"/>
            <w:vAlign w:val="bottom"/>
            <w:gridSpan w:val="2"/>
          </w:tcPr>
          <w:p>
            <w:pPr>
              <w:jc w:val="right"/>
              <w:spacing w:after="0"/>
              <w:rPr>
                <w:sz w:val="20"/>
                <w:szCs w:val="20"/>
                <w:color w:val="auto"/>
              </w:rPr>
            </w:pPr>
            <w:r>
              <w:rPr>
                <w:rFonts w:ascii="Arial" w:cs="Arial" w:eastAsia="Arial" w:hAnsi="Arial"/>
                <w:sz w:val="11"/>
                <w:szCs w:val="11"/>
                <w:b w:val="1"/>
                <w:bCs w:val="1"/>
                <w:color w:val="auto"/>
              </w:rPr>
              <w:t>Class A</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900" w:type="dxa"/>
            <w:vAlign w:val="bottom"/>
            <w:gridSpan w:val="3"/>
          </w:tcPr>
          <w:p>
            <w:pPr>
              <w:jc w:val="right"/>
              <w:ind w:right="50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80" w:type="dxa"/>
            <w:vAlign w:val="bottom"/>
            <w:gridSpan w:val="3"/>
          </w:tcPr>
          <w:p>
            <w:pPr>
              <w:jc w:val="right"/>
              <w:ind w:right="506"/>
              <w:spacing w:after="0"/>
              <w:rPr>
                <w:sz w:val="20"/>
                <w:szCs w:val="20"/>
                <w:color w:val="auto"/>
              </w:rPr>
            </w:pPr>
            <w:r>
              <w:rPr>
                <w:rFonts w:ascii="Arial" w:cs="Arial" w:eastAsia="Arial" w:hAnsi="Arial"/>
                <w:sz w:val="11"/>
                <w:szCs w:val="11"/>
                <w:b w:val="1"/>
                <w:bCs w:val="1"/>
                <w:color w:val="auto"/>
              </w:rPr>
              <w:t>Treasury Stock</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106"/>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42"/>
        </w:trPr>
        <w:tc>
          <w:tcPr>
            <w:tcW w:w="17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8"/>
              </w:rPr>
              <w:t>Additional paid-</w:t>
            </w:r>
          </w:p>
        </w:tc>
        <w:tc>
          <w:tcPr>
            <w:tcW w:w="140" w:type="dxa"/>
            <w:vAlign w:val="bottom"/>
          </w:tcPr>
          <w:p>
            <w:pPr>
              <w:spacing w:after="0"/>
              <w:rPr>
                <w:sz w:val="3"/>
                <w:szCs w:val="3"/>
                <w:color w:val="auto"/>
              </w:rPr>
            </w:pPr>
          </w:p>
        </w:tc>
        <w:tc>
          <w:tcPr>
            <w:tcW w:w="70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3"/>
                <w:szCs w:val="3"/>
                <w:color w:val="auto"/>
              </w:rPr>
            </w:pPr>
          </w:p>
        </w:tc>
        <w:tc>
          <w:tcPr>
            <w:tcW w:w="140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Accumulated items of</w:t>
            </w: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98"/>
              </w:rPr>
              <w:t>Shareholders'</w:t>
            </w:r>
          </w:p>
        </w:tc>
        <w:tc>
          <w:tcPr>
            <w:tcW w:w="0" w:type="dxa"/>
            <w:vAlign w:val="bottom"/>
          </w:tcPr>
          <w:p>
            <w:pPr>
              <w:spacing w:after="0"/>
              <w:rPr>
                <w:sz w:val="1"/>
                <w:szCs w:val="1"/>
                <w:color w:val="auto"/>
              </w:rPr>
            </w:pPr>
          </w:p>
        </w:tc>
      </w:tr>
      <w:tr>
        <w:trPr>
          <w:trHeight w:val="73"/>
        </w:trPr>
        <w:tc>
          <w:tcPr>
            <w:tcW w:w="1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tcPr>
          <w:p>
            <w:pPr>
              <w:ind w:left="20"/>
              <w:spacing w:after="0"/>
              <w:rPr>
                <w:sz w:val="20"/>
                <w:szCs w:val="20"/>
                <w:color w:val="auto"/>
              </w:rPr>
            </w:pPr>
            <w:r>
              <w:rPr>
                <w:rFonts w:ascii="Arial" w:cs="Arial" w:eastAsia="Arial" w:hAnsi="Arial"/>
                <w:sz w:val="11"/>
                <w:szCs w:val="11"/>
                <w:b w:val="1"/>
                <w:bCs w:val="1"/>
                <w:color w:val="auto"/>
              </w:rPr>
              <w:t>(in thousands)</w:t>
            </w:r>
          </w:p>
        </w:tc>
        <w:tc>
          <w:tcPr>
            <w:tcW w:w="920" w:type="dxa"/>
            <w:vAlign w:val="bottom"/>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13"/>
                <w:szCs w:val="13"/>
                <w:color w:val="auto"/>
              </w:rPr>
            </w:pPr>
          </w:p>
        </w:tc>
        <w:tc>
          <w:tcPr>
            <w:tcW w:w="720" w:type="dxa"/>
            <w:vAlign w:val="bottom"/>
          </w:tcPr>
          <w:p>
            <w:pPr>
              <w:jc w:val="right"/>
              <w:ind w:right="226"/>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3"/>
                <w:szCs w:val="13"/>
                <w:color w:val="auto"/>
              </w:rPr>
            </w:pPr>
          </w:p>
        </w:tc>
        <w:tc>
          <w:tcPr>
            <w:tcW w:w="960" w:type="dxa"/>
            <w:vAlign w:val="bottom"/>
          </w:tcPr>
          <w:p>
            <w:pPr>
              <w:jc w:val="right"/>
              <w:ind w:right="226"/>
              <w:spacing w:after="0"/>
              <w:rPr>
                <w:sz w:val="20"/>
                <w:szCs w:val="20"/>
                <w:color w:val="auto"/>
              </w:rPr>
            </w:pPr>
            <w:r>
              <w:rPr>
                <w:rFonts w:ascii="Arial" w:cs="Arial" w:eastAsia="Arial" w:hAnsi="Arial"/>
                <w:sz w:val="11"/>
                <w:szCs w:val="11"/>
                <w:b w:val="1"/>
                <w:bCs w:val="1"/>
                <w:color w:val="auto"/>
              </w:rPr>
              <w:t>in capital</w:t>
            </w:r>
          </w:p>
        </w:tc>
        <w:tc>
          <w:tcPr>
            <w:tcW w:w="140" w:type="dxa"/>
            <w:vAlign w:val="bottom"/>
          </w:tcPr>
          <w:p>
            <w:pPr>
              <w:spacing w:after="0"/>
              <w:rPr>
                <w:sz w:val="13"/>
                <w:szCs w:val="13"/>
                <w:color w:val="auto"/>
              </w:rPr>
            </w:pPr>
          </w:p>
        </w:tc>
        <w:tc>
          <w:tcPr>
            <w:tcW w:w="700" w:type="dxa"/>
            <w:vAlign w:val="bottom"/>
          </w:tcPr>
          <w:p>
            <w:pPr>
              <w:jc w:val="right"/>
              <w:ind w:right="126"/>
              <w:spacing w:after="0"/>
              <w:rPr>
                <w:sz w:val="20"/>
                <w:szCs w:val="20"/>
                <w:color w:val="auto"/>
              </w:rPr>
            </w:pPr>
            <w:r>
              <w:rPr>
                <w:rFonts w:ascii="Arial" w:cs="Arial" w:eastAsia="Arial" w:hAnsi="Arial"/>
                <w:sz w:val="11"/>
                <w:szCs w:val="11"/>
                <w:b w:val="1"/>
                <w:bCs w:val="1"/>
                <w:color w:val="auto"/>
              </w:rPr>
              <w:t>earnings</w:t>
            </w:r>
          </w:p>
        </w:tc>
        <w:tc>
          <w:tcPr>
            <w:tcW w:w="156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other comprehensive income</w:t>
            </w:r>
          </w:p>
        </w:tc>
        <w:tc>
          <w:tcPr>
            <w:tcW w:w="920" w:type="dxa"/>
            <w:vAlign w:val="bottom"/>
          </w:tcPr>
          <w:p>
            <w:pPr>
              <w:jc w:val="right"/>
              <w:ind w:right="226"/>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spacing w:after="0"/>
              <w:rPr>
                <w:sz w:val="13"/>
                <w:szCs w:val="13"/>
                <w:color w:val="auto"/>
              </w:rPr>
            </w:pPr>
          </w:p>
        </w:tc>
        <w:tc>
          <w:tcPr>
            <w:tcW w:w="700" w:type="dxa"/>
            <w:vAlign w:val="bottom"/>
          </w:tcPr>
          <w:p>
            <w:pPr>
              <w:jc w:val="right"/>
              <w:ind w:right="206"/>
              <w:spacing w:after="0"/>
              <w:rPr>
                <w:sz w:val="20"/>
                <w:szCs w:val="20"/>
                <w:color w:val="auto"/>
              </w:rPr>
            </w:pPr>
            <w:r>
              <w:rPr>
                <w:rFonts w:ascii="Arial" w:cs="Arial" w:eastAsia="Arial" w:hAnsi="Arial"/>
                <w:sz w:val="11"/>
                <w:szCs w:val="11"/>
                <w:b w:val="1"/>
                <w:bCs w:val="1"/>
                <w:color w:val="auto"/>
              </w:rPr>
              <w:t>Amount</w:t>
            </w:r>
          </w:p>
        </w:tc>
        <w:tc>
          <w:tcPr>
            <w:tcW w:w="124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Noncontrolling Interest</w:t>
            </w:r>
          </w:p>
        </w:tc>
        <w:tc>
          <w:tcPr>
            <w:tcW w:w="120" w:type="dxa"/>
            <w:vAlign w:val="bottom"/>
          </w:tcPr>
          <w:p>
            <w:pPr>
              <w:spacing w:after="0"/>
              <w:rPr>
                <w:sz w:val="13"/>
                <w:szCs w:val="13"/>
                <w:color w:val="auto"/>
              </w:rPr>
            </w:pPr>
          </w:p>
        </w:tc>
        <w:tc>
          <w:tcPr>
            <w:tcW w:w="900" w:type="dxa"/>
            <w:vAlign w:val="bottom"/>
          </w:tcPr>
          <w:p>
            <w:pPr>
              <w:jc w:val="center"/>
              <w:ind w:right="6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8"/>
        </w:trPr>
        <w:tc>
          <w:tcPr>
            <w:tcW w:w="1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40,760</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436,996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863,057</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(145,984)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8,665</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(280,143)</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b w:val="1"/>
                <w:bCs w:val="1"/>
                <w:color w:val="auto"/>
              </w:rPr>
              <w:t>3,638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877,605</w:t>
            </w:r>
          </w:p>
        </w:tc>
        <w:tc>
          <w:tcPr>
            <w:tcW w:w="0" w:type="dxa"/>
            <w:vAlign w:val="bottom"/>
          </w:tcPr>
          <w:p>
            <w:pPr>
              <w:spacing w:after="0"/>
              <w:rPr>
                <w:sz w:val="1"/>
                <w:szCs w:val="1"/>
                <w:color w:val="auto"/>
              </w:rPr>
            </w:pPr>
          </w:p>
        </w:tc>
      </w:tr>
      <w:tr>
        <w:trPr>
          <w:trHeight w:val="140"/>
        </w:trPr>
        <w:tc>
          <w:tcPr>
            <w:tcW w:w="174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27,737</w:t>
            </w:r>
          </w:p>
        </w:tc>
        <w:tc>
          <w:tcPr>
            <w:tcW w:w="160" w:type="dxa"/>
            <w:vAlign w:val="bottom"/>
          </w:tcPr>
          <w:p>
            <w:pPr>
              <w:spacing w:after="0"/>
              <w:rPr>
                <w:sz w:val="12"/>
                <w:szCs w:val="12"/>
                <w:color w:val="auto"/>
              </w:rPr>
            </w:pPr>
          </w:p>
        </w:tc>
        <w:tc>
          <w:tcPr>
            <w:tcW w:w="14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338</w:t>
            </w:r>
          </w:p>
        </w:tc>
        <w:tc>
          <w:tcPr>
            <w:tcW w:w="12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28,075</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4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w w:val="99"/>
              </w:rPr>
              <w:t>Compensation and benefits paid or</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745</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745</w:t>
            </w:r>
          </w:p>
        </w:tc>
        <w:tc>
          <w:tcPr>
            <w:tcW w:w="0" w:type="dxa"/>
            <w:vAlign w:val="bottom"/>
          </w:tcPr>
          <w:p>
            <w:pPr>
              <w:spacing w:after="0"/>
              <w:rPr>
                <w:sz w:val="1"/>
                <w:szCs w:val="1"/>
                <w:color w:val="auto"/>
              </w:rPr>
            </w:pPr>
          </w:p>
        </w:tc>
      </w:tr>
      <w:tr>
        <w:trPr>
          <w:trHeight w:val="14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payable in shares</w:t>
            </w: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4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Purchase of Treasury shares (a)</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515</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(43,937)</w:t>
            </w: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(43,937)</w:t>
            </w:r>
          </w:p>
        </w:tc>
        <w:tc>
          <w:tcPr>
            <w:tcW w:w="0" w:type="dxa"/>
            <w:vAlign w:val="bottom"/>
          </w:tcPr>
          <w:p>
            <w:pPr>
              <w:spacing w:after="0"/>
              <w:rPr>
                <w:sz w:val="1"/>
                <w:szCs w:val="1"/>
                <w:color w:val="auto"/>
              </w:rPr>
            </w:pPr>
          </w:p>
        </w:tc>
      </w:tr>
      <w:tr>
        <w:trPr>
          <w:trHeight w:val="110"/>
        </w:trPr>
        <w:tc>
          <w:tcPr>
            <w:tcW w:w="1740" w:type="dxa"/>
            <w:vAlign w:val="bottom"/>
          </w:tcPr>
          <w:p>
            <w:pPr>
              <w:ind w:left="20"/>
              <w:spacing w:after="0" w:line="111" w:lineRule="exact"/>
              <w:rPr>
                <w:sz w:val="20"/>
                <w:szCs w:val="20"/>
                <w:color w:val="auto"/>
              </w:rPr>
            </w:pPr>
            <w:r>
              <w:rPr>
                <w:rFonts w:ascii="Arial" w:cs="Arial" w:eastAsia="Arial" w:hAnsi="Arial"/>
                <w:sz w:val="11"/>
                <w:szCs w:val="11"/>
                <w:color w:val="auto"/>
              </w:rPr>
              <w:t>Dividends declared on Class A</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(6,661)</w:t>
            </w:r>
          </w:p>
        </w:tc>
        <w:tc>
          <w:tcPr>
            <w:tcW w:w="160" w:type="dxa"/>
            <w:vAlign w:val="bottom"/>
          </w:tcPr>
          <w:p>
            <w:pPr>
              <w:spacing w:after="0"/>
              <w:rPr>
                <w:sz w:val="9"/>
                <w:szCs w:val="9"/>
                <w:color w:val="auto"/>
              </w:rPr>
            </w:pPr>
          </w:p>
        </w:tc>
        <w:tc>
          <w:tcPr>
            <w:tcW w:w="140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(6,661)</w:t>
            </w:r>
          </w:p>
        </w:tc>
        <w:tc>
          <w:tcPr>
            <w:tcW w:w="0" w:type="dxa"/>
            <w:vAlign w:val="bottom"/>
          </w:tcPr>
          <w:p>
            <w:pPr>
              <w:spacing w:after="0"/>
              <w:rPr>
                <w:sz w:val="1"/>
                <w:szCs w:val="1"/>
                <w:color w:val="auto"/>
              </w:rPr>
            </w:pPr>
          </w:p>
        </w:tc>
      </w:tr>
      <w:tr>
        <w:trPr>
          <w:trHeight w:val="138"/>
        </w:trPr>
        <w:tc>
          <w:tcPr>
            <w:tcW w:w="1740" w:type="dxa"/>
            <w:vAlign w:val="bottom"/>
          </w:tcPr>
          <w:p>
            <w:pPr>
              <w:ind w:left="20"/>
              <w:spacing w:after="0"/>
              <w:rPr>
                <w:sz w:val="20"/>
                <w:szCs w:val="20"/>
                <w:color w:val="auto"/>
              </w:rPr>
            </w:pPr>
            <w:r>
              <w:rPr>
                <w:rFonts w:ascii="Arial" w:cs="Arial" w:eastAsia="Arial" w:hAnsi="Arial"/>
                <w:sz w:val="11"/>
                <w:szCs w:val="11"/>
                <w:color w:val="auto"/>
              </w:rPr>
              <w:t>Common Stock, $0.21 per share</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9"/>
              </w:rPr>
              <w:t>Cumulative translation adjustments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(1,730)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(1,674)</w:t>
            </w:r>
          </w:p>
        </w:tc>
        <w:tc>
          <w:tcPr>
            <w:tcW w:w="0" w:type="dxa"/>
            <w:vAlign w:val="bottom"/>
          </w:tcPr>
          <w:p>
            <w:pPr>
              <w:spacing w:after="0"/>
              <w:rPr>
                <w:sz w:val="1"/>
                <w:szCs w:val="1"/>
                <w:color w:val="auto"/>
              </w:rPr>
            </w:pPr>
          </w:p>
        </w:tc>
      </w:tr>
      <w:tr>
        <w:trPr>
          <w:trHeight w:val="110"/>
        </w:trPr>
        <w:tc>
          <w:tcPr>
            <w:tcW w:w="1740" w:type="dxa"/>
            <w:vAlign w:val="bottom"/>
          </w:tcPr>
          <w:p>
            <w:pPr>
              <w:ind w:left="20"/>
              <w:spacing w:after="0" w:line="111" w:lineRule="exact"/>
              <w:rPr>
                <w:sz w:val="20"/>
                <w:szCs w:val="20"/>
                <w:color w:val="auto"/>
              </w:rPr>
            </w:pPr>
            <w:r>
              <w:rPr>
                <w:rFonts w:ascii="Arial" w:cs="Arial" w:eastAsia="Arial" w:hAnsi="Arial"/>
                <w:sz w:val="11"/>
                <w:szCs w:val="11"/>
                <w:color w:val="auto"/>
                <w:w w:val="99"/>
              </w:rPr>
              <w:t>Pension and postretirement liability</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400" w:type="dxa"/>
            <w:vAlign w:val="bottom"/>
            <w:vMerge w:val="restart"/>
          </w:tcPr>
          <w:p>
            <w:pPr>
              <w:jc w:val="right"/>
              <w:ind w:right="26"/>
              <w:spacing w:after="0"/>
              <w:rPr>
                <w:sz w:val="20"/>
                <w:szCs w:val="20"/>
                <w:color w:val="auto"/>
              </w:rPr>
            </w:pPr>
            <w:r>
              <w:rPr>
                <w:rFonts w:ascii="Arial" w:cs="Arial" w:eastAsia="Arial" w:hAnsi="Arial"/>
                <w:sz w:val="11"/>
                <w:szCs w:val="11"/>
                <w:color w:val="auto"/>
              </w:rPr>
              <w:t>74</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74</w:t>
            </w:r>
          </w:p>
        </w:tc>
        <w:tc>
          <w:tcPr>
            <w:tcW w:w="0" w:type="dxa"/>
            <w:vAlign w:val="bottom"/>
          </w:tcPr>
          <w:p>
            <w:pPr>
              <w:spacing w:after="0"/>
              <w:rPr>
                <w:sz w:val="1"/>
                <w:szCs w:val="1"/>
                <w:color w:val="auto"/>
              </w:rPr>
            </w:pPr>
          </w:p>
        </w:tc>
      </w:tr>
      <w:tr>
        <w:trPr>
          <w:trHeight w:val="138"/>
        </w:trPr>
        <w:tc>
          <w:tcPr>
            <w:tcW w:w="174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Derivative valuation adjustment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10,018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10,018</w:t>
            </w:r>
          </w:p>
        </w:tc>
        <w:tc>
          <w:tcPr>
            <w:tcW w:w="0" w:type="dxa"/>
            <w:vAlign w:val="bottom"/>
          </w:tcPr>
          <w:p>
            <w:pPr>
              <w:spacing w:after="0"/>
              <w:rPr>
                <w:sz w:val="1"/>
                <w:szCs w:val="1"/>
                <w:color w:val="auto"/>
              </w:rPr>
            </w:pPr>
          </w:p>
        </w:tc>
      </w:tr>
      <w:tr>
        <w:trPr>
          <w:trHeight w:val="149"/>
        </w:trPr>
        <w:tc>
          <w:tcPr>
            <w:tcW w:w="1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40,781</w:t>
            </w: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437,748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884,133</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(137,622)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9,180</w:t>
            </w: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(324,080)</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4,032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864,252</w:t>
            </w:r>
          </w:p>
        </w:tc>
        <w:tc>
          <w:tcPr>
            <w:tcW w:w="0" w:type="dxa"/>
            <w:vAlign w:val="bottom"/>
          </w:tcPr>
          <w:p>
            <w:pPr>
              <w:spacing w:after="0"/>
              <w:rPr>
                <w:sz w:val="1"/>
                <w:szCs w:val="1"/>
                <w:color w:val="auto"/>
              </w:rPr>
            </w:pPr>
          </w:p>
        </w:tc>
      </w:tr>
      <w:tr>
        <w:trPr>
          <w:trHeight w:val="142"/>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39,201</w:t>
            </w:r>
          </w:p>
        </w:tc>
        <w:tc>
          <w:tcPr>
            <w:tcW w:w="1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168</w:t>
            </w: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39,369</w:t>
            </w:r>
          </w:p>
        </w:tc>
        <w:tc>
          <w:tcPr>
            <w:tcW w:w="0" w:type="dxa"/>
            <w:vAlign w:val="bottom"/>
          </w:tcPr>
          <w:p>
            <w:pPr>
              <w:spacing w:after="0"/>
              <w:rPr>
                <w:sz w:val="1"/>
                <w:szCs w:val="1"/>
                <w:color w:val="auto"/>
              </w:rPr>
            </w:pPr>
          </w:p>
        </w:tc>
      </w:tr>
      <w:tr>
        <w:trPr>
          <w:trHeight w:val="110"/>
        </w:trPr>
        <w:tc>
          <w:tcPr>
            <w:tcW w:w="1740" w:type="dxa"/>
            <w:vAlign w:val="bottom"/>
          </w:tcPr>
          <w:p>
            <w:pPr>
              <w:ind w:left="20"/>
              <w:spacing w:after="0" w:line="111" w:lineRule="exact"/>
              <w:rPr>
                <w:sz w:val="20"/>
                <w:szCs w:val="20"/>
                <w:color w:val="auto"/>
              </w:rPr>
            </w:pPr>
            <w:r>
              <w:rPr>
                <w:rFonts w:ascii="Arial" w:cs="Arial" w:eastAsia="Arial" w:hAnsi="Arial"/>
                <w:sz w:val="11"/>
                <w:szCs w:val="11"/>
                <w:color w:val="auto"/>
                <w:w w:val="99"/>
              </w:rPr>
              <w:t>Compensation and benefits paid or</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9"/>
                <w:szCs w:val="9"/>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902</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140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9"/>
                <w:szCs w:val="9"/>
                <w:color w:val="auto"/>
              </w:rPr>
            </w:pPr>
          </w:p>
        </w:tc>
        <w:tc>
          <w:tcPr>
            <w:tcW w:w="74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900" w:type="dxa"/>
            <w:vAlign w:val="bottom"/>
            <w:vMerge w:val="restart"/>
          </w:tcPr>
          <w:p>
            <w:pPr>
              <w:jc w:val="right"/>
              <w:ind w:right="6"/>
              <w:spacing w:after="0"/>
              <w:rPr>
                <w:sz w:val="20"/>
                <w:szCs w:val="20"/>
                <w:color w:val="auto"/>
              </w:rPr>
            </w:pPr>
            <w:r>
              <w:rPr>
                <w:rFonts w:ascii="Arial" w:cs="Arial" w:eastAsia="Arial" w:hAnsi="Arial"/>
                <w:sz w:val="11"/>
                <w:szCs w:val="11"/>
                <w:color w:val="auto"/>
              </w:rPr>
              <w:t>902</w:t>
            </w:r>
          </w:p>
        </w:tc>
        <w:tc>
          <w:tcPr>
            <w:tcW w:w="0" w:type="dxa"/>
            <w:vAlign w:val="bottom"/>
          </w:tcPr>
          <w:p>
            <w:pPr>
              <w:spacing w:after="0"/>
              <w:rPr>
                <w:sz w:val="1"/>
                <w:szCs w:val="1"/>
                <w:color w:val="auto"/>
              </w:rPr>
            </w:pPr>
          </w:p>
        </w:tc>
      </w:tr>
      <w:tr>
        <w:trPr>
          <w:trHeight w:val="138"/>
        </w:trPr>
        <w:tc>
          <w:tcPr>
            <w:tcW w:w="1740" w:type="dxa"/>
            <w:vAlign w:val="bottom"/>
          </w:tcPr>
          <w:p>
            <w:pPr>
              <w:ind w:left="20"/>
              <w:spacing w:after="0"/>
              <w:rPr>
                <w:sz w:val="20"/>
                <w:szCs w:val="20"/>
                <w:color w:val="auto"/>
              </w:rPr>
            </w:pPr>
            <w:r>
              <w:rPr>
                <w:rFonts w:ascii="Arial" w:cs="Arial" w:eastAsia="Arial" w:hAnsi="Arial"/>
                <w:sz w:val="11"/>
                <w:szCs w:val="11"/>
                <w:color w:val="auto"/>
              </w:rPr>
              <w:t>payable in shares</w:t>
            </w: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Shares issued to Directors'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800</w:t>
            </w:r>
          </w:p>
        </w:tc>
        <w:tc>
          <w:tcPr>
            <w:tcW w:w="1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2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285</w:t>
            </w:r>
          </w:p>
        </w:tc>
        <w:tc>
          <w:tcPr>
            <w:tcW w:w="5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1,085</w:t>
            </w:r>
          </w:p>
        </w:tc>
        <w:tc>
          <w:tcPr>
            <w:tcW w:w="0" w:type="dxa"/>
            <w:vAlign w:val="bottom"/>
          </w:tcPr>
          <w:p>
            <w:pPr>
              <w:spacing w:after="0"/>
              <w:rPr>
                <w:sz w:val="1"/>
                <w:szCs w:val="1"/>
                <w:color w:val="auto"/>
              </w:rPr>
            </w:pPr>
          </w:p>
        </w:tc>
      </w:tr>
      <w:tr>
        <w:trPr>
          <w:trHeight w:val="140"/>
        </w:trPr>
        <w:tc>
          <w:tcPr>
            <w:tcW w:w="1740" w:type="dxa"/>
            <w:vAlign w:val="bottom"/>
          </w:tcPr>
          <w:p>
            <w:pPr>
              <w:ind w:left="20"/>
              <w:spacing w:after="0"/>
              <w:rPr>
                <w:sz w:val="20"/>
                <w:szCs w:val="20"/>
                <w:color w:val="auto"/>
              </w:rPr>
            </w:pPr>
            <w:r>
              <w:rPr>
                <w:rFonts w:ascii="Arial" w:cs="Arial" w:eastAsia="Arial" w:hAnsi="Arial"/>
                <w:sz w:val="11"/>
                <w:szCs w:val="11"/>
                <w:color w:val="auto"/>
              </w:rPr>
              <w:t>Purchase of Treasury shares (a)</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4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508</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(41,128)</w:t>
            </w:r>
          </w:p>
        </w:tc>
        <w:tc>
          <w:tcPr>
            <w:tcW w:w="50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(41,128)</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4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rPr>
              <w:t>Dividends declared on Class A</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(6,529)</w:t>
            </w:r>
          </w:p>
        </w:tc>
        <w:tc>
          <w:tcPr>
            <w:tcW w:w="16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(6,529)</w:t>
            </w:r>
          </w:p>
        </w:tc>
        <w:tc>
          <w:tcPr>
            <w:tcW w:w="0" w:type="dxa"/>
            <w:vAlign w:val="bottom"/>
          </w:tcPr>
          <w:p>
            <w:pPr>
              <w:spacing w:after="0"/>
              <w:rPr>
                <w:sz w:val="1"/>
                <w:szCs w:val="1"/>
                <w:color w:val="auto"/>
              </w:rPr>
            </w:pPr>
          </w:p>
        </w:tc>
      </w:tr>
      <w:tr>
        <w:trPr>
          <w:trHeight w:val="14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Common Stock, $0.21 per share</w:t>
            </w: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ind w:left="20"/>
              <w:spacing w:after="0"/>
              <w:rPr>
                <w:sz w:val="20"/>
                <w:szCs w:val="20"/>
                <w:color w:val="auto"/>
              </w:rPr>
            </w:pPr>
            <w:r>
              <w:rPr>
                <w:rFonts w:ascii="Arial" w:cs="Arial" w:eastAsia="Arial" w:hAnsi="Arial"/>
                <w:sz w:val="11"/>
                <w:szCs w:val="11"/>
                <w:color w:val="auto"/>
                <w:w w:val="99"/>
              </w:rPr>
              <w:t>Cumulative translation adjustments</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(39,661)</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(39,752)</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4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w w:val="99"/>
              </w:rPr>
              <w:t>Pension and postretirement liability</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234</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4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adjustments</w:t>
            </w: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ind w:left="20"/>
              <w:spacing w:after="0"/>
              <w:rPr>
                <w:sz w:val="20"/>
                <w:szCs w:val="20"/>
                <w:color w:val="auto"/>
              </w:rPr>
            </w:pPr>
            <w:r>
              <w:rPr>
                <w:rFonts w:ascii="Arial" w:cs="Arial" w:eastAsia="Arial" w:hAnsi="Arial"/>
                <w:sz w:val="11"/>
                <w:szCs w:val="11"/>
                <w:color w:val="auto"/>
              </w:rPr>
              <w:t>Derivative valuation adjustment</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400" w:type="dxa"/>
            <w:vAlign w:val="bottom"/>
          </w:tcPr>
          <w:p>
            <w:pPr>
              <w:jc w:val="right"/>
              <w:ind w:right="26"/>
              <w:spacing w:after="0"/>
              <w:rPr>
                <w:sz w:val="20"/>
                <w:szCs w:val="20"/>
                <w:color w:val="auto"/>
              </w:rPr>
            </w:pPr>
            <w:r>
              <w:rPr>
                <w:rFonts w:ascii="Arial" w:cs="Arial" w:eastAsia="Arial" w:hAnsi="Arial"/>
                <w:sz w:val="11"/>
                <w:szCs w:val="11"/>
                <w:color w:val="auto"/>
              </w:rPr>
              <w:t>3,349</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3,349</w:t>
            </w:r>
          </w:p>
        </w:tc>
        <w:tc>
          <w:tcPr>
            <w:tcW w:w="0" w:type="dxa"/>
            <w:vAlign w:val="bottom"/>
          </w:tcPr>
          <w:p>
            <w:pPr>
              <w:spacing w:after="0"/>
              <w:rPr>
                <w:sz w:val="1"/>
                <w:szCs w:val="1"/>
                <w:color w:val="auto"/>
              </w:rPr>
            </w:pPr>
          </w:p>
        </w:tc>
      </w:tr>
      <w:tr>
        <w:trPr>
          <w:trHeight w:val="22"/>
        </w:trPr>
        <w:tc>
          <w:tcPr>
            <w:tcW w:w="1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June 30, 2022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40,785</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439,450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916,805</w:t>
            </w: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(173,700)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9,675</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(364,923)</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b w:val="1"/>
                <w:bCs w:val="1"/>
                <w:color w:val="auto"/>
              </w:rPr>
              <w:t>4,109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821,782</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60" w:right="160" w:hanging="652"/>
        <w:spacing w:after="0" w:line="26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October 2021, the Company's Board of Directors authorized the Company to repurchase shares of up to $200 million through open market purchases, privately negotiated transactions or otherwise, and to determine the prices, times and amounts. During the six months ended June 30, 2022, the Company repurchased 1,022,717 shares totaling $85.1 million. The Company did not repurchase shares during the six months ended June 30, 2023.</w:t>
      </w:r>
    </w:p>
    <w:p>
      <w:pPr>
        <w:sectPr>
          <w:pgSz w:w="11900" w:h="16838" w:orient="portrait"/>
          <w:cols w:equalWidth="0" w:num="1">
            <w:col w:w="11240"/>
          </w:cols>
          <w:pgMar w:left="320" w:top="9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"forecast,"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6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79" w:lineRule="exact"/>
        <w:rPr>
          <w:sz w:val="20"/>
          <w:szCs w:val="20"/>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 including continuation of COVID-19 pandemic effects for an extended period of time;</w:t>
      </w:r>
    </w:p>
    <w:p>
      <w:pPr>
        <w:spacing w:after="0" w:line="210"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Across the entire Company, increasing labor, raw material, energy, and logistics costs due to supply chain constraints and inflationary pressures; challenges that have only increased as a result of the ongoing Russia-Ukraine war;</w:t>
      </w:r>
    </w:p>
    <w:p>
      <w:pPr>
        <w:spacing w:after="0" w:line="200"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200"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Albany Engineered Composites segment, longer-than-expected timeframe for the aerospace industry to utilize existing inventories, unanticipated reductions in demand, including reductions driven by supply chain shortages on other aircraft components, delays, technical difficulties, and cancellations in aerospace programs that are expected to generate revenue and drive long-term growth;</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Slower to achieve or maintain anticipated profitable growth in our Albany Engineered Composites segment;</w:t>
      </w:r>
    </w:p>
    <w:p>
      <w:pPr>
        <w:spacing w:after="0" w:line="292" w:lineRule="exact"/>
        <w:rPr>
          <w:rFonts w:ascii="Arial" w:cs="Arial" w:eastAsia="Arial" w:hAnsi="Arial"/>
          <w:sz w:val="18"/>
          <w:szCs w:val="18"/>
          <w:color w:val="auto"/>
        </w:rPr>
      </w:pPr>
    </w:p>
    <w:p>
      <w:pPr>
        <w:jc w:val="both"/>
        <w:ind w:left="660" w:hanging="328"/>
        <w:spacing w:after="0" w:line="245"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 xml:space="preserve">Failure to consummate the recently announced acquisition of Heimbach GmbH ("Heimbach"), as further described in the below </w:t>
      </w:r>
      <w:r>
        <w:rPr>
          <w:rFonts w:ascii="Arial" w:cs="Arial" w:eastAsia="Arial" w:hAnsi="Arial"/>
          <w:sz w:val="18"/>
          <w:szCs w:val="18"/>
          <w:i w:val="1"/>
          <w:iCs w:val="1"/>
          <w:color w:val="auto"/>
        </w:rPr>
        <w:t xml:space="preserve">Business Environment Overview and Trends </w:t>
      </w:r>
      <w:r>
        <w:rPr>
          <w:rFonts w:ascii="Arial" w:cs="Arial" w:eastAsia="Arial" w:hAnsi="Arial"/>
          <w:sz w:val="18"/>
          <w:szCs w:val="18"/>
          <w:color w:val="auto"/>
        </w:rPr>
        <w:t>section, within the expected timeframe or at all, and if consummated, failure to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delayed realization of anticipated benefits of the acquisition could adversely impact the Company’s business, financial condition and results of operations, as further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and</w:t>
      </w:r>
    </w:p>
    <w:p>
      <w:pPr>
        <w:spacing w:after="0" w:line="22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 and other periodic reports.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2" w:name="page23"/>
    <w:bookmarkEnd w:id="22"/>
    <w:p>
      <w:pPr>
        <w:jc w:val="both"/>
        <w:ind w:firstLine="324"/>
        <w:spacing w:after="0" w:line="263"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27" w:lineRule="exact"/>
        <w:rPr>
          <w:sz w:val="20"/>
          <w:szCs w:val="20"/>
          <w:color w:val="auto"/>
        </w:rPr>
      </w:pPr>
    </w:p>
    <w:p>
      <w:pPr>
        <w:ind w:right="320" w:firstLine="324"/>
        <w:spacing w:after="0" w:line="306" w:lineRule="auto"/>
        <w:rPr>
          <w:sz w:val="20"/>
          <w:szCs w:val="20"/>
          <w:color w:val="auto"/>
        </w:rPr>
      </w:pPr>
      <w:r>
        <w:rPr>
          <w:rFonts w:ascii="Arial" w:cs="Arial" w:eastAsia="Arial" w:hAnsi="Arial"/>
          <w:sz w:val="17"/>
          <w:szCs w:val="17"/>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1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been negatively impacted by well-documented declines in publication grades in the Company’s traditional markets, there has been some offsetting effect due to growth in demand for packaging and tissue grades, as well as the expansion of paper consumption and production in Asia and South America. We feel we are well-positioned in key markets, with high-quality, low-cost production in growth markets, substantially lower fixed costs in mature markets, and continued strength in new product development, technical product support, and manufacturing technology. Some of the markets in which our products are sold are expected to have low levels of growth and we face pricing pressures in all markets. Despite these market pressures on revenue, the MC business retains the potential for maintaining stable earnings in the future. MC has been a significant generator of cash, and we seek to maintain the cash-generating potential of this business by maintaining the low costs that we have achieved through continuous focus on cost-reduction initiatives, and competing vigorously by using our differentiated and technically superior products to reduce our customers’ total cost of operation and improve their paper quality. On June 14, 2023, the Company entered into an agreement to acquire Heimbach, a privately-held manufacturer of paper machine clothing and technical textiles located in Düren, Germany. The Company will acquire Heimbach for a purchase price of approximately €153 million, including net debt of approximately €21 million, subject to regulatory approvals and other customary closing conditions.</w:t>
      </w:r>
    </w:p>
    <w:p>
      <w:pPr>
        <w:spacing w:after="0" w:line="22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AEC segment provides significant longer term growth potential for the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("SAFRAN") and sales to SAFRAN, through ASC, (consisting primarily of fan blades and cases for CFM’s LEAP engine) accounted for approximately 16 percent of the Company’s consolidated Net revenues in 2022. AEC, through ASC, also supplies 3D-woven composite fan cases for the GE9X engine. AEC’s current portfolio of non-3D programs includes components for the CH-53K helicopter, components for the F-35 joint strike fighter, missile bodies for Lockheed Martin’s JASSM air-to-surface missiles, fuselage components for the Boeing 787, and vacuum waste tanks for Boeing 7-Series aircraft. AEC is actively engaged in research to develop new applications in both commercial and defense aircraft engine and airframe markets. For the year ended December 31, 2022, approximately 46 percent of AEC revenues were related to U.S. government contracts or programs.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revenues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3580" w:type="dxa"/>
            <w:vAlign w:val="bottom"/>
            <w:tcBorders>
              <w:bottom w:val="single" w:sz="8" w:color="auto"/>
            </w:tcBorders>
            <w:gridSpan w:val="4"/>
          </w:tcPr>
          <w:p>
            <w:pPr>
              <w:jc w:val="right"/>
              <w:ind w:right="921"/>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5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2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10"/>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159,217</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151,670</w:t>
            </w:r>
          </w:p>
        </w:tc>
        <w:tc>
          <w:tcPr>
            <w:tcW w:w="15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 xml:space="preserve">5.0 % </w:t>
            </w: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312,439</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305,732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43"/>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8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114,906</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109,699</w:t>
            </w:r>
          </w:p>
        </w:tc>
        <w:tc>
          <w:tcPr>
            <w:tcW w:w="15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4.7 %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230,780</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199,806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15.5 %</w:t>
            </w:r>
          </w:p>
        </w:tc>
      </w:tr>
      <w:tr>
        <w:trPr>
          <w:trHeight w:val="210"/>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274,123</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261,369</w:t>
            </w:r>
          </w:p>
        </w:tc>
        <w:tc>
          <w:tcPr>
            <w:tcW w:w="15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 xml:space="preserve">4.9 % </w:t>
            </w: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543,219</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505,538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7.5 %</w:t>
            </w:r>
          </w:p>
        </w:tc>
      </w:tr>
    </w:tbl>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a comparison of 2023 Net revenues, excluding currency translation effects, to 2022 Net revenues: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2"/>
        </w:trPr>
        <w:tc>
          <w:tcPr>
            <w:tcW w:w="30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(Decrease)/increase</w:t>
            </w:r>
          </w:p>
        </w:tc>
        <w:tc>
          <w:tcPr>
            <w:tcW w:w="15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Q2 2023 revenues on</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Net revenues as</w:t>
            </w:r>
          </w:p>
        </w:tc>
        <w:tc>
          <w:tcPr>
            <w:tcW w:w="160" w:type="dxa"/>
            <w:vAlign w:val="bottom"/>
          </w:tcPr>
          <w:p>
            <w:pPr>
              <w:spacing w:after="0"/>
              <w:rPr>
                <w:sz w:val="11"/>
                <w:szCs w:val="11"/>
                <w:color w:val="auto"/>
              </w:rPr>
            </w:pPr>
          </w:p>
        </w:tc>
        <w:tc>
          <w:tcPr>
            <w:tcW w:w="1380" w:type="dxa"/>
            <w:vAlign w:val="bottom"/>
          </w:tcPr>
          <w:p>
            <w:pPr>
              <w:jc w:val="center"/>
              <w:ind w:right="43"/>
              <w:spacing w:after="0" w:line="135" w:lineRule="exact"/>
              <w:rPr>
                <w:sz w:val="20"/>
                <w:szCs w:val="20"/>
                <w:color w:val="auto"/>
              </w:rPr>
            </w:pPr>
            <w:r>
              <w:rPr>
                <w:rFonts w:ascii="Arial" w:cs="Arial" w:eastAsia="Arial" w:hAnsi="Arial"/>
                <w:sz w:val="14"/>
                <w:szCs w:val="14"/>
                <w:b w:val="1"/>
                <w:bCs w:val="1"/>
                <w:color w:val="auto"/>
              </w:rPr>
              <w:t>due to changes in</w:t>
            </w:r>
          </w:p>
        </w:tc>
        <w:tc>
          <w:tcPr>
            <w:tcW w:w="140" w:type="dxa"/>
            <w:vAlign w:val="bottom"/>
          </w:tcPr>
          <w:p>
            <w:pPr>
              <w:spacing w:after="0"/>
              <w:rPr>
                <w:sz w:val="11"/>
                <w:szCs w:val="11"/>
                <w:color w:val="auto"/>
              </w:rPr>
            </w:pPr>
          </w:p>
        </w:tc>
        <w:tc>
          <w:tcPr>
            <w:tcW w:w="136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rPr>
              <w:t>same basis as Q2</w:t>
            </w:r>
          </w:p>
        </w:tc>
        <w:tc>
          <w:tcPr>
            <w:tcW w:w="140" w:type="dxa"/>
            <w:vAlign w:val="bottom"/>
          </w:tcPr>
          <w:p>
            <w:pPr>
              <w:spacing w:after="0"/>
              <w:rPr>
                <w:sz w:val="11"/>
                <w:szCs w:val="11"/>
                <w:color w:val="auto"/>
              </w:rPr>
            </w:pPr>
          </w:p>
        </w:tc>
        <w:tc>
          <w:tcPr>
            <w:tcW w:w="13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Net revenues as</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currency translation</w:t>
            </w:r>
          </w:p>
        </w:tc>
        <w:tc>
          <w:tcPr>
            <w:tcW w:w="140" w:type="dxa"/>
            <w:vAlign w:val="bottom"/>
          </w:tcPr>
          <w:p>
            <w:pPr>
              <w:spacing w:after="0"/>
              <w:rPr>
                <w:sz w:val="12"/>
                <w:szCs w:val="12"/>
                <w:color w:val="auto"/>
              </w:rPr>
            </w:pPr>
          </w:p>
        </w:tc>
        <w:tc>
          <w:tcPr>
            <w:tcW w:w="13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2022 currency</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 Q2 2022, excluding</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reported, Q2 2023</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rates</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rPr>
              <w:t>translation rates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reported, Q2 2022</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159,217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160,095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151,670</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57"/>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7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114,906</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113,834</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109,699</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274,123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273,929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261,369</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rPr>
              <w:t>(Decrease) due to</w:t>
            </w:r>
          </w:p>
        </w:tc>
        <w:tc>
          <w:tcPr>
            <w:tcW w:w="15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YTD 2023 revenues</w:t>
            </w: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Net revenues as</w:t>
            </w:r>
          </w:p>
        </w:tc>
        <w:tc>
          <w:tcPr>
            <w:tcW w:w="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ind w:right="84"/>
              <w:spacing w:after="0" w:line="148" w:lineRule="exact"/>
              <w:rPr>
                <w:sz w:val="20"/>
                <w:szCs w:val="20"/>
                <w:color w:val="auto"/>
              </w:rPr>
            </w:pPr>
            <w:r>
              <w:rPr>
                <w:rFonts w:ascii="Arial" w:cs="Arial" w:eastAsia="Arial" w:hAnsi="Arial"/>
                <w:sz w:val="14"/>
                <w:szCs w:val="14"/>
                <w:b w:val="1"/>
                <w:bCs w:val="1"/>
                <w:color w:val="auto"/>
              </w:rPr>
              <w:t>on same basis as</w:t>
            </w:r>
          </w:p>
        </w:tc>
        <w:tc>
          <w:tcPr>
            <w:tcW w:w="140" w:type="dxa"/>
            <w:vAlign w:val="bottom"/>
          </w:tcPr>
          <w:p>
            <w:pPr>
              <w:spacing w:after="0"/>
              <w:rPr>
                <w:sz w:val="12"/>
                <w:szCs w:val="12"/>
                <w:color w:val="auto"/>
              </w:rPr>
            </w:pPr>
          </w:p>
        </w:tc>
        <w:tc>
          <w:tcPr>
            <w:tcW w:w="134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rPr>
              <w:t>Net revenues as</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changes in currency</w:t>
            </w:r>
          </w:p>
        </w:tc>
        <w:tc>
          <w:tcPr>
            <w:tcW w:w="140" w:type="dxa"/>
            <w:vAlign w:val="bottom"/>
          </w:tcPr>
          <w:p>
            <w:pPr>
              <w:spacing w:after="0"/>
              <w:rPr>
                <w:sz w:val="11"/>
                <w:szCs w:val="11"/>
                <w:color w:val="auto"/>
              </w:rPr>
            </w:pPr>
          </w:p>
        </w:tc>
        <w:tc>
          <w:tcPr>
            <w:tcW w:w="1360" w:type="dxa"/>
            <w:vAlign w:val="bottom"/>
          </w:tcPr>
          <w:p>
            <w:pPr>
              <w:jc w:val="center"/>
              <w:ind w:right="84"/>
              <w:spacing w:after="0" w:line="135" w:lineRule="exact"/>
              <w:rPr>
                <w:sz w:val="20"/>
                <w:szCs w:val="20"/>
                <w:color w:val="auto"/>
              </w:rPr>
            </w:pPr>
            <w:r>
              <w:rPr>
                <w:rFonts w:ascii="Arial" w:cs="Arial" w:eastAsia="Arial" w:hAnsi="Arial"/>
                <w:sz w:val="14"/>
                <w:szCs w:val="14"/>
                <w:b w:val="1"/>
                <w:bCs w:val="1"/>
                <w:color w:val="auto"/>
              </w:rPr>
              <w:t>2022 currency</w:t>
            </w:r>
          </w:p>
        </w:tc>
        <w:tc>
          <w:tcPr>
            <w:tcW w:w="1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to 2022, excluding</w:t>
            </w:r>
          </w:p>
        </w:tc>
        <w:tc>
          <w:tcPr>
            <w:tcW w:w="0" w:type="dxa"/>
            <w:vAlign w:val="bottom"/>
          </w:tcPr>
          <w:p>
            <w:pPr>
              <w:spacing w:after="0"/>
              <w:rPr>
                <w:sz w:val="1"/>
                <w:szCs w:val="1"/>
                <w:color w:val="auto"/>
              </w:rPr>
            </w:pPr>
          </w:p>
        </w:tc>
      </w:tr>
      <w:tr>
        <w:trPr>
          <w:trHeight w:val="201"/>
        </w:trPr>
        <w:tc>
          <w:tcPr>
            <w:tcW w:w="3040" w:type="dxa"/>
            <w:vAlign w:val="bottom"/>
            <w:tcBorders>
              <w:bottom w:val="single" w:sz="8" w:color="auto"/>
            </w:tcBorders>
            <w:vMerge w:val="continue"/>
          </w:tcPr>
          <w:p>
            <w:pPr>
              <w:spacing w:after="0"/>
              <w:rPr>
                <w:sz w:val="17"/>
                <w:szCs w:val="17"/>
                <w:color w:val="auto"/>
              </w:rPr>
            </w:pPr>
          </w:p>
        </w:tc>
        <w:tc>
          <w:tcPr>
            <w:tcW w:w="206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reported, YTD 2023</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translation rates</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translation rates</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reported, YTD 2022</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11"/>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312,439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316,785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305,732</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7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230,780</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231,204</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199,806</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543,219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547,989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505,538</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1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Net revenues increased 4.9% compared to the same period in 2022, and overall were largely unaffected by changes in currency translation rates. MC's, net revenues increased 5.0% compared to the second quarter of 2022, driven by higher net revenues in packaging, tissue and pulp grades, partially offset by decreases in Engineered Fabrics. AEC's net revenues increased 4.7%, primarily driven by growth in LEAP programs and other commercial programs, offset by lower CH-53K sales.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Changes in currency translation rates had the effect of decreasing Net revenues by $4.8 million, driven by a weaker Euro and Renminbi as compared to 2022. Excluding the effect of changes in currency translation rates:</w:t>
      </w:r>
    </w:p>
    <w:p>
      <w:pPr>
        <w:spacing w:after="0" w:line="6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Net revenues increased 8.4% compared to the same period in 2022.</w:t>
      </w:r>
    </w:p>
    <w:p>
      <w:pPr>
        <w:spacing w:after="0" w:line="117" w:lineRule="exact"/>
        <w:rPr>
          <w:rFonts w:ascii="Arial" w:cs="Arial" w:eastAsia="Arial" w:hAnsi="Arial"/>
          <w:sz w:val="18"/>
          <w:szCs w:val="18"/>
          <w:b w:val="1"/>
          <w:bCs w:val="1"/>
          <w:color w:val="auto"/>
        </w:rPr>
      </w:pPr>
    </w:p>
    <w:p>
      <w:pPr>
        <w:ind w:left="980" w:hanging="324"/>
        <w:spacing w:after="0" w:line="275" w:lineRule="auto"/>
        <w:tabs>
          <w:tab w:leader="none" w:pos="9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Net revenues in MC increased 3.6% compared to the first six months of 2022, primarily due to growth in revenues for packaging and tissue grades, partially offset by decreases in Engineered Fabrics.</w:t>
      </w:r>
    </w:p>
    <w:p>
      <w:pPr>
        <w:spacing w:after="0" w:line="65"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revenues in AEC increased 15.7%, primarily due to growth on LEAP, CH-53K, and JSF programs.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80,919</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78,857</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158,774</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158,202</w:t>
            </w:r>
          </w:p>
        </w:tc>
      </w:tr>
      <w:tr>
        <w:trPr>
          <w:trHeight w:val="256"/>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21,785</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21,736</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43,248</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33,995</w:t>
            </w:r>
          </w:p>
        </w:tc>
      </w:tr>
      <w:tr>
        <w:trPr>
          <w:trHeight w:val="21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102,704</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100,593</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202,022</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192,197</w:t>
            </w:r>
          </w:p>
        </w:tc>
      </w:tr>
      <w:tr>
        <w:trPr>
          <w:trHeight w:val="237"/>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revenues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37.5 %</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38.5 %</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37.2 %</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38.0 %</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7" w:lineRule="exact"/>
        <w:rPr>
          <w:sz w:val="20"/>
          <w:szCs w:val="20"/>
          <w:color w:val="auto"/>
        </w:rPr>
      </w:pPr>
    </w:p>
    <w:p>
      <w:pPr>
        <w:ind w:left="340" w:right="1440"/>
        <w:spacing w:after="0" w:line="275" w:lineRule="auto"/>
        <w:rPr>
          <w:sz w:val="20"/>
          <w:szCs w:val="20"/>
          <w:color w:val="auto"/>
        </w:rPr>
      </w:pPr>
      <w:r>
        <w:rPr>
          <w:rFonts w:ascii="Arial" w:cs="Arial" w:eastAsia="Arial" w:hAnsi="Arial"/>
          <w:sz w:val="18"/>
          <w:szCs w:val="18"/>
          <w:color w:val="auto"/>
        </w:rPr>
        <w:t>The increase in 2023 Gross profit, as compared to the same period last year, was driven by strong continued execution at MC, despite several headwinds. Gross profit as a percentage of revenues:</w:t>
      </w:r>
    </w:p>
    <w:p>
      <w:pPr>
        <w:spacing w:after="0" w:line="66" w:lineRule="exact"/>
        <w:rPr>
          <w:sz w:val="20"/>
          <w:szCs w:val="20"/>
          <w:color w:val="auto"/>
        </w:rPr>
      </w:pPr>
    </w:p>
    <w:p>
      <w:pPr>
        <w:ind w:left="660" w:hanging="328"/>
        <w:spacing w:after="0" w:line="275"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MC's gross profit margin decreased from 52.0% in 2022 to 50.8% in 2023, due to an increase in input costs, mainly due to the inflationary environment, and lower absorption.</w:t>
      </w:r>
    </w:p>
    <w:p>
      <w:pPr>
        <w:spacing w:after="0" w:line="65" w:lineRule="exact"/>
        <w:rPr>
          <w:rFonts w:ascii="Arial" w:cs="Arial" w:eastAsia="Arial" w:hAnsi="Arial"/>
          <w:sz w:val="18"/>
          <w:szCs w:val="18"/>
          <w:b w:val="1"/>
          <w:bCs w:val="1"/>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AEC's gross profit margin decreased from 19.8% in 2022 to 19.0% in 2023, driven by an unfavorable shift in program revenue mix, coupled with unfavorable changes in the estimated profitability of long-term contracts, which decreased operating income by $1.9 million in 2023 and increased operating income by $1.2 million in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Six month comparison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Gross profit during the first half of 2023, as compared to the same period in 2022, was due to growth in LEAP and CH-</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53K programs at AEC. Gross profit as a percentage of revenues:</w:t>
      </w:r>
    </w:p>
    <w:p>
      <w:pPr>
        <w:spacing w:after="0" w:line="10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MC's gross profit margin decreased from 51.7% in 2022 to 50.8% in 2023, due to an increase in input costs.</w:t>
      </w:r>
    </w:p>
    <w:p>
      <w:pPr>
        <w:spacing w:after="0" w:line="117" w:lineRule="exact"/>
        <w:rPr>
          <w:rFonts w:ascii="Arial" w:cs="Arial" w:eastAsia="Arial" w:hAnsi="Arial"/>
          <w:sz w:val="18"/>
          <w:szCs w:val="18"/>
          <w:b w:val="1"/>
          <w:bCs w:val="1"/>
          <w:color w:val="auto"/>
        </w:rPr>
      </w:pPr>
    </w:p>
    <w:p>
      <w:pPr>
        <w:ind w:left="660" w:hanging="328"/>
        <w:spacing w:after="0" w:line="258"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AEC's gross profit margin increased from 17.0% in 2022 to 18.7% in 2023, driven by significant growth in revenues in the first quarter of 2023, primarily on the CH-53K, LEAP and other commercial programs. In addition, gross profit margin increased as a result of improved overhead absorption and the absence of a $2 million raw material reserve on damaged inventory, as compared to prior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gridSpan w:val="3"/>
          </w:tcPr>
          <w:p>
            <w:pPr>
              <w:jc w:val="right"/>
              <w:ind w:right="341"/>
              <w:spacing w:after="0"/>
              <w:rPr>
                <w:sz w:val="20"/>
                <w:szCs w:val="20"/>
                <w:color w:val="auto"/>
              </w:rPr>
            </w:pPr>
            <w:r>
              <w:rPr>
                <w:rFonts w:ascii="Arial" w:cs="Arial" w:eastAsia="Arial" w:hAnsi="Arial"/>
                <w:sz w:val="14"/>
                <w:szCs w:val="14"/>
                <w:b w:val="1"/>
                <w:bCs w:val="1"/>
                <w:color w:val="auto"/>
              </w:rPr>
              <w:t>Six months ended June 30,</w:t>
            </w:r>
          </w:p>
        </w:tc>
      </w:tr>
      <w:tr>
        <w:trPr>
          <w:trHeight w:val="212"/>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27,068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24,009</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55,939</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53,486</w:t>
            </w:r>
          </w:p>
        </w:tc>
      </w:tr>
      <w:tr>
        <w:trPr>
          <w:trHeight w:val="257"/>
        </w:trPr>
        <w:tc>
          <w:tcPr>
            <w:tcW w:w="58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20" w:type="dxa"/>
            <w:vAlign w:val="bottom"/>
          </w:tcPr>
          <w:p>
            <w:pPr>
              <w:spacing w:after="0"/>
              <w:rPr>
                <w:sz w:val="22"/>
                <w:szCs w:val="22"/>
                <w:color w:val="auto"/>
              </w:rPr>
            </w:pPr>
          </w:p>
        </w:tc>
        <w:tc>
          <w:tcPr>
            <w:tcW w:w="1120" w:type="dxa"/>
            <w:vAlign w:val="bottom"/>
          </w:tcPr>
          <w:p>
            <w:pPr>
              <w:jc w:val="right"/>
              <w:ind w:right="122"/>
              <w:spacing w:after="0"/>
              <w:rPr>
                <w:sz w:val="20"/>
                <w:szCs w:val="20"/>
                <w:color w:val="auto"/>
              </w:rPr>
            </w:pPr>
            <w:r>
              <w:rPr>
                <w:rFonts w:ascii="Arial" w:cs="Arial" w:eastAsia="Arial" w:hAnsi="Arial"/>
                <w:sz w:val="16"/>
                <w:szCs w:val="16"/>
                <w:b w:val="1"/>
                <w:bCs w:val="1"/>
                <w:color w:val="auto"/>
              </w:rPr>
              <w:t>13,117</w:t>
            </w:r>
          </w:p>
        </w:tc>
        <w:tc>
          <w:tcPr>
            <w:tcW w:w="320" w:type="dxa"/>
            <w:vAlign w:val="bottom"/>
          </w:tcPr>
          <w:p>
            <w:pPr>
              <w:spacing w:after="0"/>
              <w:rPr>
                <w:sz w:val="22"/>
                <w:szCs w:val="22"/>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12,202</w:t>
            </w:r>
          </w:p>
        </w:tc>
        <w:tc>
          <w:tcPr>
            <w:tcW w:w="260" w:type="dxa"/>
            <w:vAlign w:val="bottom"/>
          </w:tcPr>
          <w:p>
            <w:pPr>
              <w:spacing w:after="0"/>
              <w:rPr>
                <w:sz w:val="22"/>
                <w:szCs w:val="22"/>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b w:val="1"/>
                <w:bCs w:val="1"/>
                <w:color w:val="auto"/>
              </w:rPr>
              <w:t>25,162</w:t>
            </w:r>
          </w:p>
        </w:tc>
        <w:tc>
          <w:tcPr>
            <w:tcW w:w="300" w:type="dxa"/>
            <w:vAlign w:val="bottom"/>
          </w:tcPr>
          <w:p>
            <w:pPr>
              <w:spacing w:after="0"/>
              <w:rPr>
                <w:sz w:val="22"/>
                <w:szCs w:val="22"/>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23,266</w:t>
            </w:r>
          </w:p>
        </w:tc>
      </w:tr>
      <w:tr>
        <w:trPr>
          <w:trHeight w:val="216"/>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16,893</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13,695</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34,733</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25,750</w:t>
            </w:r>
          </w:p>
        </w:tc>
      </w:tr>
      <w:tr>
        <w:trPr>
          <w:trHeight w:val="237"/>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57,078</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49,906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115,834</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102,502</w:t>
            </w:r>
          </w:p>
        </w:tc>
      </w:tr>
      <w:tr>
        <w:trPr>
          <w:trHeight w:val="209"/>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of Net revenues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20.8 %</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21.3 %</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20.3 %</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7" w:lineRule="exact"/>
        <w:rPr>
          <w:sz w:val="20"/>
          <w:szCs w:val="20"/>
          <w:color w:val="auto"/>
        </w:rPr>
      </w:pPr>
    </w:p>
    <w:p>
      <w:pPr>
        <w:ind w:left="340"/>
        <w:spacing w:after="0" w:line="275" w:lineRule="auto"/>
        <w:rPr>
          <w:sz w:val="20"/>
          <w:szCs w:val="20"/>
          <w:color w:val="auto"/>
        </w:rPr>
      </w:pPr>
      <w:r>
        <w:rPr>
          <w:rFonts w:ascii="Arial" w:cs="Arial" w:eastAsia="Arial" w:hAnsi="Arial"/>
          <w:sz w:val="18"/>
          <w:szCs w:val="18"/>
          <w:color w:val="auto"/>
        </w:rPr>
        <w:t>Consolidated STG&amp;R expenses increased 14.4% as compared to 2022, and as a percentage of revenues increased from 19.1% in 2022 to 20.8% in 2023.</w:t>
      </w:r>
    </w:p>
    <w:p>
      <w:pPr>
        <w:spacing w:after="0" w:line="66" w:lineRule="exact"/>
        <w:rPr>
          <w:sz w:val="20"/>
          <w:szCs w:val="20"/>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 MC, changes in currency translation rates had the effect of increasing STG&amp;R by $2.4 million over the prior year. In addition, customer credit loss reserves were $0.6 million higher in 2023 as compared to 2022, as the prior year included the reversal of a large reserve related to our announced cessation of doing business in Russia.</w:t>
      </w:r>
    </w:p>
    <w:p>
      <w:pPr>
        <w:spacing w:after="0" w:line="75" w:lineRule="exact"/>
        <w:rPr>
          <w:rFonts w:ascii="Arial" w:cs="Arial" w:eastAsia="Arial" w:hAnsi="Arial"/>
          <w:sz w:val="18"/>
          <w:szCs w:val="18"/>
          <w:b w:val="1"/>
          <w:bCs w:val="1"/>
          <w:color w:val="auto"/>
        </w:rPr>
      </w:pPr>
    </w:p>
    <w:p>
      <w:pPr>
        <w:ind w:left="660" w:hanging="328"/>
        <w:spacing w:after="0" w:line="27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AEC, Selling and general expenses increased $1.0 million related to investments in business development, including an increase in marketing and trade show activities.</w:t>
      </w:r>
    </w:p>
    <w:p>
      <w:pPr>
        <w:spacing w:after="0" w:line="65"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STG&amp;R expenses increased $3.2 million, principally due to higher professional fees, including acquisition-related expenses, personnel-related costs, and software subscription fees.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7" w:lineRule="exact"/>
        <w:rPr>
          <w:sz w:val="20"/>
          <w:szCs w:val="20"/>
          <w:color w:val="auto"/>
        </w:rPr>
      </w:pPr>
    </w:p>
    <w:p>
      <w:pPr>
        <w:ind w:left="340"/>
        <w:spacing w:after="0" w:line="275" w:lineRule="auto"/>
        <w:rPr>
          <w:sz w:val="20"/>
          <w:szCs w:val="20"/>
          <w:color w:val="auto"/>
        </w:rPr>
      </w:pPr>
      <w:r>
        <w:rPr>
          <w:rFonts w:ascii="Arial" w:cs="Arial" w:eastAsia="Arial" w:hAnsi="Arial"/>
          <w:sz w:val="18"/>
          <w:szCs w:val="18"/>
          <w:color w:val="auto"/>
        </w:rPr>
        <w:t>The overall increase in STG&amp;R expenses in the first six months of 2023, compared to the same period in 2022, was due to the net effect of the following:</w:t>
      </w:r>
    </w:p>
    <w:p>
      <w:pPr>
        <w:spacing w:after="0" w:line="66" w:lineRule="exact"/>
        <w:rPr>
          <w:sz w:val="20"/>
          <w:szCs w:val="20"/>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MC, changes in currency translation rates had the effect of increasing STG&amp;R by $3.3 million over the prior year, which was partially offset by $0.5 million lower customer credit loss reserves in 2023. Credit loss reserves were larger during 2022 related to the dissolution of business relationships in Russia.</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AEC, Selling and general expenses increased $1.0 million related to investments in business development, including an increase in marketing and trade show activities, as well as an increase of $0.5 million in Research expense related to investments in new technologies and enhanced capabilities.</w:t>
      </w:r>
    </w:p>
    <w:p>
      <w:pPr>
        <w:spacing w:after="0" w:line="75"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STG&amp;R expenses increased $9.0 million principally due to higher professional fees, including acquisition-related expenses, personnel-related costs, and software subscription fees.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 net</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expense, net, of $0.1 million in both the three and six months ended June 30, 2023, and was related primarily to the winding down of restructuring actions taken in prior periods.</w:t>
      </w:r>
    </w:p>
    <w:p>
      <w:pPr>
        <w:sectPr>
          <w:pgSz w:w="11900" w:h="16838" w:orient="portrait"/>
          <w:cols w:equalWidth="0" w:num="1">
            <w:col w:w="11240"/>
          </w:cols>
          <w:pgMar w:left="320" w:top="10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Operating Income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 Clothing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53,726</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54,861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102,690</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104,505</w:t>
            </w:r>
          </w:p>
        </w:tc>
      </w:tr>
      <w:tr>
        <w:trPr>
          <w:trHeight w:val="216"/>
        </w:trPr>
        <w:tc>
          <w:tcPr>
            <w:tcW w:w="624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8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8,668</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9,535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18,086</w:t>
            </w:r>
          </w:p>
        </w:tc>
        <w:tc>
          <w:tcPr>
            <w:tcW w:w="3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10,730</w:t>
            </w:r>
          </w:p>
        </w:tc>
      </w:tr>
      <w:tr>
        <w:trPr>
          <w:trHeight w:val="216"/>
        </w:trPr>
        <w:tc>
          <w:tcPr>
            <w:tcW w:w="6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(16,893)</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(13,681)</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(34,733)</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(25,766)</w:t>
            </w:r>
          </w:p>
        </w:tc>
      </w:tr>
      <w:tr>
        <w:trPr>
          <w:trHeight w:val="20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45,501</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50,715</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86,043</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89,469</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r>
      <w:tr>
        <w:trPr>
          <w:trHeight w:val="20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3,106</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6,396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7,542</w:t>
            </w:r>
          </w:p>
        </w:tc>
      </w:tr>
      <w:tr>
        <w:trPr>
          <w:trHeight w:val="216"/>
        </w:trPr>
        <w:tc>
          <w:tcPr>
            <w:tcW w:w="6260" w:type="dxa"/>
            <w:vAlign w:val="bottom"/>
          </w:tcPr>
          <w:p>
            <w:pPr>
              <w:ind w:left="20"/>
              <w:spacing w:after="0"/>
              <w:rPr>
                <w:sz w:val="20"/>
                <w:szCs w:val="20"/>
                <w:color w:val="auto"/>
              </w:rPr>
            </w:pPr>
            <w:r>
              <w:rPr>
                <w:rFonts w:ascii="Arial" w:cs="Arial" w:eastAsia="Arial" w:hAnsi="Arial"/>
                <w:sz w:val="16"/>
                <w:szCs w:val="16"/>
                <w:color w:val="auto"/>
              </w:rPr>
              <w:t>Other (income)/expense, net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(4,511)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(7,045)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(4,966)</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(10,973)</w:t>
            </w: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20,080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30,701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25,456</w:t>
            </w:r>
          </w:p>
        </w:tc>
      </w:tr>
      <w:tr>
        <w:trPr>
          <w:trHeight w:val="216"/>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noncontrolling interest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154</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351</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506</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expense/(income), net</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expense/(income), net, decreased over the prior year as a result of higher interest earned on Cash and cash equivalents, in addition to decreased interest expense on finance leases. See the Working Capital, Liquidity and Capital Structure section for further discussion of borrowings and interest rates.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127"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color w:val="auto"/>
        </w:rPr>
        <w:t>Other (income)/expense, net, included foreign currency related transactions which resulted in gains of $4.2 million and $4.1 million in the three and six months ended June 30, 2023, respectively, as compared to gains of $7.3 million and $11.0 million in the same period last year. The stronger Euro and Mexican Peso during 2023, relative to the same period last year, led to smaller gains on foreign currency related transactions.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expense/(benefit)</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tax rate is affected by recurring items, such as the income tax rate in the U.S. and non-U.S. jurisdictions and the mix of income earned in those jurisdictions. The tax rate is also affected by U.S. tax costs on foreign earnings, and by discrete items that may occur in any given year but are not consistent from year to year. The Company’s effective tax rate for the second quarter of 2023 was 42.8%, higher compared to 26.9% for the same period in 2022, mainly due to unfavorable discrete tax adjustments in the current period. For the first half of 2023, the Company's effective tax rate was 36.3%, higher compared to 27.4% for the same period in 2022, mainly due to unfavorable discrete tax adjustments in the current year. For more information, see </w:t>
      </w:r>
      <w:r>
        <w:rPr>
          <w:rFonts w:ascii="Arial" w:cs="Arial" w:eastAsia="Arial" w:hAnsi="Arial"/>
          <w:sz w:val="18"/>
          <w:szCs w:val="18"/>
          <w:i w:val="1"/>
          <w:iCs w:val="1"/>
          <w:color w:val="auto"/>
        </w:rPr>
        <w:t>Note 5. Income Taxes</w:t>
      </w:r>
      <w:r>
        <w:rPr>
          <w:rFonts w:ascii="Arial" w:cs="Arial" w:eastAsia="Arial" w:hAnsi="Arial"/>
          <w:sz w:val="18"/>
          <w:szCs w:val="18"/>
          <w:color w:val="auto"/>
        </w:rPr>
        <w:t xml:space="preserve"> in the Notes to the Consolidated Financial Statements.</w:t>
      </w:r>
    </w:p>
    <w:p>
      <w:pPr>
        <w:sectPr>
          <w:pgSz w:w="11900" w:h="16838" w:orient="portrait"/>
          <w:cols w:equalWidth="0" w:num="1">
            <w:col w:w="11240"/>
          </w:cols>
          <w:pgMar w:left="320" w:top="10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Machine Clothing is our primary business segment and accounted for 58% of our consolidated revenues during the first six months of 2023. MC products are purchased primarily by manufacturers of paper and paperboard. We feel we are well-positioned in these markets, with high-quality, low-cost production in growth markets, substantially lower fixed costs in mature markets, and continued strength in new product development, technical product support, and manufacturing technology. Technological advances in paper machine clothing, while contributing to the papermaking efficiency of customers, have lengthened the useful life of many of our products and had an adverse impact on overall paper machine clothing demand. Additionally, we face pricing pressures in all of our markets.</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Company’s manufacturing and product platforms position us well to meet these shifting demands across product grades and geographic regions. Our strategy for meeting these challenges continues to be to grow share in all markets, with new products and technology and selective business acquisitions, and to maintain and grow our manufacturing footprint to align with global demand, while we offset the effects of inflation through continuous productivity improvement. As noted in the above </w:t>
      </w:r>
      <w:r>
        <w:rPr>
          <w:rFonts w:ascii="Arial" w:cs="Arial" w:eastAsia="Arial" w:hAnsi="Arial"/>
          <w:sz w:val="18"/>
          <w:szCs w:val="18"/>
          <w:i w:val="1"/>
          <w:iCs w:val="1"/>
          <w:color w:val="auto"/>
        </w:rPr>
        <w:t>Business Environment Overview and Trends</w:t>
      </w:r>
      <w:r>
        <w:rPr>
          <w:rFonts w:ascii="Arial" w:cs="Arial" w:eastAsia="Arial" w:hAnsi="Arial"/>
          <w:sz w:val="18"/>
          <w:szCs w:val="18"/>
          <w:color w:val="auto"/>
        </w:rPr>
        <w:t xml:space="preserve"> section, on June 14, 2023, the Company entered into an agreement to acquire Heimbach, a privately-held manufacturer of paper machine clothing and technical textiles located in Düren, Germany, which is expected to enhance the Company's scale and geographic footprint, provide complimentary technology, and create a differentiated manufacturing, sales and service network.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159,217</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151,670</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312,439</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305,732</w:t>
            </w:r>
          </w:p>
        </w:tc>
      </w:tr>
      <w:tr>
        <w:trPr>
          <w:trHeight w:val="243"/>
        </w:trPr>
        <w:tc>
          <w:tcPr>
            <w:tcW w:w="56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1"/>
                <w:szCs w:val="21"/>
                <w:color w:val="auto"/>
              </w:rPr>
            </w:pPr>
          </w:p>
        </w:tc>
        <w:tc>
          <w:tcPr>
            <w:tcW w:w="1160" w:type="dxa"/>
            <w:vAlign w:val="bottom"/>
          </w:tcPr>
          <w:p>
            <w:pPr>
              <w:jc w:val="right"/>
              <w:ind w:right="142"/>
              <w:spacing w:after="0"/>
              <w:rPr>
                <w:sz w:val="20"/>
                <w:szCs w:val="20"/>
                <w:color w:val="auto"/>
              </w:rPr>
            </w:pPr>
            <w:r>
              <w:rPr>
                <w:rFonts w:ascii="Arial" w:cs="Arial" w:eastAsia="Arial" w:hAnsi="Arial"/>
                <w:sz w:val="16"/>
                <w:szCs w:val="16"/>
                <w:b w:val="1"/>
                <w:bCs w:val="1"/>
                <w:color w:val="auto"/>
              </w:rPr>
              <w:t>80,919</w:t>
            </w:r>
          </w:p>
        </w:tc>
        <w:tc>
          <w:tcPr>
            <w:tcW w:w="320" w:type="dxa"/>
            <w:vAlign w:val="bottom"/>
          </w:tcPr>
          <w:p>
            <w:pPr>
              <w:spacing w:after="0"/>
              <w:rPr>
                <w:sz w:val="21"/>
                <w:szCs w:val="21"/>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78,857</w:t>
            </w:r>
          </w:p>
        </w:tc>
        <w:tc>
          <w:tcPr>
            <w:tcW w:w="300" w:type="dxa"/>
            <w:vAlign w:val="bottom"/>
          </w:tcPr>
          <w:p>
            <w:pPr>
              <w:spacing w:after="0"/>
              <w:rPr>
                <w:sz w:val="21"/>
                <w:szCs w:val="21"/>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158,774</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158,202</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revenues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50.8 %</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52.0 %</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50.8 %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51.7 %</w:t>
            </w:r>
          </w:p>
        </w:tc>
      </w:tr>
      <w:tr>
        <w:trPr>
          <w:trHeight w:val="257"/>
        </w:trPr>
        <w:tc>
          <w:tcPr>
            <w:tcW w:w="566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240" w:type="dxa"/>
            <w:vAlign w:val="bottom"/>
          </w:tcPr>
          <w:p>
            <w:pPr>
              <w:spacing w:after="0"/>
              <w:rPr>
                <w:sz w:val="22"/>
                <w:szCs w:val="22"/>
                <w:color w:val="auto"/>
              </w:rPr>
            </w:pPr>
          </w:p>
        </w:tc>
        <w:tc>
          <w:tcPr>
            <w:tcW w:w="1160" w:type="dxa"/>
            <w:vAlign w:val="bottom"/>
          </w:tcPr>
          <w:p>
            <w:pPr>
              <w:jc w:val="right"/>
              <w:ind w:right="142"/>
              <w:spacing w:after="0"/>
              <w:rPr>
                <w:sz w:val="20"/>
                <w:szCs w:val="20"/>
                <w:color w:val="auto"/>
              </w:rPr>
            </w:pPr>
            <w:r>
              <w:rPr>
                <w:rFonts w:ascii="Arial" w:cs="Arial" w:eastAsia="Arial" w:hAnsi="Arial"/>
                <w:sz w:val="16"/>
                <w:szCs w:val="16"/>
                <w:b w:val="1"/>
                <w:bCs w:val="1"/>
                <w:color w:val="auto"/>
              </w:rPr>
              <w:t>27,068</w:t>
            </w:r>
          </w:p>
        </w:tc>
        <w:tc>
          <w:tcPr>
            <w:tcW w:w="320" w:type="dxa"/>
            <w:vAlign w:val="bottom"/>
          </w:tcPr>
          <w:p>
            <w:pPr>
              <w:spacing w:after="0"/>
              <w:rPr>
                <w:sz w:val="22"/>
                <w:szCs w:val="22"/>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24,009</w:t>
            </w:r>
          </w:p>
        </w:tc>
        <w:tc>
          <w:tcPr>
            <w:tcW w:w="300" w:type="dxa"/>
            <w:vAlign w:val="bottom"/>
          </w:tcPr>
          <w:p>
            <w:pPr>
              <w:spacing w:after="0"/>
              <w:rPr>
                <w:sz w:val="22"/>
                <w:szCs w:val="22"/>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55,939</w:t>
            </w:r>
          </w:p>
        </w:tc>
        <w:tc>
          <w:tcPr>
            <w:tcW w:w="320" w:type="dxa"/>
            <w:vAlign w:val="bottom"/>
          </w:tcPr>
          <w:p>
            <w:pPr>
              <w:spacing w:after="0"/>
              <w:rPr>
                <w:sz w:val="22"/>
                <w:szCs w:val="22"/>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53,486</w:t>
            </w:r>
          </w:p>
        </w:tc>
      </w:tr>
      <w:tr>
        <w:trPr>
          <w:trHeight w:val="216"/>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53,726</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54,861</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102,690</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104,505</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Net revenues increased by 5.0%. Changes in currency translation rates, driven by a weaker Renminbi, had the effect of decreasing second quarter 2023 revenues by $0.9 million. Excluding the effect of changes in translation rates, net revenues in MC increased 5.6% compared to the second quarter of 2022, driven by higher net revenues in packaging, tissue and pulp grades, partially offset by decreases in Engineered Fabrics.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Net revenues increased by 2.2%. Changes in currency translation rates, driven by a weaker Euro and Renminbi, had the effect of decreasing 2023 revenues by $4.3 million compared to the same period in 2022. Excluding the effect of changes in currency translation rates, Net revenues in MC increased 3.6% compared to 2022, primarily due to growth in revenues for packaging and tissue grades, partially offset by decreases in Engineered Fabrics.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MC delivered higher Gross profit in the three and six months ended June 30, 2023 as compared to the prior year, though it experienced some reduction in gross margin on account of increased input costs and lower overhead absorption.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income decreased year-over-year, as the favorability in Gross profit was more than offset by higher STG&amp;R expenses.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in currency translation rates had the effect of increasing STG&amp;R by $2.4 million and $3.3 million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2023, respectively,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Albany Engineered Composites ("AEC") Segment</w:t>
      </w:r>
    </w:p>
    <w:p>
      <w:pPr>
        <w:spacing w:after="0" w:line="2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The AEC segment provides highly engineered, advanced composite structures to customers in the commercial and defense aerospace industries. The segment includes Albany Safran Composites, LLC (“ASC”), in which our customer, SAFRAN Group, owns a 10 percent</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noncontrolling interest. AEC, through ASC, is the exclusive supplier to the LEAP program of advanced composite fan blades and fan cases under a long-term supply contract. The LEAP engine is used on the Airbus A320neo, Boeing 737 MAX, and COMAC 919 aircraft. Other significant programs by AEC include the Sikorsky CH-53K, F-35, JASSM, and Boeing 787 programs. AEC also supplies vacuum waste tanks for the Boeing 7-Series programs, and specialty components for the Rolls Royce lift fan on the F-35, as well as the fan case for the GE9X engine.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3"/>
          </w:tcPr>
          <w:p>
            <w:pPr>
              <w:jc w:val="right"/>
              <w:ind w:right="301"/>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bottom w:val="single" w:sz="8" w:color="auto"/>
            </w:tcBorders>
          </w:tcPr>
          <w:p>
            <w:pPr>
              <w:spacing w:after="0"/>
              <w:rPr>
                <w:sz w:val="18"/>
                <w:szCs w:val="18"/>
                <w:color w:val="auto"/>
              </w:rPr>
            </w:pPr>
          </w:p>
        </w:tc>
        <w:tc>
          <w:tcPr>
            <w:tcW w:w="2500" w:type="dxa"/>
            <w:vAlign w:val="bottom"/>
            <w:tcBorders>
              <w:top w:val="single" w:sz="8" w:color="auto"/>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114,906</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109,699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230,780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199,806</w:t>
            </w:r>
          </w:p>
        </w:tc>
      </w:tr>
      <w:tr>
        <w:trPr>
          <w:trHeight w:val="257"/>
        </w:trPr>
        <w:tc>
          <w:tcPr>
            <w:tcW w:w="56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2"/>
                <w:szCs w:val="22"/>
                <w:color w:val="auto"/>
              </w:rPr>
            </w:pPr>
          </w:p>
        </w:tc>
        <w:tc>
          <w:tcPr>
            <w:tcW w:w="1160" w:type="dxa"/>
            <w:vAlign w:val="bottom"/>
          </w:tcPr>
          <w:p>
            <w:pPr>
              <w:jc w:val="right"/>
              <w:ind w:right="142"/>
              <w:spacing w:after="0"/>
              <w:rPr>
                <w:sz w:val="20"/>
                <w:szCs w:val="20"/>
                <w:color w:val="auto"/>
              </w:rPr>
            </w:pPr>
            <w:r>
              <w:rPr>
                <w:rFonts w:ascii="Arial" w:cs="Arial" w:eastAsia="Arial" w:hAnsi="Arial"/>
                <w:sz w:val="16"/>
                <w:szCs w:val="16"/>
                <w:b w:val="1"/>
                <w:bCs w:val="1"/>
                <w:color w:val="auto"/>
              </w:rPr>
              <w:t>21,785</w:t>
            </w:r>
          </w:p>
        </w:tc>
        <w:tc>
          <w:tcPr>
            <w:tcW w:w="320" w:type="dxa"/>
            <w:vAlign w:val="bottom"/>
          </w:tcPr>
          <w:p>
            <w:pPr>
              <w:spacing w:after="0"/>
              <w:rPr>
                <w:sz w:val="22"/>
                <w:szCs w:val="22"/>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21,736</w:t>
            </w:r>
          </w:p>
        </w:tc>
        <w:tc>
          <w:tcPr>
            <w:tcW w:w="300" w:type="dxa"/>
            <w:vAlign w:val="bottom"/>
          </w:tcPr>
          <w:p>
            <w:pPr>
              <w:spacing w:after="0"/>
              <w:rPr>
                <w:sz w:val="22"/>
                <w:szCs w:val="22"/>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43,248</w:t>
            </w:r>
          </w:p>
        </w:tc>
        <w:tc>
          <w:tcPr>
            <w:tcW w:w="320" w:type="dxa"/>
            <w:vAlign w:val="bottom"/>
          </w:tcPr>
          <w:p>
            <w:pPr>
              <w:spacing w:after="0"/>
              <w:rPr>
                <w:sz w:val="22"/>
                <w:szCs w:val="22"/>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33,995</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of Net revenues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19.0 %</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18.7 %</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r>
      <w:tr>
        <w:trPr>
          <w:trHeight w:val="243"/>
        </w:trPr>
        <w:tc>
          <w:tcPr>
            <w:tcW w:w="566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240" w:type="dxa"/>
            <w:vAlign w:val="bottom"/>
          </w:tcPr>
          <w:p>
            <w:pPr>
              <w:spacing w:after="0"/>
              <w:rPr>
                <w:sz w:val="21"/>
                <w:szCs w:val="21"/>
                <w:color w:val="auto"/>
              </w:rPr>
            </w:pPr>
          </w:p>
        </w:tc>
        <w:tc>
          <w:tcPr>
            <w:tcW w:w="1160" w:type="dxa"/>
            <w:vAlign w:val="bottom"/>
          </w:tcPr>
          <w:p>
            <w:pPr>
              <w:jc w:val="right"/>
              <w:ind w:right="142"/>
              <w:spacing w:after="0"/>
              <w:rPr>
                <w:sz w:val="20"/>
                <w:szCs w:val="20"/>
                <w:color w:val="auto"/>
              </w:rPr>
            </w:pPr>
            <w:r>
              <w:rPr>
                <w:rFonts w:ascii="Arial" w:cs="Arial" w:eastAsia="Arial" w:hAnsi="Arial"/>
                <w:sz w:val="16"/>
                <w:szCs w:val="16"/>
                <w:b w:val="1"/>
                <w:bCs w:val="1"/>
                <w:color w:val="auto"/>
              </w:rPr>
              <w:t>13,117</w:t>
            </w:r>
          </w:p>
        </w:tc>
        <w:tc>
          <w:tcPr>
            <w:tcW w:w="320" w:type="dxa"/>
            <w:vAlign w:val="bottom"/>
          </w:tcPr>
          <w:p>
            <w:pPr>
              <w:spacing w:after="0"/>
              <w:rPr>
                <w:sz w:val="21"/>
                <w:szCs w:val="21"/>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12,202</w:t>
            </w:r>
          </w:p>
        </w:tc>
        <w:tc>
          <w:tcPr>
            <w:tcW w:w="300" w:type="dxa"/>
            <w:vAlign w:val="bottom"/>
          </w:tcPr>
          <w:p>
            <w:pPr>
              <w:spacing w:after="0"/>
              <w:rPr>
                <w:sz w:val="21"/>
                <w:szCs w:val="21"/>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b w:val="1"/>
                <w:bCs w:val="1"/>
                <w:color w:val="auto"/>
              </w:rPr>
              <w:t>25,162</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23,266</w:t>
            </w:r>
          </w:p>
        </w:tc>
      </w:tr>
      <w:tr>
        <w:trPr>
          <w:trHeight w:val="216"/>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8,668</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9,535</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b w:val="1"/>
                <w:bCs w:val="1"/>
                <w:color w:val="auto"/>
              </w:rPr>
              <w:t>18,086</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10,730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1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For the three months ended June 30, 2023, net revenues increased 4.7% compared to the prior year, driven by growth in LEAP programs. Excluding the effect of changes in currency translation rates, the increase in Net revenues was 3.8%.</w:t>
      </w:r>
    </w:p>
    <w:p>
      <w:pPr>
        <w:spacing w:after="0" w:line="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For the six months ended June 30, 2023, net revenues in AEC increased 15.5%, primarily due to growth on LEAP, CH-53K, and JSF programs. Excluding the effect of changes in currency translation rates, the increase in Net revenues was 15.7%.</w:t>
      </w:r>
    </w:p>
    <w:p>
      <w:pPr>
        <w:spacing w:after="0" w:line="66"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agreement. Revenue earned under these arrangements accounted for approximately 40 percent of segment revenue for the first six months of 2023 and 2022.</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June 30, 2023, Gross profit remained largely in line with the prior year, and as a percentage of revenues decreased from 19.8% in 2022 to 19.0% in 2023, driven by an unfavorable shift in program revenue mix, coupled with unfavorable changes in the estimated profitability of long-term contracts.</w:t>
      </w:r>
    </w:p>
    <w:p>
      <w:pPr>
        <w:spacing w:after="0" w:line="7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For the six months ended June 30, 2023, Gross profit increased $9.3 million and as a percentage of revenues increased from 17.0% in the prior year to 18.7% in 2023. The increase was driven by a significant growth in revenues in the first quarter of 2023, primarily on the CH-53K, LEAP and other commercial programs, with improved overhead absorption and reductions in raw material reserves as compared to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For the three months ended June 30, 2023, Operating income decreased $0.9 million, principally due to an increase in Selling, general, and research expenses, as described above.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8" w:name="page29"/>
    <w:bookmarkEnd w:id="28"/>
    <w:p>
      <w:pPr>
        <w:jc w:val="both"/>
        <w:ind w:firstLine="324"/>
        <w:spacing w:after="0" w:line="275" w:lineRule="auto"/>
        <w:rPr>
          <w:sz w:val="20"/>
          <w:szCs w:val="20"/>
          <w:color w:val="auto"/>
        </w:rPr>
      </w:pPr>
      <w:r>
        <w:rPr>
          <w:rFonts w:ascii="Arial" w:cs="Arial" w:eastAsia="Arial" w:hAnsi="Arial"/>
          <w:sz w:val="18"/>
          <w:szCs w:val="18"/>
          <w:color w:val="auto"/>
        </w:rPr>
        <w:t>For the six months ended June 30, 2023, Operating income increased $7.3 million, principally due to higher Net revenues and Gross profit, as described above, partially offset by higher Selling, general and Research expenses.</w:t>
      </w:r>
    </w:p>
    <w:p>
      <w:pPr>
        <w:spacing w:after="0" w:line="6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Changes in the estimated profitability of long-term contracts decreased operating income by $1.9 million for the second quarter of 2023 and decreased operating income $ 4.0 million for the first half of 2023. For the 2022 year, adjustments in the estimated profitability of long-term contracts increased operating income by $1.2 million in the second quarter and decreased operating income by $0.6 million for the first half of the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Liquidity and Capital Structure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r>
      <w:tr>
        <w:trPr>
          <w:trHeight w:val="212"/>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r>
      <w:tr>
        <w:trPr>
          <w:trHeight w:val="20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53,912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67,444</w:t>
            </w:r>
          </w:p>
        </w:tc>
      </w:tr>
      <w:tr>
        <w:trPr>
          <w:trHeight w:val="216"/>
        </w:trPr>
        <w:tc>
          <w:tcPr>
            <w:tcW w:w="86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35,317</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34,874</w:t>
            </w:r>
          </w:p>
        </w:tc>
      </w:tr>
      <w:tr>
        <w:trPr>
          <w:trHeight w:val="216"/>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working capital (a)</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(71,524)</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(63,679)</w:t>
            </w:r>
          </w:p>
        </w:tc>
      </w:tr>
      <w:tr>
        <w:trPr>
          <w:trHeight w:val="216"/>
        </w:trPr>
        <w:tc>
          <w:tcPr>
            <w:tcW w:w="8640" w:type="dxa"/>
            <w:vAlign w:val="bottom"/>
          </w:tcPr>
          <w:p>
            <w:pPr>
              <w:ind w:left="140"/>
              <w:spacing w:after="0"/>
              <w:rPr>
                <w:sz w:val="20"/>
                <w:szCs w:val="20"/>
                <w:color w:val="auto"/>
              </w:rPr>
            </w:pPr>
            <w:r>
              <w:rPr>
                <w:rFonts w:ascii="Arial" w:cs="Arial" w:eastAsia="Arial" w:hAnsi="Arial"/>
                <w:sz w:val="16"/>
                <w:szCs w:val="16"/>
                <w:color w:val="auto"/>
              </w:rPr>
              <w:t>Changes in other noncurrent liabilities and deferred taxes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(656)</w:t>
            </w:r>
          </w:p>
        </w:tc>
      </w:tr>
      <w:tr>
        <w:trPr>
          <w:trHeight w:val="216"/>
        </w:trPr>
        <w:tc>
          <w:tcPr>
            <w:tcW w:w="8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operating items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(2,895)</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50"/>
        </w:trPr>
        <w:tc>
          <w:tcPr>
            <w:tcW w:w="86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14,675</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37,713</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(34,971)</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(36,025)</w:t>
            </w:r>
          </w:p>
        </w:tc>
      </w:tr>
      <w:tr>
        <w:trPr>
          <w:trHeight w:val="243"/>
        </w:trPr>
        <w:tc>
          <w:tcPr>
            <w:tcW w:w="864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29,294</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35,404</w:t>
            </w:r>
          </w:p>
        </w:tc>
      </w:tr>
      <w:tr>
        <w:trPr>
          <w:trHeight w:val="216"/>
        </w:trPr>
        <w:tc>
          <w:tcPr>
            <w:tcW w:w="8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(18,258)</w:t>
            </w:r>
          </w:p>
        </w:tc>
      </w:tr>
      <w:tr>
        <w:trPr>
          <w:trHeight w:val="237"/>
        </w:trPr>
        <w:tc>
          <w:tcPr>
            <w:tcW w:w="8640" w:type="dxa"/>
            <w:vAlign w:val="bottom"/>
          </w:tcPr>
          <w:p>
            <w:pPr>
              <w:ind w:left="20"/>
              <w:spacing w:after="0"/>
              <w:rPr>
                <w:sz w:val="20"/>
                <w:szCs w:val="20"/>
                <w:color w:val="auto"/>
              </w:rPr>
            </w:pPr>
            <w:r>
              <w:rPr>
                <w:rFonts w:ascii="Arial" w:cs="Arial" w:eastAsia="Arial" w:hAnsi="Arial"/>
                <w:sz w:val="16"/>
                <w:szCs w:val="16"/>
                <w:color w:val="auto"/>
              </w:rPr>
              <w:t>Increase in cash and cash equivalents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9,140</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18,834</w:t>
            </w:r>
          </w:p>
        </w:tc>
      </w:tr>
      <w:tr>
        <w:trPr>
          <w:trHeight w:val="216"/>
        </w:trPr>
        <w:tc>
          <w:tcPr>
            <w:tcW w:w="8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291,776</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302,036</w:t>
            </w:r>
          </w:p>
        </w:tc>
      </w:tr>
      <w:tr>
        <w:trPr>
          <w:trHeight w:val="250"/>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300,916</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320,870</w:t>
            </w:r>
          </w:p>
        </w:tc>
      </w:tr>
    </w:tbl>
    <w:p>
      <w:pPr>
        <w:spacing w:after="0" w:line="71"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Accounts payable, and Accrued liabilities.</w:t>
      </w:r>
    </w:p>
    <w:p>
      <w:pPr>
        <w:spacing w:after="0" w:line="15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operating activities was $14.7 million in 2023, compared to $37.7 million in the same period last year. Such decrease was primarily due to AEC's investment in working capital, as we continue to execute on the expanded CH-53K scope of work and build-up inventory to position ourselves for ongoing demand on the LEAP program.</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deploy our cash with a focus on investing in our business and new technologies to provide our customers with enhanced capabilities, increase shareholder value, and position ourselves to take advantage of new business opportunities as they arise. Based on such strategy, we have continued to invest in our business and technologies through capital expenditures, research and development, and when appropriate, selective business acquisitions. Net cash used in investing activities consisted of capital expenditures totaling $35.0 million and</w:t>
      </w: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$36.0 million for the first six months of 2023 and 2022, respectively, comprised of both sustaining and return seeking projects. In the recent past, a portion of our capital expenditures consisted of investments to improve operational productivity, in addition to producing a meaningful impact on energy and resource efficiency.</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Net cash provided by financing activities during 2023 was $29.3 million compared to $35.4 million in 2022. The decrease was, in part, due to the absence of share repurchases in the current year, which resulted in lower borrowings from the revolving credit facility.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Structure</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finance our business activities principally with cash generated from operations and borrowings, largely through our revolving credit agreement as discussed below. Our subsidiaries outside of the United States may also maintain working capital lines with local banks, but borrowings under such local facilities tend to be insignificant.</w:t>
      </w:r>
    </w:p>
    <w:p>
      <w:pPr>
        <w:spacing w:after="0" w:line="7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Under our $700 million unsecured Amended Credit Agreement, $487.0 million of borrowings were outstanding as of June 30, 2023. As of June 30, 2023, we had cash and cash equivalents of $301 million and available borrowings under our Amended Credit Agreement of $ 213 million, for a total liquidity of approximately $514 million. We believe cash flows from operations and the availability of funds under our Amended Credit Agreement will be adequate to cover our operations and business needs over the next twelve months. For more information on the revolving credit agreement, see </w:t>
      </w:r>
      <w:r>
        <w:rPr>
          <w:rFonts w:ascii="Arial" w:cs="Arial" w:eastAsia="Arial" w:hAnsi="Arial"/>
          <w:sz w:val="18"/>
          <w:szCs w:val="18"/>
          <w:i w:val="1"/>
          <w:iCs w:val="1"/>
          <w:color w:val="auto"/>
        </w:rPr>
        <w:t>Note 13. Financial Instruments</w:t>
      </w:r>
      <w:r>
        <w:rPr>
          <w:rFonts w:ascii="Arial" w:cs="Arial" w:eastAsia="Arial" w:hAnsi="Arial"/>
          <w:sz w:val="18"/>
          <w:szCs w:val="18"/>
          <w:color w:val="auto"/>
        </w:rPr>
        <w:t xml:space="preserve"> in the Notes to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9" w:name="page30"/>
    <w:bookmarkEnd w:id="29"/>
    <w:p>
      <w:pPr>
        <w:jc w:val="both"/>
        <w:ind w:firstLine="324"/>
        <w:spacing w:after="0" w:line="255" w:lineRule="auto"/>
        <w:rPr>
          <w:sz w:val="20"/>
          <w:szCs w:val="20"/>
          <w:color w:val="auto"/>
        </w:rPr>
      </w:pPr>
      <w:r>
        <w:rPr>
          <w:rFonts w:ascii="Arial" w:cs="Arial" w:eastAsia="Arial" w:hAnsi="Arial"/>
          <w:sz w:val="18"/>
          <w:szCs w:val="18"/>
          <w:color w:val="auto"/>
        </w:rPr>
        <w:t>As of June 30, 2023, $284 million of our total cash and cash equivalents were held by non-U.S. subsidiaries. The accumulated undistributed earnings of the Company’s foreign operations not targeted for repatriation to the U.S. were in excess of $201 million at June 30, 2023, and are intended to remain indefinitely invested in foreign operations.</w:t>
      </w:r>
    </w:p>
    <w:p>
      <w:pPr>
        <w:jc w:val="both"/>
        <w:spacing w:after="0" w:line="256" w:lineRule="auto"/>
        <w:rPr>
          <w:sz w:val="20"/>
          <w:szCs w:val="20"/>
          <w:color w:val="auto"/>
        </w:rPr>
      </w:pPr>
      <w:r>
        <w:rPr>
          <w:rFonts w:ascii="Arial" w:cs="Arial" w:eastAsia="Arial" w:hAnsi="Arial"/>
          <w:sz w:val="18"/>
          <w:szCs w:val="18"/>
          <w:color w:val="auto"/>
        </w:rPr>
        <w:t>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may also result in additional withholding taxes.</w:t>
      </w:r>
    </w:p>
    <w:p>
      <w:pPr>
        <w:spacing w:after="0" w:line="21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On June 14, 2023, the Company entered into an agreement to acquire Heimbach, a privately-held manufacturer of paper machine clothing and technical textiles located in Düren, Germany. The Company will acquire Heimbach for a purchase price of approximately €153 million, including net debt of approximately €21 million. Albany expects to fund the acquisition and acquisition-related costs using cash on hand. The transaction is subject to regulatory approvals and other customary closing conditions.</w:t>
      </w:r>
    </w:p>
    <w:p>
      <w:pPr>
        <w:spacing w:after="0" w:line="2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We have also returned cash to shareholders through dividends and share repurchases. During the first six months of 2023, we paid $15.6 million in dividends and had no share repurchases.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party to certain off-balance sheet arrangements, including certain guarantees. The Company provides financial assurance, such as letters of credit and surety bonds, primarily to support workers’ compensation programs and customs clearance, of less than $5 million. There were no material changes in the Company’s off-balance sheet arrangements during 2023.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Form 10-Q contains certain non-GAAP measures that should not be considered in isolation or as a substitute for the related GAAP measures. Such non-GAAP measures include net revenues and percent change in net revenues, excluding the impact of currency translation effects; EBITDA, Adjusted EBITDA, and Adjusted EBITDA margin; Net debt; Net leverage ratio; and Adjusted earnings per share (or Adjusted EPS). Management believes that these non-GAAP measures provide additional useful information to investors regarding the Company’s operational performance.</w:t>
      </w:r>
    </w:p>
    <w:p>
      <w:pPr>
        <w:spacing w:after="0" w:line="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Presenting Net revenues and change in Net revenues, after currency effects are excluded, provides management and investors insight into underlying revenues trends. Net revenues, or percent changes in net revenues, excluding currency rate effects, are calculated by converting amounts reported in local currencies into U.S. dollars at the exchange rate of a prior period. These amounts are then compared to the U.S. dollar amount as reported in the current period.</w:t>
      </w:r>
    </w:p>
    <w:p>
      <w:pPr>
        <w:spacing w:after="0" w:line="8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EBITDA (calculated as net income excluding interest, income taxes, depreciation and amortization), Adjusted EBITDA, and Adjusted EPS are performance measures that relate to the Company’s continuing operations. The Company defines Adjusted EBITDA as EBITDA excluding costs or benefits that are not reflective of the Company’s ongoing or expected future operational performance. Such excluded costs or benefits do not consist of normal, recurring cash items necessary to generate revenues or operate our business. Adjusted EBITDA margin represents Adjusted EBITDA expressed as a percentage of net revenues.</w:t>
      </w:r>
    </w:p>
    <w:p>
      <w:pPr>
        <w:spacing w:after="0" w:line="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Company defines Adjusted EPS as basic earnings per share (GAAP), adjusted by the after tax per share amount of costs or benefits not reflective of the Company’s ongoing or expected future operational performance. The income tax effects are calculated using the applicable statutory income tax rate of the jurisdictions where such costs or benefits were incurred or the effective tax rate applicable to total company results.</w:t>
      </w:r>
    </w:p>
    <w:p>
      <w:pPr>
        <w:spacing w:after="0" w:line="8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The Company’s Adjusted EBITDA, Adjusted EBITDA margin, and Adjusted EPS may not be comparable to similarly titled measures of other companies.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debt aids investors in understanding the Company’s debt position if all available cash were applied to pay down indebtedness.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Net leverage ratio informs the investors of the Company's financial leverage at the end of the reporting period, providing an indicator of the Company's ability to repay its debt.</w:t>
      </w:r>
    </w:p>
    <w:p>
      <w:pPr>
        <w:spacing w:after="0" w:line="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We encourage investors to review our financial statements and publicly-filed reports in their entirety and not to rely on any single financial measure.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June 30,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5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center"/>
              <w:ind w:right="101"/>
              <w:spacing w:after="0" w:line="143" w:lineRule="exact"/>
              <w:rPr>
                <w:sz w:val="20"/>
                <w:szCs w:val="20"/>
                <w:color w:val="auto"/>
              </w:rPr>
            </w:pPr>
            <w:r>
              <w:rPr>
                <w:rFonts w:ascii="Arial" w:cs="Arial" w:eastAsia="Arial" w:hAnsi="Arial"/>
                <w:sz w:val="14"/>
                <w:szCs w:val="14"/>
                <w:b w:val="1"/>
                <w:bCs w:val="1"/>
                <w:color w:val="auto"/>
              </w:rPr>
              <w:t>Albany Engineered</w:t>
            </w:r>
          </w:p>
        </w:tc>
        <w:tc>
          <w:tcPr>
            <w:tcW w:w="3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tcPr>
          <w:p>
            <w:pPr>
              <w:jc w:val="center"/>
              <w:ind w:right="241"/>
              <w:spacing w:after="0" w:line="143" w:lineRule="exact"/>
              <w:rPr>
                <w:sz w:val="20"/>
                <w:szCs w:val="20"/>
                <w:color w:val="auto"/>
              </w:rPr>
            </w:pPr>
            <w:r>
              <w:rPr>
                <w:rFonts w:ascii="Arial" w:cs="Arial" w:eastAsia="Arial" w:hAnsi="Arial"/>
                <w:sz w:val="14"/>
                <w:szCs w:val="14"/>
                <w:b w:val="1"/>
                <w:bCs w:val="1"/>
                <w:color w:val="auto"/>
              </w:rPr>
              <w:t>Corporate expenses</w:t>
            </w: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Composites</w:t>
            </w: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53,726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8,668</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(35,568)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26,826</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100" w:type="dxa"/>
            <w:vAlign w:val="bottom"/>
          </w:tcPr>
          <w:p>
            <w:pPr>
              <w:jc w:val="right"/>
              <w:ind w:right="1"/>
              <w:spacing w:after="0"/>
              <w:rPr>
                <w:sz w:val="20"/>
                <w:szCs w:val="20"/>
                <w:color w:val="auto"/>
              </w:rPr>
            </w:pPr>
            <w:r>
              <w:rPr>
                <w:rFonts w:ascii="Arial" w:cs="Arial" w:eastAsia="Arial" w:hAnsi="Arial"/>
                <w:sz w:val="16"/>
                <w:szCs w:val="16"/>
                <w:color w:val="auto"/>
              </w:rPr>
              <w:t>3,106</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3,106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20,080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20,080</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4,931</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12,072</w:t>
            </w:r>
          </w:p>
        </w:tc>
        <w:tc>
          <w:tcPr>
            <w:tcW w:w="3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947</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17,950</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58,657</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20,740</w:t>
            </w: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(11,435)</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67,962</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1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271</w:t>
            </w:r>
          </w:p>
        </w:tc>
        <w:tc>
          <w:tcPr>
            <w:tcW w:w="300" w:type="dxa"/>
            <w:vAlign w:val="bottom"/>
          </w:tcPr>
          <w:p>
            <w:pPr>
              <w:spacing w:after="0"/>
              <w:rPr>
                <w:sz w:val="18"/>
                <w:szCs w:val="18"/>
                <w:color w:val="auto"/>
              </w:rPr>
            </w:pPr>
          </w:p>
        </w:tc>
        <w:tc>
          <w:tcPr>
            <w:tcW w:w="2100" w:type="dxa"/>
            <w:vAlign w:val="bottom"/>
          </w:tcPr>
          <w:p>
            <w:pPr>
              <w:jc w:val="right"/>
              <w:ind w:right="1"/>
              <w:spacing w:after="0"/>
              <w:rPr>
                <w:sz w:val="20"/>
                <w:szCs w:val="20"/>
                <w:color w:val="auto"/>
              </w:rPr>
            </w:pPr>
            <w:r>
              <w:rPr>
                <w:rFonts w:ascii="Arial" w:cs="Arial" w:eastAsia="Arial" w:hAnsi="Arial"/>
                <w:sz w:val="16"/>
                <w:szCs w:val="16"/>
                <w:color w:val="auto"/>
              </w:rPr>
              <w:t>363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Pre-tax (income) attributable to noncontrolling</w:t>
            </w:r>
          </w:p>
        </w:tc>
        <w:tc>
          <w:tcPr>
            <w:tcW w:w="3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300" w:type="dxa"/>
            <w:vAlign w:val="bottom"/>
            <w:shd w:val="clear" w:color="auto" w:fill="CCEEFF"/>
          </w:tcPr>
          <w:p>
            <w:pPr>
              <w:spacing w:after="0"/>
              <w:rPr>
                <w:sz w:val="14"/>
                <w:szCs w:val="14"/>
                <w:color w:val="auto"/>
              </w:rPr>
            </w:pPr>
          </w:p>
        </w:tc>
        <w:tc>
          <w:tcPr>
            <w:tcW w:w="21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59,348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20,932</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(15,257)</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65,023</w:t>
            </w:r>
          </w:p>
        </w:tc>
        <w:tc>
          <w:tcPr>
            <w:tcW w:w="0" w:type="dxa"/>
            <w:vAlign w:val="bottom"/>
          </w:tcPr>
          <w:p>
            <w:pPr>
              <w:spacing w:after="0"/>
              <w:rPr>
                <w:sz w:val="1"/>
                <w:szCs w:val="1"/>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June 30, 2022</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5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Pr>
          <w:p>
            <w:pPr>
              <w:spacing w:after="0"/>
              <w:rPr>
                <w:sz w:val="12"/>
                <w:szCs w:val="12"/>
                <w:color w:val="auto"/>
              </w:rPr>
            </w:pPr>
          </w:p>
        </w:tc>
        <w:tc>
          <w:tcPr>
            <w:tcW w:w="16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Albany Engineered</w:t>
            </w:r>
          </w:p>
        </w:tc>
        <w:tc>
          <w:tcPr>
            <w:tcW w:w="300" w:type="dxa"/>
            <w:vAlign w:val="bottom"/>
          </w:tcPr>
          <w:p>
            <w:pPr>
              <w:spacing w:after="0"/>
              <w:rPr>
                <w:sz w:val="12"/>
                <w:szCs w:val="12"/>
                <w:color w:val="auto"/>
              </w:rPr>
            </w:pPr>
          </w:p>
        </w:tc>
        <w:tc>
          <w:tcPr>
            <w:tcW w:w="210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rPr>
              <w:t>Corporate expenses</w:t>
            </w:r>
          </w:p>
        </w:tc>
        <w:tc>
          <w:tcPr>
            <w:tcW w:w="220" w:type="dxa"/>
            <w:vAlign w:val="bottom"/>
          </w:tcPr>
          <w:p>
            <w:pPr>
              <w:spacing w:after="0"/>
              <w:rPr>
                <w:sz w:val="12"/>
                <w:szCs w:val="12"/>
                <w:color w:val="auto"/>
              </w:rPr>
            </w:pPr>
          </w:p>
        </w:tc>
        <w:tc>
          <w:tcPr>
            <w:tcW w:w="14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6"/>
        </w:trPr>
        <w:tc>
          <w:tcPr>
            <w:tcW w:w="35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Composites</w:t>
            </w:r>
          </w:p>
        </w:tc>
        <w:tc>
          <w:tcPr>
            <w:tcW w:w="3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54,861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9,535</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(25,027)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39,369</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100" w:type="dxa"/>
            <w:vAlign w:val="bottom"/>
          </w:tcPr>
          <w:p>
            <w:pPr>
              <w:jc w:val="right"/>
              <w:ind w:right="1"/>
              <w:spacing w:after="0"/>
              <w:rPr>
                <w:sz w:val="20"/>
                <w:szCs w:val="20"/>
                <w:color w:val="auto"/>
              </w:rPr>
            </w:pPr>
            <w:r>
              <w:rPr>
                <w:rFonts w:ascii="Arial" w:cs="Arial" w:eastAsia="Arial" w:hAnsi="Arial"/>
                <w:sz w:val="16"/>
                <w:szCs w:val="16"/>
                <w:color w:val="auto"/>
              </w:rPr>
              <w:t>3,933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3,933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14,458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14,458</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4,880</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11,450</w:t>
            </w:r>
          </w:p>
        </w:tc>
        <w:tc>
          <w:tcPr>
            <w:tcW w:w="3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782</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17,112</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59,741</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20,985</w:t>
            </w: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(5,854)</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74,872</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10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210</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(7,271)</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(8,877)</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269</w:t>
            </w:r>
          </w:p>
        </w:tc>
        <w:tc>
          <w:tcPr>
            <w:tcW w:w="300" w:type="dxa"/>
            <w:vAlign w:val="bottom"/>
          </w:tcPr>
          <w:p>
            <w:pPr>
              <w:spacing w:after="0"/>
              <w:rPr>
                <w:sz w:val="18"/>
                <w:szCs w:val="18"/>
                <w:color w:val="auto"/>
              </w:rPr>
            </w:pPr>
          </w:p>
        </w:tc>
        <w:tc>
          <w:tcPr>
            <w:tcW w:w="21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Pre-tax (income) attributable to noncontrolling</w:t>
            </w:r>
          </w:p>
        </w:tc>
        <w:tc>
          <w:tcPr>
            <w:tcW w:w="3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300" w:type="dxa"/>
            <w:vAlign w:val="bottom"/>
            <w:shd w:val="clear" w:color="auto" w:fill="CCEEFF"/>
          </w:tcPr>
          <w:p>
            <w:pPr>
              <w:spacing w:after="0"/>
              <w:rPr>
                <w:sz w:val="14"/>
                <w:szCs w:val="14"/>
                <w:color w:val="auto"/>
              </w:rPr>
            </w:pPr>
          </w:p>
        </w:tc>
        <w:tc>
          <w:tcPr>
            <w:tcW w:w="21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57,895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21,259</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(13,123)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66,031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Six months ended June 30,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center"/>
              <w:ind w:right="80"/>
              <w:spacing w:after="0" w:line="157"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jc w:val="center"/>
              <w:ind w:right="220"/>
              <w:spacing w:after="0" w:line="157"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102,690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18,086</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(66,864)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53,912</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6,396</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6,396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30,701</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30,701</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9,706</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23,736</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35,317</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112,396</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41,822</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(27,892)</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126,326</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145</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540</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363</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168"/>
        </w:trPr>
        <w:tc>
          <w:tcPr>
            <w:tcW w:w="35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Pre-tax (income) attributable to noncontrolling</w:t>
            </w:r>
          </w:p>
        </w:tc>
        <w:tc>
          <w:tcPr>
            <w:tcW w:w="3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320" w:type="dxa"/>
            <w:vAlign w:val="bottom"/>
            <w:shd w:val="clear" w:color="auto" w:fill="CCEEFF"/>
          </w:tcPr>
          <w:p>
            <w:pPr>
              <w:spacing w:after="0"/>
              <w:rPr>
                <w:sz w:val="14"/>
                <w:szCs w:val="14"/>
                <w:color w:val="auto"/>
              </w:rPr>
            </w:pPr>
          </w:p>
        </w:tc>
        <w:tc>
          <w:tcPr>
            <w:tcW w:w="2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115,067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41,961</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(31,654)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125,374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Six months ended June 30, 2022</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5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Pr>
          <w:p>
            <w:pPr>
              <w:spacing w:after="0"/>
              <w:rPr>
                <w:sz w:val="12"/>
                <w:szCs w:val="12"/>
                <w:color w:val="auto"/>
              </w:rPr>
            </w:pPr>
          </w:p>
        </w:tc>
        <w:tc>
          <w:tcPr>
            <w:tcW w:w="1580" w:type="dxa"/>
            <w:vAlign w:val="bottom"/>
          </w:tcPr>
          <w:p>
            <w:pPr>
              <w:jc w:val="center"/>
              <w:ind w:right="80"/>
              <w:spacing w:after="0" w:line="143"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Pr>
          <w:p>
            <w:pPr>
              <w:spacing w:after="0"/>
              <w:rPr>
                <w:sz w:val="12"/>
                <w:szCs w:val="12"/>
                <w:color w:val="auto"/>
              </w:rPr>
            </w:pPr>
          </w:p>
        </w:tc>
        <w:tc>
          <w:tcPr>
            <w:tcW w:w="2080" w:type="dxa"/>
            <w:vAlign w:val="bottom"/>
          </w:tcPr>
          <w:p>
            <w:pPr>
              <w:jc w:val="center"/>
              <w:ind w:right="220"/>
              <w:spacing w:after="0" w:line="143"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Pr>
          <w:p>
            <w:pPr>
              <w:spacing w:after="0"/>
              <w:rPr>
                <w:sz w:val="12"/>
                <w:szCs w:val="12"/>
                <w:color w:val="auto"/>
              </w:rPr>
            </w:pPr>
          </w:p>
        </w:tc>
        <w:tc>
          <w:tcPr>
            <w:tcW w:w="14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201"/>
        </w:trPr>
        <w:tc>
          <w:tcPr>
            <w:tcW w:w="35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104,505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10,730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(47,791)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67,444</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7,542</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7,542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25,456</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25,456</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9,803</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23,489</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34,874</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114,308</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34,219</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(13,211)</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135,316</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213</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(11,011)</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(11,137)</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1,787</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781</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2,568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165"/>
        </w:trPr>
        <w:tc>
          <w:tcPr>
            <w:tcW w:w="3500" w:type="dxa"/>
            <w:vAlign w:val="bottom"/>
          </w:tcPr>
          <w:p>
            <w:pPr>
              <w:ind w:left="20"/>
              <w:spacing w:after="0" w:line="165" w:lineRule="exact"/>
              <w:rPr>
                <w:sz w:val="20"/>
                <w:szCs w:val="20"/>
                <w:color w:val="auto"/>
              </w:rPr>
            </w:pPr>
            <w:r>
              <w:rPr>
                <w:rFonts w:ascii="Arial" w:cs="Arial" w:eastAsia="Arial" w:hAnsi="Arial"/>
                <w:sz w:val="16"/>
                <w:szCs w:val="16"/>
                <w:color w:val="auto"/>
              </w:rPr>
              <w:t>Pre-tax (income) attributable to noncontrolling</w:t>
            </w:r>
          </w:p>
        </w:tc>
        <w:tc>
          <w:tcPr>
            <w:tcW w:w="3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(457)</w:t>
            </w:r>
          </w:p>
        </w:tc>
        <w:tc>
          <w:tcPr>
            <w:tcW w:w="320" w:type="dxa"/>
            <w:vAlign w:val="bottom"/>
          </w:tcPr>
          <w:p>
            <w:pPr>
              <w:spacing w:after="0"/>
              <w:rPr>
                <w:sz w:val="14"/>
                <w:szCs w:val="14"/>
                <w:color w:val="auto"/>
              </w:rPr>
            </w:pPr>
          </w:p>
        </w:tc>
        <w:tc>
          <w:tcPr>
            <w:tcW w:w="2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115,549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34,946</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(23,428)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127,067</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insights into the underlying quarterly earnings and are financial performance metrics commonly used by investors. The Company calculates the quarterly per-share amount for items included in continuing operations by using the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June 30, 2023</w:t>
            </w:r>
          </w:p>
        </w:tc>
        <w:tc>
          <w:tcPr>
            <w:tcW w:w="15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Pre tax</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Tax</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After tax</w:t>
            </w: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Per share</w:t>
            </w:r>
          </w:p>
        </w:tc>
      </w:tr>
      <w:tr>
        <w:trPr>
          <w:trHeight w:val="18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Effect</w:t>
            </w: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542"/>
              <w:spacing w:after="0"/>
              <w:rPr>
                <w:sz w:val="20"/>
                <w:szCs w:val="20"/>
                <w:color w:val="auto"/>
              </w:rPr>
            </w:pPr>
            <w:r>
              <w:rPr>
                <w:rFonts w:ascii="Arial" w:cs="Arial" w:eastAsia="Arial" w:hAnsi="Arial"/>
                <w:sz w:val="16"/>
                <w:szCs w:val="16"/>
                <w:color w:val="auto"/>
                <w:w w:val="96"/>
              </w:rPr>
              <w:t>0.00</w:t>
            </w:r>
          </w:p>
        </w:tc>
      </w:tr>
      <w:tr>
        <w:trPr>
          <w:trHeight w:val="254"/>
        </w:trPr>
        <w:tc>
          <w:tcPr>
            <w:tcW w:w="47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1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(3,486)</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(1,034)</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(2,452)</w:t>
            </w:r>
          </w:p>
        </w:tc>
        <w:tc>
          <w:tcPr>
            <w:tcW w:w="220" w:type="dxa"/>
            <w:vAlign w:val="bottom"/>
          </w:tcPr>
          <w:p>
            <w:pPr>
              <w:spacing w:after="0"/>
              <w:rPr>
                <w:sz w:val="22"/>
                <w:szCs w:val="22"/>
                <w:color w:val="auto"/>
              </w:rPr>
            </w:pPr>
          </w:p>
        </w:tc>
        <w:tc>
          <w:tcPr>
            <w:tcW w:w="1080" w:type="dxa"/>
            <w:vAlign w:val="bottom"/>
          </w:tcPr>
          <w:p>
            <w:pPr>
              <w:jc w:val="center"/>
              <w:ind w:left="522"/>
              <w:spacing w:after="0"/>
              <w:rPr>
                <w:sz w:val="20"/>
                <w:szCs w:val="20"/>
                <w:color w:val="auto"/>
              </w:rPr>
            </w:pPr>
            <w:r>
              <w:rPr>
                <w:rFonts w:ascii="Arial" w:cs="Arial" w:eastAsia="Arial" w:hAnsi="Arial"/>
                <w:sz w:val="16"/>
                <w:szCs w:val="16"/>
                <w:color w:val="auto"/>
              </w:rPr>
              <w:t>(0.08)</w:t>
            </w:r>
          </w:p>
        </w:tc>
      </w:tr>
      <w:tr>
        <w:trPr>
          <w:trHeight w:val="24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 tax related to internal restructuring</w:t>
            </w:r>
          </w:p>
        </w:tc>
        <w:tc>
          <w:tcPr>
            <w:tcW w:w="1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ind w:left="542"/>
              <w:spacing w:after="0"/>
              <w:rPr>
                <w:sz w:val="20"/>
                <w:szCs w:val="20"/>
                <w:color w:val="auto"/>
              </w:rPr>
            </w:pPr>
            <w:r>
              <w:rPr>
                <w:rFonts w:ascii="Arial" w:cs="Arial" w:eastAsia="Arial" w:hAnsi="Arial"/>
                <w:sz w:val="16"/>
                <w:szCs w:val="16"/>
                <w:color w:val="auto"/>
                <w:w w:val="96"/>
              </w:rPr>
              <w:t>0.10</w:t>
            </w:r>
          </w:p>
        </w:tc>
      </w:tr>
      <w:tr>
        <w:trPr>
          <w:trHeight w:val="240"/>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158</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542"/>
              <w:spacing w:after="0"/>
              <w:rPr>
                <w:sz w:val="20"/>
                <w:szCs w:val="20"/>
                <w:color w:val="auto"/>
              </w:rPr>
            </w:pPr>
            <w:r>
              <w:rPr>
                <w:rFonts w:ascii="Arial" w:cs="Arial" w:eastAsia="Arial" w:hAnsi="Arial"/>
                <w:sz w:val="16"/>
                <w:szCs w:val="16"/>
                <w:color w:val="auto"/>
                <w:w w:val="96"/>
              </w:rPr>
              <w:t>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2"/>
        </w:trPr>
        <w:tc>
          <w:tcPr>
            <w:tcW w:w="47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June 30, 2022</w:t>
            </w:r>
          </w:p>
        </w:tc>
        <w:tc>
          <w:tcPr>
            <w:tcW w:w="15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Pre tax</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0"/>
              </w:rPr>
              <w:t>Tax</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After tax</w:t>
            </w: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Per share</w:t>
            </w:r>
          </w:p>
        </w:tc>
      </w:tr>
      <w:tr>
        <w:trPr>
          <w:trHeight w:val="18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Amounts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Effect</w:t>
            </w: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542"/>
              <w:spacing w:after="0"/>
              <w:rPr>
                <w:sz w:val="20"/>
                <w:szCs w:val="20"/>
                <w:color w:val="auto"/>
              </w:rPr>
            </w:pPr>
            <w:r>
              <w:rPr>
                <w:rFonts w:ascii="Arial" w:cs="Arial" w:eastAsia="Arial" w:hAnsi="Arial"/>
                <w:sz w:val="16"/>
                <w:szCs w:val="16"/>
                <w:color w:val="auto"/>
                <w:w w:val="96"/>
              </w:rPr>
              <w:t>0.00</w:t>
            </w: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1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(8,877)</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(2,492)</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(6,385)</w:t>
            </w:r>
          </w:p>
        </w:tc>
        <w:tc>
          <w:tcPr>
            <w:tcW w:w="220" w:type="dxa"/>
            <w:vAlign w:val="bottom"/>
          </w:tcPr>
          <w:p>
            <w:pPr>
              <w:spacing w:after="0"/>
              <w:rPr>
                <w:sz w:val="18"/>
                <w:szCs w:val="18"/>
                <w:color w:val="auto"/>
              </w:rPr>
            </w:pPr>
          </w:p>
        </w:tc>
        <w:tc>
          <w:tcPr>
            <w:tcW w:w="1080" w:type="dxa"/>
            <w:vAlign w:val="bottom"/>
          </w:tcPr>
          <w:p>
            <w:pPr>
              <w:jc w:val="center"/>
              <w:ind w:left="522"/>
              <w:spacing w:after="0"/>
              <w:rPr>
                <w:sz w:val="20"/>
                <w:szCs w:val="20"/>
                <w:color w:val="auto"/>
              </w:rPr>
            </w:pPr>
            <w:r>
              <w:rPr>
                <w:rFonts w:ascii="Arial" w:cs="Arial" w:eastAsia="Arial" w:hAnsi="Arial"/>
                <w:sz w:val="16"/>
                <w:szCs w:val="16"/>
                <w:color w:val="auto"/>
              </w:rPr>
              <w:t>(0.20)</w:t>
            </w:r>
          </w:p>
        </w:tc>
      </w:tr>
      <w:tr>
        <w:trPr>
          <w:trHeight w:val="216"/>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1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269</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542"/>
              <w:spacing w:after="0"/>
              <w:rPr>
                <w:sz w:val="20"/>
                <w:szCs w:val="20"/>
                <w:color w:val="auto"/>
              </w:rPr>
            </w:pPr>
            <w:r>
              <w:rPr>
                <w:rFonts w:ascii="Arial" w:cs="Arial" w:eastAsia="Arial" w:hAnsi="Arial"/>
                <w:sz w:val="16"/>
                <w:szCs w:val="16"/>
                <w:color w:val="auto"/>
                <w:w w:val="96"/>
              </w:rPr>
              <w:t>0.01</w:t>
            </w:r>
          </w:p>
        </w:tc>
      </w:tr>
      <w:tr>
        <w:trPr>
          <w:trHeight w:val="226"/>
        </w:trPr>
        <w:tc>
          <w:tcPr>
            <w:tcW w:w="4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142"/>
        </w:trPr>
        <w:tc>
          <w:tcPr>
            <w:tcW w:w="470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Six months ended June 30, 2023</w:t>
            </w:r>
          </w:p>
        </w:tc>
        <w:tc>
          <w:tcPr>
            <w:tcW w:w="1540" w:type="dxa"/>
            <w:vAlign w:val="bottom"/>
          </w:tcPr>
          <w:p>
            <w:pPr>
              <w:spacing w:after="0"/>
              <w:rPr>
                <w:sz w:val="12"/>
                <w:szCs w:val="12"/>
                <w:color w:val="auto"/>
              </w:rPr>
            </w:pPr>
          </w:p>
        </w:tc>
        <w:tc>
          <w:tcPr>
            <w:tcW w:w="1100" w:type="dxa"/>
            <w:vAlign w:val="bottom"/>
          </w:tcPr>
          <w:p>
            <w:pPr>
              <w:jc w:val="center"/>
              <w:ind w:right="142"/>
              <w:spacing w:after="0" w:line="143" w:lineRule="exact"/>
              <w:rPr>
                <w:sz w:val="20"/>
                <w:szCs w:val="20"/>
                <w:color w:val="auto"/>
              </w:rPr>
            </w:pPr>
            <w:r>
              <w:rPr>
                <w:rFonts w:ascii="Arial" w:cs="Arial" w:eastAsia="Arial" w:hAnsi="Arial"/>
                <w:sz w:val="14"/>
                <w:szCs w:val="14"/>
                <w:b w:val="1"/>
                <w:bCs w:val="1"/>
                <w:color w:val="auto"/>
              </w:rPr>
              <w:t>Pre tax</w:t>
            </w:r>
          </w:p>
        </w:tc>
        <w:tc>
          <w:tcPr>
            <w:tcW w:w="280" w:type="dxa"/>
            <w:vAlign w:val="bottom"/>
          </w:tcPr>
          <w:p>
            <w:pPr>
              <w:spacing w:after="0"/>
              <w:rPr>
                <w:sz w:val="12"/>
                <w:szCs w:val="12"/>
                <w:color w:val="auto"/>
              </w:rPr>
            </w:pPr>
          </w:p>
        </w:tc>
        <w:tc>
          <w:tcPr>
            <w:tcW w:w="1020" w:type="dxa"/>
            <w:vAlign w:val="bottom"/>
          </w:tcPr>
          <w:p>
            <w:pPr>
              <w:jc w:val="center"/>
              <w:ind w:right="202"/>
              <w:spacing w:after="0" w:line="143" w:lineRule="exact"/>
              <w:rPr>
                <w:sz w:val="20"/>
                <w:szCs w:val="20"/>
                <w:color w:val="auto"/>
              </w:rPr>
            </w:pPr>
            <w:r>
              <w:rPr>
                <w:rFonts w:ascii="Arial" w:cs="Arial" w:eastAsia="Arial" w:hAnsi="Arial"/>
                <w:sz w:val="14"/>
                <w:szCs w:val="14"/>
                <w:b w:val="1"/>
                <w:bCs w:val="1"/>
                <w:color w:val="auto"/>
                <w:w w:val="90"/>
              </w:rPr>
              <w:t>Tax</w:t>
            </w:r>
          </w:p>
        </w:tc>
        <w:tc>
          <w:tcPr>
            <w:tcW w:w="240" w:type="dxa"/>
            <w:vAlign w:val="bottom"/>
          </w:tcPr>
          <w:p>
            <w:pPr>
              <w:spacing w:after="0"/>
              <w:rPr>
                <w:sz w:val="12"/>
                <w:szCs w:val="12"/>
                <w:color w:val="auto"/>
              </w:rPr>
            </w:pPr>
          </w:p>
        </w:tc>
        <w:tc>
          <w:tcPr>
            <w:tcW w:w="1060" w:type="dxa"/>
            <w:vAlign w:val="bottom"/>
          </w:tcPr>
          <w:p>
            <w:pPr>
              <w:jc w:val="center"/>
              <w:ind w:right="162"/>
              <w:spacing w:after="0" w:line="143" w:lineRule="exact"/>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2"/>
                <w:szCs w:val="12"/>
                <w:color w:val="auto"/>
              </w:rPr>
            </w:pPr>
          </w:p>
        </w:tc>
        <w:tc>
          <w:tcPr>
            <w:tcW w:w="1080" w:type="dxa"/>
            <w:vAlign w:val="bottom"/>
          </w:tcPr>
          <w:p>
            <w:pPr>
              <w:jc w:val="center"/>
              <w:ind w:right="142"/>
              <w:spacing w:after="0" w:line="143" w:lineRule="exact"/>
              <w:rPr>
                <w:sz w:val="20"/>
                <w:szCs w:val="20"/>
                <w:color w:val="auto"/>
              </w:rPr>
            </w:pPr>
            <w:r>
              <w:rPr>
                <w:rFonts w:ascii="Arial" w:cs="Arial" w:eastAsia="Arial" w:hAnsi="Arial"/>
                <w:sz w:val="14"/>
                <w:szCs w:val="14"/>
                <w:b w:val="1"/>
                <w:bCs w:val="1"/>
                <w:color w:val="auto"/>
              </w:rPr>
              <w:t>Per share</w:t>
            </w:r>
          </w:p>
        </w:tc>
      </w:tr>
      <w:tr>
        <w:trPr>
          <w:trHeight w:val="18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Effect</w:t>
            </w:r>
          </w:p>
        </w:tc>
      </w:tr>
      <w:tr>
        <w:trPr>
          <w:trHeight w:val="25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145</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542"/>
              <w:spacing w:after="0"/>
              <w:rPr>
                <w:sz w:val="20"/>
                <w:szCs w:val="20"/>
                <w:color w:val="auto"/>
              </w:rPr>
            </w:pPr>
            <w:r>
              <w:rPr>
                <w:rFonts w:ascii="Arial" w:cs="Arial" w:eastAsia="Arial" w:hAnsi="Arial"/>
                <w:sz w:val="16"/>
                <w:szCs w:val="16"/>
                <w:color w:val="auto"/>
                <w:w w:val="96"/>
              </w:rPr>
              <w:t>0.00</w:t>
            </w:r>
          </w:p>
        </w:tc>
      </w:tr>
      <w:tr>
        <w:trPr>
          <w:trHeight w:val="240"/>
        </w:trPr>
        <w:tc>
          <w:tcPr>
            <w:tcW w:w="47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1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(1,599)</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(481)</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(1,118)</w:t>
            </w:r>
          </w:p>
        </w:tc>
        <w:tc>
          <w:tcPr>
            <w:tcW w:w="220" w:type="dxa"/>
            <w:vAlign w:val="bottom"/>
          </w:tcPr>
          <w:p>
            <w:pPr>
              <w:spacing w:after="0"/>
              <w:rPr>
                <w:sz w:val="20"/>
                <w:szCs w:val="20"/>
                <w:color w:val="auto"/>
              </w:rPr>
            </w:pPr>
          </w:p>
        </w:tc>
        <w:tc>
          <w:tcPr>
            <w:tcW w:w="1080" w:type="dxa"/>
            <w:vAlign w:val="bottom"/>
          </w:tcPr>
          <w:p>
            <w:pPr>
              <w:jc w:val="center"/>
              <w:ind w:left="522"/>
              <w:spacing w:after="0"/>
              <w:rPr>
                <w:sz w:val="20"/>
                <w:szCs w:val="20"/>
                <w:color w:val="auto"/>
              </w:rPr>
            </w:pPr>
            <w:r>
              <w:rPr>
                <w:rFonts w:ascii="Arial" w:cs="Arial" w:eastAsia="Arial" w:hAnsi="Arial"/>
                <w:sz w:val="16"/>
                <w:szCs w:val="16"/>
                <w:color w:val="auto"/>
              </w:rPr>
              <w:t>(0.04)</w:t>
            </w:r>
          </w:p>
        </w:tc>
      </w:tr>
      <w:tr>
        <w:trPr>
          <w:trHeight w:val="24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 tax related to internal restructuring</w:t>
            </w:r>
          </w:p>
        </w:tc>
        <w:tc>
          <w:tcPr>
            <w:tcW w:w="1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ind w:left="542"/>
              <w:spacing w:after="0"/>
              <w:rPr>
                <w:sz w:val="20"/>
                <w:szCs w:val="20"/>
                <w:color w:val="auto"/>
              </w:rPr>
            </w:pPr>
            <w:r>
              <w:rPr>
                <w:rFonts w:ascii="Arial" w:cs="Arial" w:eastAsia="Arial" w:hAnsi="Arial"/>
                <w:sz w:val="16"/>
                <w:szCs w:val="16"/>
                <w:color w:val="auto"/>
                <w:w w:val="96"/>
              </w:rPr>
              <w:t>0.10</w:t>
            </w:r>
          </w:p>
        </w:tc>
      </w:tr>
      <w:tr>
        <w:trPr>
          <w:trHeight w:val="254"/>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903</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left="542"/>
              <w:spacing w:after="0"/>
              <w:rPr>
                <w:sz w:val="20"/>
                <w:szCs w:val="20"/>
                <w:color w:val="auto"/>
              </w:rPr>
            </w:pPr>
            <w:r>
              <w:rPr>
                <w:rFonts w:ascii="Arial" w:cs="Arial" w:eastAsia="Arial" w:hAnsi="Arial"/>
                <w:sz w:val="16"/>
                <w:szCs w:val="16"/>
                <w:color w:val="auto"/>
                <w:w w:val="96"/>
              </w:rPr>
              <w:t>0.02</w:t>
            </w:r>
          </w:p>
        </w:tc>
      </w:tr>
      <w:tr>
        <w:trPr>
          <w:trHeight w:val="239"/>
        </w:trPr>
        <w:tc>
          <w:tcPr>
            <w:tcW w:w="47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42"/>
        </w:trPr>
        <w:tc>
          <w:tcPr>
            <w:tcW w:w="47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Six months ended June 30, 2022</w:t>
            </w:r>
          </w:p>
        </w:tc>
        <w:tc>
          <w:tcPr>
            <w:tcW w:w="1540" w:type="dxa"/>
            <w:vAlign w:val="bottom"/>
          </w:tcPr>
          <w:p>
            <w:pPr>
              <w:spacing w:after="0"/>
              <w:rPr>
                <w:sz w:val="12"/>
                <w:szCs w:val="12"/>
                <w:color w:val="auto"/>
              </w:rPr>
            </w:pPr>
          </w:p>
        </w:tc>
        <w:tc>
          <w:tcPr>
            <w:tcW w:w="1100" w:type="dxa"/>
            <w:vAlign w:val="bottom"/>
          </w:tcPr>
          <w:p>
            <w:pPr>
              <w:jc w:val="center"/>
              <w:ind w:right="142"/>
              <w:spacing w:after="0" w:line="142" w:lineRule="exact"/>
              <w:rPr>
                <w:sz w:val="20"/>
                <w:szCs w:val="20"/>
                <w:color w:val="auto"/>
              </w:rPr>
            </w:pPr>
            <w:r>
              <w:rPr>
                <w:rFonts w:ascii="Arial" w:cs="Arial" w:eastAsia="Arial" w:hAnsi="Arial"/>
                <w:sz w:val="14"/>
                <w:szCs w:val="14"/>
                <w:b w:val="1"/>
                <w:bCs w:val="1"/>
                <w:color w:val="auto"/>
              </w:rPr>
              <w:t>Pre tax</w:t>
            </w:r>
          </w:p>
        </w:tc>
        <w:tc>
          <w:tcPr>
            <w:tcW w:w="280" w:type="dxa"/>
            <w:vAlign w:val="bottom"/>
          </w:tcPr>
          <w:p>
            <w:pPr>
              <w:spacing w:after="0"/>
              <w:rPr>
                <w:sz w:val="12"/>
                <w:szCs w:val="12"/>
                <w:color w:val="auto"/>
              </w:rPr>
            </w:pPr>
          </w:p>
        </w:tc>
        <w:tc>
          <w:tcPr>
            <w:tcW w:w="1020" w:type="dxa"/>
            <w:vAlign w:val="bottom"/>
          </w:tcPr>
          <w:p>
            <w:pPr>
              <w:jc w:val="center"/>
              <w:ind w:right="202"/>
              <w:spacing w:after="0" w:line="142" w:lineRule="exact"/>
              <w:rPr>
                <w:sz w:val="20"/>
                <w:szCs w:val="20"/>
                <w:color w:val="auto"/>
              </w:rPr>
            </w:pPr>
            <w:r>
              <w:rPr>
                <w:rFonts w:ascii="Arial" w:cs="Arial" w:eastAsia="Arial" w:hAnsi="Arial"/>
                <w:sz w:val="14"/>
                <w:szCs w:val="14"/>
                <w:b w:val="1"/>
                <w:bCs w:val="1"/>
                <w:color w:val="auto"/>
                <w:w w:val="90"/>
              </w:rPr>
              <w:t>Tax</w:t>
            </w:r>
          </w:p>
        </w:tc>
        <w:tc>
          <w:tcPr>
            <w:tcW w:w="240" w:type="dxa"/>
            <w:vAlign w:val="bottom"/>
          </w:tcPr>
          <w:p>
            <w:pPr>
              <w:spacing w:after="0"/>
              <w:rPr>
                <w:sz w:val="12"/>
                <w:szCs w:val="12"/>
                <w:color w:val="auto"/>
              </w:rPr>
            </w:pPr>
          </w:p>
        </w:tc>
        <w:tc>
          <w:tcPr>
            <w:tcW w:w="1060" w:type="dxa"/>
            <w:vAlign w:val="bottom"/>
          </w:tcPr>
          <w:p>
            <w:pPr>
              <w:jc w:val="center"/>
              <w:ind w:right="162"/>
              <w:spacing w:after="0" w:line="142" w:lineRule="exact"/>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2"/>
                <w:szCs w:val="12"/>
                <w:color w:val="auto"/>
              </w:rPr>
            </w:pPr>
          </w:p>
        </w:tc>
        <w:tc>
          <w:tcPr>
            <w:tcW w:w="1080" w:type="dxa"/>
            <w:vAlign w:val="bottom"/>
          </w:tcPr>
          <w:p>
            <w:pPr>
              <w:jc w:val="center"/>
              <w:ind w:right="142"/>
              <w:spacing w:after="0" w:line="142" w:lineRule="exact"/>
              <w:rPr>
                <w:sz w:val="20"/>
                <w:szCs w:val="20"/>
                <w:color w:val="auto"/>
              </w:rPr>
            </w:pPr>
            <w:r>
              <w:rPr>
                <w:rFonts w:ascii="Arial" w:cs="Arial" w:eastAsia="Arial" w:hAnsi="Arial"/>
                <w:sz w:val="14"/>
                <w:szCs w:val="14"/>
                <w:b w:val="1"/>
                <w:bCs w:val="1"/>
                <w:color w:val="auto"/>
              </w:rPr>
              <w:t>Per share</w:t>
            </w:r>
          </w:p>
        </w:tc>
      </w:tr>
      <w:tr>
        <w:trPr>
          <w:trHeight w:val="18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Effect</w:t>
            </w:r>
          </w:p>
        </w:tc>
      </w:tr>
      <w:tr>
        <w:trPr>
          <w:trHeight w:val="23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226</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center"/>
              <w:ind w:left="542"/>
              <w:spacing w:after="0"/>
              <w:rPr>
                <w:sz w:val="20"/>
                <w:szCs w:val="20"/>
                <w:color w:val="auto"/>
              </w:rPr>
            </w:pPr>
            <w:r>
              <w:rPr>
                <w:rFonts w:ascii="Arial" w:cs="Arial" w:eastAsia="Arial" w:hAnsi="Arial"/>
                <w:sz w:val="16"/>
                <w:szCs w:val="16"/>
                <w:color w:val="auto"/>
                <w:w w:val="96"/>
              </w:rPr>
              <w:t>0.01</w:t>
            </w:r>
          </w:p>
        </w:tc>
      </w:tr>
      <w:tr>
        <w:trPr>
          <w:trHeight w:val="254"/>
        </w:trPr>
        <w:tc>
          <w:tcPr>
            <w:tcW w:w="47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15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(11,137)</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(3,135)</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(8,002)</w:t>
            </w:r>
          </w:p>
        </w:tc>
        <w:tc>
          <w:tcPr>
            <w:tcW w:w="220" w:type="dxa"/>
            <w:vAlign w:val="bottom"/>
          </w:tcPr>
          <w:p>
            <w:pPr>
              <w:spacing w:after="0"/>
              <w:rPr>
                <w:sz w:val="22"/>
                <w:szCs w:val="22"/>
                <w:color w:val="auto"/>
              </w:rPr>
            </w:pPr>
          </w:p>
        </w:tc>
        <w:tc>
          <w:tcPr>
            <w:tcW w:w="1080" w:type="dxa"/>
            <w:vAlign w:val="bottom"/>
          </w:tcPr>
          <w:p>
            <w:pPr>
              <w:jc w:val="center"/>
              <w:ind w:left="522"/>
              <w:spacing w:after="0"/>
              <w:rPr>
                <w:sz w:val="20"/>
                <w:szCs w:val="20"/>
                <w:color w:val="auto"/>
              </w:rPr>
            </w:pPr>
            <w:r>
              <w:rPr>
                <w:rFonts w:ascii="Arial" w:cs="Arial" w:eastAsia="Arial" w:hAnsi="Arial"/>
                <w:sz w:val="16"/>
                <w:szCs w:val="16"/>
                <w:color w:val="auto"/>
              </w:rPr>
              <w:t>(0.25)</w:t>
            </w:r>
          </w:p>
        </w:tc>
      </w:tr>
      <w:tr>
        <w:trPr>
          <w:trHeight w:val="24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1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2,568</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center"/>
              <w:ind w:left="542"/>
              <w:spacing w:after="0"/>
              <w:rPr>
                <w:sz w:val="20"/>
                <w:szCs w:val="20"/>
                <w:color w:val="auto"/>
              </w:rPr>
            </w:pPr>
            <w:r>
              <w:rPr>
                <w:rFonts w:ascii="Arial" w:cs="Arial" w:eastAsia="Arial" w:hAnsi="Arial"/>
                <w:sz w:val="16"/>
                <w:szCs w:val="16"/>
                <w:color w:val="auto"/>
                <w:w w:val="96"/>
              </w:rPr>
              <w:t>0.07</w:t>
            </w:r>
          </w:p>
        </w:tc>
      </w:tr>
      <w:tr>
        <w:trPr>
          <w:trHeight w:val="240"/>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551</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542"/>
              <w:spacing w:after="0"/>
              <w:rPr>
                <w:sz w:val="20"/>
                <w:szCs w:val="20"/>
                <w:color w:val="auto"/>
              </w:rPr>
            </w:pPr>
            <w:r>
              <w:rPr>
                <w:rFonts w:ascii="Arial" w:cs="Arial" w:eastAsia="Arial" w:hAnsi="Arial"/>
                <w:sz w:val="16"/>
                <w:szCs w:val="16"/>
                <w:color w:val="auto"/>
                <w:w w:val="96"/>
              </w:rPr>
              <w:t>0.02</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calculation of Adjusted EPS: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r>
      <w:tr>
        <w:trPr>
          <w:trHeight w:val="211"/>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amounts (Basic)</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r>
      <w:tr>
        <w:trPr>
          <w:trHeight w:val="211"/>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 (GAAP)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Adjustments, after tax:</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6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 net</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43"/>
        </w:trPr>
        <w:tc>
          <w:tcPr>
            <w:tcW w:w="604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(0.08)</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(0.20)</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(0.04)</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(0.25)</w:t>
            </w: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 tax related to internal restructuring</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0.10</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0.10</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6040" w:type="dxa"/>
            <w:vAlign w:val="bottom"/>
          </w:tcPr>
          <w:p>
            <w:pPr>
              <w:ind w:left="20"/>
              <w:spacing w:after="0"/>
              <w:rPr>
                <w:sz w:val="20"/>
                <w:szCs w:val="20"/>
                <w:color w:val="auto"/>
              </w:rPr>
            </w:pPr>
            <w:r>
              <w:rPr>
                <w:rFonts w:ascii="Arial" w:cs="Arial" w:eastAsia="Arial" w:hAnsi="Arial"/>
                <w:sz w:val="16"/>
                <w:szCs w:val="16"/>
                <w:color w:val="auto"/>
              </w:rPr>
              <w:t>Acquisition/ integration costs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0.02</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22"/>
                <w:szCs w:val="22"/>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0.02</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43"/>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r>
      <w:tr>
        <w:trPr>
          <w:trHeight w:val="20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Earnings per share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0.90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1.80</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r>
    </w:tbl>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2"/>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9"/>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June 30, 2022</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maturities of long-term debt</w:t>
            </w:r>
          </w:p>
        </w:tc>
        <w:tc>
          <w:tcPr>
            <w:tcW w:w="2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4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w:t>
            </w:r>
          </w:p>
        </w:tc>
        <w:tc>
          <w:tcPr>
            <w:tcW w:w="2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487,000</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439,000</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485,000</w:t>
            </w:r>
          </w:p>
        </w:tc>
      </w:tr>
      <w:tr>
        <w:trPr>
          <w:trHeight w:val="21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debt</w:t>
            </w:r>
          </w:p>
        </w:tc>
        <w:tc>
          <w:tcPr>
            <w:tcW w:w="2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487,000</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439,000</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485,000</w:t>
            </w:r>
          </w:p>
        </w:tc>
      </w:tr>
      <w:tr>
        <w:trPr>
          <w:trHeight w:val="247"/>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w:t>
            </w:r>
          </w:p>
        </w:tc>
        <w:tc>
          <w:tcPr>
            <w:tcW w:w="2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300,916</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291,776</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320,870</w:t>
            </w:r>
          </w:p>
        </w:tc>
      </w:tr>
      <w:tr>
        <w:trPr>
          <w:trHeight w:val="21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debt (non GAAP)</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186,084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147,224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164,130</w:t>
            </w:r>
          </w:p>
        </w:tc>
      </w:tr>
    </w:tbl>
    <w:p>
      <w:pPr>
        <w:spacing w:after="0" w:line="200" w:lineRule="exact"/>
        <w:rPr>
          <w:sz w:val="20"/>
          <w:szCs w:val="20"/>
          <w:color w:val="auto"/>
        </w:rPr>
      </w:pP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leverage ratio informs the investors of the Company's financial leverage at the end of the reporting period, providing an indicator of the Company's ability to repay its debt. The Company calculates net leverage ratio by subtracting cash and cash equivalents from total debt, and then dividing by trailing twelve months Adjusted EBITDA.</w:t>
      </w:r>
    </w:p>
    <w:p>
      <w:pPr>
        <w:sectPr>
          <w:pgSz w:w="11900" w:h="16838" w:orient="portrait"/>
          <w:cols w:equalWidth="0" w:num="1">
            <w:col w:w="11240"/>
          </w:cols>
          <w:pgMar w:left="320" w:top="10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type w:val="continuous"/>
        </w:sectPr>
      </w:pPr>
    </w:p>
    <w:bookmarkStart w:id="33" w:name="page34"/>
    <w:bookmarkEnd w:id="33"/>
    <w:p>
      <w:pPr>
        <w:ind w:left="660"/>
        <w:spacing w:after="0"/>
        <w:rPr>
          <w:sz w:val="20"/>
          <w:szCs w:val="20"/>
          <w:color w:val="auto"/>
        </w:rPr>
      </w:pPr>
      <w:r>
        <w:rPr>
          <w:rFonts w:ascii="Arial" w:cs="Arial" w:eastAsia="Arial" w:hAnsi="Arial"/>
          <w:sz w:val="18"/>
          <w:szCs w:val="18"/>
          <w:color w:val="auto"/>
        </w:rPr>
        <w:t>The calculation of net leverage ratio as of June 30,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6909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Company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32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Twelve months ended</w:t>
            </w:r>
          </w:p>
        </w:tc>
        <w:tc>
          <w:tcPr>
            <w:tcW w:w="18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1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Trailing twelve months</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61"/>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8"/>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4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2"/>
                <w:szCs w:val="12"/>
                <w:color w:val="auto"/>
              </w:rPr>
            </w:pPr>
          </w:p>
        </w:tc>
        <w:tc>
          <w:tcPr>
            <w:tcW w:w="126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2"/>
                <w:szCs w:val="12"/>
                <w:color w:val="auto"/>
              </w:rPr>
            </w:pP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2"/>
                <w:szCs w:val="12"/>
                <w:color w:val="auto"/>
              </w:rPr>
            </w:pPr>
          </w:p>
        </w:tc>
        <w:tc>
          <w:tcPr>
            <w:tcW w:w="15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rPr>
              <w:t>June 30, 2023 (non-</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GAAP) (b)</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96,508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67,444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53,912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82,976</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Interest expense/(income), net</w:t>
            </w:r>
          </w:p>
        </w:tc>
        <w:tc>
          <w:tcPr>
            <w:tcW w:w="5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14,000</w:t>
            </w:r>
          </w:p>
        </w:tc>
        <w:tc>
          <w:tcPr>
            <w:tcW w:w="1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7,542</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6,396</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12,854</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5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35,472</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25,456</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30,701</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40,717</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69,049</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34,874</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35,317</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69,492</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EBITDA (non-GAAP)</w:t>
            </w:r>
          </w:p>
        </w:tc>
        <w:tc>
          <w:tcPr>
            <w:tcW w:w="5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215,029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135,316</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126,326</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206,039</w:t>
            </w:r>
          </w:p>
        </w:tc>
        <w:tc>
          <w:tcPr>
            <w:tcW w:w="0" w:type="dxa"/>
            <w:vAlign w:val="bottom"/>
          </w:tcPr>
          <w:p>
            <w:pPr>
              <w:spacing w:after="0"/>
              <w:rPr>
                <w:sz w:val="1"/>
                <w:szCs w:val="1"/>
                <w:color w:val="auto"/>
              </w:rPr>
            </w:pPr>
          </w:p>
        </w:tc>
      </w:tr>
      <w:tr>
        <w:trPr>
          <w:trHeight w:val="240"/>
        </w:trPr>
        <w:tc>
          <w:tcPr>
            <w:tcW w:w="432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5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226</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6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revaluation (gains)/losses (a)</w:t>
            </w:r>
          </w:p>
        </w:tc>
        <w:tc>
          <w:tcPr>
            <w:tcW w:w="5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(9,829)</w:t>
            </w: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(11,137)</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40"/>
        </w:trPr>
        <w:tc>
          <w:tcPr>
            <w:tcW w:w="4320" w:type="dxa"/>
            <w:vAlign w:val="bottom"/>
          </w:tcPr>
          <w:p>
            <w:pPr>
              <w:ind w:left="20"/>
              <w:spacing w:after="0"/>
              <w:rPr>
                <w:sz w:val="20"/>
                <w:szCs w:val="20"/>
                <w:color w:val="auto"/>
              </w:rPr>
            </w:pPr>
            <w:r>
              <w:rPr>
                <w:rFonts w:ascii="Arial" w:cs="Arial" w:eastAsia="Arial" w:hAnsi="Arial"/>
                <w:sz w:val="16"/>
                <w:szCs w:val="16"/>
                <w:color w:val="auto"/>
              </w:rPr>
              <w:t>Dissolution of business relationships in Russia</w:t>
            </w:r>
          </w:p>
        </w:tc>
        <w:tc>
          <w:tcPr>
            <w:tcW w:w="5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2,275</w:t>
            </w: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2,568</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4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settlement expense</w:t>
            </w:r>
          </w:p>
        </w:tc>
        <w:tc>
          <w:tcPr>
            <w:tcW w:w="5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49,128</w:t>
            </w:r>
          </w:p>
        </w:tc>
        <w:tc>
          <w:tcPr>
            <w:tcW w:w="0" w:type="dxa"/>
            <w:vAlign w:val="bottom"/>
          </w:tcPr>
          <w:p>
            <w:pPr>
              <w:spacing w:after="0"/>
              <w:rPr>
                <w:sz w:val="1"/>
                <w:szCs w:val="1"/>
                <w:color w:val="auto"/>
              </w:rPr>
            </w:pPr>
          </w:p>
        </w:tc>
      </w:tr>
      <w:tr>
        <w:trPr>
          <w:trHeight w:val="254"/>
        </w:trPr>
        <w:tc>
          <w:tcPr>
            <w:tcW w:w="4320" w:type="dxa"/>
            <w:vAlign w:val="bottom"/>
          </w:tcPr>
          <w:p>
            <w:pPr>
              <w:ind w:left="20"/>
              <w:spacing w:after="0"/>
              <w:rPr>
                <w:sz w:val="20"/>
                <w:szCs w:val="20"/>
                <w:color w:val="auto"/>
              </w:rPr>
            </w:pPr>
            <w:r>
              <w:rPr>
                <w:rFonts w:ascii="Arial" w:cs="Arial" w:eastAsia="Arial" w:hAnsi="Arial"/>
                <w:sz w:val="16"/>
                <w:szCs w:val="16"/>
                <w:color w:val="auto"/>
              </w:rPr>
              <w:t>IP address sales</w:t>
            </w:r>
          </w:p>
        </w:tc>
        <w:tc>
          <w:tcPr>
            <w:tcW w:w="5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(3,420)</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(3,420)</w:t>
            </w:r>
          </w:p>
        </w:tc>
        <w:tc>
          <w:tcPr>
            <w:tcW w:w="0" w:type="dxa"/>
            <w:vAlign w:val="bottom"/>
          </w:tcPr>
          <w:p>
            <w:pPr>
              <w:spacing w:after="0"/>
              <w:rPr>
                <w:sz w:val="1"/>
                <w:szCs w:val="1"/>
                <w:color w:val="auto"/>
              </w:rPr>
            </w:pPr>
          </w:p>
        </w:tc>
      </w:tr>
      <w:tr>
        <w:trPr>
          <w:trHeight w:val="24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Acquisition/integration costs</w:t>
            </w:r>
          </w:p>
        </w:tc>
        <w:tc>
          <w:tcPr>
            <w:tcW w:w="5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0" w:type="dxa"/>
            <w:vAlign w:val="bottom"/>
          </w:tcPr>
          <w:p>
            <w:pPr>
              <w:spacing w:after="0"/>
              <w:rPr>
                <w:sz w:val="1"/>
                <w:szCs w:val="1"/>
                <w:color w:val="auto"/>
              </w:rPr>
            </w:pPr>
          </w:p>
        </w:tc>
      </w:tr>
      <w:tr>
        <w:trPr>
          <w:trHeight w:val="254"/>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(income) attributable to noncontrolling interest</w:t>
            </w:r>
          </w:p>
        </w:tc>
        <w:tc>
          <w:tcPr>
            <w:tcW w:w="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(457)</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1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253,529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127,067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125,374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251,836</w:t>
            </w:r>
          </w:p>
        </w:tc>
        <w:tc>
          <w:tcPr>
            <w:tcW w:w="0" w:type="dxa"/>
            <w:vAlign w:val="bottom"/>
          </w:tcPr>
          <w:p>
            <w:pPr>
              <w:spacing w:after="0"/>
              <w:rPr>
                <w:sz w:val="1"/>
                <w:szCs w:val="1"/>
                <w:color w:val="auto"/>
              </w:rPr>
            </w:pPr>
          </w:p>
        </w:tc>
      </w:tr>
      <w:tr>
        <w:trPr>
          <w:trHeight w:val="344"/>
        </w:trPr>
        <w:tc>
          <w:tcPr>
            <w:tcW w:w="4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for net leverage ratio)</w:t>
            </w:r>
          </w:p>
        </w:tc>
        <w:tc>
          <w:tcPr>
            <w:tcW w:w="560" w:type="dxa"/>
            <w:vAlign w:val="bottom"/>
          </w:tcPr>
          <w:p>
            <w:pPr>
              <w:spacing w:after="0"/>
              <w:rPr>
                <w:sz w:val="16"/>
                <w:szCs w:val="16"/>
                <w:color w:val="auto"/>
              </w:rPr>
            </w:pPr>
          </w:p>
        </w:tc>
        <w:tc>
          <w:tcPr>
            <w:tcW w:w="2900" w:type="dxa"/>
            <w:vAlign w:val="bottom"/>
            <w:gridSpan w:val="4"/>
          </w:tcPr>
          <w:p>
            <w:pPr>
              <w:jc w:val="right"/>
              <w:ind w:right="959"/>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debt (non-GAAP)</w:t>
            </w:r>
          </w:p>
        </w:tc>
        <w:tc>
          <w:tcPr>
            <w:tcW w:w="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186,084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Trailing twelve months Adjusted EBITDA (non-GAAP)</w:t>
            </w: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251,836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leverage ratio (non-GAAP)</w:t>
            </w:r>
          </w:p>
        </w:tc>
        <w:tc>
          <w:tcPr>
            <w:tcW w:w="5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0.74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left="20" w:right="760" w:firstLine="6"/>
        <w:spacing w:after="0" w:line="258" w:lineRule="auto"/>
        <w:tabs>
          <w:tab w:leader="none" w:pos="279"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currency revaluation (gains)/losses represent unrealized gains and losses arising from the remeasurement of monetary assets and liabilities denominated in non-functional currencies on the balance sheet date.</w:t>
      </w:r>
    </w:p>
    <w:p>
      <w:pPr>
        <w:spacing w:after="0" w:line="9" w:lineRule="exact"/>
        <w:rPr>
          <w:rFonts w:ascii="Arial" w:cs="Arial" w:eastAsia="Arial" w:hAnsi="Arial"/>
          <w:sz w:val="16"/>
          <w:szCs w:val="16"/>
          <w:color w:val="auto"/>
        </w:rPr>
      </w:pPr>
    </w:p>
    <w:p>
      <w:pPr>
        <w:ind w:left="20" w:right="960" w:firstLine="6"/>
        <w:spacing w:after="0"/>
        <w:tabs>
          <w:tab w:leader="none" w:pos="263"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Calculated as amounts incurred during the twelve months ended December 31, 2022, less those incurred during the six months ended June 30, 2022, plus those incurred during the six months ended June 30, 2023.</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4" w:name="page35"/>
    <w:bookmarkEnd w:id="34"/>
    <w:p>
      <w:pPr>
        <w:jc w:val="both"/>
        <w:ind w:firstLine="324"/>
        <w:spacing w:after="0" w:line="263"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The information set forth above under </w:t>
      </w:r>
      <w:r>
        <w:rPr>
          <w:rFonts w:ascii="Arial" w:cs="Arial" w:eastAsia="Arial" w:hAnsi="Arial"/>
          <w:sz w:val="18"/>
          <w:szCs w:val="18"/>
          <w:i w:val="1"/>
          <w:iCs w:val="1"/>
          <w:color w:val="auto"/>
        </w:rPr>
        <w:t>Note 15. Commitments and Contingencies</w:t>
      </w:r>
      <w:r>
        <w:rPr>
          <w:rFonts w:ascii="Arial" w:cs="Arial" w:eastAsia="Arial" w:hAnsi="Arial"/>
          <w:sz w:val="18"/>
          <w:szCs w:val="18"/>
          <w:color w:val="auto"/>
        </w:rPr>
        <w:t xml:space="preserve"> in Item 1, Notes to Consolidated Financial Statements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2022, other than the addition of the risks below related to our proposed acquisition of Heimbach. For all other risk factors, please refer to our Annual Report on Form 10-K for the year ended December 31, 2022.</w:t>
      </w:r>
    </w:p>
    <w:p>
      <w:pPr>
        <w:spacing w:after="0" w:line="6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Failure to consummate the acquisition within the expected timeframe or at all could adversely impact the Company’s business, financial condition and results of operations.</w:t>
      </w:r>
    </w:p>
    <w:p>
      <w:pPr>
        <w:spacing w:after="0" w:line="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June 14, 2023 the Company entered into an agreement to acquire Heimbach, a privately-held manufacturer or paper machine clothing and technical textiles located in Düren, Germany. The transaction is subject to regulatory approvals and other customary closing conditions. If our planned acquisition of Heimbach is not completed, our share price could fall to the extent that our current price reflects an assumption that we will complete the planned acquisition. Furthermore, if the planned acquisition is not completed and the agreement is terminated, we may suffer other consequences that could adversely affect our business, results of operations and share price including costs incurred and time invested in the planned acquisition, which could have otherwise been devoted to our business or other opportunities, legal proceedings, negative publicity and disruptions to our business.</w:t>
      </w:r>
    </w:p>
    <w:p>
      <w:pPr>
        <w:spacing w:after="0" w:line="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completion of the acquisition is subject to the satisfaction or waiver of certain customary mutual closing conditions, including the absence of any injunction by any court or other tribunal of competent jurisdiction, or adoption of any law, that prohibits or makes the consummation of the acquisition illegal and the receipt of certain other regulatory approvals. The obligation of each party to consummate the acquisition is also conditioned upon certain unilateral closing conditions, including the other party’s representations and warranties being accurate. There can be no assurance that these conditions will be satisfied in a timely manner or at all or that the acquisition will be completed.</w:t>
      </w:r>
    </w:p>
    <w:p>
      <w:pPr>
        <w:spacing w:after="0" w:line="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If the acquisition is not completed, the Company’s ongoing business may be materially adversely affected and the Company would be subject to a number of risks, including the following:</w:t>
      </w:r>
    </w:p>
    <w:p>
      <w:pPr>
        <w:spacing w:after="0" w:line="66" w:lineRule="exact"/>
        <w:rPr>
          <w:sz w:val="20"/>
          <w:szCs w:val="20"/>
          <w:color w:val="auto"/>
        </w:rPr>
      </w:pPr>
    </w:p>
    <w:p>
      <w:pPr>
        <w:ind w:left="660" w:hanging="328"/>
        <w:spacing w:after="0" w:line="27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may experience negative publicity, which could have an adverse effect on its ongoing operations including, but not limited to, retaining and attracting customers, suppliers, and other business partners;</w:t>
      </w:r>
    </w:p>
    <w:p>
      <w:pPr>
        <w:spacing w:after="0" w:line="6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would incur significant costs in future periods relating to the acquisition, such as legal, accounting, financial advisor, printing and other professional services fees, which may relate to activities that the Company would not have undertaken other than to complete the acquisition; and</w:t>
      </w:r>
    </w:p>
    <w:p>
      <w:pPr>
        <w:spacing w:after="0" w:line="75"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may be required to pay cash penalties as required under the Stock Purchase Agreement, which may require the Company to use available cash that would have otherwise been available for general corporate purposes or other uses and could affect the structure, pricing and terms proposed by a third party seeking to acquire or merge with the Company or deter such third party from making a competing acquisition proposal.</w:t>
      </w:r>
    </w:p>
    <w:p>
      <w:pPr>
        <w:spacing w:after="0" w:line="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acquisition is not consummated, the risks described above may materialize and they may have a material adverse effect on the Company’s business operations, financial condition, results of operations, and stock price, especially to the extent that the current market price of the Company’s common stock reflects an assumption that the acquisition will be completed.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5" w:name="page36"/>
    <w:bookmarkEnd w:id="35"/>
    <w:p>
      <w:pPr>
        <w:jc w:val="both"/>
        <w:spacing w:after="0" w:line="301" w:lineRule="auto"/>
        <w:rPr>
          <w:sz w:val="20"/>
          <w:szCs w:val="20"/>
          <w:color w:val="auto"/>
        </w:rPr>
      </w:pPr>
      <w:r>
        <w:rPr>
          <w:rFonts w:ascii="Arial" w:cs="Arial" w:eastAsia="Arial" w:hAnsi="Arial"/>
          <w:sz w:val="18"/>
          <w:szCs w:val="18"/>
          <w:b w:val="1"/>
          <w:bCs w:val="1"/>
          <w:i w:val="1"/>
          <w:iCs w:val="1"/>
          <w:color w:val="auto"/>
        </w:rPr>
        <w:t>We may fail to realize all of the anticipated benefits of the acquisition of Heimbach or those benefits may take longer to realize than expected</w:t>
      </w:r>
    </w:p>
    <w:p>
      <w:pPr>
        <w:spacing w:after="0" w:line="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devoting significant management attention and resources to complete the acquisition and will continue to devote significant attention to integrating the business practices and operations of Heimbach upon completion of the acquisition. We may experience disruptions to our business and, if implemented ineffectively, it could restrict the realization of the full expected benefits of the acquisition. The failure to meet the challenges involved in the integration process and to realize the anticipated benefits of the acquisition of Heimbach could cause an interruption of, or loss of, momentum in our operations and could adversely affect our business, financial condition and results of operations.</w:t>
      </w:r>
    </w:p>
    <w:p>
      <w:pPr>
        <w:spacing w:after="0" w:line="8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Furthermore, the acquisition of Heimbach, may result in material unanticipated problems, expenses, charges, liabilities, competitive responses, loss of customers and other business relationships, and diversion of management’s attention. Additional integration challenges may include difficulty in achieving anticipated cost savings, synergies, business opportunities and growth prospects from the acquisition; difficulties in the integration of operations and systems, including pricing and marketing strategies; and difficulties in conforming standards, controls, procedures, financial reporting and accounting and other policies, business cultures and compensation structures.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Many of these factors will be outside of our control and any one of them could result in increased costs, including restructuring charges, decreases in the amount of expected revenues and diversion of management’s time and energy, which could adversely affect our business, financial condition and results of operations.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made no share purchases during the first six months of 2023.</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25, 2021, the Company's Board of Directors authorized the Company to repurchase shares of up to $200 million through open market purchases, privately negotiated transactions or otherwise, and to determine the prices, times and amounts. The program does not obligate the Company to acquire any particular amount of common stock, and it may be suspended or terminated at any time at the Company's discretion. The share repurchase program does not have an expiration date. The timing and amount of any share repurchases will be based on the Company’s liquidity, general business and market conditions, debt covenant restrictions and other factors, including alternative investment opportunities and capital structure. In total, the Company has repurchased 1,308,003 shares for a total cost of $109.4M, of which 1,022,717 shares were repurchased in 2022 for $85.1 million and 285,286 shares were repurchased in 2021 for $24.3 million.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Trading Plans of Directors and Executive Officers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six months ended June 30, 2023, none of our directors or executive officers adopted or terminated any contract, instruction or written plan for the purchase or sale of Albany International Corp.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80" w:type="dxa"/>
            <w:vAlign w:val="bottom"/>
          </w:tcPr>
          <w:p>
            <w:pPr>
              <w:ind w:left="20"/>
              <w:spacing w:after="0"/>
              <w:rPr>
                <w:sz w:val="20"/>
                <w:szCs w:val="20"/>
                <w:color w:val="auto"/>
              </w:rPr>
            </w:pPr>
            <w:r>
              <w:rPr>
                <w:rFonts w:ascii="Arial" w:cs="Arial" w:eastAsia="Arial" w:hAnsi="Arial"/>
                <w:sz w:val="16"/>
                <w:szCs w:val="16"/>
                <w:color w:val="auto"/>
              </w:rPr>
              <w:t>Exhibit No.</w:t>
            </w:r>
          </w:p>
        </w:tc>
        <w:tc>
          <w:tcPr>
            <w:tcW w:w="9960" w:type="dxa"/>
            <w:vAlign w:val="bottom"/>
            <w:gridSpan w:val="12"/>
          </w:tcPr>
          <w:p>
            <w:pPr>
              <w:spacing w:after="0"/>
              <w:rPr>
                <w:sz w:val="20"/>
                <w:szCs w:val="20"/>
                <w:color w:val="auto"/>
              </w:rPr>
            </w:pPr>
            <w:r>
              <w:rPr>
                <w:rFonts w:ascii="Arial" w:cs="Arial" w:eastAsia="Arial" w:hAnsi="Arial"/>
                <w:sz w:val="16"/>
                <w:szCs w:val="16"/>
                <w:color w:val="auto"/>
              </w:rPr>
              <w:t>Description</w:t>
            </w:r>
          </w:p>
        </w:tc>
      </w:tr>
      <w:tr>
        <w:trPr>
          <w:trHeight w:val="178"/>
        </w:trPr>
        <w:tc>
          <w:tcPr>
            <w:tcW w:w="12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3(a)</w:t>
            </w:r>
          </w:p>
        </w:tc>
        <w:tc>
          <w:tcPr>
            <w:tcW w:w="9960" w:type="dxa"/>
            <w:vAlign w:val="bottom"/>
            <w:gridSpan w:val="12"/>
            <w:shd w:val="clear" w:color="auto" w:fill="CCEEFF"/>
          </w:tcPr>
          <w:p>
            <w:pPr>
              <w:spacing w:after="0" w:line="178" w:lineRule="exact"/>
              <w:rPr>
                <w:rFonts w:ascii="Arial" w:cs="Arial" w:eastAsia="Arial" w:hAnsi="Arial"/>
                <w:sz w:val="16"/>
                <w:szCs w:val="16"/>
                <w:color w:val="0000FF"/>
              </w:rPr>
            </w:pPr>
            <w:hyperlink r:id="rId67">
              <w:r>
                <w:rPr>
                  <w:rFonts w:ascii="Arial" w:cs="Arial" w:eastAsia="Arial" w:hAnsi="Arial"/>
                  <w:sz w:val="16"/>
                  <w:szCs w:val="16"/>
                  <w:color w:val="0000FF"/>
                </w:rPr>
                <w:t>Amended and Restated Certificate of Incorporation of Albany International Corp.</w:t>
              </w:r>
            </w:hyperlink>
          </w:p>
        </w:tc>
      </w:tr>
      <w:tr>
        <w:trPr>
          <w:trHeight w:val="21"/>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25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80" w:type="dxa"/>
            <w:vAlign w:val="bottom"/>
          </w:tcPr>
          <w:p>
            <w:pPr>
              <w:ind w:left="20"/>
              <w:spacing w:after="0" w:line="175" w:lineRule="exact"/>
              <w:rPr>
                <w:sz w:val="20"/>
                <w:szCs w:val="20"/>
                <w:color w:val="auto"/>
              </w:rPr>
            </w:pPr>
            <w:r>
              <w:rPr>
                <w:rFonts w:ascii="Arial" w:cs="Arial" w:eastAsia="Arial" w:hAnsi="Arial"/>
                <w:sz w:val="16"/>
                <w:szCs w:val="16"/>
                <w:color w:val="auto"/>
              </w:rPr>
              <w:t>10.1</w:t>
            </w:r>
          </w:p>
        </w:tc>
        <w:tc>
          <w:tcPr>
            <w:tcW w:w="9960" w:type="dxa"/>
            <w:vAlign w:val="bottom"/>
            <w:gridSpan w:val="12"/>
          </w:tcPr>
          <w:p>
            <w:pPr>
              <w:spacing w:after="0" w:line="175" w:lineRule="exact"/>
              <w:rPr>
                <w:rFonts w:ascii="Arial" w:cs="Arial" w:eastAsia="Arial" w:hAnsi="Arial"/>
                <w:sz w:val="16"/>
                <w:szCs w:val="16"/>
                <w:color w:val="0000FF"/>
              </w:rPr>
            </w:pPr>
            <w:hyperlink r:id="rId68">
              <w:r>
                <w:rPr>
                  <w:rFonts w:ascii="Arial" w:cs="Arial" w:eastAsia="Arial" w:hAnsi="Arial"/>
                  <w:sz w:val="16"/>
                  <w:szCs w:val="16"/>
                  <w:color w:val="0000FF"/>
                </w:rPr>
                <w:t>Amendment, dated as of June 23, 2023, to the Amended and Restated Credit Agreement, dated as of October 27, 2020, by and among</w:t>
              </w:r>
            </w:hyperlink>
          </w:p>
        </w:tc>
      </w:tr>
      <w:tr>
        <w:trPr>
          <w:trHeight w:val="142"/>
        </w:trPr>
        <w:tc>
          <w:tcPr>
            <w:tcW w:w="1280" w:type="dxa"/>
            <w:vAlign w:val="bottom"/>
          </w:tcPr>
          <w:p>
            <w:pPr>
              <w:spacing w:after="0"/>
              <w:rPr>
                <w:sz w:val="12"/>
                <w:szCs w:val="12"/>
                <w:color w:val="auto"/>
              </w:rPr>
            </w:pPr>
          </w:p>
        </w:tc>
        <w:tc>
          <w:tcPr>
            <w:tcW w:w="93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Albany International Corp., Albany International Holding (Switzerland) AG, Albany International Europe GMBH, Albany International</w:t>
              </w:r>
            </w:hyperlink>
          </w:p>
        </w:tc>
        <w:tc>
          <w:tcPr>
            <w:tcW w:w="3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280" w:type="dxa"/>
            <w:vAlign w:val="bottom"/>
          </w:tcPr>
          <w:p>
            <w:pPr>
              <w:spacing w:after="0"/>
              <w:rPr>
                <w:sz w:val="12"/>
                <w:szCs w:val="12"/>
                <w:color w:val="auto"/>
              </w:rPr>
            </w:pPr>
          </w:p>
        </w:tc>
        <w:tc>
          <w:tcPr>
            <w:tcW w:w="9960" w:type="dxa"/>
            <w:vAlign w:val="bottom"/>
            <w:gridSpan w:val="12"/>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Canada Corp., the other borrowing subsidiaries party thereto, the lenders party thereto and JPMorgan Chase Bank, N.A., as administrative</w:t>
              </w:r>
            </w:hyperlink>
          </w:p>
        </w:tc>
      </w:tr>
      <w:tr>
        <w:trPr>
          <w:trHeight w:val="142"/>
        </w:trPr>
        <w:tc>
          <w:tcPr>
            <w:tcW w:w="1280" w:type="dxa"/>
            <w:vAlign w:val="bottom"/>
          </w:tcPr>
          <w:p>
            <w:pPr>
              <w:spacing w:after="0"/>
              <w:rPr>
                <w:sz w:val="12"/>
                <w:szCs w:val="12"/>
                <w:color w:val="auto"/>
              </w:rPr>
            </w:pPr>
          </w:p>
        </w:tc>
        <w:tc>
          <w:tcPr>
            <w:tcW w:w="994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agent.</w:t>
              </w:r>
            </w:hyperlink>
          </w:p>
        </w:tc>
        <w:tc>
          <w:tcPr>
            <w:tcW w:w="20" w:type="dxa"/>
            <w:vAlign w:val="bottom"/>
          </w:tcPr>
          <w:p>
            <w:pPr>
              <w:spacing w:after="0"/>
              <w:rPr>
                <w:sz w:val="12"/>
                <w:szCs w:val="12"/>
                <w:color w:val="auto"/>
              </w:rPr>
            </w:pPr>
          </w:p>
        </w:tc>
      </w:tr>
      <w:tr>
        <w:trPr>
          <w:trHeight w:val="21"/>
        </w:trPr>
        <w:tc>
          <w:tcPr>
            <w:tcW w:w="12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10(m)(xx)</w:t>
            </w:r>
          </w:p>
        </w:tc>
        <w:tc>
          <w:tcPr>
            <w:tcW w:w="3160" w:type="dxa"/>
            <w:vAlign w:val="bottom"/>
            <w:tcBorders>
              <w:bottom w:val="single" w:sz="8" w:color="0000FF"/>
            </w:tcBorders>
            <w:gridSpan w:val="3"/>
            <w:shd w:val="clear" w:color="auto" w:fill="CCEEFF"/>
          </w:tcPr>
          <w:p>
            <w:pPr>
              <w:spacing w:after="0" w:line="175" w:lineRule="exact"/>
              <w:rPr>
                <w:rFonts w:ascii="Arial" w:cs="Arial" w:eastAsia="Arial" w:hAnsi="Arial"/>
                <w:sz w:val="16"/>
                <w:szCs w:val="16"/>
                <w:color w:val="0000FF"/>
              </w:rPr>
            </w:pPr>
            <w:hyperlink r:id="rId69">
              <w:r>
                <w:rPr>
                  <w:rFonts w:ascii="Arial" w:cs="Arial" w:eastAsia="Arial" w:hAnsi="Arial"/>
                  <w:sz w:val="16"/>
                  <w:szCs w:val="16"/>
                  <w:color w:val="0000FF"/>
                </w:rPr>
                <w:t>Form of Special Incentive Award Agreement</w:t>
              </w:r>
            </w:hyperlink>
          </w:p>
        </w:tc>
        <w:tc>
          <w:tcPr>
            <w:tcW w:w="6800" w:type="dxa"/>
            <w:vAlign w:val="bottom"/>
            <w:tcBorders>
              <w:bottom w:val="single" w:sz="8" w:color="CCEEFF"/>
            </w:tcBorders>
            <w:gridSpan w:val="9"/>
            <w:shd w:val="clear" w:color="auto" w:fill="CCEEFF"/>
          </w:tcPr>
          <w:p>
            <w:pPr>
              <w:spacing w:after="0"/>
              <w:rPr>
                <w:sz w:val="17"/>
                <w:szCs w:val="17"/>
                <w:color w:val="auto"/>
              </w:rPr>
            </w:pPr>
          </w:p>
        </w:tc>
      </w:tr>
      <w:tr>
        <w:trPr>
          <w:trHeight w:val="175"/>
        </w:trPr>
        <w:tc>
          <w:tcPr>
            <w:tcW w:w="1280" w:type="dxa"/>
            <w:vAlign w:val="bottom"/>
          </w:tcPr>
          <w:p>
            <w:pPr>
              <w:ind w:left="20"/>
              <w:spacing w:after="0" w:line="175" w:lineRule="exact"/>
              <w:rPr>
                <w:sz w:val="20"/>
                <w:szCs w:val="20"/>
                <w:color w:val="auto"/>
              </w:rPr>
            </w:pPr>
            <w:r>
              <w:rPr>
                <w:rFonts w:ascii="Arial" w:cs="Arial" w:eastAsia="Arial" w:hAnsi="Arial"/>
                <w:sz w:val="16"/>
                <w:szCs w:val="16"/>
                <w:color w:val="auto"/>
              </w:rPr>
              <w:t>31.1</w:t>
            </w:r>
          </w:p>
        </w:tc>
        <w:tc>
          <w:tcPr>
            <w:tcW w:w="9960" w:type="dxa"/>
            <w:vAlign w:val="bottom"/>
            <w:gridSpan w:val="12"/>
          </w:tcPr>
          <w:p>
            <w:pPr>
              <w:spacing w:after="0" w:line="175" w:lineRule="exact"/>
              <w:rPr>
                <w:sz w:val="20"/>
                <w:szCs w:val="20"/>
                <w:color w:val="auto"/>
              </w:rPr>
            </w:pPr>
            <w:r>
              <w:rPr>
                <w:rFonts w:ascii="Arial" w:cs="Arial" w:eastAsia="Arial" w:hAnsi="Arial"/>
                <w:sz w:val="16"/>
                <w:szCs w:val="16"/>
                <w:color w:val="0000FF"/>
              </w:rPr>
              <w:t>Certification of the Chief Executive Officer pursuant to Rule 13a-14(a)/15d-14(a) of the Exchange Act.</w:t>
            </w:r>
          </w:p>
        </w:tc>
      </w:tr>
      <w:tr>
        <w:trPr>
          <w:trHeight w:val="21"/>
        </w:trPr>
        <w:tc>
          <w:tcPr>
            <w:tcW w:w="12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25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31.2</w:t>
            </w:r>
          </w:p>
        </w:tc>
        <w:tc>
          <w:tcPr>
            <w:tcW w:w="9960" w:type="dxa"/>
            <w:vAlign w:val="bottom"/>
            <w:gridSpan w:val="12"/>
            <w:shd w:val="clear" w:color="auto" w:fill="CCEEFF"/>
          </w:tcPr>
          <w:p>
            <w:pPr>
              <w:spacing w:after="0" w:line="175" w:lineRule="exact"/>
              <w:rPr>
                <w:sz w:val="20"/>
                <w:szCs w:val="20"/>
                <w:color w:val="auto"/>
              </w:rPr>
            </w:pPr>
            <w:r>
              <w:rPr>
                <w:rFonts w:ascii="Arial" w:cs="Arial" w:eastAsia="Arial" w:hAnsi="Arial"/>
                <w:sz w:val="16"/>
                <w:szCs w:val="16"/>
                <w:color w:val="0000FF"/>
              </w:rPr>
              <w:t>Certification of the Chief Financial Officer pursuant to Rule 13a-14(a)/15d-14(a) of the Exchange Act.</w:t>
            </w:r>
          </w:p>
        </w:tc>
      </w:tr>
      <w:tr>
        <w:trPr>
          <w:trHeight w:val="21"/>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25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80" w:type="dxa"/>
            <w:vAlign w:val="bottom"/>
          </w:tcPr>
          <w:p>
            <w:pPr>
              <w:ind w:left="20"/>
              <w:spacing w:after="0" w:line="175" w:lineRule="exact"/>
              <w:rPr>
                <w:sz w:val="20"/>
                <w:szCs w:val="20"/>
                <w:color w:val="auto"/>
              </w:rPr>
            </w:pPr>
            <w:r>
              <w:rPr>
                <w:rFonts w:ascii="Arial" w:cs="Arial" w:eastAsia="Arial" w:hAnsi="Arial"/>
                <w:sz w:val="16"/>
                <w:szCs w:val="16"/>
                <w:color w:val="auto"/>
              </w:rPr>
              <w:t>32.1</w:t>
            </w:r>
          </w:p>
        </w:tc>
        <w:tc>
          <w:tcPr>
            <w:tcW w:w="9960" w:type="dxa"/>
            <w:vAlign w:val="bottom"/>
            <w:gridSpan w:val="12"/>
          </w:tcPr>
          <w:p>
            <w:pPr>
              <w:spacing w:after="0" w:line="175" w:lineRule="exact"/>
              <w:rPr>
                <w:sz w:val="20"/>
                <w:szCs w:val="20"/>
                <w:color w:val="auto"/>
              </w:rPr>
            </w:pPr>
            <w:r>
              <w:rPr>
                <w:rFonts w:ascii="Arial" w:cs="Arial" w:eastAsia="Arial" w:hAnsi="Arial"/>
                <w:sz w:val="16"/>
                <w:szCs w:val="16"/>
                <w:color w:val="0000FF"/>
              </w:rPr>
              <w:t>Certification pursuant to Section 906 of the Sarbanes-Oxley Act of 2002 (Subsections (a) and (b) of Section 1350, Chapter 63 of Title 18,</w:t>
            </w:r>
          </w:p>
        </w:tc>
      </w:tr>
      <w:tr>
        <w:trPr>
          <w:trHeight w:val="142"/>
        </w:trPr>
        <w:tc>
          <w:tcPr>
            <w:tcW w:w="1280" w:type="dxa"/>
            <w:vAlign w:val="bottom"/>
          </w:tcPr>
          <w:p>
            <w:pPr>
              <w:spacing w:after="0"/>
              <w:rPr>
                <w:sz w:val="12"/>
                <w:szCs w:val="12"/>
                <w:color w:val="auto"/>
              </w:rPr>
            </w:pPr>
          </w:p>
        </w:tc>
        <w:tc>
          <w:tcPr>
            <w:tcW w:w="976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United States Code).</w:t>
            </w:r>
          </w:p>
        </w:tc>
        <w:tc>
          <w:tcPr>
            <w:tcW w:w="200" w:type="dxa"/>
            <w:vAlign w:val="bottom"/>
            <w:gridSpan w:val="2"/>
          </w:tcPr>
          <w:p>
            <w:pPr>
              <w:spacing w:after="0"/>
              <w:rPr>
                <w:sz w:val="12"/>
                <w:szCs w:val="12"/>
                <w:color w:val="auto"/>
              </w:rPr>
            </w:pPr>
          </w:p>
        </w:tc>
      </w:tr>
      <w:tr>
        <w:trPr>
          <w:trHeight w:val="21"/>
        </w:trPr>
        <w:tc>
          <w:tcPr>
            <w:tcW w:w="12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99.1</w:t>
            </w:r>
          </w:p>
        </w:tc>
        <w:tc>
          <w:tcPr>
            <w:tcW w:w="9960" w:type="dxa"/>
            <w:vAlign w:val="bottom"/>
            <w:gridSpan w:val="12"/>
            <w:shd w:val="clear" w:color="auto" w:fill="CCEEFF"/>
          </w:tcPr>
          <w:p>
            <w:pPr>
              <w:spacing w:after="0" w:line="175" w:lineRule="exact"/>
              <w:rPr>
                <w:sz w:val="20"/>
                <w:szCs w:val="20"/>
                <w:color w:val="auto"/>
              </w:rPr>
            </w:pPr>
            <w:r>
              <w:rPr>
                <w:rFonts w:ascii="Arial" w:cs="Arial" w:eastAsia="Arial" w:hAnsi="Arial"/>
                <w:sz w:val="16"/>
                <w:szCs w:val="16"/>
                <w:color w:val="0000FF"/>
              </w:rPr>
              <w:t>Quantitative and qualitative disclosures about market risks as reported at June 30, 2023.</w:t>
            </w:r>
          </w:p>
        </w:tc>
      </w:tr>
      <w:tr>
        <w:trPr>
          <w:trHeight w:val="21"/>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25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65"/>
        </w:trPr>
        <w:tc>
          <w:tcPr>
            <w:tcW w:w="1280" w:type="dxa"/>
            <w:vAlign w:val="bottom"/>
          </w:tcPr>
          <w:p>
            <w:pPr>
              <w:ind w:left="20"/>
              <w:spacing w:after="0" w:line="165" w:lineRule="exact"/>
              <w:rPr>
                <w:sz w:val="20"/>
                <w:szCs w:val="20"/>
                <w:color w:val="auto"/>
              </w:rPr>
            </w:pPr>
            <w:r>
              <w:rPr>
                <w:rFonts w:ascii="Arial" w:cs="Arial" w:eastAsia="Arial" w:hAnsi="Arial"/>
                <w:sz w:val="16"/>
                <w:szCs w:val="16"/>
                <w:color w:val="auto"/>
              </w:rPr>
              <w:t>101.INS</w:t>
            </w:r>
          </w:p>
        </w:tc>
        <w:tc>
          <w:tcPr>
            <w:tcW w:w="9960" w:type="dxa"/>
            <w:vAlign w:val="bottom"/>
            <w:gridSpan w:val="12"/>
          </w:tcPr>
          <w:p>
            <w:pPr>
              <w:spacing w:after="0" w:line="165" w:lineRule="exact"/>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w:t>
            </w:r>
          </w:p>
        </w:tc>
      </w:tr>
      <w:tr>
        <w:trPr>
          <w:trHeight w:val="210"/>
        </w:trPr>
        <w:tc>
          <w:tcPr>
            <w:tcW w:w="1280" w:type="dxa"/>
            <w:vAlign w:val="bottom"/>
          </w:tcPr>
          <w:p>
            <w:pPr>
              <w:spacing w:after="0"/>
              <w:rPr>
                <w:sz w:val="18"/>
                <w:szCs w:val="18"/>
                <w:color w:val="auto"/>
              </w:rPr>
            </w:pPr>
          </w:p>
        </w:tc>
        <w:tc>
          <w:tcPr>
            <w:tcW w:w="9960" w:type="dxa"/>
            <w:vAlign w:val="bottom"/>
            <w:gridSpan w:val="12"/>
          </w:tcPr>
          <w:p>
            <w:pPr>
              <w:spacing w:after="0"/>
              <w:rPr>
                <w:sz w:val="20"/>
                <w:szCs w:val="20"/>
                <w:color w:val="auto"/>
              </w:rPr>
            </w:pPr>
            <w:r>
              <w:rPr>
                <w:rFonts w:ascii="Arial" w:cs="Arial" w:eastAsia="Arial" w:hAnsi="Arial"/>
                <w:sz w:val="16"/>
                <w:szCs w:val="16"/>
                <w:color w:val="auto"/>
              </w:rPr>
              <w:t>within the Inline XBRL document.</w:t>
            </w:r>
          </w:p>
        </w:tc>
      </w:tr>
      <w:tr>
        <w:trPr>
          <w:trHeight w:val="219"/>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101.SCH</w:t>
            </w:r>
          </w:p>
        </w:tc>
        <w:tc>
          <w:tcPr>
            <w:tcW w:w="9960" w:type="dxa"/>
            <w:vAlign w:val="bottom"/>
            <w:gridSpan w:val="12"/>
            <w:shd w:val="clear" w:color="auto" w:fill="CCEEFF"/>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3"/>
        </w:trPr>
        <w:tc>
          <w:tcPr>
            <w:tcW w:w="1280" w:type="dxa"/>
            <w:vAlign w:val="bottom"/>
          </w:tcPr>
          <w:p>
            <w:pPr>
              <w:ind w:left="20"/>
              <w:spacing w:after="0"/>
              <w:rPr>
                <w:sz w:val="20"/>
                <w:szCs w:val="20"/>
                <w:color w:val="auto"/>
              </w:rPr>
            </w:pPr>
            <w:r>
              <w:rPr>
                <w:rFonts w:ascii="Arial" w:cs="Arial" w:eastAsia="Arial" w:hAnsi="Arial"/>
                <w:sz w:val="16"/>
                <w:szCs w:val="16"/>
                <w:color w:val="auto"/>
              </w:rPr>
              <w:t>101.CAL</w:t>
            </w:r>
          </w:p>
        </w:tc>
        <w:tc>
          <w:tcPr>
            <w:tcW w:w="9960" w:type="dxa"/>
            <w:vAlign w:val="bottom"/>
            <w:gridSpan w:val="12"/>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9"/>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101.DEF</w:t>
            </w:r>
          </w:p>
        </w:tc>
        <w:tc>
          <w:tcPr>
            <w:tcW w:w="9960" w:type="dxa"/>
            <w:vAlign w:val="bottom"/>
            <w:gridSpan w:val="12"/>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3"/>
        </w:trPr>
        <w:tc>
          <w:tcPr>
            <w:tcW w:w="1280" w:type="dxa"/>
            <w:vAlign w:val="bottom"/>
          </w:tcPr>
          <w:p>
            <w:pPr>
              <w:ind w:left="20"/>
              <w:spacing w:after="0"/>
              <w:rPr>
                <w:sz w:val="20"/>
                <w:szCs w:val="20"/>
                <w:color w:val="auto"/>
              </w:rPr>
            </w:pPr>
            <w:r>
              <w:rPr>
                <w:rFonts w:ascii="Arial" w:cs="Arial" w:eastAsia="Arial" w:hAnsi="Arial"/>
                <w:sz w:val="16"/>
                <w:szCs w:val="16"/>
                <w:color w:val="auto"/>
              </w:rPr>
              <w:t>101.LAB</w:t>
            </w:r>
          </w:p>
        </w:tc>
        <w:tc>
          <w:tcPr>
            <w:tcW w:w="9960" w:type="dxa"/>
            <w:vAlign w:val="bottom"/>
            <w:gridSpan w:val="12"/>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9"/>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101.PRE</w:t>
            </w:r>
          </w:p>
        </w:tc>
        <w:tc>
          <w:tcPr>
            <w:tcW w:w="9960" w:type="dxa"/>
            <w:vAlign w:val="bottom"/>
            <w:gridSpan w:val="12"/>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0"/>
        </w:trPr>
        <w:tc>
          <w:tcPr>
            <w:tcW w:w="1280" w:type="dxa"/>
            <w:vAlign w:val="bottom"/>
          </w:tcPr>
          <w:p>
            <w:pPr>
              <w:ind w:left="20"/>
              <w:spacing w:after="0"/>
              <w:rPr>
                <w:sz w:val="20"/>
                <w:szCs w:val="20"/>
                <w:color w:val="auto"/>
              </w:rPr>
            </w:pPr>
            <w:r>
              <w:rPr>
                <w:rFonts w:ascii="Arial" w:cs="Arial" w:eastAsia="Arial" w:hAnsi="Arial"/>
                <w:sz w:val="16"/>
                <w:szCs w:val="16"/>
                <w:color w:val="auto"/>
              </w:rPr>
              <w:t>104</w:t>
            </w:r>
          </w:p>
        </w:tc>
        <w:tc>
          <w:tcPr>
            <w:tcW w:w="9960" w:type="dxa"/>
            <w:vAlign w:val="bottom"/>
            <w:gridSpan w:val="12"/>
          </w:tcPr>
          <w:p>
            <w:pPr>
              <w:spacing w:after="0"/>
              <w:rPr>
                <w:sz w:val="20"/>
                <w:szCs w:val="20"/>
                <w:color w:val="auto"/>
              </w:rPr>
            </w:pPr>
            <w:r>
              <w:rPr>
                <w:rFonts w:ascii="Arial" w:cs="Arial" w:eastAsia="Arial" w:hAnsi="Arial"/>
                <w:sz w:val="16"/>
                <w:szCs w:val="16"/>
                <w:color w:val="auto"/>
              </w:rPr>
              <w:t>Cover page formatted as Inline XBRL and contained in Exhibit 101</w:t>
            </w:r>
          </w:p>
        </w:tc>
      </w:tr>
      <w:tr>
        <w:trPr>
          <w:trHeight w:val="1012"/>
        </w:trPr>
        <w:tc>
          <w:tcPr>
            <w:tcW w:w="1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ALBANY INTERNATIONAL CORP.</w:t>
      </w:r>
    </w:p>
    <w:p>
      <w:pPr>
        <w:spacing w:after="0" w:line="43"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(Registrant)</w:t>
      </w:r>
    </w:p>
    <w:p>
      <w:pPr>
        <w:spacing w:after="0" w:line="272" w:lineRule="exact"/>
        <w:rPr>
          <w:sz w:val="20"/>
          <w:szCs w:val="20"/>
          <w:color w:val="auto"/>
        </w:rPr>
      </w:pPr>
    </w:p>
    <w:p>
      <w:pPr>
        <w:ind w:left="20"/>
        <w:spacing w:after="0"/>
        <w:tabs>
          <w:tab w:leader="none" w:pos="4080" w:val="left"/>
          <w:tab w:leader="none" w:pos="4560" w:val="left"/>
        </w:tabs>
        <w:rPr>
          <w:sz w:val="20"/>
          <w:szCs w:val="20"/>
          <w:color w:val="auto"/>
        </w:rPr>
      </w:pPr>
      <w:r>
        <w:rPr>
          <w:rFonts w:ascii="Arial" w:cs="Arial" w:eastAsia="Arial" w:hAnsi="Arial"/>
          <w:sz w:val="16"/>
          <w:szCs w:val="16"/>
          <w:color w:val="auto"/>
        </w:rPr>
        <w:t>Date: July 26,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18415</wp:posOffset>
            </wp:positionV>
            <wp:extent cx="40976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Robert D. Starr</w:t>
      </w:r>
    </w:p>
    <w:p>
      <w:pPr>
        <w:ind w:left="4580"/>
        <w:spacing w:after="0" w:line="211" w:lineRule="auto"/>
        <w:rPr>
          <w:sz w:val="20"/>
          <w:szCs w:val="20"/>
          <w:color w:val="auto"/>
        </w:rPr>
      </w:pPr>
      <w:r>
        <w:rPr>
          <w:rFonts w:ascii="Arial" w:cs="Arial" w:eastAsia="Arial" w:hAnsi="Arial"/>
          <w:sz w:val="16"/>
          <w:szCs w:val="16"/>
          <w:color w:val="auto"/>
        </w:rPr>
        <w:t>Executive Vice President and Chief Financial Officer</w:t>
      </w:r>
    </w:p>
    <w:p>
      <w:pPr>
        <w:ind w:left="458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1035"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A. William Higgins, certify that:</w:t>
      </w:r>
    </w:p>
    <w:p>
      <w:pPr>
        <w:spacing w:after="0" w:line="11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hanging="332"/>
        <w:spacing w:after="0" w:line="27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660" w:hanging="328"/>
        <w:spacing w:after="0" w:line="275"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8"/>
          <w:szCs w:val="18"/>
          <w:color w:val="auto"/>
        </w:rPr>
      </w:pPr>
    </w:p>
    <w:p>
      <w:pPr>
        <w:ind w:left="660" w:hanging="328"/>
        <w:spacing w:after="0" w:line="275"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20"/>
        <w:spacing w:after="0"/>
        <w:tabs>
          <w:tab w:leader="none" w:pos="4160" w:val="left"/>
          <w:tab w:leader="none" w:pos="4640" w:val="left"/>
        </w:tabs>
        <w:rPr>
          <w:sz w:val="20"/>
          <w:szCs w:val="20"/>
          <w:color w:val="auto"/>
        </w:rPr>
      </w:pPr>
      <w:r>
        <w:rPr>
          <w:rFonts w:ascii="Arial" w:cs="Arial" w:eastAsia="Arial" w:hAnsi="Arial"/>
          <w:sz w:val="18"/>
          <w:szCs w:val="18"/>
          <w:color w:val="auto"/>
        </w:rPr>
        <w:t>Date: July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13970</wp:posOffset>
            </wp:positionV>
            <wp:extent cx="41744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18"/>
          <w:szCs w:val="18"/>
          <w:color w:val="auto"/>
        </w:rPr>
        <w:t>A. William Higgins</w:t>
      </w:r>
    </w:p>
    <w:p>
      <w:pPr>
        <w:ind w:left="4660"/>
        <w:spacing w:after="0" w:line="219" w:lineRule="auto"/>
        <w:rPr>
          <w:sz w:val="20"/>
          <w:szCs w:val="20"/>
          <w:color w:val="auto"/>
        </w:rPr>
      </w:pPr>
      <w:r>
        <w:rPr>
          <w:rFonts w:ascii="Arial" w:cs="Arial" w:eastAsia="Arial" w:hAnsi="Arial"/>
          <w:sz w:val="18"/>
          <w:szCs w:val="18"/>
          <w:color w:val="auto"/>
        </w:rPr>
        <w:t>President and Chief Executive Officer</w:t>
      </w:r>
    </w:p>
    <w:p>
      <w:pPr>
        <w:jc w:val="center"/>
        <w:ind w:right="-279"/>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86"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Robert D. Starr, certify that:</w:t>
      </w:r>
    </w:p>
    <w:p>
      <w:pPr>
        <w:spacing w:after="0" w:line="11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hanging="332"/>
        <w:spacing w:after="0" w:line="275"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660" w:hanging="328"/>
        <w:spacing w:after="0" w:line="275"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8"/>
          <w:szCs w:val="18"/>
          <w:color w:val="auto"/>
        </w:rPr>
      </w:pPr>
    </w:p>
    <w:p>
      <w:pPr>
        <w:ind w:left="660" w:hanging="328"/>
        <w:spacing w:after="0" w:line="275"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20"/>
        <w:spacing w:after="0"/>
        <w:tabs>
          <w:tab w:leader="none" w:pos="4160" w:val="left"/>
          <w:tab w:leader="none" w:pos="4640" w:val="left"/>
        </w:tabs>
        <w:rPr>
          <w:sz w:val="20"/>
          <w:szCs w:val="20"/>
          <w:color w:val="auto"/>
        </w:rPr>
      </w:pPr>
      <w:r>
        <w:rPr>
          <w:rFonts w:ascii="Arial" w:cs="Arial" w:eastAsia="Arial" w:hAnsi="Arial"/>
          <w:sz w:val="18"/>
          <w:szCs w:val="18"/>
          <w:color w:val="auto"/>
        </w:rPr>
        <w:t>Date: July 26,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D.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13970</wp:posOffset>
            </wp:positionV>
            <wp:extent cx="41744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18"/>
          <w:szCs w:val="18"/>
          <w:color w:val="auto"/>
        </w:rPr>
        <w:t>Robert D. Starr</w:t>
      </w:r>
    </w:p>
    <w:p>
      <w:pPr>
        <w:ind w:left="4660"/>
        <w:spacing w:after="0" w:line="219" w:lineRule="auto"/>
        <w:rPr>
          <w:sz w:val="20"/>
          <w:szCs w:val="20"/>
          <w:color w:val="auto"/>
        </w:rPr>
      </w:pPr>
      <w:r>
        <w:rPr>
          <w:rFonts w:ascii="Arial" w:cs="Arial" w:eastAsia="Arial" w:hAnsi="Arial"/>
          <w:sz w:val="18"/>
          <w:szCs w:val="18"/>
          <w:color w:val="auto"/>
        </w:rPr>
        <w:t>Executive Vice President and Chief Financial Officer</w:t>
      </w:r>
    </w:p>
    <w:p>
      <w:pPr>
        <w:jc w:val="center"/>
        <w:ind w:right="-219"/>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6"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June 30, 2023, as filed with the Securities and Exchange Commission on the date hereof (the Report), A. William Higgins, President and Chief Executive Officer, and Robert D. Starr, Executive Vice President and Chief Financial Officer of the Company, certify, pursuant to 18 U.S.C. § 1350, as adopted pursuant to § 906 of the Sarbanes-Oxley Act of 2002, that:</w:t>
      </w:r>
    </w:p>
    <w:p>
      <w:pPr>
        <w:spacing w:after="0" w:line="8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17" w:lineRule="exact"/>
        <w:rPr>
          <w:rFonts w:ascii="Arial" w:cs="Arial" w:eastAsia="Arial" w:hAnsi="Arial"/>
          <w:sz w:val="18"/>
          <w:szCs w:val="18"/>
          <w:color w:val="auto"/>
        </w:rPr>
      </w:pPr>
    </w:p>
    <w:p>
      <w:pPr>
        <w:ind w:left="340" w:hanging="332"/>
        <w:spacing w:after="0" w:line="275"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0" w:lineRule="exact"/>
        <w:rPr>
          <w:sz w:val="20"/>
          <w:szCs w:val="20"/>
          <w:color w:val="auto"/>
        </w:rPr>
      </w:pPr>
    </w:p>
    <w:p>
      <w:pPr>
        <w:ind w:left="1040"/>
        <w:spacing w:after="0"/>
        <w:tabs>
          <w:tab w:leader="none" w:pos="4880" w:val="left"/>
        </w:tabs>
        <w:rPr>
          <w:sz w:val="20"/>
          <w:szCs w:val="20"/>
          <w:color w:val="auto"/>
        </w:rPr>
      </w:pPr>
      <w:r>
        <w:rPr>
          <w:rFonts w:ascii="Arial" w:cs="Arial" w:eastAsia="Arial" w:hAnsi="Arial"/>
          <w:sz w:val="18"/>
          <w:szCs w:val="18"/>
          <w:color w:val="auto"/>
        </w:rPr>
        <w:t>Date: July 26, 2023</w:t>
      </w:r>
      <w:r>
        <w:rPr>
          <w:sz w:val="20"/>
          <w:szCs w:val="20"/>
          <w:color w:val="auto"/>
        </w:rPr>
        <w:tab/>
      </w:r>
      <w:r>
        <w:rPr>
          <w:rFonts w:ascii="Arial" w:cs="Arial" w:eastAsia="Arial" w:hAnsi="Arial"/>
          <w:sz w:val="17"/>
          <w:szCs w:val="17"/>
          <w:color w:val="auto"/>
        </w:rPr>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13970</wp:posOffset>
            </wp:positionV>
            <wp:extent cx="34036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403600" cy="8255"/>
                    </a:xfrm>
                    <a:prstGeom prst="rect">
                      <a:avLst/>
                    </a:prstGeom>
                    <a:noFill/>
                  </pic:spPr>
                </pic:pic>
              </a:graphicData>
            </a:graphic>
          </wp:anchor>
        </w:drawing>
      </w:r>
    </w:p>
    <w:p>
      <w:pPr>
        <w:spacing w:after="0" w:line="3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 William Higgins</w:t>
      </w:r>
    </w:p>
    <w:p>
      <w:pPr>
        <w:ind w:left="4900"/>
        <w:spacing w:after="0" w:line="203" w:lineRule="auto"/>
        <w:rPr>
          <w:sz w:val="20"/>
          <w:szCs w:val="20"/>
          <w:color w:val="auto"/>
        </w:rPr>
      </w:pPr>
      <w:r>
        <w:rPr>
          <w:rFonts w:ascii="Arial" w:cs="Arial" w:eastAsia="Arial" w:hAnsi="Arial"/>
          <w:sz w:val="18"/>
          <w:szCs w:val="18"/>
          <w:color w:val="auto"/>
        </w:rPr>
        <w:t>President and Chief Executive Officer</w:t>
      </w:r>
    </w:p>
    <w:p>
      <w:pPr>
        <w:ind w:left="4900"/>
        <w:spacing w:after="0"/>
        <w:rPr>
          <w:sz w:val="20"/>
          <w:szCs w:val="20"/>
          <w:color w:val="auto"/>
        </w:rPr>
      </w:pPr>
      <w:r>
        <w:rPr>
          <w:rFonts w:ascii="Arial" w:cs="Arial" w:eastAsia="Arial" w:hAnsi="Arial"/>
          <w:sz w:val="18"/>
          <w:szCs w:val="18"/>
          <w:color w:val="auto"/>
        </w:rPr>
        <w:t>(Principal Executive Officer)</w:t>
      </w:r>
    </w:p>
    <w:p>
      <w:pPr>
        <w:spacing w:after="0" w:line="9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 Robert D.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22225</wp:posOffset>
            </wp:positionV>
            <wp:extent cx="34036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403600" cy="8255"/>
                    </a:xfrm>
                    <a:prstGeom prst="rect">
                      <a:avLst/>
                    </a:prstGeom>
                    <a:noFill/>
                  </pic:spPr>
                </pic:pic>
              </a:graphicData>
            </a:graphic>
          </wp:anchor>
        </w:drawing>
      </w:r>
    </w:p>
    <w:p>
      <w:pPr>
        <w:spacing w:after="0" w:line="3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Robert D. Starr</w:t>
      </w:r>
    </w:p>
    <w:p>
      <w:pPr>
        <w:ind w:left="4900"/>
        <w:spacing w:after="0" w:line="219" w:lineRule="auto"/>
        <w:rPr>
          <w:sz w:val="20"/>
          <w:szCs w:val="20"/>
          <w:color w:val="auto"/>
        </w:rPr>
      </w:pPr>
      <w:r>
        <w:rPr>
          <w:rFonts w:ascii="Arial" w:cs="Arial" w:eastAsia="Arial" w:hAnsi="Arial"/>
          <w:sz w:val="18"/>
          <w:szCs w:val="18"/>
          <w:color w:val="auto"/>
        </w:rPr>
        <w:t>Executive Vice President and Chief Financial Officer</w:t>
      </w:r>
    </w:p>
    <w:p>
      <w:pPr>
        <w:ind w:left="49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6"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June 30, 2023</w:t>
      </w:r>
    </w:p>
    <w:p>
      <w:pPr>
        <w:spacing w:after="0" w:line="240" w:lineRule="exact"/>
        <w:rPr>
          <w:sz w:val="20"/>
          <w:szCs w:val="20"/>
          <w:color w:val="auto"/>
        </w:rPr>
      </w:pPr>
    </w:p>
    <w:p>
      <w:pPr>
        <w:ind w:right="180" w:firstLine="648"/>
        <w:spacing w:after="0" w:line="275"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6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$730.6 million. The potential loss in fair value resulting from a hypothetical 10% adverse change in quoted foreign currency exchange rates amounts to $73.1 million. Furthermore, related to foreign currency transactions, we have exposure to various nonfunctional currency balances totaling $102.0 million. This amount includes, on an absolute basis, exposures to assets and liabilities held in currencies other than our local entities’ functional currencies. On a net basis, we had $ 70.5 million of foreign currency assets as of June 30, 2023. As currency rates change, these nonfunctional currency balances are revalued, and the corresponding adjustment is recorded in the income statement. A hypothetical change of 10% in currency rates could result in an adjustment to the income statement of approximately $7.1 million. Actual results may differ.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30, 2023,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Credit agreement with borrowings outstanding, net of fixed rate portion, at an end of period interest rate of</w:t>
            </w:r>
          </w:p>
        </w:tc>
        <w:tc>
          <w:tcPr>
            <w:tcW w:w="2160" w:type="dxa"/>
            <w:vAlign w:val="bottom"/>
            <w:vMerge w:val="restart"/>
            <w:shd w:val="clear" w:color="auto" w:fill="BFE4FF"/>
          </w:tcPr>
          <w:p>
            <w:pPr>
              <w:jc w:val="right"/>
              <w:ind w:right="670"/>
              <w:spacing w:after="0"/>
              <w:rPr>
                <w:sz w:val="20"/>
                <w:szCs w:val="20"/>
                <w:color w:val="auto"/>
              </w:rPr>
            </w:pPr>
            <w:r>
              <w:rPr>
                <w:rFonts w:ascii="Arial" w:cs="Arial" w:eastAsia="Arial" w:hAnsi="Arial"/>
                <w:sz w:val="18"/>
                <w:szCs w:val="18"/>
                <w:color w:val="auto"/>
              </w:rPr>
              <w:t>$137,000</w:t>
            </w:r>
          </w:p>
        </w:tc>
        <w:tc>
          <w:tcPr>
            <w:tcW w:w="0" w:type="dxa"/>
            <w:vAlign w:val="bottom"/>
          </w:tcPr>
          <w:p>
            <w:pPr>
              <w:spacing w:after="0"/>
              <w:rPr>
                <w:sz w:val="1"/>
                <w:szCs w:val="1"/>
                <w:color w:val="auto"/>
              </w:rPr>
            </w:pPr>
          </w:p>
        </w:tc>
      </w:tr>
      <w:tr>
        <w:trPr>
          <w:trHeight w:val="229"/>
        </w:trPr>
        <w:tc>
          <w:tcPr>
            <w:tcW w:w="908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6.79% in 2023, due in 2024</w:t>
            </w:r>
          </w:p>
        </w:tc>
        <w:tc>
          <w:tcPr>
            <w:tcW w:w="2160" w:type="dxa"/>
            <w:vAlign w:val="bottom"/>
            <w:tcBorders>
              <w:bottom w:val="single" w:sz="8" w:color="auto"/>
            </w:tcBorders>
            <w:vMerge w:val="continue"/>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$137,000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Assuming borrowings were outstanding for an entire year, an increase of one percentage point in weighted average interest rates would increase interest expense by $1.4 million. To manage interest rate risk, we may periodically enter into interest rate swap agreements to effectively fix the interest rates on variable debt to a specific rate for a period of time. (See </w:t>
      </w:r>
      <w:r>
        <w:rPr>
          <w:rFonts w:ascii="Arial" w:cs="Arial" w:eastAsia="Arial" w:hAnsi="Arial"/>
          <w:sz w:val="18"/>
          <w:szCs w:val="18"/>
          <w:i w:val="1"/>
          <w:iCs w:val="1"/>
          <w:color w:val="auto"/>
        </w:rPr>
        <w:t>Note 13. Financial Instruments</w:t>
      </w:r>
      <w:r>
        <w:rPr>
          <w:rFonts w:ascii="Arial" w:cs="Arial" w:eastAsia="Arial" w:hAnsi="Arial"/>
          <w:sz w:val="18"/>
          <w:szCs w:val="18"/>
          <w:color w:val="auto"/>
        </w:rPr>
        <w:t xml:space="preserve"> in the Notes to the Consolidated Financial Statements in Item 1, which is incorporated herein by reference).</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5"/>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67" Type="http://schemas.openxmlformats.org/officeDocument/2006/relationships/hyperlink" Target="https://www.sec.gov/Archives/edgar/data/819793/000081979323000045/ain-20230518xex3a.htm" TargetMode="External"/><Relationship Id="rId68" Type="http://schemas.openxmlformats.org/officeDocument/2006/relationships/hyperlink" Target="https://www.sec.gov/Archives/edgar/data/819793/000081979323000062/ain-20230623xex101.htm" TargetMode="External"/><Relationship Id="rId69" Type="http://schemas.openxmlformats.org/officeDocument/2006/relationships/hyperlink" Target="https://www.sec.gov/Archives/edgar/data/819793/000081979323000057/ain-20230614xex10mx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2023-07-26T16:07:50Z</dcterms:created>
  <dcterms:modified xsi:type="dcterms:W3CDTF">2023-07-26T16:07:50Z</dcterms:modified>
</cp:coreProperties>
</file>